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A709F" w14:textId="77777777" w:rsidR="00D318C2" w:rsidRPr="00C951E7" w:rsidRDefault="00D318C2" w:rsidP="00D318C2">
      <w:pPr>
        <w:pStyle w:val="MediumGrid21"/>
        <w:jc w:val="center"/>
        <w:rPr>
          <w:rFonts w:ascii="Times New Roman" w:hAnsi="Times New Roman"/>
          <w:b/>
          <w:sz w:val="24"/>
          <w:szCs w:val="24"/>
        </w:rPr>
      </w:pPr>
      <w:r w:rsidRPr="00C951E7">
        <w:rPr>
          <w:rFonts w:ascii="Times New Roman" w:hAnsi="Times New Roman"/>
          <w:b/>
          <w:sz w:val="24"/>
          <w:szCs w:val="24"/>
        </w:rPr>
        <w:t>TABEL DE CONCORDANȚĂ</w:t>
      </w:r>
    </w:p>
    <w:p w14:paraId="733F923B" w14:textId="77777777" w:rsidR="00B04186" w:rsidRPr="00C951E7" w:rsidRDefault="00B04186" w:rsidP="00D318C2">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4810"/>
        <w:gridCol w:w="4541"/>
        <w:gridCol w:w="1276"/>
        <w:gridCol w:w="1275"/>
        <w:gridCol w:w="1701"/>
        <w:gridCol w:w="1464"/>
      </w:tblGrid>
      <w:tr w:rsidR="00F31477" w:rsidRPr="00263A32" w14:paraId="34C43878" w14:textId="77777777" w:rsidTr="00565581">
        <w:trPr>
          <w:trHeight w:val="215"/>
        </w:trPr>
        <w:tc>
          <w:tcPr>
            <w:tcW w:w="15067" w:type="dxa"/>
            <w:gridSpan w:val="6"/>
            <w:shd w:val="clear" w:color="auto" w:fill="auto"/>
          </w:tcPr>
          <w:p w14:paraId="61A08E56" w14:textId="0D65A334" w:rsidR="00D318C2" w:rsidRPr="00D76C1D" w:rsidRDefault="00D318C2" w:rsidP="00D318C2">
            <w:pPr>
              <w:pStyle w:val="ColorfulList-Accent11"/>
              <w:numPr>
                <w:ilvl w:val="0"/>
                <w:numId w:val="1"/>
              </w:numPr>
              <w:spacing w:after="0" w:line="240" w:lineRule="auto"/>
              <w:jc w:val="both"/>
              <w:rPr>
                <w:rFonts w:ascii="Times New Roman" w:hAnsi="Times New Roman"/>
                <w:b/>
                <w:bCs/>
                <w:sz w:val="20"/>
                <w:szCs w:val="20"/>
                <w:lang w:val="ro-RO"/>
              </w:rPr>
            </w:pPr>
            <w:r w:rsidRPr="00D76C1D">
              <w:rPr>
                <w:rFonts w:ascii="Times New Roman" w:hAnsi="Times New Roman"/>
                <w:b/>
                <w:bCs/>
                <w:sz w:val="20"/>
                <w:szCs w:val="20"/>
                <w:lang w:val="ro-RO"/>
              </w:rPr>
              <w:t>Titlul actului</w:t>
            </w:r>
            <w:r w:rsidR="003012E5" w:rsidRPr="00D76C1D">
              <w:rPr>
                <w:rFonts w:ascii="Times New Roman" w:hAnsi="Times New Roman"/>
                <w:b/>
                <w:bCs/>
                <w:sz w:val="20"/>
                <w:szCs w:val="20"/>
                <w:lang w:val="ro-RO"/>
              </w:rPr>
              <w:t xml:space="preserve"> </w:t>
            </w:r>
            <w:r w:rsidRPr="00D76C1D">
              <w:rPr>
                <w:rFonts w:ascii="Times New Roman" w:hAnsi="Times New Roman"/>
                <w:b/>
                <w:bCs/>
                <w:sz w:val="20"/>
                <w:szCs w:val="20"/>
                <w:lang w:val="ro-RO"/>
              </w:rPr>
              <w:t>Uniunii Europene, inclusiv cele mai recente amendamente incluse</w:t>
            </w:r>
          </w:p>
          <w:p w14:paraId="5A381681" w14:textId="27424B4C" w:rsidR="00F03FCC" w:rsidRPr="00F03FCC" w:rsidRDefault="00F03FCC" w:rsidP="00F03FCC">
            <w:pPr>
              <w:spacing w:after="0"/>
              <w:jc w:val="both"/>
              <w:rPr>
                <w:rFonts w:ascii="Times New Roman" w:hAnsi="Times New Roman"/>
                <w:b/>
                <w:bCs/>
                <w:iCs/>
                <w:sz w:val="20"/>
                <w:szCs w:val="20"/>
                <w:shd w:val="clear" w:color="auto" w:fill="FFFFFF"/>
                <w:lang w:val="ro-MD"/>
              </w:rPr>
            </w:pPr>
            <w:proofErr w:type="spellStart"/>
            <w:r w:rsidRPr="00F03FCC">
              <w:rPr>
                <w:rFonts w:ascii="Times New Roman" w:hAnsi="Times New Roman"/>
                <w:b/>
                <w:bCs/>
                <w:color w:val="000000" w:themeColor="text1"/>
                <w:sz w:val="20"/>
                <w:szCs w:val="20"/>
              </w:rPr>
              <w:t>Regulamentul</w:t>
            </w:r>
            <w:proofErr w:type="spellEnd"/>
            <w:r w:rsidRPr="00F03FCC">
              <w:rPr>
                <w:rFonts w:ascii="Times New Roman" w:hAnsi="Times New Roman"/>
                <w:b/>
                <w:bCs/>
                <w:color w:val="000000" w:themeColor="text1"/>
                <w:sz w:val="20"/>
                <w:szCs w:val="20"/>
              </w:rPr>
              <w:t xml:space="preserve"> UE 2018/1999 al </w:t>
            </w:r>
            <w:proofErr w:type="spellStart"/>
            <w:r w:rsidRPr="00F03FCC">
              <w:rPr>
                <w:rFonts w:ascii="Times New Roman" w:hAnsi="Times New Roman"/>
                <w:b/>
                <w:bCs/>
                <w:color w:val="000000" w:themeColor="text1"/>
                <w:sz w:val="20"/>
                <w:szCs w:val="20"/>
              </w:rPr>
              <w:t>Parlamentului</w:t>
            </w:r>
            <w:proofErr w:type="spellEnd"/>
            <w:r w:rsidRPr="00F03FCC">
              <w:rPr>
                <w:rFonts w:ascii="Times New Roman" w:hAnsi="Times New Roman"/>
                <w:b/>
                <w:bCs/>
                <w:color w:val="000000" w:themeColor="text1"/>
                <w:sz w:val="20"/>
                <w:szCs w:val="20"/>
              </w:rPr>
              <w:t xml:space="preserve"> European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al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din 11 </w:t>
            </w:r>
            <w:proofErr w:type="spellStart"/>
            <w:r w:rsidRPr="00F03FCC">
              <w:rPr>
                <w:rFonts w:ascii="Times New Roman" w:hAnsi="Times New Roman"/>
                <w:b/>
                <w:bCs/>
                <w:color w:val="000000" w:themeColor="text1"/>
                <w:sz w:val="20"/>
                <w:szCs w:val="20"/>
              </w:rPr>
              <w:t>decembrie</w:t>
            </w:r>
            <w:proofErr w:type="spellEnd"/>
            <w:r w:rsidRPr="00F03FCC">
              <w:rPr>
                <w:rFonts w:ascii="Times New Roman" w:hAnsi="Times New Roman"/>
                <w:b/>
                <w:bCs/>
                <w:color w:val="000000" w:themeColor="text1"/>
                <w:sz w:val="20"/>
                <w:szCs w:val="20"/>
              </w:rPr>
              <w:t xml:space="preserve"> 2018 </w:t>
            </w:r>
            <w:proofErr w:type="spellStart"/>
            <w:r w:rsidRPr="00F03FCC">
              <w:rPr>
                <w:rFonts w:ascii="Times New Roman" w:hAnsi="Times New Roman"/>
                <w:b/>
                <w:bCs/>
                <w:color w:val="000000" w:themeColor="text1"/>
                <w:sz w:val="20"/>
                <w:szCs w:val="20"/>
              </w:rPr>
              <w:t>privind</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guvernanța</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uniunii</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energetice</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w:t>
            </w:r>
            <w:proofErr w:type="spellStart"/>
            <w:proofErr w:type="gramStart"/>
            <w:r w:rsidRPr="00F03FCC">
              <w:rPr>
                <w:rFonts w:ascii="Times New Roman" w:hAnsi="Times New Roman"/>
                <w:b/>
                <w:bCs/>
                <w:color w:val="000000" w:themeColor="text1"/>
                <w:sz w:val="20"/>
                <w:szCs w:val="20"/>
              </w:rPr>
              <w:t>a</w:t>
            </w:r>
            <w:proofErr w:type="spellEnd"/>
            <w:proofErr w:type="gram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acțiunilor</w:t>
            </w:r>
            <w:proofErr w:type="spellEnd"/>
            <w:r w:rsidRPr="00F03FCC">
              <w:rPr>
                <w:rFonts w:ascii="Times New Roman" w:hAnsi="Times New Roman"/>
                <w:b/>
                <w:bCs/>
                <w:color w:val="000000" w:themeColor="text1"/>
                <w:sz w:val="20"/>
                <w:szCs w:val="20"/>
              </w:rPr>
              <w:t xml:space="preserve"> climatice, de </w:t>
            </w:r>
            <w:proofErr w:type="spellStart"/>
            <w:r w:rsidRPr="00F03FCC">
              <w:rPr>
                <w:rFonts w:ascii="Times New Roman" w:hAnsi="Times New Roman"/>
                <w:b/>
                <w:bCs/>
                <w:color w:val="000000" w:themeColor="text1"/>
                <w:sz w:val="20"/>
                <w:szCs w:val="20"/>
              </w:rPr>
              <w:t>modificare</w:t>
            </w:r>
            <w:proofErr w:type="spellEnd"/>
            <w:r w:rsidRPr="00F03FCC">
              <w:rPr>
                <w:rFonts w:ascii="Times New Roman" w:hAnsi="Times New Roman"/>
                <w:b/>
                <w:bCs/>
                <w:color w:val="000000" w:themeColor="text1"/>
                <w:sz w:val="20"/>
                <w:szCs w:val="20"/>
              </w:rPr>
              <w:t xml:space="preserve"> a </w:t>
            </w:r>
            <w:proofErr w:type="spellStart"/>
            <w:r w:rsidRPr="00F03FCC">
              <w:rPr>
                <w:rFonts w:ascii="Times New Roman" w:hAnsi="Times New Roman"/>
                <w:b/>
                <w:bCs/>
                <w:color w:val="000000" w:themeColor="text1"/>
                <w:sz w:val="20"/>
                <w:szCs w:val="20"/>
              </w:rPr>
              <w:t>Regulamentelor</w:t>
            </w:r>
            <w:proofErr w:type="spellEnd"/>
            <w:r w:rsidRPr="00F03FCC">
              <w:rPr>
                <w:rFonts w:ascii="Times New Roman" w:hAnsi="Times New Roman"/>
                <w:b/>
                <w:bCs/>
                <w:color w:val="000000" w:themeColor="text1"/>
                <w:sz w:val="20"/>
                <w:szCs w:val="20"/>
              </w:rPr>
              <w:t xml:space="preserve"> (CE) nr. 663/2009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(CE) nr. 715/2009 ale </w:t>
            </w:r>
            <w:proofErr w:type="spellStart"/>
            <w:r w:rsidRPr="00F03FCC">
              <w:rPr>
                <w:rFonts w:ascii="Times New Roman" w:hAnsi="Times New Roman"/>
                <w:b/>
                <w:bCs/>
                <w:color w:val="000000" w:themeColor="text1"/>
                <w:sz w:val="20"/>
                <w:szCs w:val="20"/>
              </w:rPr>
              <w:t>Parlamentului</w:t>
            </w:r>
            <w:proofErr w:type="spellEnd"/>
            <w:r w:rsidRPr="00F03FCC">
              <w:rPr>
                <w:rFonts w:ascii="Times New Roman" w:hAnsi="Times New Roman"/>
                <w:b/>
                <w:bCs/>
                <w:color w:val="000000" w:themeColor="text1"/>
                <w:sz w:val="20"/>
                <w:szCs w:val="20"/>
              </w:rPr>
              <w:t xml:space="preserve"> European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ale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a </w:t>
            </w:r>
            <w:proofErr w:type="spellStart"/>
            <w:r w:rsidRPr="00F03FCC">
              <w:rPr>
                <w:rFonts w:ascii="Times New Roman" w:hAnsi="Times New Roman"/>
                <w:b/>
                <w:bCs/>
                <w:color w:val="000000" w:themeColor="text1"/>
                <w:sz w:val="20"/>
                <w:szCs w:val="20"/>
              </w:rPr>
              <w:t>Directivelor</w:t>
            </w:r>
            <w:proofErr w:type="spellEnd"/>
            <w:r w:rsidRPr="00F03FCC">
              <w:rPr>
                <w:rFonts w:ascii="Times New Roman" w:hAnsi="Times New Roman"/>
                <w:b/>
                <w:bCs/>
                <w:color w:val="000000" w:themeColor="text1"/>
                <w:sz w:val="20"/>
                <w:szCs w:val="20"/>
              </w:rPr>
              <w:t xml:space="preserve"> 94/22/CE, 98/70/CE, 2009/31/CE, 2009/73/CE, 2010/31/UE, 2012/27/UE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2013/30/UE ale </w:t>
            </w:r>
            <w:proofErr w:type="spellStart"/>
            <w:r w:rsidRPr="00F03FCC">
              <w:rPr>
                <w:rFonts w:ascii="Times New Roman" w:hAnsi="Times New Roman"/>
                <w:b/>
                <w:bCs/>
                <w:color w:val="000000" w:themeColor="text1"/>
                <w:sz w:val="20"/>
                <w:szCs w:val="20"/>
              </w:rPr>
              <w:t>Parlamentului</w:t>
            </w:r>
            <w:proofErr w:type="spellEnd"/>
            <w:r w:rsidRPr="00F03FCC">
              <w:rPr>
                <w:rFonts w:ascii="Times New Roman" w:hAnsi="Times New Roman"/>
                <w:b/>
                <w:bCs/>
                <w:color w:val="000000" w:themeColor="text1"/>
                <w:sz w:val="20"/>
                <w:szCs w:val="20"/>
              </w:rPr>
              <w:t xml:space="preserve"> European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ale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a </w:t>
            </w:r>
            <w:proofErr w:type="spellStart"/>
            <w:r w:rsidRPr="00F03FCC">
              <w:rPr>
                <w:rFonts w:ascii="Times New Roman" w:hAnsi="Times New Roman"/>
                <w:b/>
                <w:bCs/>
                <w:color w:val="000000" w:themeColor="text1"/>
                <w:sz w:val="20"/>
                <w:szCs w:val="20"/>
              </w:rPr>
              <w:t>Directivelor</w:t>
            </w:r>
            <w:proofErr w:type="spellEnd"/>
            <w:r w:rsidRPr="00F03FCC">
              <w:rPr>
                <w:rFonts w:ascii="Times New Roman" w:hAnsi="Times New Roman"/>
                <w:b/>
                <w:bCs/>
                <w:color w:val="000000" w:themeColor="text1"/>
                <w:sz w:val="20"/>
                <w:szCs w:val="20"/>
              </w:rPr>
              <w:t xml:space="preserve"> 2009/119/CE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(UE) 2015/652 ale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de </w:t>
            </w:r>
            <w:proofErr w:type="spellStart"/>
            <w:r w:rsidRPr="00F03FCC">
              <w:rPr>
                <w:rFonts w:ascii="Times New Roman" w:hAnsi="Times New Roman"/>
                <w:b/>
                <w:bCs/>
                <w:color w:val="000000" w:themeColor="text1"/>
                <w:sz w:val="20"/>
                <w:szCs w:val="20"/>
              </w:rPr>
              <w:t>abrogare</w:t>
            </w:r>
            <w:proofErr w:type="spellEnd"/>
            <w:r w:rsidRPr="00F03FCC">
              <w:rPr>
                <w:rFonts w:ascii="Times New Roman" w:hAnsi="Times New Roman"/>
                <w:b/>
                <w:bCs/>
                <w:color w:val="000000" w:themeColor="text1"/>
                <w:sz w:val="20"/>
                <w:szCs w:val="20"/>
              </w:rPr>
              <w:t xml:space="preserve"> a </w:t>
            </w:r>
            <w:proofErr w:type="spellStart"/>
            <w:r w:rsidRPr="00F03FCC">
              <w:rPr>
                <w:rFonts w:ascii="Times New Roman" w:hAnsi="Times New Roman"/>
                <w:b/>
                <w:bCs/>
                <w:color w:val="000000" w:themeColor="text1"/>
                <w:sz w:val="20"/>
                <w:szCs w:val="20"/>
              </w:rPr>
              <w:t>Regulamentului</w:t>
            </w:r>
            <w:proofErr w:type="spellEnd"/>
            <w:r w:rsidRPr="00F03FCC">
              <w:rPr>
                <w:rFonts w:ascii="Times New Roman" w:hAnsi="Times New Roman"/>
                <w:b/>
                <w:bCs/>
                <w:color w:val="000000" w:themeColor="text1"/>
                <w:sz w:val="20"/>
                <w:szCs w:val="20"/>
              </w:rPr>
              <w:t xml:space="preserve"> (UE) nr. 525/2013 al </w:t>
            </w:r>
            <w:proofErr w:type="spellStart"/>
            <w:r w:rsidRPr="00F03FCC">
              <w:rPr>
                <w:rFonts w:ascii="Times New Roman" w:hAnsi="Times New Roman"/>
                <w:b/>
                <w:bCs/>
                <w:color w:val="000000" w:themeColor="text1"/>
                <w:sz w:val="20"/>
                <w:szCs w:val="20"/>
              </w:rPr>
              <w:t>Parlamentului</w:t>
            </w:r>
            <w:proofErr w:type="spellEnd"/>
            <w:r w:rsidRPr="00F03FCC">
              <w:rPr>
                <w:rFonts w:ascii="Times New Roman" w:hAnsi="Times New Roman"/>
                <w:b/>
                <w:bCs/>
                <w:color w:val="000000" w:themeColor="text1"/>
                <w:sz w:val="20"/>
                <w:szCs w:val="20"/>
              </w:rPr>
              <w:t xml:space="preserve"> European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al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L 328 din 21 </w:t>
            </w:r>
            <w:proofErr w:type="spellStart"/>
            <w:r w:rsidRPr="00F03FCC">
              <w:rPr>
                <w:rFonts w:ascii="Times New Roman" w:hAnsi="Times New Roman"/>
                <w:b/>
                <w:bCs/>
                <w:color w:val="000000" w:themeColor="text1"/>
                <w:sz w:val="20"/>
                <w:szCs w:val="20"/>
              </w:rPr>
              <w:t>decembrie</w:t>
            </w:r>
            <w:proofErr w:type="spellEnd"/>
            <w:r w:rsidRPr="00F03FCC">
              <w:rPr>
                <w:rFonts w:ascii="Times New Roman" w:hAnsi="Times New Roman"/>
                <w:b/>
                <w:bCs/>
                <w:color w:val="000000" w:themeColor="text1"/>
                <w:sz w:val="20"/>
                <w:szCs w:val="20"/>
              </w:rPr>
              <w:t xml:space="preserve"> 2018, </w:t>
            </w:r>
            <w:proofErr w:type="spellStart"/>
            <w:r w:rsidRPr="00F03FCC">
              <w:rPr>
                <w:rFonts w:ascii="Times New Roman" w:hAnsi="Times New Roman"/>
                <w:b/>
                <w:bCs/>
                <w:color w:val="000000" w:themeColor="text1"/>
                <w:sz w:val="20"/>
                <w:szCs w:val="20"/>
              </w:rPr>
              <w:t>în</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versiunea</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adaptata</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aprobata</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prin</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Deciziile</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Consiliului</w:t>
            </w:r>
            <w:proofErr w:type="spellEnd"/>
            <w:r w:rsidRPr="00F03FCC">
              <w:rPr>
                <w:rFonts w:ascii="Times New Roman" w:hAnsi="Times New Roman"/>
                <w:b/>
                <w:bCs/>
                <w:color w:val="000000" w:themeColor="text1"/>
                <w:sz w:val="20"/>
                <w:szCs w:val="20"/>
              </w:rPr>
              <w:t xml:space="preserve"> Ministerial al </w:t>
            </w:r>
            <w:proofErr w:type="spellStart"/>
            <w:r w:rsidRPr="00F03FCC">
              <w:rPr>
                <w:rFonts w:ascii="Times New Roman" w:hAnsi="Times New Roman"/>
                <w:b/>
                <w:bCs/>
                <w:color w:val="000000" w:themeColor="text1"/>
                <w:sz w:val="20"/>
                <w:szCs w:val="20"/>
              </w:rPr>
              <w:t>Comunității</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Energetice</w:t>
            </w:r>
            <w:proofErr w:type="spellEnd"/>
            <w:r w:rsidRPr="00F03FCC">
              <w:rPr>
                <w:rFonts w:ascii="Times New Roman" w:hAnsi="Times New Roman"/>
                <w:b/>
                <w:bCs/>
                <w:color w:val="000000" w:themeColor="text1"/>
                <w:sz w:val="20"/>
                <w:szCs w:val="20"/>
              </w:rPr>
              <w:t xml:space="preserve"> nr. </w:t>
            </w:r>
            <w:proofErr w:type="spellStart"/>
            <w:r w:rsidRPr="00F03FCC">
              <w:rPr>
                <w:rFonts w:ascii="Times New Roman" w:hAnsi="Times New Roman"/>
                <w:b/>
                <w:bCs/>
                <w:color w:val="000000" w:themeColor="text1"/>
                <w:sz w:val="20"/>
                <w:szCs w:val="20"/>
              </w:rPr>
              <w:t>Comunității</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Europene</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EnC</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publicat</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în</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Jurnalul</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Oficial</w:t>
            </w:r>
            <w:proofErr w:type="spellEnd"/>
            <w:r w:rsidRPr="00F03FCC">
              <w:rPr>
                <w:rFonts w:ascii="Times New Roman" w:hAnsi="Times New Roman"/>
                <w:b/>
                <w:bCs/>
                <w:color w:val="000000" w:themeColor="text1"/>
                <w:sz w:val="20"/>
                <w:szCs w:val="20"/>
              </w:rPr>
              <w:t xml:space="preserve"> al 2021/14/MC-</w:t>
            </w:r>
            <w:proofErr w:type="spellStart"/>
            <w:r w:rsidRPr="00F03FCC">
              <w:rPr>
                <w:rFonts w:ascii="Times New Roman" w:hAnsi="Times New Roman"/>
                <w:b/>
                <w:bCs/>
                <w:color w:val="000000" w:themeColor="text1"/>
                <w:sz w:val="20"/>
                <w:szCs w:val="20"/>
              </w:rPr>
              <w:t>EnC</w:t>
            </w:r>
            <w:proofErr w:type="spellEnd"/>
            <w:r w:rsidRPr="00F03FCC">
              <w:rPr>
                <w:rFonts w:ascii="Times New Roman" w:hAnsi="Times New Roman"/>
                <w:b/>
                <w:bCs/>
                <w:color w:val="000000" w:themeColor="text1"/>
                <w:sz w:val="20"/>
                <w:szCs w:val="20"/>
              </w:rPr>
              <w:t xml:space="preserve"> </w:t>
            </w:r>
            <w:proofErr w:type="spellStart"/>
            <w:r w:rsidRPr="00F03FCC">
              <w:rPr>
                <w:rFonts w:ascii="Times New Roman" w:hAnsi="Times New Roman"/>
                <w:b/>
                <w:bCs/>
                <w:color w:val="000000" w:themeColor="text1"/>
                <w:sz w:val="20"/>
                <w:szCs w:val="20"/>
              </w:rPr>
              <w:t>și</w:t>
            </w:r>
            <w:proofErr w:type="spellEnd"/>
            <w:r w:rsidRPr="00F03FCC">
              <w:rPr>
                <w:rFonts w:ascii="Times New Roman" w:hAnsi="Times New Roman"/>
                <w:b/>
                <w:bCs/>
                <w:color w:val="000000" w:themeColor="text1"/>
                <w:sz w:val="20"/>
                <w:szCs w:val="20"/>
              </w:rPr>
              <w:t xml:space="preserve"> 2022/02/MC</w:t>
            </w:r>
          </w:p>
        </w:tc>
      </w:tr>
      <w:tr w:rsidR="008F4FF1" w:rsidRPr="00263A32" w14:paraId="6AB52BB5" w14:textId="77777777" w:rsidTr="00565581">
        <w:trPr>
          <w:trHeight w:val="554"/>
        </w:trPr>
        <w:tc>
          <w:tcPr>
            <w:tcW w:w="15067" w:type="dxa"/>
            <w:gridSpan w:val="6"/>
            <w:shd w:val="clear" w:color="auto" w:fill="auto"/>
          </w:tcPr>
          <w:p w14:paraId="4B5082C2" w14:textId="1A3475E2" w:rsidR="00185C07" w:rsidRPr="00AE5D67" w:rsidRDefault="009447D5" w:rsidP="00AD256B">
            <w:pPr>
              <w:pStyle w:val="af3"/>
              <w:numPr>
                <w:ilvl w:val="0"/>
                <w:numId w:val="1"/>
              </w:numPr>
              <w:rPr>
                <w:rFonts w:ascii="Times New Roman" w:hAnsi="Times New Roman"/>
                <w:b/>
                <w:bCs/>
                <w:sz w:val="20"/>
                <w:szCs w:val="20"/>
                <w:lang w:val="ro-RO"/>
              </w:rPr>
            </w:pPr>
            <w:r w:rsidRPr="00AE5D67">
              <w:rPr>
                <w:rFonts w:ascii="Times New Roman" w:hAnsi="Times New Roman"/>
                <w:b/>
                <w:bCs/>
                <w:sz w:val="20"/>
                <w:szCs w:val="20"/>
                <w:lang w:val="ro-RO"/>
              </w:rPr>
              <w:t xml:space="preserve">Titlul actului normativ </w:t>
            </w:r>
            <w:proofErr w:type="spellStart"/>
            <w:r w:rsidRPr="00AE5D67">
              <w:rPr>
                <w:rFonts w:ascii="Times New Roman" w:hAnsi="Times New Roman"/>
                <w:b/>
                <w:bCs/>
                <w:sz w:val="20"/>
                <w:szCs w:val="20"/>
                <w:lang w:val="ro-RO"/>
              </w:rPr>
              <w:t>naţional</w:t>
            </w:r>
            <w:proofErr w:type="spellEnd"/>
            <w:r w:rsidR="00F913A9" w:rsidRPr="009F6847">
              <w:rPr>
                <w:rFonts w:ascii="Times New Roman" w:hAnsi="Times New Roman"/>
                <w:b/>
                <w:bCs/>
                <w:sz w:val="20"/>
                <w:szCs w:val="20"/>
                <w:lang w:val="ro-RO"/>
              </w:rPr>
              <w:t>:</w:t>
            </w:r>
            <w:r w:rsidR="00C618B5">
              <w:rPr>
                <w:rFonts w:ascii="Times New Roman" w:hAnsi="Times New Roman"/>
                <w:sz w:val="24"/>
                <w:szCs w:val="24"/>
                <w:lang w:val="ro-RO"/>
              </w:rPr>
              <w:t xml:space="preserve"> </w:t>
            </w:r>
            <w:r w:rsidR="0038373C" w:rsidRPr="0038373C">
              <w:rPr>
                <w:rFonts w:ascii="Times New Roman" w:hAnsi="Times New Roman"/>
                <w:b/>
                <w:bCs/>
                <w:sz w:val="20"/>
                <w:szCs w:val="20"/>
                <w:lang w:val="ro-RO"/>
              </w:rPr>
              <w:t xml:space="preserve">proiectul </w:t>
            </w:r>
            <w:r w:rsidR="00C618B5" w:rsidRPr="0038373C">
              <w:rPr>
                <w:rFonts w:ascii="Times New Roman" w:hAnsi="Times New Roman"/>
                <w:b/>
                <w:bCs/>
                <w:sz w:val="20"/>
                <w:szCs w:val="20"/>
                <w:lang w:val="ro-RO"/>
              </w:rPr>
              <w:t>Legii privind acțiunile climatice</w:t>
            </w:r>
          </w:p>
        </w:tc>
      </w:tr>
      <w:tr w:rsidR="008F4FF1" w:rsidRPr="00263A32" w14:paraId="0A96379A" w14:textId="77777777" w:rsidTr="00565581">
        <w:trPr>
          <w:trHeight w:val="215"/>
        </w:trPr>
        <w:tc>
          <w:tcPr>
            <w:tcW w:w="15067" w:type="dxa"/>
            <w:gridSpan w:val="6"/>
            <w:shd w:val="clear" w:color="auto" w:fill="auto"/>
          </w:tcPr>
          <w:p w14:paraId="435AB9C9" w14:textId="1FE2CE53" w:rsidR="009447D5" w:rsidRPr="00D76C1D" w:rsidRDefault="009447D5" w:rsidP="00D318C2">
            <w:pPr>
              <w:pStyle w:val="ColorfulList-Accent11"/>
              <w:numPr>
                <w:ilvl w:val="0"/>
                <w:numId w:val="1"/>
              </w:numPr>
              <w:spacing w:after="0" w:line="240" w:lineRule="auto"/>
              <w:ind w:left="270" w:hanging="270"/>
              <w:jc w:val="both"/>
              <w:rPr>
                <w:rFonts w:ascii="Times New Roman" w:hAnsi="Times New Roman"/>
                <w:b/>
                <w:bCs/>
                <w:sz w:val="20"/>
                <w:szCs w:val="20"/>
                <w:lang w:val="ro-RO"/>
              </w:rPr>
            </w:pPr>
            <w:r w:rsidRPr="00D76C1D">
              <w:rPr>
                <w:rFonts w:ascii="Times New Roman" w:hAnsi="Times New Roman"/>
                <w:b/>
                <w:bCs/>
                <w:sz w:val="20"/>
                <w:szCs w:val="20"/>
                <w:lang w:val="ro-RO"/>
              </w:rPr>
              <w:t xml:space="preserve">Gradul de </w:t>
            </w:r>
            <w:r w:rsidR="00D318C2" w:rsidRPr="00D76C1D">
              <w:rPr>
                <w:rFonts w:ascii="Times New Roman" w:hAnsi="Times New Roman"/>
                <w:b/>
                <w:bCs/>
                <w:sz w:val="20"/>
                <w:szCs w:val="20"/>
                <w:lang w:val="ro-RO"/>
              </w:rPr>
              <w:t>compatibilitate</w:t>
            </w:r>
            <w:r w:rsidR="00E22B21" w:rsidRPr="00D76C1D">
              <w:rPr>
                <w:rFonts w:ascii="Times New Roman" w:hAnsi="Times New Roman"/>
                <w:b/>
                <w:bCs/>
                <w:sz w:val="20"/>
                <w:szCs w:val="20"/>
                <w:lang w:val="ro-RO"/>
              </w:rPr>
              <w:t>:</w:t>
            </w:r>
            <w:r w:rsidR="00612E45" w:rsidRPr="00D76C1D">
              <w:rPr>
                <w:rFonts w:ascii="Times New Roman" w:hAnsi="Times New Roman"/>
                <w:b/>
                <w:bCs/>
                <w:sz w:val="20"/>
                <w:szCs w:val="20"/>
                <w:lang w:val="ro-RO"/>
              </w:rPr>
              <w:t xml:space="preserve"> </w:t>
            </w:r>
            <w:r w:rsidR="007F2796" w:rsidRPr="00D76C1D">
              <w:rPr>
                <w:rFonts w:ascii="Times New Roman" w:hAnsi="Times New Roman"/>
                <w:b/>
                <w:bCs/>
                <w:sz w:val="20"/>
                <w:szCs w:val="20"/>
                <w:lang w:val="ro-RO"/>
              </w:rPr>
              <w:t xml:space="preserve">parțial compatibil </w:t>
            </w:r>
          </w:p>
        </w:tc>
      </w:tr>
      <w:tr w:rsidR="008F4FF1" w:rsidRPr="00C951E7" w14:paraId="120FBFB9" w14:textId="77777777" w:rsidTr="00392D8D">
        <w:trPr>
          <w:trHeight w:val="1046"/>
        </w:trPr>
        <w:tc>
          <w:tcPr>
            <w:tcW w:w="4810" w:type="dxa"/>
            <w:shd w:val="clear" w:color="auto" w:fill="auto"/>
            <w:vAlign w:val="center"/>
          </w:tcPr>
          <w:p w14:paraId="3FDFD1C8" w14:textId="19F035CF" w:rsidR="007F2796" w:rsidRPr="00D76C1D" w:rsidRDefault="007F2796" w:rsidP="007F2796">
            <w:pPr>
              <w:autoSpaceDE w:val="0"/>
              <w:spacing w:after="0" w:line="240" w:lineRule="auto"/>
              <w:jc w:val="center"/>
              <w:rPr>
                <w:rFonts w:ascii="Times New Roman" w:hAnsi="Times New Roman"/>
                <w:b/>
                <w:bCs/>
                <w:sz w:val="20"/>
                <w:szCs w:val="20"/>
                <w:lang w:val="ro-RO"/>
              </w:rPr>
            </w:pPr>
          </w:p>
          <w:p w14:paraId="087FC066" w14:textId="2F4CF688" w:rsidR="009447D5" w:rsidRPr="00D76C1D" w:rsidRDefault="007F2796" w:rsidP="007F2796">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 xml:space="preserve">Actul </w:t>
            </w:r>
            <w:r w:rsidR="004B5586" w:rsidRPr="00D76C1D">
              <w:rPr>
                <w:rFonts w:ascii="Times New Roman" w:hAnsi="Times New Roman"/>
                <w:b/>
                <w:bCs/>
                <w:sz w:val="20"/>
                <w:szCs w:val="20"/>
                <w:lang w:val="ro-RO"/>
              </w:rPr>
              <w:t>Uniunii Europene</w:t>
            </w:r>
            <w:r w:rsidR="0074658B" w:rsidRPr="00D76C1D">
              <w:rPr>
                <w:rFonts w:ascii="Times New Roman" w:hAnsi="Times New Roman"/>
                <w:b/>
                <w:bCs/>
                <w:sz w:val="20"/>
                <w:szCs w:val="20"/>
                <w:lang w:val="ro-RO"/>
              </w:rPr>
              <w:t xml:space="preserve"> </w:t>
            </w:r>
          </w:p>
        </w:tc>
        <w:tc>
          <w:tcPr>
            <w:tcW w:w="4541" w:type="dxa"/>
            <w:shd w:val="clear" w:color="auto" w:fill="auto"/>
            <w:vAlign w:val="center"/>
          </w:tcPr>
          <w:p w14:paraId="5890A147" w14:textId="41E855B8" w:rsidR="009447D5" w:rsidRPr="00D76C1D" w:rsidRDefault="00285F15" w:rsidP="00285F15">
            <w:pPr>
              <w:autoSpaceDE w:val="0"/>
              <w:spacing w:after="0" w:line="240" w:lineRule="auto"/>
              <w:jc w:val="center"/>
              <w:rPr>
                <w:rFonts w:ascii="Times New Roman" w:hAnsi="Times New Roman"/>
                <w:b/>
                <w:bCs/>
                <w:sz w:val="20"/>
                <w:szCs w:val="20"/>
                <w:lang w:val="ro-RO"/>
              </w:rPr>
            </w:pPr>
            <w:r w:rsidRPr="00D76C1D">
              <w:rPr>
                <w:rFonts w:ascii="Times New Roman" w:hAnsi="Times New Roman"/>
                <w:b/>
                <w:bCs/>
                <w:sz w:val="20"/>
                <w:szCs w:val="20"/>
                <w:lang w:val="ro-RO"/>
              </w:rPr>
              <w:t>Proiectul de act normativ național</w:t>
            </w:r>
          </w:p>
        </w:tc>
        <w:tc>
          <w:tcPr>
            <w:tcW w:w="1276" w:type="dxa"/>
            <w:shd w:val="clear" w:color="auto" w:fill="auto"/>
            <w:vAlign w:val="center"/>
          </w:tcPr>
          <w:p w14:paraId="3F87F384" w14:textId="081EBC40" w:rsidR="009447D5" w:rsidRPr="00D76C1D" w:rsidRDefault="007F2796" w:rsidP="007F2796">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bCs/>
                <w:sz w:val="20"/>
                <w:szCs w:val="20"/>
                <w:lang w:val="ro-RO"/>
              </w:rPr>
              <w:t>Gradul de compatibilitate</w:t>
            </w:r>
          </w:p>
        </w:tc>
        <w:tc>
          <w:tcPr>
            <w:tcW w:w="1275" w:type="dxa"/>
            <w:shd w:val="clear" w:color="auto" w:fill="auto"/>
            <w:vAlign w:val="center"/>
          </w:tcPr>
          <w:p w14:paraId="5D95D6CF" w14:textId="0101D2A4" w:rsidR="007F2796" w:rsidRPr="00D76C1D" w:rsidRDefault="007F2796" w:rsidP="007F2796">
            <w:pPr>
              <w:autoSpaceDE w:val="0"/>
              <w:spacing w:after="0" w:line="240" w:lineRule="auto"/>
              <w:jc w:val="center"/>
              <w:rPr>
                <w:rFonts w:ascii="Times New Roman" w:hAnsi="Times New Roman"/>
                <w:b/>
                <w:bCs/>
                <w:sz w:val="20"/>
                <w:szCs w:val="20"/>
                <w:lang w:val="ro-RO"/>
              </w:rPr>
            </w:pPr>
            <w:proofErr w:type="spellStart"/>
            <w:r w:rsidRPr="00D76C1D">
              <w:rPr>
                <w:rFonts w:ascii="Times New Roman" w:hAnsi="Times New Roman"/>
                <w:b/>
                <w:bCs/>
                <w:sz w:val="20"/>
                <w:szCs w:val="20"/>
                <w:lang w:val="ro-RO"/>
              </w:rPr>
              <w:t>Diferenţele</w:t>
            </w:r>
            <w:proofErr w:type="spellEnd"/>
          </w:p>
          <w:p w14:paraId="41D7ED80" w14:textId="6107EE96" w:rsidR="009447D5" w:rsidRPr="00D76C1D" w:rsidRDefault="009447D5" w:rsidP="00586B35">
            <w:pPr>
              <w:pStyle w:val="ColorfulList-Accent11"/>
              <w:spacing w:after="0" w:line="240" w:lineRule="auto"/>
              <w:ind w:left="0"/>
              <w:jc w:val="center"/>
              <w:rPr>
                <w:rFonts w:ascii="Times New Roman" w:hAnsi="Times New Roman"/>
                <w:b/>
                <w:bCs/>
                <w:sz w:val="20"/>
                <w:szCs w:val="20"/>
                <w:lang w:val="ro-RO"/>
              </w:rPr>
            </w:pPr>
          </w:p>
        </w:tc>
        <w:tc>
          <w:tcPr>
            <w:tcW w:w="1701" w:type="dxa"/>
            <w:shd w:val="clear" w:color="auto" w:fill="auto"/>
            <w:vAlign w:val="center"/>
          </w:tcPr>
          <w:p w14:paraId="287720DF" w14:textId="211184FB" w:rsidR="009447D5" w:rsidRPr="00D76C1D" w:rsidRDefault="006F61B6" w:rsidP="00586B35">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Observațiile</w:t>
            </w:r>
          </w:p>
        </w:tc>
        <w:tc>
          <w:tcPr>
            <w:tcW w:w="1464" w:type="dxa"/>
            <w:shd w:val="clear" w:color="auto" w:fill="auto"/>
            <w:vAlign w:val="center"/>
          </w:tcPr>
          <w:p w14:paraId="3C1AE206" w14:textId="77777777" w:rsidR="006F61B6" w:rsidRPr="00D76C1D" w:rsidRDefault="006F61B6" w:rsidP="005F29C7">
            <w:pPr>
              <w:spacing w:after="0"/>
              <w:jc w:val="center"/>
              <w:rPr>
                <w:rFonts w:ascii="Times New Roman" w:hAnsi="Times New Roman"/>
                <w:b/>
                <w:sz w:val="20"/>
                <w:szCs w:val="20"/>
                <w:lang w:val="ro-RO"/>
              </w:rPr>
            </w:pPr>
            <w:r w:rsidRPr="00D76C1D">
              <w:rPr>
                <w:rFonts w:ascii="Times New Roman" w:hAnsi="Times New Roman"/>
                <w:b/>
                <w:sz w:val="20"/>
                <w:szCs w:val="20"/>
                <w:lang w:val="ro-RO"/>
              </w:rPr>
              <w:t>Autoritatea/</w:t>
            </w:r>
          </w:p>
          <w:p w14:paraId="7EBC1F75" w14:textId="6E5DE15C" w:rsidR="008020B4" w:rsidRPr="00D76C1D" w:rsidRDefault="006F61B6" w:rsidP="005F29C7">
            <w:pPr>
              <w:pStyle w:val="ColorfulList-Accent11"/>
              <w:spacing w:after="0" w:line="240" w:lineRule="auto"/>
              <w:ind w:left="0"/>
              <w:jc w:val="center"/>
              <w:rPr>
                <w:rFonts w:ascii="Times New Roman" w:hAnsi="Times New Roman"/>
                <w:b/>
                <w:bCs/>
                <w:sz w:val="20"/>
                <w:szCs w:val="20"/>
                <w:lang w:val="ro-RO"/>
              </w:rPr>
            </w:pPr>
            <w:r w:rsidRPr="00D76C1D">
              <w:rPr>
                <w:rFonts w:ascii="Times New Roman" w:hAnsi="Times New Roman"/>
                <w:b/>
                <w:sz w:val="20"/>
                <w:szCs w:val="20"/>
                <w:lang w:val="ro-RO"/>
              </w:rPr>
              <w:t>persoana responsabilă</w:t>
            </w:r>
          </w:p>
        </w:tc>
      </w:tr>
      <w:tr w:rsidR="007F2796" w:rsidRPr="00C951E7" w14:paraId="5BC0D787" w14:textId="77777777" w:rsidTr="009F5405">
        <w:trPr>
          <w:trHeight w:val="570"/>
        </w:trPr>
        <w:tc>
          <w:tcPr>
            <w:tcW w:w="4810" w:type="dxa"/>
            <w:shd w:val="clear" w:color="auto" w:fill="auto"/>
            <w:vAlign w:val="center"/>
          </w:tcPr>
          <w:p w14:paraId="13673F9A" w14:textId="1019302F" w:rsidR="007F2796" w:rsidRPr="00C951E7" w:rsidRDefault="007F2796" w:rsidP="007F2796">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4.</w:t>
            </w:r>
          </w:p>
        </w:tc>
        <w:tc>
          <w:tcPr>
            <w:tcW w:w="4541" w:type="dxa"/>
            <w:shd w:val="clear" w:color="auto" w:fill="auto"/>
            <w:vAlign w:val="center"/>
          </w:tcPr>
          <w:p w14:paraId="7AFFBFC6" w14:textId="315A4242"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5.</w:t>
            </w:r>
          </w:p>
        </w:tc>
        <w:tc>
          <w:tcPr>
            <w:tcW w:w="1276" w:type="dxa"/>
            <w:shd w:val="clear" w:color="auto" w:fill="auto"/>
            <w:vAlign w:val="center"/>
          </w:tcPr>
          <w:p w14:paraId="406CFE0C" w14:textId="6EACA6E1" w:rsidR="007F2796" w:rsidRPr="00C951E7" w:rsidRDefault="007F2796" w:rsidP="00586B35">
            <w:pPr>
              <w:pStyle w:val="ColorfulList-Accent11"/>
              <w:spacing w:after="0" w:line="240" w:lineRule="auto"/>
              <w:ind w:left="0"/>
              <w:jc w:val="center"/>
              <w:rPr>
                <w:rFonts w:ascii="Times New Roman" w:hAnsi="Times New Roman"/>
                <w:b/>
                <w:bCs/>
                <w:sz w:val="24"/>
                <w:szCs w:val="24"/>
                <w:lang w:val="ro-RO"/>
              </w:rPr>
            </w:pPr>
            <w:r w:rsidRPr="00C951E7">
              <w:rPr>
                <w:rFonts w:ascii="Times New Roman" w:hAnsi="Times New Roman"/>
                <w:b/>
                <w:bCs/>
                <w:sz w:val="24"/>
                <w:szCs w:val="24"/>
                <w:lang w:val="ro-RO"/>
              </w:rPr>
              <w:t>6.</w:t>
            </w:r>
          </w:p>
        </w:tc>
        <w:tc>
          <w:tcPr>
            <w:tcW w:w="1275" w:type="dxa"/>
            <w:shd w:val="clear" w:color="auto" w:fill="auto"/>
            <w:vAlign w:val="center"/>
          </w:tcPr>
          <w:p w14:paraId="305AFA96" w14:textId="708AFBD3"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7.</w:t>
            </w:r>
          </w:p>
        </w:tc>
        <w:tc>
          <w:tcPr>
            <w:tcW w:w="1701" w:type="dxa"/>
            <w:shd w:val="clear" w:color="auto" w:fill="auto"/>
            <w:vAlign w:val="center"/>
          </w:tcPr>
          <w:p w14:paraId="2D4C195F" w14:textId="1EEBB1AF"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8.</w:t>
            </w:r>
          </w:p>
        </w:tc>
        <w:tc>
          <w:tcPr>
            <w:tcW w:w="1464" w:type="dxa"/>
            <w:shd w:val="clear" w:color="auto" w:fill="auto"/>
            <w:vAlign w:val="center"/>
          </w:tcPr>
          <w:p w14:paraId="5B7612EC" w14:textId="530C4CEE" w:rsidR="007F2796" w:rsidRPr="00C951E7" w:rsidRDefault="007F2796" w:rsidP="00586B35">
            <w:pPr>
              <w:autoSpaceDE w:val="0"/>
              <w:spacing w:after="0" w:line="240" w:lineRule="auto"/>
              <w:jc w:val="center"/>
              <w:rPr>
                <w:rFonts w:ascii="Times New Roman" w:hAnsi="Times New Roman"/>
                <w:b/>
                <w:bCs/>
                <w:sz w:val="24"/>
                <w:szCs w:val="24"/>
                <w:lang w:val="ro-RO"/>
              </w:rPr>
            </w:pPr>
            <w:r w:rsidRPr="00C951E7">
              <w:rPr>
                <w:rFonts w:ascii="Times New Roman" w:hAnsi="Times New Roman"/>
                <w:b/>
                <w:bCs/>
                <w:sz w:val="24"/>
                <w:szCs w:val="24"/>
                <w:lang w:val="ro-RO"/>
              </w:rPr>
              <w:t>9.</w:t>
            </w:r>
          </w:p>
        </w:tc>
      </w:tr>
      <w:tr w:rsidR="000921E9" w:rsidRPr="00C951E7" w14:paraId="2A6A5A79" w14:textId="77777777" w:rsidTr="000921E9">
        <w:trPr>
          <w:trHeight w:val="58"/>
        </w:trPr>
        <w:tc>
          <w:tcPr>
            <w:tcW w:w="4810" w:type="dxa"/>
            <w:shd w:val="clear" w:color="auto" w:fill="auto"/>
          </w:tcPr>
          <w:p w14:paraId="44620EA4" w14:textId="4E1E7AF3" w:rsidR="000921E9" w:rsidRPr="007476B2" w:rsidRDefault="000921E9" w:rsidP="00F11F59">
            <w:pPr>
              <w:pStyle w:val="ti-section-1"/>
              <w:shd w:val="clear" w:color="auto" w:fill="FFFFFF"/>
              <w:spacing w:before="0" w:beforeAutospacing="0" w:after="0" w:afterAutospacing="0"/>
              <w:jc w:val="center"/>
              <w:rPr>
                <w:b/>
                <w:bCs/>
                <w:color w:val="000000" w:themeColor="text1"/>
                <w:sz w:val="20"/>
                <w:szCs w:val="20"/>
                <w:lang w:val="fr-FR"/>
              </w:rPr>
            </w:pPr>
            <w:r w:rsidRPr="007476B2">
              <w:rPr>
                <w:rStyle w:val="italic"/>
                <w:b/>
                <w:bCs/>
                <w:i/>
                <w:iCs/>
                <w:color w:val="000000" w:themeColor="text1"/>
                <w:sz w:val="20"/>
                <w:szCs w:val="20"/>
                <w:lang w:val="fr-FR"/>
              </w:rPr>
              <w:t>CAPITOLUL 1</w:t>
            </w:r>
          </w:p>
          <w:p w14:paraId="00D8866B" w14:textId="77777777" w:rsidR="000921E9" w:rsidRPr="007476B2" w:rsidRDefault="000921E9" w:rsidP="00F11F59">
            <w:pPr>
              <w:pStyle w:val="ti-section-2"/>
              <w:shd w:val="clear" w:color="auto" w:fill="FFFFFF"/>
              <w:spacing w:before="0" w:beforeAutospacing="0" w:after="0" w:afterAutospacing="0"/>
              <w:jc w:val="center"/>
              <w:rPr>
                <w:b/>
                <w:bCs/>
                <w:color w:val="000000" w:themeColor="text1"/>
                <w:sz w:val="20"/>
                <w:szCs w:val="20"/>
                <w:lang w:val="fr-FR"/>
              </w:rPr>
            </w:pPr>
            <w:proofErr w:type="spellStart"/>
            <w:r w:rsidRPr="007476B2">
              <w:rPr>
                <w:rStyle w:val="italic"/>
                <w:b/>
                <w:bCs/>
                <w:i/>
                <w:iCs/>
                <w:color w:val="000000" w:themeColor="text1"/>
                <w:sz w:val="20"/>
                <w:szCs w:val="20"/>
                <w:lang w:val="fr-FR"/>
              </w:rPr>
              <w:t>Dispoziții</w:t>
            </w:r>
            <w:proofErr w:type="spellEnd"/>
            <w:r w:rsidRPr="007476B2">
              <w:rPr>
                <w:rStyle w:val="italic"/>
                <w:b/>
                <w:bCs/>
                <w:i/>
                <w:iCs/>
                <w:color w:val="000000" w:themeColor="text1"/>
                <w:sz w:val="20"/>
                <w:szCs w:val="20"/>
                <w:lang w:val="fr-FR"/>
              </w:rPr>
              <w:t xml:space="preserve"> </w:t>
            </w:r>
            <w:proofErr w:type="spellStart"/>
            <w:r w:rsidRPr="007476B2">
              <w:rPr>
                <w:rStyle w:val="italic"/>
                <w:b/>
                <w:bCs/>
                <w:i/>
                <w:iCs/>
                <w:color w:val="000000" w:themeColor="text1"/>
                <w:sz w:val="20"/>
                <w:szCs w:val="20"/>
                <w:lang w:val="fr-FR"/>
              </w:rPr>
              <w:t>generale</w:t>
            </w:r>
            <w:proofErr w:type="spellEnd"/>
          </w:p>
          <w:p w14:paraId="61052CF1" w14:textId="77777777" w:rsidR="000921E9" w:rsidRPr="007476B2" w:rsidRDefault="000921E9" w:rsidP="00F11F59">
            <w:pPr>
              <w:pStyle w:val="ti-art"/>
              <w:shd w:val="clear" w:color="auto" w:fill="FFFFFF"/>
              <w:spacing w:before="0" w:beforeAutospacing="0" w:after="0" w:afterAutospacing="0"/>
              <w:jc w:val="center"/>
              <w:rPr>
                <w:i/>
                <w:iCs/>
                <w:color w:val="000000" w:themeColor="text1"/>
                <w:sz w:val="20"/>
                <w:szCs w:val="20"/>
                <w:lang w:val="fr-FR"/>
              </w:rPr>
            </w:pPr>
            <w:proofErr w:type="spellStart"/>
            <w:r w:rsidRPr="007476B2">
              <w:rPr>
                <w:i/>
                <w:iCs/>
                <w:color w:val="000000" w:themeColor="text1"/>
                <w:sz w:val="20"/>
                <w:szCs w:val="20"/>
                <w:lang w:val="fr-FR"/>
              </w:rPr>
              <w:t>Articolul</w:t>
            </w:r>
            <w:proofErr w:type="spellEnd"/>
            <w:r w:rsidRPr="007476B2">
              <w:rPr>
                <w:i/>
                <w:iCs/>
                <w:color w:val="000000" w:themeColor="text1"/>
                <w:sz w:val="20"/>
                <w:szCs w:val="20"/>
                <w:lang w:val="fr-FR"/>
              </w:rPr>
              <w:t xml:space="preserve"> 1</w:t>
            </w:r>
          </w:p>
          <w:p w14:paraId="1E99F231" w14:textId="77777777" w:rsidR="000921E9" w:rsidRPr="007476B2" w:rsidRDefault="000921E9" w:rsidP="00F11F59">
            <w:pPr>
              <w:pStyle w:val="sti-art"/>
              <w:shd w:val="clear" w:color="auto" w:fill="FFFFFF"/>
              <w:spacing w:before="0" w:beforeAutospacing="0" w:after="0" w:afterAutospacing="0"/>
              <w:jc w:val="center"/>
              <w:rPr>
                <w:b/>
                <w:bCs/>
                <w:color w:val="000000" w:themeColor="text1"/>
                <w:sz w:val="20"/>
                <w:szCs w:val="20"/>
                <w:lang w:val="fr-FR"/>
              </w:rPr>
            </w:pPr>
            <w:proofErr w:type="spellStart"/>
            <w:r w:rsidRPr="007476B2">
              <w:rPr>
                <w:b/>
                <w:bCs/>
                <w:color w:val="000000" w:themeColor="text1"/>
                <w:sz w:val="20"/>
                <w:szCs w:val="20"/>
                <w:lang w:val="fr-FR"/>
              </w:rPr>
              <w:t>Obiect</w:t>
            </w:r>
            <w:proofErr w:type="spellEnd"/>
            <w:r w:rsidRPr="007476B2">
              <w:rPr>
                <w:b/>
                <w:bCs/>
                <w:color w:val="000000" w:themeColor="text1"/>
                <w:sz w:val="20"/>
                <w:szCs w:val="20"/>
                <w:lang w:val="fr-FR"/>
              </w:rPr>
              <w:t xml:space="preserve"> și </w:t>
            </w:r>
            <w:proofErr w:type="spellStart"/>
            <w:r w:rsidRPr="007476B2">
              <w:rPr>
                <w:b/>
                <w:bCs/>
                <w:color w:val="000000" w:themeColor="text1"/>
                <w:sz w:val="20"/>
                <w:szCs w:val="20"/>
                <w:lang w:val="fr-FR"/>
              </w:rPr>
              <w:t>domeniu</w:t>
            </w:r>
            <w:proofErr w:type="spellEnd"/>
            <w:r w:rsidRPr="007476B2">
              <w:rPr>
                <w:b/>
                <w:bCs/>
                <w:color w:val="000000" w:themeColor="text1"/>
                <w:sz w:val="20"/>
                <w:szCs w:val="20"/>
                <w:lang w:val="fr-FR"/>
              </w:rPr>
              <w:t xml:space="preserve"> de </w:t>
            </w:r>
            <w:proofErr w:type="spellStart"/>
            <w:r w:rsidRPr="007476B2">
              <w:rPr>
                <w:b/>
                <w:bCs/>
                <w:color w:val="000000" w:themeColor="text1"/>
                <w:sz w:val="20"/>
                <w:szCs w:val="20"/>
                <w:lang w:val="fr-FR"/>
              </w:rPr>
              <w:t>aplicare</w:t>
            </w:r>
            <w:proofErr w:type="spellEnd"/>
          </w:p>
          <w:p w14:paraId="6A5F8AC8" w14:textId="77777777" w:rsidR="000921E9" w:rsidRPr="007476B2" w:rsidRDefault="000921E9" w:rsidP="00E16582">
            <w:p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t>(1)Prezentul regulament stabilește un mecanism de guvernanță pentru:</w:t>
            </w:r>
          </w:p>
          <w:p w14:paraId="16D39AB1" w14:textId="4A5ACBE4" w:rsidR="000921E9" w:rsidRPr="00F909F6" w:rsidRDefault="00000000" w:rsidP="00E16582">
            <w:pPr>
              <w:spacing w:after="0" w:line="240" w:lineRule="auto"/>
              <w:jc w:val="both"/>
              <w:rPr>
                <w:rFonts w:ascii="Times New Roman" w:hAnsi="Times New Roman"/>
                <w:sz w:val="20"/>
                <w:szCs w:val="20"/>
                <w:shd w:val="clear" w:color="auto" w:fill="FFFFFF"/>
                <w:lang w:val="ro-RO"/>
              </w:rPr>
            </w:pPr>
            <w:hyperlink r:id="rId8" w:tooltip="32021R1119: REPLACED" w:history="1">
              <w:r w:rsidR="000921E9" w:rsidRPr="00F909F6">
                <w:rPr>
                  <w:rStyle w:val="af6"/>
                  <w:rFonts w:ascii="Times New Roman" w:eastAsia="Arial Unicode MS" w:hAnsi="Times New Roman"/>
                  <w:b/>
                  <w:bCs/>
                  <w:color w:val="23527C"/>
                  <w:sz w:val="20"/>
                  <w:szCs w:val="20"/>
                  <w:shd w:val="clear" w:color="auto" w:fill="FFFFFF"/>
                </w:rPr>
                <w:t>▼M2</w:t>
              </w:r>
            </w:hyperlink>
          </w:p>
          <w:p w14:paraId="59A3A9FB" w14:textId="7FED2DC4" w:rsidR="000921E9" w:rsidRPr="007476B2" w:rsidRDefault="000921E9" w:rsidP="00F909F6">
            <w:pPr>
              <w:pStyle w:val="af3"/>
              <w:numPr>
                <w:ilvl w:val="0"/>
                <w:numId w:val="2"/>
              </w:num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lang w:val="ro-RO"/>
              </w:rPr>
              <w:t xml:space="preserve">punerea în aplicare a unor strategii și măsuri, coerente cu Acordul de la Paris, concepute pentru a îndeplini obiectivele uniunii energetice și angajamentele pe termen lung asumate de Uniune în legătură cu emisiile de gaze cu efect de seră și, în special </w:t>
            </w:r>
            <w:r w:rsidRPr="007476B2">
              <w:rPr>
                <w:rFonts w:ascii="Times New Roman" w:eastAsia="Arial Unicode MS" w:hAnsi="Times New Roman"/>
                <w:color w:val="000000" w:themeColor="text1"/>
                <w:sz w:val="20"/>
                <w:szCs w:val="20"/>
                <w:shd w:val="clear" w:color="auto" w:fill="FFFFFF"/>
                <w:lang w:val="ro-RO"/>
              </w:rPr>
              <w:t>obiectivul Uniunii privind neutralitatea climatică prevăzut la articolul 2 alineatul (1) din Regulamentul (UE) 2021/1119 al Parlamentului European și al Consiliului (</w:t>
            </w:r>
            <w:hyperlink r:id="rId9" w:anchor="E0001" w:history="1">
              <w:r w:rsidRPr="007476B2">
                <w:rPr>
                  <w:rStyle w:val="superscript"/>
                  <w:rFonts w:ascii="Times New Roman" w:eastAsia="Arial Unicode MS" w:hAnsi="Times New Roman"/>
                  <w:color w:val="000000" w:themeColor="text1"/>
                  <w:sz w:val="20"/>
                  <w:szCs w:val="20"/>
                  <w:shd w:val="clear" w:color="auto" w:fill="FFFFFF"/>
                  <w:vertAlign w:val="superscript"/>
                  <w:lang w:val="ro-RO"/>
                </w:rPr>
                <w:t>1</w:t>
              </w:r>
            </w:hyperlink>
            <w:r w:rsidRPr="007476B2">
              <w:rPr>
                <w:rFonts w:ascii="Times New Roman" w:eastAsia="Arial Unicode MS" w:hAnsi="Times New Roman"/>
                <w:color w:val="000000" w:themeColor="text1"/>
                <w:sz w:val="20"/>
                <w:szCs w:val="20"/>
                <w:shd w:val="clear" w:color="auto" w:fill="FFFFFF"/>
                <w:lang w:val="ro-RO"/>
              </w:rPr>
              <w:t>), și, pentru prima perioadă de zece ani (2021-2030), în special obiectivele Uniunii privind energia și clima pentru 2030;</w:t>
            </w:r>
          </w:p>
          <w:p w14:paraId="71515AD0" w14:textId="65671A94" w:rsidR="000921E9" w:rsidRPr="000921E9" w:rsidRDefault="00000000" w:rsidP="000921E9">
            <w:pPr>
              <w:spacing w:after="0" w:line="240" w:lineRule="auto"/>
              <w:jc w:val="both"/>
              <w:rPr>
                <w:rFonts w:ascii="Times New Roman" w:hAnsi="Times New Roman"/>
                <w:sz w:val="20"/>
                <w:szCs w:val="20"/>
                <w:shd w:val="clear" w:color="auto" w:fill="FFFFFF"/>
                <w:lang w:val="ro-RO"/>
              </w:rPr>
            </w:pPr>
            <w:hyperlink r:id="rId10" w:tooltip="32018R1999" w:history="1">
              <w:r w:rsidR="000921E9" w:rsidRPr="000921E9">
                <w:rPr>
                  <w:rStyle w:val="af6"/>
                  <w:rFonts w:ascii="Times New Roman" w:eastAsia="Arial Unicode MS" w:hAnsi="Times New Roman"/>
                  <w:b/>
                  <w:bCs/>
                  <w:color w:val="23527C"/>
                  <w:sz w:val="20"/>
                  <w:szCs w:val="20"/>
                  <w:shd w:val="clear" w:color="auto" w:fill="FFFFFF"/>
                </w:rPr>
                <w:t>▼B</w:t>
              </w:r>
            </w:hyperlink>
          </w:p>
          <w:p w14:paraId="57B0585F" w14:textId="4E98DFA4" w:rsidR="000921E9" w:rsidRPr="007476B2" w:rsidRDefault="000921E9">
            <w:pPr>
              <w:pStyle w:val="af3"/>
              <w:numPr>
                <w:ilvl w:val="0"/>
                <w:numId w:val="2"/>
              </w:num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t>stimularea cooperării dintre statele membre, inclusiv la nivel regional, dacă este cazul, pentru a îndeplini obiectivele uniunii energetice;</w:t>
            </w:r>
          </w:p>
          <w:p w14:paraId="59C86567" w14:textId="3423378D" w:rsidR="000921E9" w:rsidRPr="007476B2" w:rsidRDefault="000921E9">
            <w:pPr>
              <w:pStyle w:val="af3"/>
              <w:numPr>
                <w:ilvl w:val="0"/>
                <w:numId w:val="2"/>
              </w:num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t>asigurarea unei raportări actuale, transparente, exacte, coerente, comparabile și complete din partea Uniunii și a statelor sale membre către secretariatul CCONUSC și al Acordului de la Paris;</w:t>
            </w:r>
          </w:p>
          <w:p w14:paraId="4616DA7D" w14:textId="67D99062" w:rsidR="000921E9" w:rsidRPr="007476B2" w:rsidRDefault="000921E9">
            <w:pPr>
              <w:pStyle w:val="af3"/>
              <w:numPr>
                <w:ilvl w:val="0"/>
                <w:numId w:val="2"/>
              </w:num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lastRenderedPageBreak/>
              <w:t>realizarea unei contribuții la sporirea securității normative și a securității investitorilor și realizarea unei contribuții la exploatarea deplină a oportunităților de dezvoltare economică, stimulare a investițiilor, creare de locuri de muncă și coeziune socială.</w:t>
            </w:r>
          </w:p>
          <w:p w14:paraId="4A7F5304" w14:textId="77777777" w:rsidR="000921E9" w:rsidRPr="007476B2" w:rsidRDefault="000921E9" w:rsidP="00354BCF">
            <w:pPr>
              <w:spacing w:after="0" w:line="240" w:lineRule="auto"/>
              <w:jc w:val="both"/>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t>Mecanismul de guvernanță se bazează pe strategii pe termen lung, pe planuri naționale integrate privind energia și clima care acoperă perioade de zece ani începând cu perioada 2021-2030, pe rapoartele naționale intermediare integrate privind energia și clima corespunzătoare, prezentate de statele membre, și pe măsurile de monitorizare integrate ale Comisiei. Mecanismul de guvernanță îi asigură publicului oportunități efective de a participa la elaborarea respectivelor planuri naționale și a respectivelor strategii pe termen lung. El conține un proces structurat, transparent și iterativ între Comisie și statele membre, în vederea finalizării planurilor naționale integrate privind energia și clima și a punerii în aplicare ulterioare a acestora, inclusiv în ceea ce privește cooperarea regională și acțiunea corespunzătoare a Comisiei.</w:t>
            </w:r>
          </w:p>
          <w:p w14:paraId="11A09A25" w14:textId="77777777" w:rsidR="000921E9" w:rsidRPr="007476B2" w:rsidRDefault="000921E9" w:rsidP="00925A21">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r w:rsidRPr="007476B2">
              <w:rPr>
                <w:rFonts w:ascii="Times New Roman" w:hAnsi="Times New Roman"/>
                <w:color w:val="000000" w:themeColor="text1"/>
                <w:sz w:val="20"/>
                <w:szCs w:val="20"/>
                <w:shd w:val="clear" w:color="auto" w:fill="FFFFFF"/>
                <w:lang w:val="ro-RO"/>
              </w:rPr>
              <w:t>(2) Prezentul regulament se aplică celor cinci dimensiuni ale uniunii energetice, care sunt strâns legate între ele și se consolidează reciproc:</w:t>
            </w:r>
          </w:p>
          <w:p w14:paraId="5946412D" w14:textId="77777777" w:rsidR="000921E9" w:rsidRPr="007476B2" w:rsidRDefault="000921E9" w:rsidP="00925A21">
            <w:pPr>
              <w:shd w:val="clear" w:color="auto" w:fill="FFFFFF"/>
              <w:suppressAutoHyphens w:val="0"/>
              <w:autoSpaceDN/>
              <w:spacing w:after="0" w:line="240" w:lineRule="auto"/>
              <w:jc w:val="both"/>
              <w:textAlignment w:val="auto"/>
              <w:rPr>
                <w:rFonts w:ascii="Times New Roman" w:eastAsia="Times New Roman" w:hAnsi="Times New Roman"/>
                <w:color w:val="000000" w:themeColor="text1"/>
                <w:sz w:val="20"/>
                <w:szCs w:val="20"/>
              </w:rPr>
            </w:pPr>
            <w:r w:rsidRPr="007476B2">
              <w:rPr>
                <w:rFonts w:ascii="Times New Roman" w:hAnsi="Times New Roman"/>
                <w:color w:val="000000" w:themeColor="text1"/>
                <w:sz w:val="20"/>
                <w:szCs w:val="20"/>
                <w:shd w:val="clear" w:color="auto" w:fill="FFFFFF"/>
              </w:rPr>
              <w:t>(a)</w:t>
            </w:r>
            <w:r w:rsidRPr="007476B2">
              <w:rPr>
                <w:rFonts w:ascii="Times New Roman" w:eastAsia="Times New Roman" w:hAnsi="Times New Roman"/>
                <w:color w:val="000000" w:themeColor="text1"/>
                <w:sz w:val="20"/>
                <w:szCs w:val="20"/>
              </w:rPr>
              <w:t xml:space="preserve"> </w:t>
            </w:r>
            <w:proofErr w:type="spellStart"/>
            <w:r w:rsidRPr="007476B2">
              <w:rPr>
                <w:rFonts w:ascii="Times New Roman" w:eastAsia="Times New Roman" w:hAnsi="Times New Roman"/>
                <w:color w:val="000000" w:themeColor="text1"/>
                <w:sz w:val="20"/>
                <w:szCs w:val="20"/>
              </w:rPr>
              <w:t>securitatea</w:t>
            </w:r>
            <w:proofErr w:type="spellEnd"/>
            <w:r w:rsidRPr="007476B2">
              <w:rPr>
                <w:rFonts w:ascii="Times New Roman" w:eastAsia="Times New Roman" w:hAnsi="Times New Roman"/>
                <w:color w:val="000000" w:themeColor="text1"/>
                <w:sz w:val="20"/>
                <w:szCs w:val="20"/>
              </w:rPr>
              <w:t xml:space="preserve"> </w:t>
            </w:r>
            <w:proofErr w:type="spellStart"/>
            <w:proofErr w:type="gramStart"/>
            <w:r w:rsidRPr="007476B2">
              <w:rPr>
                <w:rFonts w:ascii="Times New Roman" w:eastAsia="Times New Roman" w:hAnsi="Times New Roman"/>
                <w:color w:val="000000" w:themeColor="text1"/>
                <w:sz w:val="20"/>
                <w:szCs w:val="20"/>
              </w:rPr>
              <w:t>energetică</w:t>
            </w:r>
            <w:proofErr w:type="spellEnd"/>
            <w:r w:rsidRPr="007476B2">
              <w:rPr>
                <w:rFonts w:ascii="Times New Roman" w:eastAsia="Times New Roman" w:hAnsi="Times New Roman"/>
                <w:color w:val="000000" w:themeColor="text1"/>
                <w:sz w:val="20"/>
                <w:szCs w:val="20"/>
              </w:rPr>
              <w:t>;</w:t>
            </w:r>
            <w:proofErr w:type="gramEnd"/>
          </w:p>
          <w:p w14:paraId="773F3CFA" w14:textId="77777777" w:rsidR="000921E9" w:rsidRPr="007476B2" w:rsidRDefault="000921E9" w:rsidP="00925A21">
            <w:pPr>
              <w:shd w:val="clear" w:color="auto" w:fill="FFFFFF"/>
              <w:suppressAutoHyphens w:val="0"/>
              <w:autoSpaceDN/>
              <w:spacing w:after="0" w:line="240" w:lineRule="auto"/>
              <w:jc w:val="both"/>
              <w:textAlignment w:val="auto"/>
              <w:rPr>
                <w:rFonts w:ascii="Times New Roman" w:eastAsia="Times New Roman" w:hAnsi="Times New Roman"/>
                <w:color w:val="000000" w:themeColor="text1"/>
                <w:sz w:val="20"/>
                <w:szCs w:val="20"/>
              </w:rPr>
            </w:pPr>
            <w:r w:rsidRPr="007476B2">
              <w:rPr>
                <w:rFonts w:ascii="Times New Roman" w:eastAsia="Times New Roman" w:hAnsi="Times New Roman"/>
                <w:color w:val="000000" w:themeColor="text1"/>
                <w:sz w:val="20"/>
                <w:szCs w:val="20"/>
              </w:rPr>
              <w:t xml:space="preserve">(b) </w:t>
            </w:r>
            <w:proofErr w:type="spellStart"/>
            <w:r w:rsidRPr="007476B2">
              <w:rPr>
                <w:rFonts w:ascii="Times New Roman" w:eastAsia="Times New Roman" w:hAnsi="Times New Roman"/>
                <w:color w:val="000000" w:themeColor="text1"/>
                <w:sz w:val="20"/>
                <w:szCs w:val="20"/>
              </w:rPr>
              <w:t>piața</w:t>
            </w:r>
            <w:proofErr w:type="spellEnd"/>
            <w:r w:rsidRPr="007476B2">
              <w:rPr>
                <w:rFonts w:ascii="Times New Roman" w:eastAsia="Times New Roman" w:hAnsi="Times New Roman"/>
                <w:color w:val="000000" w:themeColor="text1"/>
                <w:sz w:val="20"/>
                <w:szCs w:val="20"/>
              </w:rPr>
              <w:t xml:space="preserve"> </w:t>
            </w:r>
            <w:proofErr w:type="spellStart"/>
            <w:r w:rsidRPr="007476B2">
              <w:rPr>
                <w:rFonts w:ascii="Times New Roman" w:eastAsia="Times New Roman" w:hAnsi="Times New Roman"/>
                <w:color w:val="000000" w:themeColor="text1"/>
                <w:sz w:val="20"/>
                <w:szCs w:val="20"/>
              </w:rPr>
              <w:t>internă</w:t>
            </w:r>
            <w:proofErr w:type="spellEnd"/>
            <w:r w:rsidRPr="007476B2">
              <w:rPr>
                <w:rFonts w:ascii="Times New Roman" w:eastAsia="Times New Roman" w:hAnsi="Times New Roman"/>
                <w:color w:val="000000" w:themeColor="text1"/>
                <w:sz w:val="20"/>
                <w:szCs w:val="20"/>
              </w:rPr>
              <w:t xml:space="preserve"> </w:t>
            </w:r>
            <w:proofErr w:type="gramStart"/>
            <w:r w:rsidRPr="007476B2">
              <w:rPr>
                <w:rFonts w:ascii="Times New Roman" w:eastAsia="Times New Roman" w:hAnsi="Times New Roman"/>
                <w:color w:val="000000" w:themeColor="text1"/>
                <w:sz w:val="20"/>
                <w:szCs w:val="20"/>
              </w:rPr>
              <w:t>a</w:t>
            </w:r>
            <w:proofErr w:type="gramEnd"/>
            <w:r w:rsidRPr="007476B2">
              <w:rPr>
                <w:rFonts w:ascii="Times New Roman" w:eastAsia="Times New Roman" w:hAnsi="Times New Roman"/>
                <w:color w:val="000000" w:themeColor="text1"/>
                <w:sz w:val="20"/>
                <w:szCs w:val="20"/>
              </w:rPr>
              <w:t xml:space="preserve"> energiei:</w:t>
            </w:r>
          </w:p>
          <w:p w14:paraId="501336A9" w14:textId="77777777" w:rsidR="000921E9" w:rsidRPr="007476B2" w:rsidRDefault="000921E9" w:rsidP="00925A21">
            <w:pPr>
              <w:shd w:val="clear" w:color="auto" w:fill="FFFFFF"/>
              <w:suppressAutoHyphens w:val="0"/>
              <w:autoSpaceDN/>
              <w:spacing w:after="0" w:line="240" w:lineRule="auto"/>
              <w:jc w:val="both"/>
              <w:textAlignment w:val="auto"/>
              <w:rPr>
                <w:rFonts w:ascii="Times New Roman" w:eastAsia="Times New Roman" w:hAnsi="Times New Roman"/>
                <w:color w:val="000000" w:themeColor="text1"/>
                <w:sz w:val="20"/>
                <w:szCs w:val="20"/>
              </w:rPr>
            </w:pPr>
            <w:r w:rsidRPr="007476B2">
              <w:rPr>
                <w:rFonts w:ascii="Times New Roman" w:eastAsia="Times New Roman" w:hAnsi="Times New Roman"/>
                <w:color w:val="000000" w:themeColor="text1"/>
                <w:sz w:val="20"/>
                <w:szCs w:val="20"/>
              </w:rPr>
              <w:t xml:space="preserve">(c) </w:t>
            </w:r>
            <w:proofErr w:type="spellStart"/>
            <w:r w:rsidRPr="007476B2">
              <w:rPr>
                <w:rFonts w:ascii="Times New Roman" w:eastAsia="Times New Roman" w:hAnsi="Times New Roman"/>
                <w:color w:val="000000" w:themeColor="text1"/>
                <w:sz w:val="20"/>
                <w:szCs w:val="20"/>
              </w:rPr>
              <w:t>eficiența</w:t>
            </w:r>
            <w:proofErr w:type="spellEnd"/>
            <w:r w:rsidRPr="007476B2">
              <w:rPr>
                <w:rFonts w:ascii="Times New Roman" w:eastAsia="Times New Roman" w:hAnsi="Times New Roman"/>
                <w:color w:val="000000" w:themeColor="text1"/>
                <w:sz w:val="20"/>
                <w:szCs w:val="20"/>
              </w:rPr>
              <w:t xml:space="preserve"> </w:t>
            </w:r>
            <w:proofErr w:type="spellStart"/>
            <w:proofErr w:type="gramStart"/>
            <w:r w:rsidRPr="007476B2">
              <w:rPr>
                <w:rFonts w:ascii="Times New Roman" w:eastAsia="Times New Roman" w:hAnsi="Times New Roman"/>
                <w:color w:val="000000" w:themeColor="text1"/>
                <w:sz w:val="20"/>
                <w:szCs w:val="20"/>
              </w:rPr>
              <w:t>energetică</w:t>
            </w:r>
            <w:proofErr w:type="spellEnd"/>
            <w:r w:rsidRPr="007476B2">
              <w:rPr>
                <w:rFonts w:ascii="Times New Roman" w:eastAsia="Times New Roman" w:hAnsi="Times New Roman"/>
                <w:color w:val="000000" w:themeColor="text1"/>
                <w:sz w:val="20"/>
                <w:szCs w:val="20"/>
              </w:rPr>
              <w:t>;</w:t>
            </w:r>
            <w:proofErr w:type="gramEnd"/>
          </w:p>
          <w:p w14:paraId="0C24C458" w14:textId="77777777" w:rsidR="000921E9" w:rsidRPr="007476B2" w:rsidRDefault="000921E9" w:rsidP="00925A21">
            <w:pPr>
              <w:shd w:val="clear" w:color="auto" w:fill="FFFFFF"/>
              <w:suppressAutoHyphens w:val="0"/>
              <w:autoSpaceDN/>
              <w:spacing w:after="0" w:line="240" w:lineRule="auto"/>
              <w:jc w:val="both"/>
              <w:textAlignment w:val="auto"/>
              <w:rPr>
                <w:rFonts w:ascii="Times New Roman" w:eastAsia="Times New Roman" w:hAnsi="Times New Roman"/>
                <w:color w:val="000000" w:themeColor="text1"/>
                <w:sz w:val="20"/>
                <w:szCs w:val="20"/>
              </w:rPr>
            </w:pPr>
            <w:r w:rsidRPr="007476B2">
              <w:rPr>
                <w:rFonts w:ascii="Times New Roman" w:eastAsia="Times New Roman" w:hAnsi="Times New Roman"/>
                <w:color w:val="000000" w:themeColor="text1"/>
                <w:sz w:val="20"/>
                <w:szCs w:val="20"/>
              </w:rPr>
              <w:t xml:space="preserve">(d) </w:t>
            </w:r>
            <w:proofErr w:type="spellStart"/>
            <w:r w:rsidRPr="007476B2">
              <w:rPr>
                <w:rFonts w:ascii="Times New Roman" w:eastAsia="Times New Roman" w:hAnsi="Times New Roman"/>
                <w:color w:val="000000" w:themeColor="text1"/>
                <w:sz w:val="20"/>
                <w:szCs w:val="20"/>
              </w:rPr>
              <w:t>decarbonizarea</w:t>
            </w:r>
            <w:proofErr w:type="spellEnd"/>
            <w:r w:rsidRPr="007476B2">
              <w:rPr>
                <w:rFonts w:ascii="Times New Roman" w:eastAsia="Times New Roman" w:hAnsi="Times New Roman"/>
                <w:color w:val="000000" w:themeColor="text1"/>
                <w:sz w:val="20"/>
                <w:szCs w:val="20"/>
              </w:rPr>
              <w:t>; și</w:t>
            </w:r>
          </w:p>
          <w:p w14:paraId="46ABD05A" w14:textId="798D1A5D" w:rsidR="000921E9" w:rsidRPr="00745D9A" w:rsidRDefault="000921E9" w:rsidP="00AB581E">
            <w:pPr>
              <w:shd w:val="clear" w:color="auto" w:fill="FFFFFF"/>
              <w:spacing w:after="0" w:line="240" w:lineRule="auto"/>
              <w:jc w:val="both"/>
              <w:rPr>
                <w:rFonts w:ascii="Times New Roman" w:hAnsi="Times New Roman"/>
                <w:sz w:val="20"/>
                <w:szCs w:val="20"/>
                <w:shd w:val="clear" w:color="auto" w:fill="FFFFFF"/>
                <w:lang w:val="ro-RO"/>
              </w:rPr>
            </w:pPr>
            <w:r w:rsidRPr="007476B2">
              <w:rPr>
                <w:rFonts w:ascii="Times New Roman" w:eastAsia="Times New Roman" w:hAnsi="Times New Roman"/>
                <w:color w:val="000000" w:themeColor="text1"/>
                <w:sz w:val="20"/>
                <w:szCs w:val="20"/>
              </w:rPr>
              <w:t xml:space="preserve">(e) </w:t>
            </w:r>
            <w:proofErr w:type="spellStart"/>
            <w:r w:rsidRPr="007476B2">
              <w:rPr>
                <w:rFonts w:ascii="Times New Roman" w:eastAsia="Times New Roman" w:hAnsi="Times New Roman"/>
                <w:color w:val="000000" w:themeColor="text1"/>
                <w:sz w:val="20"/>
                <w:szCs w:val="20"/>
              </w:rPr>
              <w:t>cercetarea</w:t>
            </w:r>
            <w:proofErr w:type="spellEnd"/>
            <w:r w:rsidRPr="007476B2">
              <w:rPr>
                <w:rFonts w:ascii="Times New Roman" w:eastAsia="Times New Roman" w:hAnsi="Times New Roman"/>
                <w:color w:val="000000" w:themeColor="text1"/>
                <w:sz w:val="20"/>
                <w:szCs w:val="20"/>
              </w:rPr>
              <w:t xml:space="preserve">, </w:t>
            </w:r>
            <w:proofErr w:type="spellStart"/>
            <w:r w:rsidRPr="007476B2">
              <w:rPr>
                <w:rFonts w:ascii="Times New Roman" w:eastAsia="Times New Roman" w:hAnsi="Times New Roman"/>
                <w:color w:val="000000" w:themeColor="text1"/>
                <w:sz w:val="20"/>
                <w:szCs w:val="20"/>
              </w:rPr>
              <w:t>inovarea</w:t>
            </w:r>
            <w:proofErr w:type="spellEnd"/>
            <w:r w:rsidRPr="007476B2">
              <w:rPr>
                <w:rFonts w:ascii="Times New Roman" w:eastAsia="Times New Roman" w:hAnsi="Times New Roman"/>
                <w:color w:val="000000" w:themeColor="text1"/>
                <w:sz w:val="20"/>
                <w:szCs w:val="20"/>
              </w:rPr>
              <w:t xml:space="preserve"> și </w:t>
            </w:r>
            <w:proofErr w:type="spellStart"/>
            <w:r w:rsidRPr="007476B2">
              <w:rPr>
                <w:rFonts w:ascii="Times New Roman" w:eastAsia="Times New Roman" w:hAnsi="Times New Roman"/>
                <w:color w:val="000000" w:themeColor="text1"/>
                <w:sz w:val="20"/>
                <w:szCs w:val="20"/>
              </w:rPr>
              <w:t>competitivitatea</w:t>
            </w:r>
            <w:proofErr w:type="spellEnd"/>
            <w:r w:rsidRPr="007476B2">
              <w:rPr>
                <w:rFonts w:ascii="Times New Roman" w:eastAsia="Times New Roman" w:hAnsi="Times New Roman"/>
                <w:color w:val="000000" w:themeColor="text1"/>
                <w:sz w:val="20"/>
                <w:szCs w:val="20"/>
              </w:rPr>
              <w:t>.</w:t>
            </w:r>
          </w:p>
        </w:tc>
        <w:tc>
          <w:tcPr>
            <w:tcW w:w="4541" w:type="dxa"/>
            <w:shd w:val="clear" w:color="auto" w:fill="auto"/>
          </w:tcPr>
          <w:p w14:paraId="683661EA" w14:textId="77777777" w:rsidR="00B745EC" w:rsidRPr="00B745EC" w:rsidRDefault="00B745EC" w:rsidP="00B745EC">
            <w:pPr>
              <w:jc w:val="center"/>
              <w:rPr>
                <w:rFonts w:ascii="Times New Roman" w:hAnsi="Times New Roman"/>
                <w:b/>
                <w:sz w:val="20"/>
                <w:szCs w:val="20"/>
                <w:lang w:val="ro-MD"/>
              </w:rPr>
            </w:pPr>
            <w:r w:rsidRPr="00B745EC">
              <w:rPr>
                <w:rFonts w:ascii="Times New Roman" w:hAnsi="Times New Roman"/>
                <w:b/>
                <w:sz w:val="20"/>
                <w:szCs w:val="20"/>
                <w:lang w:val="ro-MD"/>
              </w:rPr>
              <w:lastRenderedPageBreak/>
              <w:t xml:space="preserve">Capitolul I </w:t>
            </w:r>
          </w:p>
          <w:p w14:paraId="09574107" w14:textId="77777777" w:rsidR="00B745EC" w:rsidRPr="00B745EC" w:rsidRDefault="00B745EC" w:rsidP="00B745EC">
            <w:pPr>
              <w:jc w:val="center"/>
              <w:rPr>
                <w:rFonts w:ascii="Times New Roman" w:hAnsi="Times New Roman"/>
                <w:b/>
                <w:sz w:val="20"/>
                <w:szCs w:val="20"/>
                <w:lang w:val="ro-MD"/>
              </w:rPr>
            </w:pPr>
            <w:r w:rsidRPr="00B745EC">
              <w:rPr>
                <w:rFonts w:ascii="Times New Roman" w:hAnsi="Times New Roman"/>
                <w:b/>
                <w:sz w:val="20"/>
                <w:szCs w:val="20"/>
                <w:lang w:val="ro-MD"/>
              </w:rPr>
              <w:t>DISPOZIȚII GENERALE</w:t>
            </w:r>
          </w:p>
          <w:p w14:paraId="7366560C" w14:textId="77777777" w:rsidR="00B745EC" w:rsidRPr="00B745EC" w:rsidRDefault="00B745EC" w:rsidP="00B745EC">
            <w:pPr>
              <w:jc w:val="center"/>
              <w:rPr>
                <w:rFonts w:ascii="Times New Roman" w:hAnsi="Times New Roman"/>
                <w:b/>
                <w:sz w:val="20"/>
                <w:szCs w:val="20"/>
                <w:lang w:val="ro-MD"/>
              </w:rPr>
            </w:pPr>
          </w:p>
          <w:p w14:paraId="38000684" w14:textId="5D81E7BE" w:rsidR="00B745EC" w:rsidRPr="00B745EC" w:rsidRDefault="00B745EC" w:rsidP="00B745EC">
            <w:pPr>
              <w:numPr>
                <w:ilvl w:val="0"/>
                <w:numId w:val="316"/>
              </w:numPr>
              <w:tabs>
                <w:tab w:val="left" w:pos="851"/>
              </w:tabs>
              <w:suppressAutoHyphens w:val="0"/>
              <w:autoSpaceDN/>
              <w:spacing w:after="0" w:line="240" w:lineRule="auto"/>
              <w:ind w:left="0" w:firstLine="0"/>
              <w:contextualSpacing/>
              <w:textAlignment w:val="auto"/>
              <w:rPr>
                <w:rFonts w:ascii="Times New Roman" w:hAnsi="Times New Roman"/>
                <w:bCs/>
                <w:sz w:val="20"/>
                <w:szCs w:val="20"/>
                <w:lang w:val="ro-MD"/>
              </w:rPr>
            </w:pPr>
            <w:r w:rsidRPr="00B745EC">
              <w:rPr>
                <w:rFonts w:ascii="Times New Roman" w:hAnsi="Times New Roman"/>
                <w:bCs/>
                <w:sz w:val="20"/>
                <w:szCs w:val="20"/>
                <w:lang w:val="ro-MD"/>
              </w:rPr>
              <w:t>Scopul și obiectul legii</w:t>
            </w:r>
          </w:p>
          <w:p w14:paraId="7406CF0A" w14:textId="00D1A89D" w:rsidR="00B745EC" w:rsidRPr="00B745EC" w:rsidRDefault="00B745EC" w:rsidP="00B745EC">
            <w:pPr>
              <w:spacing w:after="0" w:line="240" w:lineRule="auto"/>
              <w:jc w:val="both"/>
              <w:rPr>
                <w:rFonts w:ascii="Times New Roman" w:hAnsi="Times New Roman"/>
                <w:sz w:val="20"/>
                <w:szCs w:val="20"/>
                <w:shd w:val="clear" w:color="auto" w:fill="FFFFFF"/>
                <w:lang w:val="ro-MD"/>
              </w:rPr>
            </w:pPr>
            <w:r w:rsidRPr="00B745EC">
              <w:rPr>
                <w:rFonts w:ascii="Times New Roman" w:hAnsi="Times New Roman"/>
                <w:sz w:val="20"/>
                <w:szCs w:val="20"/>
                <w:lang w:val="en-US"/>
              </w:rPr>
              <w:t xml:space="preserve">(1) </w:t>
            </w:r>
            <w:r w:rsidRPr="00B745EC">
              <w:rPr>
                <w:rFonts w:ascii="Times New Roman" w:hAnsi="Times New Roman"/>
                <w:sz w:val="20"/>
                <w:szCs w:val="20"/>
                <w:shd w:val="clear" w:color="auto" w:fill="FFFFFF"/>
                <w:lang w:val="ro-MD"/>
              </w:rPr>
              <w:t xml:space="preserve">Prezenta lege stabilește cadrul juridic pentru reducerea ireversibilă și treptată </w:t>
            </w:r>
            <w:proofErr w:type="gramStart"/>
            <w:r w:rsidRPr="00B745EC">
              <w:rPr>
                <w:rFonts w:ascii="Times New Roman" w:hAnsi="Times New Roman"/>
                <w:sz w:val="20"/>
                <w:szCs w:val="20"/>
                <w:shd w:val="clear" w:color="auto" w:fill="FFFFFF"/>
                <w:lang w:val="ro-MD"/>
              </w:rPr>
              <w:t>a</w:t>
            </w:r>
            <w:proofErr w:type="gramEnd"/>
            <w:r w:rsidRPr="00B745EC">
              <w:rPr>
                <w:rFonts w:ascii="Times New Roman" w:hAnsi="Times New Roman"/>
                <w:sz w:val="20"/>
                <w:szCs w:val="20"/>
                <w:shd w:val="clear" w:color="auto" w:fill="FFFFFF"/>
                <w:lang w:val="ro-MD"/>
              </w:rPr>
              <w:t xml:space="preserve"> emisiilor antropice de gaze cu efect de seră provenite din diverse surse, creșterea capacității de adaptare la schimbările climatice, precum și de dezvoltare cu un nivel scăzut de emisii de gaze cu efect de seră, în contextul dezvoltării durabile.</w:t>
            </w:r>
          </w:p>
          <w:p w14:paraId="4441B1B6" w14:textId="77777777" w:rsidR="00B745EC" w:rsidRDefault="00B745EC" w:rsidP="00B745EC">
            <w:pPr>
              <w:spacing w:after="0" w:line="240" w:lineRule="auto"/>
              <w:jc w:val="both"/>
              <w:rPr>
                <w:rFonts w:ascii="Times New Roman" w:hAnsi="Times New Roman"/>
                <w:sz w:val="20"/>
                <w:szCs w:val="20"/>
                <w:shd w:val="clear" w:color="auto" w:fill="FFFFFF"/>
                <w:lang w:val="ro-MD"/>
              </w:rPr>
            </w:pPr>
            <w:r w:rsidRPr="00B745EC">
              <w:rPr>
                <w:rFonts w:ascii="Times New Roman" w:hAnsi="Times New Roman"/>
                <w:sz w:val="20"/>
                <w:szCs w:val="20"/>
                <w:shd w:val="clear" w:color="auto" w:fill="FFFFFF"/>
                <w:lang w:val="ro-MD"/>
              </w:rPr>
              <w:t>(2) Obiectul prezentei legi sunt procedurile și reglementările aplicate pentru atingerea obiectivului de realizare a neutralității climatice până în 2050, în vederea îndeplinirii obiectivului pe termen lung privind temperatura globală din Acordul de la Paris, și oferă un cadru pentru realizarea de progrese în vederea îndeplinirii obiectivului global în materie de adaptare la schimbările climatice.</w:t>
            </w:r>
          </w:p>
          <w:p w14:paraId="67654672" w14:textId="77777777" w:rsidR="00A2789C" w:rsidRPr="00B745EC" w:rsidRDefault="00A2789C" w:rsidP="00B745EC">
            <w:pPr>
              <w:spacing w:after="0" w:line="240" w:lineRule="auto"/>
              <w:jc w:val="both"/>
              <w:rPr>
                <w:rFonts w:ascii="Times New Roman" w:hAnsi="Times New Roman"/>
                <w:sz w:val="20"/>
                <w:szCs w:val="20"/>
                <w:shd w:val="clear" w:color="auto" w:fill="FFFFFF"/>
                <w:lang w:val="ro-MD"/>
              </w:rPr>
            </w:pPr>
          </w:p>
          <w:p w14:paraId="2325001C" w14:textId="5DF47794" w:rsidR="00A2789C" w:rsidRPr="00B745EC" w:rsidRDefault="00A2789C" w:rsidP="00A2789C">
            <w:pPr>
              <w:numPr>
                <w:ilvl w:val="0"/>
                <w:numId w:val="316"/>
              </w:numPr>
              <w:tabs>
                <w:tab w:val="left" w:pos="851"/>
              </w:tabs>
              <w:suppressAutoHyphens w:val="0"/>
              <w:autoSpaceDN/>
              <w:spacing w:after="0" w:line="240" w:lineRule="auto"/>
              <w:ind w:left="0" w:firstLine="0"/>
              <w:contextualSpacing/>
              <w:textAlignment w:val="auto"/>
              <w:rPr>
                <w:rFonts w:ascii="Times New Roman" w:hAnsi="Times New Roman"/>
                <w:bCs/>
                <w:sz w:val="20"/>
                <w:szCs w:val="20"/>
                <w:lang w:val="ro-MD"/>
              </w:rPr>
            </w:pPr>
            <w:r>
              <w:rPr>
                <w:rFonts w:ascii="Times New Roman" w:hAnsi="Times New Roman"/>
                <w:bCs/>
                <w:sz w:val="20"/>
                <w:szCs w:val="20"/>
                <w:lang w:val="ro-MD"/>
              </w:rPr>
              <w:t>Domeniul de aplicare</w:t>
            </w:r>
          </w:p>
          <w:p w14:paraId="77618118" w14:textId="77777777" w:rsidR="002B2A7A" w:rsidRPr="002B2A7A" w:rsidRDefault="002B2A7A" w:rsidP="002B2A7A">
            <w:pPr>
              <w:spacing w:after="120" w:line="240" w:lineRule="auto"/>
              <w:ind w:firstLine="142"/>
              <w:jc w:val="both"/>
              <w:rPr>
                <w:rFonts w:ascii="Times New Roman" w:hAnsi="Times New Roman"/>
                <w:color w:val="000000" w:themeColor="text1"/>
                <w:sz w:val="20"/>
                <w:szCs w:val="20"/>
                <w:lang w:val="en-US"/>
              </w:rPr>
            </w:pPr>
            <w:r w:rsidRPr="002B2A7A">
              <w:rPr>
                <w:rFonts w:ascii="Times New Roman" w:hAnsi="Times New Roman"/>
                <w:color w:val="000000" w:themeColor="text1"/>
                <w:sz w:val="20"/>
                <w:szCs w:val="20"/>
                <w:lang w:val="en-US"/>
              </w:rPr>
              <w:t>(2)</w:t>
            </w:r>
            <w:r w:rsidRPr="002B2A7A">
              <w:rPr>
                <w:rFonts w:ascii="Times New Roman" w:hAnsi="Times New Roman"/>
                <w:color w:val="000000" w:themeColor="text1"/>
                <w:sz w:val="20"/>
                <w:szCs w:val="20"/>
                <w:lang w:val="en-US"/>
              </w:rPr>
              <w:tab/>
              <w:t xml:space="preserve">Prezenta </w:t>
            </w:r>
            <w:proofErr w:type="spellStart"/>
            <w:r w:rsidRPr="002B2A7A">
              <w:rPr>
                <w:rFonts w:ascii="Times New Roman" w:hAnsi="Times New Roman"/>
                <w:color w:val="000000" w:themeColor="text1"/>
                <w:sz w:val="20"/>
                <w:szCs w:val="20"/>
                <w:lang w:val="en-US"/>
              </w:rPr>
              <w:t>lege</w:t>
            </w:r>
            <w:proofErr w:type="spellEnd"/>
            <w:r w:rsidRPr="002B2A7A">
              <w:rPr>
                <w:rFonts w:ascii="Times New Roman" w:hAnsi="Times New Roman"/>
                <w:color w:val="000000" w:themeColor="text1"/>
                <w:sz w:val="20"/>
                <w:szCs w:val="20"/>
                <w:lang w:val="en-US"/>
              </w:rPr>
              <w:t xml:space="preserve"> are </w:t>
            </w:r>
            <w:proofErr w:type="spellStart"/>
            <w:r w:rsidRPr="002B2A7A">
              <w:rPr>
                <w:rFonts w:ascii="Times New Roman" w:hAnsi="Times New Roman"/>
                <w:color w:val="000000" w:themeColor="text1"/>
                <w:sz w:val="20"/>
                <w:szCs w:val="20"/>
                <w:lang w:val="en-US"/>
              </w:rPr>
              <w:t>următoarele</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obiective</w:t>
            </w:r>
            <w:proofErr w:type="spellEnd"/>
            <w:r w:rsidRPr="002B2A7A">
              <w:rPr>
                <w:rFonts w:ascii="Times New Roman" w:hAnsi="Times New Roman"/>
                <w:color w:val="000000" w:themeColor="text1"/>
                <w:sz w:val="20"/>
                <w:szCs w:val="20"/>
                <w:lang w:val="en-US"/>
              </w:rPr>
              <w:t xml:space="preserve">: </w:t>
            </w:r>
          </w:p>
          <w:p w14:paraId="72A26A3B" w14:textId="77777777" w:rsidR="002B2A7A" w:rsidRPr="002B2A7A" w:rsidRDefault="002B2A7A" w:rsidP="002B2A7A">
            <w:pPr>
              <w:spacing w:after="0" w:line="240" w:lineRule="auto"/>
              <w:jc w:val="both"/>
              <w:rPr>
                <w:rFonts w:ascii="Times New Roman" w:hAnsi="Times New Roman"/>
                <w:color w:val="000000" w:themeColor="text1"/>
                <w:sz w:val="20"/>
                <w:szCs w:val="20"/>
                <w:lang w:val="en-US"/>
              </w:rPr>
            </w:pPr>
            <w:r w:rsidRPr="002B2A7A">
              <w:rPr>
                <w:rFonts w:ascii="Times New Roman" w:hAnsi="Times New Roman"/>
                <w:color w:val="000000" w:themeColor="text1"/>
                <w:sz w:val="20"/>
                <w:szCs w:val="20"/>
                <w:lang w:val="en-US"/>
              </w:rPr>
              <w:t>a)</w:t>
            </w:r>
            <w:r w:rsidRPr="002B2A7A">
              <w:rPr>
                <w:rFonts w:ascii="Times New Roman" w:hAnsi="Times New Roman"/>
                <w:color w:val="000000" w:themeColor="text1"/>
                <w:sz w:val="20"/>
                <w:szCs w:val="20"/>
                <w:lang w:val="en-US"/>
              </w:rPr>
              <w:tab/>
            </w:r>
            <w:proofErr w:type="gramStart"/>
            <w:r w:rsidRPr="002B2A7A">
              <w:rPr>
                <w:rFonts w:ascii="Times New Roman" w:hAnsi="Times New Roman"/>
                <w:color w:val="000000" w:themeColor="text1"/>
                <w:sz w:val="20"/>
                <w:szCs w:val="20"/>
                <w:lang w:val="en-US"/>
              </w:rPr>
              <w:t>a</w:t>
            </w:r>
            <w:proofErr w:type="gram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asigura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elaborarea</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punerea</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aplicare</w:t>
            </w:r>
            <w:proofErr w:type="spellEnd"/>
            <w:r w:rsidRPr="002B2A7A">
              <w:rPr>
                <w:rFonts w:ascii="Times New Roman" w:hAnsi="Times New Roman"/>
                <w:color w:val="000000" w:themeColor="text1"/>
                <w:sz w:val="20"/>
                <w:szCs w:val="20"/>
                <w:lang w:val="en-US"/>
              </w:rPr>
              <w:t xml:space="preserve"> a </w:t>
            </w:r>
            <w:proofErr w:type="spellStart"/>
            <w:r w:rsidRPr="002B2A7A">
              <w:rPr>
                <w:rFonts w:ascii="Times New Roman" w:hAnsi="Times New Roman"/>
                <w:color w:val="000000" w:themeColor="text1"/>
                <w:sz w:val="20"/>
                <w:szCs w:val="20"/>
                <w:lang w:val="en-US"/>
              </w:rPr>
              <w:t>documentelor</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politici</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planificare</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pentru</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îndeplinirea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obiectivelor</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țintelor</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naționale</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stabilite</w:t>
            </w:r>
            <w:proofErr w:type="spellEnd"/>
            <w:r w:rsidRPr="002B2A7A">
              <w:rPr>
                <w:rFonts w:ascii="Times New Roman" w:hAnsi="Times New Roman"/>
                <w:color w:val="000000" w:themeColor="text1"/>
                <w:sz w:val="20"/>
                <w:szCs w:val="20"/>
                <w:lang w:val="en-US"/>
              </w:rPr>
              <w:t xml:space="preserve"> în conformitate cu </w:t>
            </w:r>
            <w:proofErr w:type="spellStart"/>
            <w:r w:rsidRPr="002B2A7A">
              <w:rPr>
                <w:rFonts w:ascii="Times New Roman" w:hAnsi="Times New Roman"/>
                <w:color w:val="000000" w:themeColor="text1"/>
                <w:sz w:val="20"/>
                <w:szCs w:val="20"/>
                <w:lang w:val="en-US"/>
              </w:rPr>
              <w:t>Acordul</w:t>
            </w:r>
            <w:proofErr w:type="spellEnd"/>
            <w:r w:rsidRPr="002B2A7A">
              <w:rPr>
                <w:rFonts w:ascii="Times New Roman" w:hAnsi="Times New Roman"/>
                <w:color w:val="000000" w:themeColor="text1"/>
                <w:sz w:val="20"/>
                <w:szCs w:val="20"/>
                <w:lang w:val="en-US"/>
              </w:rPr>
              <w:t xml:space="preserve"> de la Paris, </w:t>
            </w:r>
            <w:proofErr w:type="spellStart"/>
            <w:r w:rsidRPr="002B2A7A">
              <w:rPr>
                <w:rFonts w:ascii="Times New Roman" w:hAnsi="Times New Roman"/>
                <w:color w:val="000000" w:themeColor="text1"/>
                <w:sz w:val="20"/>
                <w:szCs w:val="20"/>
                <w:lang w:val="en-US"/>
              </w:rPr>
              <w:t>inclusiv</w:t>
            </w:r>
            <w:proofErr w:type="spellEnd"/>
            <w:r w:rsidRPr="002B2A7A">
              <w:rPr>
                <w:rFonts w:ascii="Times New Roman" w:hAnsi="Times New Roman"/>
                <w:color w:val="000000" w:themeColor="text1"/>
                <w:sz w:val="20"/>
                <w:szCs w:val="20"/>
                <w:lang w:val="en-US"/>
              </w:rPr>
              <w:t xml:space="preserve"> a </w:t>
            </w:r>
            <w:proofErr w:type="spellStart"/>
            <w:r w:rsidRPr="002B2A7A">
              <w:rPr>
                <w:rFonts w:ascii="Times New Roman" w:hAnsi="Times New Roman"/>
                <w:color w:val="000000" w:themeColor="text1"/>
                <w:sz w:val="20"/>
                <w:szCs w:val="20"/>
                <w:lang w:val="en-US"/>
              </w:rPr>
              <w:lastRenderedPageBreak/>
              <w:t>obiectivelor</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privind</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energia</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clima</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temeiul</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Tratatului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Comunității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Energetice</w:t>
            </w:r>
            <w:proofErr w:type="spellEnd"/>
            <w:r w:rsidRPr="002B2A7A">
              <w:rPr>
                <w:rFonts w:ascii="Times New Roman" w:hAnsi="Times New Roman"/>
                <w:color w:val="000000" w:themeColor="text1"/>
                <w:sz w:val="20"/>
                <w:szCs w:val="20"/>
                <w:lang w:val="en-US"/>
              </w:rPr>
              <w:t>;</w:t>
            </w:r>
          </w:p>
          <w:p w14:paraId="5BD244A8" w14:textId="052001C2" w:rsidR="002B2A7A" w:rsidRPr="002B2A7A" w:rsidRDefault="002B2A7A" w:rsidP="002B2A7A">
            <w:pPr>
              <w:spacing w:after="0" w:line="240" w:lineRule="auto"/>
              <w:jc w:val="both"/>
              <w:rPr>
                <w:rFonts w:ascii="Times New Roman" w:hAnsi="Times New Roman"/>
                <w:color w:val="000000" w:themeColor="text1"/>
                <w:sz w:val="20"/>
                <w:szCs w:val="20"/>
                <w:lang w:val="en-US"/>
              </w:rPr>
            </w:pPr>
            <w:r w:rsidRPr="002B2A7A">
              <w:rPr>
                <w:rFonts w:ascii="Times New Roman" w:hAnsi="Times New Roman"/>
                <w:color w:val="000000" w:themeColor="text1"/>
                <w:sz w:val="20"/>
                <w:szCs w:val="20"/>
                <w:lang w:val="en-US"/>
              </w:rPr>
              <w:t>b)</w:t>
            </w:r>
            <w:r w:rsidRPr="002B2A7A">
              <w:rPr>
                <w:rFonts w:ascii="Times New Roman" w:hAnsi="Times New Roman"/>
                <w:color w:val="000000" w:themeColor="text1"/>
                <w:sz w:val="20"/>
                <w:szCs w:val="20"/>
                <w:lang w:val="en-US"/>
              </w:rPr>
              <w:tab/>
              <w:t xml:space="preserve"> </w:t>
            </w:r>
            <w:proofErr w:type="gramStart"/>
            <w:r w:rsidRPr="002B2A7A">
              <w:rPr>
                <w:rFonts w:ascii="Times New Roman" w:hAnsi="Times New Roman"/>
                <w:color w:val="000000" w:themeColor="text1"/>
                <w:sz w:val="20"/>
                <w:szCs w:val="20"/>
                <w:lang w:val="en-US"/>
              </w:rPr>
              <w:t>a</w:t>
            </w:r>
            <w:proofErr w:type="gram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asigura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planificarea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pentru</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alocarea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resurselor</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financiare</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necesare</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vederea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realizării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progresului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privind</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dezvoltarea</w:t>
            </w:r>
            <w:proofErr w:type="spellEnd"/>
            <w:r w:rsidRPr="002B2A7A">
              <w:rPr>
                <w:rFonts w:ascii="Times New Roman" w:hAnsi="Times New Roman"/>
                <w:color w:val="000000" w:themeColor="text1"/>
                <w:sz w:val="20"/>
                <w:szCs w:val="20"/>
                <w:lang w:val="en-US"/>
              </w:rPr>
              <w:t xml:space="preserve"> cu un </w:t>
            </w:r>
            <w:proofErr w:type="spellStart"/>
            <w:r w:rsidRPr="002B2A7A">
              <w:rPr>
                <w:rFonts w:ascii="Times New Roman" w:hAnsi="Times New Roman"/>
                <w:color w:val="000000" w:themeColor="text1"/>
                <w:sz w:val="20"/>
                <w:szCs w:val="20"/>
                <w:lang w:val="en-US"/>
              </w:rPr>
              <w:t>nivel</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scăzut</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emisii</w:t>
            </w:r>
            <w:proofErr w:type="spellEnd"/>
            <w:r w:rsidRPr="002B2A7A">
              <w:rPr>
                <w:rFonts w:ascii="Times New Roman" w:hAnsi="Times New Roman"/>
                <w:color w:val="000000" w:themeColor="text1"/>
                <w:sz w:val="20"/>
                <w:szCs w:val="20"/>
                <w:lang w:val="en-US"/>
              </w:rPr>
              <w:t xml:space="preserve"> de gaze cu </w:t>
            </w:r>
            <w:proofErr w:type="spellStart"/>
            <w:r w:rsidRPr="002B2A7A">
              <w:rPr>
                <w:rFonts w:ascii="Times New Roman" w:hAnsi="Times New Roman"/>
                <w:color w:val="000000" w:themeColor="text1"/>
                <w:sz w:val="20"/>
                <w:szCs w:val="20"/>
                <w:lang w:val="en-US"/>
              </w:rPr>
              <w:t>efect</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seră</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rezistentă</w:t>
            </w:r>
            <w:proofErr w:type="spellEnd"/>
            <w:r w:rsidRPr="002B2A7A">
              <w:rPr>
                <w:rFonts w:ascii="Times New Roman" w:hAnsi="Times New Roman"/>
                <w:color w:val="000000" w:themeColor="text1"/>
                <w:sz w:val="20"/>
                <w:szCs w:val="20"/>
                <w:lang w:val="en-US"/>
              </w:rPr>
              <w:t xml:space="preserve"> la efectele negative ale </w:t>
            </w:r>
            <w:proofErr w:type="spellStart"/>
            <w:r w:rsidRPr="002B2A7A">
              <w:rPr>
                <w:rFonts w:ascii="Times New Roman" w:hAnsi="Times New Roman"/>
                <w:color w:val="000000" w:themeColor="text1"/>
                <w:sz w:val="20"/>
                <w:szCs w:val="20"/>
                <w:lang w:val="en-US"/>
              </w:rPr>
              <w:t>schimbărilor</w:t>
            </w:r>
            <w:proofErr w:type="spellEnd"/>
            <w:r w:rsidRPr="002B2A7A">
              <w:rPr>
                <w:rFonts w:ascii="Times New Roman" w:hAnsi="Times New Roman"/>
                <w:color w:val="000000" w:themeColor="text1"/>
                <w:sz w:val="20"/>
                <w:szCs w:val="20"/>
                <w:lang w:val="en-US"/>
              </w:rPr>
              <w:t xml:space="preserve"> climatice în conformitate cu </w:t>
            </w:r>
            <w:proofErr w:type="spellStart"/>
            <w:r w:rsidRPr="002B2A7A">
              <w:rPr>
                <w:rFonts w:ascii="Times New Roman" w:hAnsi="Times New Roman"/>
                <w:color w:val="000000" w:themeColor="text1"/>
                <w:sz w:val="20"/>
                <w:szCs w:val="20"/>
                <w:lang w:val="en-US"/>
              </w:rPr>
              <w:t>obligațiile</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stabilite</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Acordul</w:t>
            </w:r>
            <w:proofErr w:type="spellEnd"/>
            <w:r w:rsidRPr="002B2A7A">
              <w:rPr>
                <w:rFonts w:ascii="Times New Roman" w:hAnsi="Times New Roman"/>
                <w:color w:val="000000" w:themeColor="text1"/>
                <w:sz w:val="20"/>
                <w:szCs w:val="20"/>
                <w:lang w:val="en-US"/>
              </w:rPr>
              <w:t xml:space="preserve"> de la Paris și </w:t>
            </w:r>
            <w:proofErr w:type="spellStart"/>
            <w:r w:rsidRPr="002B2A7A">
              <w:rPr>
                <w:rFonts w:ascii="Times New Roman" w:hAnsi="Times New Roman"/>
                <w:color w:val="000000" w:themeColor="text1"/>
                <w:sz w:val="20"/>
                <w:szCs w:val="20"/>
                <w:lang w:val="en-US"/>
              </w:rPr>
              <w:t>Tratatul</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Comunității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Energetice</w:t>
            </w:r>
            <w:proofErr w:type="spellEnd"/>
            <w:r w:rsidRPr="002B2A7A">
              <w:rPr>
                <w:rFonts w:ascii="Times New Roman" w:hAnsi="Times New Roman"/>
                <w:color w:val="000000" w:themeColor="text1"/>
                <w:sz w:val="20"/>
                <w:szCs w:val="20"/>
                <w:lang w:val="en-US"/>
              </w:rPr>
              <w:t>;</w:t>
            </w:r>
          </w:p>
          <w:p w14:paraId="2CA0B82D" w14:textId="37F014B7" w:rsidR="002B2A7A" w:rsidRPr="002B2A7A" w:rsidRDefault="002B2A7A" w:rsidP="002B2A7A">
            <w:pPr>
              <w:spacing w:after="0" w:line="240" w:lineRule="auto"/>
              <w:jc w:val="both"/>
              <w:rPr>
                <w:rFonts w:ascii="Times New Roman" w:hAnsi="Times New Roman"/>
                <w:color w:val="000000" w:themeColor="text1"/>
                <w:sz w:val="20"/>
                <w:szCs w:val="20"/>
                <w:lang w:val="en-US"/>
              </w:rPr>
            </w:pPr>
            <w:r w:rsidRPr="002B2A7A">
              <w:rPr>
                <w:rFonts w:ascii="Times New Roman" w:hAnsi="Times New Roman"/>
                <w:color w:val="000000" w:themeColor="text1"/>
                <w:sz w:val="20"/>
                <w:szCs w:val="20"/>
                <w:lang w:val="en-US"/>
              </w:rPr>
              <w:t>c)</w:t>
            </w:r>
            <w:r w:rsidRPr="002B2A7A">
              <w:rPr>
                <w:rFonts w:ascii="Times New Roman" w:hAnsi="Times New Roman"/>
                <w:color w:val="000000" w:themeColor="text1"/>
                <w:sz w:val="20"/>
                <w:szCs w:val="20"/>
                <w:lang w:val="en-US"/>
              </w:rPr>
              <w:tab/>
            </w:r>
            <w:proofErr w:type="gramStart"/>
            <w:r w:rsidRPr="002B2A7A">
              <w:rPr>
                <w:rFonts w:ascii="Times New Roman" w:hAnsi="Times New Roman"/>
                <w:color w:val="000000" w:themeColor="text1"/>
                <w:sz w:val="20"/>
                <w:szCs w:val="20"/>
                <w:lang w:val="en-US"/>
              </w:rPr>
              <w:t>a</w:t>
            </w:r>
            <w:proofErr w:type="gram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asigura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monitorizarea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emisiilor</w:t>
            </w:r>
            <w:proofErr w:type="spellEnd"/>
            <w:r w:rsidRPr="002B2A7A">
              <w:rPr>
                <w:rFonts w:ascii="Times New Roman" w:hAnsi="Times New Roman"/>
                <w:color w:val="000000" w:themeColor="text1"/>
                <w:sz w:val="20"/>
                <w:szCs w:val="20"/>
                <w:lang w:val="en-US"/>
              </w:rPr>
              <w:t xml:space="preserve"> de gaze cu </w:t>
            </w:r>
            <w:proofErr w:type="spellStart"/>
            <w:r w:rsidRPr="002B2A7A">
              <w:rPr>
                <w:rFonts w:ascii="Times New Roman" w:hAnsi="Times New Roman"/>
                <w:color w:val="000000" w:themeColor="text1"/>
                <w:sz w:val="20"/>
                <w:szCs w:val="20"/>
                <w:lang w:val="en-US"/>
              </w:rPr>
              <w:t>efect</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seră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completă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actuală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transparentă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exactă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coerentă</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comparabilă</w:t>
            </w:r>
            <w:proofErr w:type="spellEnd"/>
            <w:r w:rsidRPr="002B2A7A">
              <w:rPr>
                <w:rFonts w:ascii="Times New Roman" w:hAnsi="Times New Roman"/>
                <w:color w:val="000000" w:themeColor="text1"/>
                <w:sz w:val="20"/>
                <w:szCs w:val="20"/>
                <w:lang w:val="en-US"/>
              </w:rPr>
              <w:t xml:space="preserve">, precum și </w:t>
            </w:r>
            <w:proofErr w:type="spellStart"/>
            <w:r w:rsidRPr="002B2A7A">
              <w:rPr>
                <w:rFonts w:ascii="Times New Roman" w:hAnsi="Times New Roman"/>
                <w:color w:val="000000" w:themeColor="text1"/>
                <w:sz w:val="20"/>
                <w:szCs w:val="20"/>
                <w:lang w:val="en-US"/>
              </w:rPr>
              <w:t>raportarea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integrată</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privind</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progresul</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înregistrat</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implementarea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politicilor</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măsurilor</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atenuare</w:t>
            </w:r>
            <w:proofErr w:type="spellEnd"/>
            <w:r w:rsidRPr="002B2A7A">
              <w:rPr>
                <w:rFonts w:ascii="Times New Roman" w:hAnsi="Times New Roman"/>
                <w:color w:val="000000" w:themeColor="text1"/>
                <w:sz w:val="20"/>
                <w:szCs w:val="20"/>
                <w:lang w:val="en-US"/>
              </w:rPr>
              <w:t xml:space="preserve"> și de </w:t>
            </w:r>
            <w:proofErr w:type="spellStart"/>
            <w:r w:rsidRPr="002B2A7A">
              <w:rPr>
                <w:rFonts w:ascii="Times New Roman" w:hAnsi="Times New Roman"/>
                <w:color w:val="000000" w:themeColor="text1"/>
                <w:sz w:val="20"/>
                <w:szCs w:val="20"/>
                <w:lang w:val="en-US"/>
              </w:rPr>
              <w:t>adaptare</w:t>
            </w:r>
            <w:proofErr w:type="spellEnd"/>
            <w:r w:rsidRPr="002B2A7A">
              <w:rPr>
                <w:rFonts w:ascii="Times New Roman" w:hAnsi="Times New Roman"/>
                <w:color w:val="000000" w:themeColor="text1"/>
                <w:sz w:val="20"/>
                <w:szCs w:val="20"/>
                <w:lang w:val="en-US"/>
              </w:rPr>
              <w:t xml:space="preserve">; </w:t>
            </w:r>
          </w:p>
          <w:p w14:paraId="2CC65357" w14:textId="77777777" w:rsidR="002B2A7A" w:rsidRPr="002B2A7A" w:rsidRDefault="002B2A7A" w:rsidP="002B2A7A">
            <w:pPr>
              <w:spacing w:after="0" w:line="240" w:lineRule="auto"/>
              <w:jc w:val="both"/>
              <w:rPr>
                <w:rFonts w:ascii="Times New Roman" w:hAnsi="Times New Roman"/>
                <w:color w:val="000000" w:themeColor="text1"/>
                <w:sz w:val="20"/>
                <w:szCs w:val="20"/>
                <w:lang w:val="en-US"/>
              </w:rPr>
            </w:pPr>
            <w:r w:rsidRPr="002B2A7A">
              <w:rPr>
                <w:rFonts w:ascii="Times New Roman" w:hAnsi="Times New Roman"/>
                <w:color w:val="000000" w:themeColor="text1"/>
                <w:sz w:val="20"/>
                <w:szCs w:val="20"/>
                <w:lang w:val="en-US"/>
              </w:rPr>
              <w:t>d)</w:t>
            </w:r>
            <w:r w:rsidRPr="002B2A7A">
              <w:rPr>
                <w:rFonts w:ascii="Times New Roman" w:hAnsi="Times New Roman"/>
                <w:color w:val="000000" w:themeColor="text1"/>
                <w:sz w:val="20"/>
                <w:szCs w:val="20"/>
                <w:lang w:val="en-US"/>
              </w:rPr>
              <w:tab/>
            </w:r>
            <w:proofErr w:type="gramStart"/>
            <w:r w:rsidRPr="002B2A7A">
              <w:rPr>
                <w:rFonts w:ascii="Times New Roman" w:hAnsi="Times New Roman"/>
                <w:color w:val="000000" w:themeColor="text1"/>
                <w:sz w:val="20"/>
                <w:szCs w:val="20"/>
                <w:lang w:val="en-US"/>
              </w:rPr>
              <w:t>a</w:t>
            </w:r>
            <w:proofErr w:type="gram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asigura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accesul</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publicului</w:t>
            </w:r>
            <w:proofErr w:type="spellEnd"/>
            <w:r w:rsidRPr="002B2A7A">
              <w:rPr>
                <w:rFonts w:ascii="Times New Roman" w:hAnsi="Times New Roman"/>
                <w:color w:val="000000" w:themeColor="text1"/>
                <w:sz w:val="20"/>
                <w:szCs w:val="20"/>
                <w:lang w:val="en-US"/>
              </w:rPr>
              <w:t xml:space="preserve"> la </w:t>
            </w:r>
            <w:proofErr w:type="spellStart"/>
            <w:r w:rsidRPr="002B2A7A">
              <w:rPr>
                <w:rFonts w:ascii="Times New Roman" w:hAnsi="Times New Roman"/>
                <w:color w:val="000000" w:themeColor="text1"/>
                <w:sz w:val="20"/>
                <w:szCs w:val="20"/>
                <w:lang w:val="en-US"/>
              </w:rPr>
              <w:t>informații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privind</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planificarea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elaborarea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evaluarea</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realizării</w:t>
            </w:r>
            <w:proofErr w:type="spellEnd"/>
            <w:r w:rsidRPr="002B2A7A">
              <w:rPr>
                <w:rFonts w:ascii="Times New Roman" w:hAnsi="Times New Roman"/>
                <w:color w:val="000000" w:themeColor="text1"/>
                <w:sz w:val="20"/>
                <w:szCs w:val="20"/>
                <w:lang w:val="en-US"/>
              </w:rPr>
              <w:t xml:space="preserve"> </w:t>
            </w:r>
            <w:proofErr w:type="spellStart"/>
            <w:r w:rsidRPr="002B2A7A">
              <w:rPr>
                <w:rFonts w:ascii="Times New Roman" w:hAnsi="Times New Roman"/>
                <w:color w:val="000000" w:themeColor="text1"/>
                <w:sz w:val="20"/>
                <w:szCs w:val="20"/>
                <w:lang w:val="en-US"/>
              </w:rPr>
              <w:t>documentelor</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politici</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planificare</w:t>
            </w:r>
            <w:proofErr w:type="spellEnd"/>
            <w:r w:rsidRPr="002B2A7A">
              <w:rPr>
                <w:rFonts w:ascii="Times New Roman" w:hAnsi="Times New Roman"/>
                <w:color w:val="000000" w:themeColor="text1"/>
                <w:sz w:val="20"/>
                <w:szCs w:val="20"/>
                <w:lang w:val="en-US"/>
              </w:rPr>
              <w:t xml:space="preserve"> în </w:t>
            </w:r>
            <w:proofErr w:type="spellStart"/>
            <w:r w:rsidRPr="002B2A7A">
              <w:rPr>
                <w:rFonts w:ascii="Times New Roman" w:hAnsi="Times New Roman"/>
                <w:color w:val="000000" w:themeColor="text1"/>
                <w:sz w:val="20"/>
                <w:szCs w:val="20"/>
                <w:lang w:val="en-US"/>
              </w:rPr>
              <w:t>domeniul</w:t>
            </w:r>
            <w:proofErr w:type="spellEnd"/>
            <w:r w:rsidRPr="002B2A7A">
              <w:rPr>
                <w:rFonts w:ascii="Times New Roman" w:hAnsi="Times New Roman"/>
                <w:color w:val="000000" w:themeColor="text1"/>
                <w:sz w:val="20"/>
                <w:szCs w:val="20"/>
                <w:lang w:val="en-US"/>
              </w:rPr>
              <w:t xml:space="preserve"> de </w:t>
            </w:r>
            <w:proofErr w:type="spellStart"/>
            <w:r w:rsidRPr="002B2A7A">
              <w:rPr>
                <w:rFonts w:ascii="Times New Roman" w:hAnsi="Times New Roman"/>
                <w:color w:val="000000" w:themeColor="text1"/>
                <w:sz w:val="20"/>
                <w:szCs w:val="20"/>
                <w:lang w:val="en-US"/>
              </w:rPr>
              <w:t>atenuare</w:t>
            </w:r>
            <w:proofErr w:type="spellEnd"/>
            <w:r w:rsidRPr="002B2A7A">
              <w:rPr>
                <w:rFonts w:ascii="Times New Roman" w:hAnsi="Times New Roman"/>
                <w:color w:val="000000" w:themeColor="text1"/>
                <w:sz w:val="20"/>
                <w:szCs w:val="20"/>
                <w:lang w:val="en-US"/>
              </w:rPr>
              <w:t xml:space="preserve"> și </w:t>
            </w:r>
            <w:proofErr w:type="spellStart"/>
            <w:r w:rsidRPr="002B2A7A">
              <w:rPr>
                <w:rFonts w:ascii="Times New Roman" w:hAnsi="Times New Roman"/>
                <w:color w:val="000000" w:themeColor="text1"/>
                <w:sz w:val="20"/>
                <w:szCs w:val="20"/>
                <w:lang w:val="en-US"/>
              </w:rPr>
              <w:t>adaptare</w:t>
            </w:r>
            <w:proofErr w:type="spellEnd"/>
            <w:r w:rsidRPr="002B2A7A">
              <w:rPr>
                <w:rFonts w:ascii="Times New Roman" w:hAnsi="Times New Roman"/>
                <w:color w:val="000000" w:themeColor="text1"/>
                <w:sz w:val="20"/>
                <w:szCs w:val="20"/>
                <w:lang w:val="en-US"/>
              </w:rPr>
              <w:t xml:space="preserve"> la </w:t>
            </w:r>
            <w:proofErr w:type="spellStart"/>
            <w:r w:rsidRPr="002B2A7A">
              <w:rPr>
                <w:rFonts w:ascii="Times New Roman" w:hAnsi="Times New Roman"/>
                <w:color w:val="000000" w:themeColor="text1"/>
                <w:sz w:val="20"/>
                <w:szCs w:val="20"/>
                <w:lang w:val="en-US"/>
              </w:rPr>
              <w:t>schimbările</w:t>
            </w:r>
            <w:proofErr w:type="spellEnd"/>
            <w:r w:rsidRPr="002B2A7A">
              <w:rPr>
                <w:rFonts w:ascii="Times New Roman" w:hAnsi="Times New Roman"/>
                <w:color w:val="000000" w:themeColor="text1"/>
                <w:sz w:val="20"/>
                <w:szCs w:val="20"/>
                <w:lang w:val="en-US"/>
              </w:rPr>
              <w:t xml:space="preserve"> climatice. </w:t>
            </w:r>
          </w:p>
          <w:p w14:paraId="62153118" w14:textId="4915C199" w:rsidR="000921E9" w:rsidRPr="002B2A7A" w:rsidRDefault="000921E9" w:rsidP="00C618B5">
            <w:pPr>
              <w:spacing w:after="0" w:line="276" w:lineRule="auto"/>
              <w:jc w:val="both"/>
              <w:rPr>
                <w:rFonts w:ascii="Times New Roman" w:eastAsia="Times New Roman" w:hAnsi="Times New Roman"/>
                <w:b/>
                <w:sz w:val="20"/>
                <w:szCs w:val="20"/>
                <w:lang w:val="en-US" w:eastAsia="ru-RU"/>
              </w:rPr>
            </w:pPr>
          </w:p>
        </w:tc>
        <w:tc>
          <w:tcPr>
            <w:tcW w:w="1276" w:type="dxa"/>
            <w:shd w:val="clear" w:color="auto" w:fill="auto"/>
          </w:tcPr>
          <w:p w14:paraId="51F3D021" w14:textId="77777777" w:rsidR="000921E9" w:rsidRPr="00C951E7" w:rsidRDefault="000921E9" w:rsidP="008E69D1">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62094A1F" w14:textId="07CC0AF5" w:rsidR="000921E9" w:rsidRPr="00C951E7" w:rsidRDefault="000921E9" w:rsidP="00C618B5">
            <w:pPr>
              <w:spacing w:after="0" w:line="240" w:lineRule="auto"/>
              <w:rPr>
                <w:rFonts w:ascii="Times New Roman" w:hAnsi="Times New Roman"/>
                <w:bCs/>
                <w:sz w:val="20"/>
                <w:szCs w:val="20"/>
                <w:lang w:val="ro-RO"/>
              </w:rPr>
            </w:pPr>
          </w:p>
        </w:tc>
        <w:tc>
          <w:tcPr>
            <w:tcW w:w="1275" w:type="dxa"/>
            <w:shd w:val="clear" w:color="auto" w:fill="auto"/>
          </w:tcPr>
          <w:p w14:paraId="6788A661" w14:textId="2AD41BC6" w:rsidR="000921E9" w:rsidRPr="00C951E7" w:rsidRDefault="000921E9" w:rsidP="000D03E8">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elaborate în conformitate cu tehnica legislativă națională.</w:t>
            </w:r>
          </w:p>
          <w:p w14:paraId="196D7064" w14:textId="1517B575" w:rsidR="000921E9" w:rsidRPr="00C951E7" w:rsidRDefault="000921E9" w:rsidP="000921E9">
            <w:pPr>
              <w:widowControl w:val="0"/>
              <w:autoSpaceDE w:val="0"/>
              <w:adjustRightInd w:val="0"/>
              <w:spacing w:after="240" w:line="240" w:lineRule="auto"/>
              <w:rPr>
                <w:rFonts w:ascii="Times" w:hAnsi="Times" w:cs="Times"/>
                <w:sz w:val="20"/>
                <w:szCs w:val="20"/>
                <w:lang w:val="ro-RO"/>
              </w:rPr>
            </w:pPr>
          </w:p>
        </w:tc>
        <w:tc>
          <w:tcPr>
            <w:tcW w:w="1701" w:type="dxa"/>
            <w:shd w:val="clear" w:color="auto" w:fill="auto"/>
          </w:tcPr>
          <w:p w14:paraId="780EA205" w14:textId="5CDE3C49" w:rsidR="000921E9" w:rsidRPr="00F13819" w:rsidRDefault="000921E9" w:rsidP="00586B35">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Termenele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Pr>
                <w:rFonts w:ascii="Times New Roman" w:eastAsia="Times New Roman" w:hAnsi="Times New Roman"/>
                <w:sz w:val="20"/>
                <w:szCs w:val="20"/>
                <w:lang w:val="ro-RO"/>
              </w:rPr>
              <w:t xml:space="preserve"> </w:t>
            </w:r>
          </w:p>
          <w:p w14:paraId="6533EB23" w14:textId="6ABC0F9F" w:rsidR="000921E9" w:rsidRDefault="00C80D3D" w:rsidP="00586B35">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 xml:space="preserve">și </w:t>
            </w:r>
            <w:bookmarkStart w:id="0" w:name="_Hlk140486156"/>
            <w:r w:rsidRPr="00F13819">
              <w:rPr>
                <w:rFonts w:ascii="Times New Roman" w:eastAsia="Times New Roman" w:hAnsi="Times New Roman"/>
                <w:sz w:val="20"/>
                <w:szCs w:val="20"/>
                <w:lang w:val="ro-RO"/>
              </w:rPr>
              <w:t>D/202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bookmarkEnd w:id="0"/>
          <w:p w14:paraId="167D59BD" w14:textId="34CFD26B" w:rsidR="000921E9" w:rsidRPr="00C951E7" w:rsidRDefault="0093126B" w:rsidP="000921E9">
            <w:pPr>
              <w:autoSpaceDE w:val="0"/>
              <w:spacing w:after="0" w:line="240" w:lineRule="auto"/>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Prevederile referitoare la obiect și domeniul de aplicare au fost transpuse în Legea</w:t>
            </w:r>
            <w:r w:rsidRPr="000921E9">
              <w:rPr>
                <w:rFonts w:ascii="Times New Roman" w:eastAsia="Times New Roman" w:hAnsi="Times New Roman"/>
                <w:bCs/>
                <w:sz w:val="20"/>
                <w:szCs w:val="20"/>
                <w:lang w:val="ro-MD"/>
              </w:rPr>
              <w:t>nr.174/2017 cu privire la energetică</w:t>
            </w:r>
            <w:r w:rsidR="00514FAA">
              <w:rPr>
                <w:rFonts w:ascii="Times New Roman" w:eastAsia="Times New Roman" w:hAnsi="Times New Roman"/>
                <w:bCs/>
                <w:sz w:val="20"/>
                <w:szCs w:val="20"/>
                <w:lang w:val="ro-MD"/>
              </w:rPr>
              <w:t xml:space="preserve"> și la pct.1 și pct.2</w:t>
            </w:r>
            <w:r w:rsidR="00514FAA" w:rsidRPr="007476B2">
              <w:rPr>
                <w:rFonts w:ascii="Times New Roman" w:hAnsi="Times New Roman"/>
                <w:color w:val="000000" w:themeColor="text1"/>
                <w:sz w:val="20"/>
                <w:szCs w:val="20"/>
              </w:rPr>
              <w:t xml:space="preserve"> </w:t>
            </w:r>
            <w:r w:rsidR="00514FAA">
              <w:rPr>
                <w:rFonts w:ascii="Times New Roman" w:hAnsi="Times New Roman"/>
                <w:color w:val="000000" w:themeColor="text1"/>
                <w:sz w:val="20"/>
                <w:szCs w:val="20"/>
              </w:rPr>
              <w:t>din</w:t>
            </w:r>
            <w:r w:rsidR="00514FAA" w:rsidRPr="007476B2">
              <w:rPr>
                <w:rStyle w:val="docheader"/>
                <w:rFonts w:ascii="Times New Roman" w:hAnsi="Times New Roman"/>
                <w:color w:val="000000" w:themeColor="text1"/>
                <w:sz w:val="20"/>
                <w:szCs w:val="20"/>
                <w:lang w:val="pt-PT"/>
              </w:rPr>
              <w:t xml:space="preserve"> </w:t>
            </w:r>
            <w:proofErr w:type="spellStart"/>
            <w:r w:rsidR="00514FAA" w:rsidRPr="007476B2">
              <w:rPr>
                <w:rFonts w:ascii="Times New Roman" w:hAnsi="Times New Roman"/>
                <w:color w:val="000000" w:themeColor="text1"/>
                <w:sz w:val="20"/>
                <w:szCs w:val="20"/>
                <w:shd w:val="clear" w:color="auto" w:fill="FFFFFF"/>
              </w:rPr>
              <w:t>Regulamentul</w:t>
            </w:r>
            <w:proofErr w:type="spellEnd"/>
            <w:r w:rsidR="00514FAA" w:rsidRPr="007476B2">
              <w:rPr>
                <w:rFonts w:ascii="Times New Roman" w:hAnsi="Times New Roman"/>
                <w:color w:val="000000" w:themeColor="text1"/>
                <w:sz w:val="20"/>
                <w:szCs w:val="20"/>
                <w:shd w:val="clear" w:color="auto" w:fill="FFFFFF"/>
              </w:rPr>
              <w:t xml:space="preserve"> </w:t>
            </w:r>
            <w:proofErr w:type="spellStart"/>
            <w:r w:rsidR="00514FAA" w:rsidRPr="007476B2">
              <w:rPr>
                <w:rFonts w:ascii="Times New Roman" w:hAnsi="Times New Roman"/>
                <w:color w:val="000000" w:themeColor="text1"/>
                <w:sz w:val="20"/>
                <w:szCs w:val="20"/>
                <w:shd w:val="clear" w:color="auto" w:fill="FFFFFF"/>
              </w:rPr>
              <w:t>privind</w:t>
            </w:r>
            <w:proofErr w:type="spellEnd"/>
            <w:r w:rsidR="00514FAA" w:rsidRPr="007476B2">
              <w:rPr>
                <w:rFonts w:ascii="Times New Roman" w:hAnsi="Times New Roman"/>
                <w:color w:val="000000" w:themeColor="text1"/>
                <w:sz w:val="20"/>
                <w:szCs w:val="20"/>
                <w:shd w:val="clear" w:color="auto" w:fill="FFFFFF"/>
              </w:rPr>
              <w:t xml:space="preserve"> </w:t>
            </w:r>
            <w:proofErr w:type="spellStart"/>
            <w:r w:rsidR="00514FAA" w:rsidRPr="007476B2">
              <w:rPr>
                <w:rFonts w:ascii="Times New Roman" w:hAnsi="Times New Roman"/>
                <w:color w:val="000000" w:themeColor="text1"/>
                <w:sz w:val="20"/>
                <w:szCs w:val="20"/>
                <w:shd w:val="clear" w:color="auto" w:fill="FFFFFF"/>
              </w:rPr>
              <w:t>mecanismul</w:t>
            </w:r>
            <w:proofErr w:type="spellEnd"/>
            <w:r w:rsidR="00514FAA" w:rsidRPr="007476B2">
              <w:rPr>
                <w:rFonts w:ascii="Times New Roman" w:hAnsi="Times New Roman"/>
                <w:color w:val="000000" w:themeColor="text1"/>
                <w:sz w:val="20"/>
                <w:szCs w:val="20"/>
                <w:shd w:val="clear" w:color="auto" w:fill="FFFFFF"/>
              </w:rPr>
              <w:t xml:space="preserve"> de </w:t>
            </w:r>
            <w:proofErr w:type="spellStart"/>
            <w:r w:rsidR="00514FAA" w:rsidRPr="007476B2">
              <w:rPr>
                <w:rFonts w:ascii="Times New Roman" w:hAnsi="Times New Roman"/>
                <w:color w:val="000000" w:themeColor="text1"/>
                <w:sz w:val="20"/>
                <w:szCs w:val="20"/>
                <w:shd w:val="clear" w:color="auto" w:fill="FFFFFF"/>
              </w:rPr>
              <w:t>guvernanță</w:t>
            </w:r>
            <w:proofErr w:type="spellEnd"/>
            <w:r w:rsidR="00514FAA" w:rsidRPr="007476B2">
              <w:rPr>
                <w:rFonts w:ascii="Times New Roman" w:hAnsi="Times New Roman"/>
                <w:color w:val="000000" w:themeColor="text1"/>
                <w:sz w:val="20"/>
                <w:szCs w:val="20"/>
                <w:shd w:val="clear" w:color="auto" w:fill="FFFFFF"/>
              </w:rPr>
              <w:t xml:space="preserve"> </w:t>
            </w:r>
            <w:proofErr w:type="spellStart"/>
            <w:r w:rsidR="00514FAA" w:rsidRPr="007476B2">
              <w:rPr>
                <w:rFonts w:ascii="Times New Roman" w:hAnsi="Times New Roman"/>
                <w:color w:val="000000" w:themeColor="text1"/>
                <w:sz w:val="20"/>
                <w:szCs w:val="20"/>
                <w:shd w:val="clear" w:color="auto" w:fill="FFFFFF"/>
              </w:rPr>
              <w:t>energetică</w:t>
            </w:r>
            <w:proofErr w:type="spellEnd"/>
            <w:r w:rsidR="00514FAA" w:rsidRPr="007476B2">
              <w:rPr>
                <w:rFonts w:ascii="Times New Roman" w:hAnsi="Times New Roman"/>
                <w:color w:val="000000" w:themeColor="text1"/>
                <w:sz w:val="20"/>
                <w:szCs w:val="20"/>
                <w:shd w:val="clear" w:color="auto" w:fill="FFFFFF"/>
              </w:rPr>
              <w:t xml:space="preserve"> și a </w:t>
            </w:r>
            <w:proofErr w:type="spellStart"/>
            <w:r w:rsidR="00514FAA" w:rsidRPr="007476B2">
              <w:rPr>
                <w:rFonts w:ascii="Times New Roman" w:hAnsi="Times New Roman"/>
                <w:color w:val="000000" w:themeColor="text1"/>
                <w:sz w:val="20"/>
                <w:szCs w:val="20"/>
                <w:shd w:val="clear" w:color="auto" w:fill="FFFFFF"/>
              </w:rPr>
              <w:lastRenderedPageBreak/>
              <w:t>acțiunilor</w:t>
            </w:r>
            <w:proofErr w:type="spellEnd"/>
            <w:r w:rsidR="00514FAA" w:rsidRPr="007476B2">
              <w:rPr>
                <w:rFonts w:ascii="Times New Roman" w:hAnsi="Times New Roman"/>
                <w:color w:val="000000" w:themeColor="text1"/>
                <w:sz w:val="20"/>
                <w:szCs w:val="20"/>
                <w:shd w:val="clear" w:color="auto" w:fill="FFFFFF"/>
              </w:rPr>
              <w:t xml:space="preserve"> climatice</w:t>
            </w:r>
            <w:r w:rsidR="00514FAA">
              <w:rPr>
                <w:rFonts w:ascii="Times New Roman" w:hAnsi="Times New Roman"/>
                <w:color w:val="000000" w:themeColor="text1"/>
                <w:sz w:val="20"/>
                <w:szCs w:val="20"/>
                <w:shd w:val="clear" w:color="auto" w:fill="FFFFFF"/>
              </w:rPr>
              <w:t xml:space="preserve">, </w:t>
            </w:r>
            <w:proofErr w:type="spellStart"/>
            <w:r w:rsidR="00514FAA">
              <w:rPr>
                <w:rFonts w:ascii="Times New Roman" w:hAnsi="Times New Roman"/>
                <w:color w:val="000000" w:themeColor="text1"/>
                <w:sz w:val="20"/>
                <w:szCs w:val="20"/>
                <w:shd w:val="clear" w:color="auto" w:fill="FFFFFF"/>
              </w:rPr>
              <w:t>aprobat</w:t>
            </w:r>
            <w:proofErr w:type="spellEnd"/>
            <w:r w:rsidR="00514FAA">
              <w:rPr>
                <w:rFonts w:ascii="Times New Roman" w:hAnsi="Times New Roman"/>
                <w:color w:val="000000" w:themeColor="text1"/>
                <w:sz w:val="20"/>
                <w:szCs w:val="20"/>
                <w:shd w:val="clear" w:color="auto" w:fill="FFFFFF"/>
              </w:rPr>
              <w:t xml:space="preserve"> de </w:t>
            </w:r>
            <w:proofErr w:type="spellStart"/>
            <w:r w:rsidR="00514FAA">
              <w:rPr>
                <w:rFonts w:ascii="Times New Roman" w:hAnsi="Times New Roman"/>
                <w:color w:val="000000" w:themeColor="text1"/>
                <w:sz w:val="20"/>
                <w:szCs w:val="20"/>
                <w:shd w:val="clear" w:color="auto" w:fill="FFFFFF"/>
              </w:rPr>
              <w:t>Guvern</w:t>
            </w:r>
            <w:proofErr w:type="spellEnd"/>
            <w:r w:rsidR="00514FAA" w:rsidRPr="000921E9">
              <w:rPr>
                <w:rFonts w:ascii="Times New Roman" w:eastAsia="Times New Roman" w:hAnsi="Times New Roman"/>
                <w:bCs/>
                <w:sz w:val="20"/>
                <w:szCs w:val="20"/>
                <w:lang w:val="ro-MD"/>
              </w:rPr>
              <w:t xml:space="preserve"> </w:t>
            </w:r>
            <w:r w:rsidRPr="000921E9">
              <w:rPr>
                <w:rFonts w:ascii="Times New Roman" w:eastAsia="Times New Roman" w:hAnsi="Times New Roman"/>
                <w:bCs/>
                <w:sz w:val="20"/>
                <w:szCs w:val="20"/>
                <w:lang w:val="ro-MD"/>
              </w:rPr>
              <w:t xml:space="preserve"> </w:t>
            </w:r>
          </w:p>
        </w:tc>
        <w:tc>
          <w:tcPr>
            <w:tcW w:w="1464" w:type="dxa"/>
            <w:shd w:val="clear" w:color="auto" w:fill="auto"/>
          </w:tcPr>
          <w:p w14:paraId="7B46C910" w14:textId="77777777" w:rsidR="00A2789C" w:rsidRDefault="00A2789C" w:rsidP="000921E9">
            <w:pPr>
              <w:autoSpaceDE w:val="0"/>
              <w:spacing w:after="0" w:line="240" w:lineRule="auto"/>
              <w:rPr>
                <w:rFonts w:ascii="Times New Roman" w:hAnsi="Times New Roman"/>
                <w:sz w:val="20"/>
                <w:szCs w:val="20"/>
                <w:lang w:val="ro-RO"/>
              </w:rPr>
            </w:pPr>
          </w:p>
          <w:p w14:paraId="7B4DE6D4" w14:textId="77777777" w:rsidR="00A2789C" w:rsidRPr="003F755D" w:rsidRDefault="00A2789C" w:rsidP="00A2789C">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3A2D27F2" w14:textId="77777777" w:rsidR="00A2789C" w:rsidRDefault="00A2789C" w:rsidP="000921E9">
            <w:pPr>
              <w:autoSpaceDE w:val="0"/>
              <w:spacing w:after="0" w:line="240" w:lineRule="auto"/>
              <w:rPr>
                <w:rFonts w:ascii="Times New Roman" w:hAnsi="Times New Roman"/>
                <w:sz w:val="20"/>
                <w:szCs w:val="20"/>
                <w:lang w:val="ro-RO"/>
              </w:rPr>
            </w:pPr>
          </w:p>
          <w:p w14:paraId="61D8CDEE" w14:textId="77777777" w:rsidR="00A2789C" w:rsidRDefault="00A2789C" w:rsidP="000921E9">
            <w:pPr>
              <w:autoSpaceDE w:val="0"/>
              <w:spacing w:after="0" w:line="240" w:lineRule="auto"/>
              <w:rPr>
                <w:rFonts w:ascii="Times New Roman" w:hAnsi="Times New Roman"/>
                <w:sz w:val="20"/>
                <w:szCs w:val="20"/>
                <w:lang w:val="ro-RO"/>
              </w:rPr>
            </w:pPr>
          </w:p>
          <w:p w14:paraId="6E91A979" w14:textId="77777777" w:rsidR="00A2789C" w:rsidRDefault="000921E9" w:rsidP="000921E9">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p>
          <w:p w14:paraId="14D2760B" w14:textId="5AA106E0" w:rsidR="000921E9" w:rsidRPr="003F755D" w:rsidRDefault="000921E9" w:rsidP="000921E9">
            <w:pPr>
              <w:autoSpaceDE w:val="0"/>
              <w:spacing w:after="0" w:line="240" w:lineRule="auto"/>
              <w:rPr>
                <w:rFonts w:ascii="Times New Roman" w:hAnsi="Times New Roman"/>
                <w:sz w:val="20"/>
                <w:szCs w:val="20"/>
                <w:shd w:val="clear" w:color="auto" w:fill="FFFFFF"/>
                <w:lang w:val="ro-RO"/>
              </w:rPr>
            </w:pPr>
            <w:r w:rsidRPr="00A81801">
              <w:rPr>
                <w:rFonts w:ascii="Times New Roman" w:hAnsi="Times New Roman"/>
                <w:color w:val="000000" w:themeColor="text1"/>
                <w:sz w:val="20"/>
                <w:szCs w:val="20"/>
              </w:rPr>
              <w:t>Energiei</w:t>
            </w:r>
          </w:p>
          <w:p w14:paraId="690752BE" w14:textId="77777777" w:rsidR="000921E9" w:rsidRDefault="000921E9" w:rsidP="000921E9">
            <w:pPr>
              <w:autoSpaceDE w:val="0"/>
              <w:spacing w:after="0" w:line="240" w:lineRule="auto"/>
              <w:rPr>
                <w:rFonts w:ascii="Times New Roman" w:hAnsi="Times New Roman"/>
                <w:sz w:val="20"/>
                <w:szCs w:val="20"/>
                <w:lang w:val="fr-FR"/>
              </w:rPr>
            </w:pPr>
          </w:p>
          <w:p w14:paraId="61E85DFB" w14:textId="5A6C049F" w:rsidR="000921E9" w:rsidRPr="000921E9" w:rsidRDefault="000921E9" w:rsidP="00A2789C">
            <w:pPr>
              <w:autoSpaceDE w:val="0"/>
              <w:spacing w:after="0" w:line="240" w:lineRule="auto"/>
              <w:rPr>
                <w:rFonts w:ascii="Times New Roman" w:hAnsi="Times New Roman"/>
                <w:sz w:val="20"/>
                <w:szCs w:val="20"/>
                <w:shd w:val="clear" w:color="auto" w:fill="FFFFFF"/>
                <w:lang w:val="ro-RO"/>
              </w:rPr>
            </w:pPr>
          </w:p>
        </w:tc>
      </w:tr>
      <w:tr w:rsidR="008E69D1" w:rsidRPr="00392D8D" w14:paraId="1B3AB5BE" w14:textId="77777777" w:rsidTr="002B1ABB">
        <w:trPr>
          <w:trHeight w:val="558"/>
        </w:trPr>
        <w:tc>
          <w:tcPr>
            <w:tcW w:w="4810" w:type="dxa"/>
            <w:shd w:val="clear" w:color="auto" w:fill="auto"/>
          </w:tcPr>
          <w:p w14:paraId="3E58078D" w14:textId="77777777" w:rsidR="00F72103" w:rsidRPr="007E64AF" w:rsidRDefault="00F72103" w:rsidP="00F72103">
            <w:pPr>
              <w:pStyle w:val="ti-art"/>
              <w:shd w:val="clear" w:color="auto" w:fill="FFFFFF"/>
              <w:spacing w:before="0" w:beforeAutospacing="0" w:after="0" w:afterAutospacing="0"/>
              <w:jc w:val="center"/>
              <w:rPr>
                <w:i/>
                <w:iCs/>
                <w:color w:val="000000" w:themeColor="text1"/>
                <w:sz w:val="20"/>
                <w:szCs w:val="20"/>
                <w:lang w:val="en-US"/>
              </w:rPr>
            </w:pPr>
            <w:proofErr w:type="spellStart"/>
            <w:r w:rsidRPr="007E64AF">
              <w:rPr>
                <w:i/>
                <w:iCs/>
                <w:color w:val="000000" w:themeColor="text1"/>
                <w:sz w:val="20"/>
                <w:szCs w:val="20"/>
                <w:lang w:val="en-US"/>
              </w:rPr>
              <w:t>Articolul</w:t>
            </w:r>
            <w:proofErr w:type="spellEnd"/>
            <w:r w:rsidRPr="007E64AF">
              <w:rPr>
                <w:i/>
                <w:iCs/>
                <w:color w:val="000000" w:themeColor="text1"/>
                <w:sz w:val="20"/>
                <w:szCs w:val="20"/>
                <w:lang w:val="en-US"/>
              </w:rPr>
              <w:t xml:space="preserve"> 2</w:t>
            </w:r>
          </w:p>
          <w:p w14:paraId="522673EE" w14:textId="77777777" w:rsidR="00F72103" w:rsidRPr="007E64AF" w:rsidRDefault="00F72103" w:rsidP="00F72103">
            <w:pPr>
              <w:pStyle w:val="sti-art"/>
              <w:shd w:val="clear" w:color="auto" w:fill="FFFFFF"/>
              <w:spacing w:before="0" w:beforeAutospacing="0" w:after="0" w:afterAutospacing="0"/>
              <w:jc w:val="center"/>
              <w:rPr>
                <w:b/>
                <w:bCs/>
                <w:color w:val="000000" w:themeColor="text1"/>
                <w:sz w:val="20"/>
                <w:szCs w:val="20"/>
                <w:lang w:val="en-US"/>
              </w:rPr>
            </w:pPr>
            <w:proofErr w:type="spellStart"/>
            <w:r w:rsidRPr="007E64AF">
              <w:rPr>
                <w:b/>
                <w:bCs/>
                <w:color w:val="000000" w:themeColor="text1"/>
                <w:sz w:val="20"/>
                <w:szCs w:val="20"/>
                <w:lang w:val="en-US"/>
              </w:rPr>
              <w:t>Definiții</w:t>
            </w:r>
            <w:proofErr w:type="spellEnd"/>
          </w:p>
          <w:p w14:paraId="00ACD87F" w14:textId="77777777" w:rsidR="006D32C4" w:rsidRPr="007E64AF" w:rsidRDefault="00F72103" w:rsidP="008072D8">
            <w:pPr>
              <w:suppressAutoHyphens w:val="0"/>
              <w:autoSpaceDN/>
              <w:spacing w:after="0" w:line="240" w:lineRule="auto"/>
              <w:jc w:val="both"/>
              <w:textAlignment w:val="auto"/>
              <w:rPr>
                <w:rFonts w:ascii="Times New Roman" w:hAnsi="Times New Roman"/>
                <w:color w:val="000000" w:themeColor="text1"/>
                <w:sz w:val="20"/>
                <w:szCs w:val="20"/>
                <w:shd w:val="clear" w:color="auto" w:fill="FFFFFF"/>
              </w:rPr>
            </w:pPr>
            <w:r w:rsidRPr="007E64AF">
              <w:rPr>
                <w:rFonts w:ascii="Times New Roman" w:hAnsi="Times New Roman"/>
                <w:color w:val="000000" w:themeColor="text1"/>
                <w:sz w:val="20"/>
                <w:szCs w:val="20"/>
                <w:shd w:val="clear" w:color="auto" w:fill="FFFFFF"/>
              </w:rPr>
              <w:t xml:space="preserve">Se </w:t>
            </w:r>
            <w:proofErr w:type="spellStart"/>
            <w:r w:rsidRPr="007E64AF">
              <w:rPr>
                <w:rFonts w:ascii="Times New Roman" w:hAnsi="Times New Roman"/>
                <w:color w:val="000000" w:themeColor="text1"/>
                <w:sz w:val="20"/>
                <w:szCs w:val="20"/>
                <w:shd w:val="clear" w:color="auto" w:fill="FFFFFF"/>
              </w:rPr>
              <w:t>aplică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următoarele</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definiții</w:t>
            </w:r>
            <w:proofErr w:type="spellEnd"/>
            <w:r w:rsidRPr="007E64AF">
              <w:rPr>
                <w:rFonts w:ascii="Times New Roman" w:hAnsi="Times New Roman"/>
                <w:color w:val="000000" w:themeColor="text1"/>
                <w:sz w:val="20"/>
                <w:szCs w:val="20"/>
                <w:shd w:val="clear" w:color="auto" w:fill="FFFFFF"/>
              </w:rPr>
              <w:t>:</w:t>
            </w:r>
          </w:p>
          <w:p w14:paraId="0A44537B" w14:textId="4185B1A2" w:rsidR="00F72103" w:rsidRPr="00F72103" w:rsidRDefault="00393B96" w:rsidP="008072D8">
            <w:pPr>
              <w:pStyle w:val="8"/>
              <w:spacing w:before="0" w:beforeAutospacing="0" w:after="0" w:afterAutospacing="0"/>
              <w:jc w:val="both"/>
              <w:rPr>
                <w:sz w:val="20"/>
                <w:szCs w:val="20"/>
              </w:rPr>
            </w:pPr>
            <w:r w:rsidRPr="007E64AF">
              <w:rPr>
                <w:color w:val="000000" w:themeColor="text1"/>
                <w:sz w:val="20"/>
                <w:szCs w:val="20"/>
              </w:rPr>
              <w:t>(1)</w:t>
            </w:r>
            <w:r w:rsidR="008072D8" w:rsidRPr="007E64AF">
              <w:rPr>
                <w:color w:val="000000" w:themeColor="text1"/>
                <w:sz w:val="20"/>
                <w:szCs w:val="20"/>
              </w:rPr>
              <w:t xml:space="preserve"> „</w:t>
            </w:r>
            <w:proofErr w:type="spellStart"/>
            <w:r w:rsidR="008072D8" w:rsidRPr="007E64AF">
              <w:rPr>
                <w:color w:val="000000" w:themeColor="text1"/>
                <w:sz w:val="20"/>
                <w:szCs w:val="20"/>
              </w:rPr>
              <w:t>politici</w:t>
            </w:r>
            <w:proofErr w:type="spellEnd"/>
            <w:r w:rsidR="008072D8" w:rsidRPr="007E64AF">
              <w:rPr>
                <w:color w:val="000000" w:themeColor="text1"/>
                <w:sz w:val="20"/>
                <w:szCs w:val="20"/>
              </w:rPr>
              <w:t xml:space="preserve"> și </w:t>
            </w:r>
            <w:proofErr w:type="spellStart"/>
            <w:r w:rsidR="008072D8" w:rsidRPr="007E64AF">
              <w:rPr>
                <w:color w:val="000000" w:themeColor="text1"/>
                <w:sz w:val="20"/>
                <w:szCs w:val="20"/>
              </w:rPr>
              <w:t>măsuri</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înseamnă</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toate</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instrumentele</w:t>
            </w:r>
            <w:proofErr w:type="spellEnd"/>
            <w:r w:rsidR="008072D8" w:rsidRPr="007E64AF">
              <w:rPr>
                <w:color w:val="000000" w:themeColor="text1"/>
                <w:sz w:val="20"/>
                <w:szCs w:val="20"/>
              </w:rPr>
              <w:t xml:space="preserve"> care </w:t>
            </w:r>
            <w:proofErr w:type="spellStart"/>
            <w:r w:rsidR="008072D8" w:rsidRPr="007E64AF">
              <w:rPr>
                <w:color w:val="000000" w:themeColor="text1"/>
                <w:sz w:val="20"/>
                <w:szCs w:val="20"/>
              </w:rPr>
              <w:t>contribuie</w:t>
            </w:r>
            <w:proofErr w:type="spellEnd"/>
            <w:r w:rsidR="008072D8" w:rsidRPr="007E64AF">
              <w:rPr>
                <w:color w:val="000000" w:themeColor="text1"/>
                <w:sz w:val="20"/>
                <w:szCs w:val="20"/>
              </w:rPr>
              <w:t xml:space="preserve"> la </w:t>
            </w:r>
            <w:proofErr w:type="spellStart"/>
            <w:r w:rsidR="008072D8" w:rsidRPr="007E64AF">
              <w:rPr>
                <w:color w:val="000000" w:themeColor="text1"/>
                <w:sz w:val="20"/>
                <w:szCs w:val="20"/>
              </w:rPr>
              <w:t>îndeplinirea</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obiectivelor</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planurilor</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naționale</w:t>
            </w:r>
            <w:proofErr w:type="spellEnd"/>
            <w:r w:rsidR="008072D8" w:rsidRPr="007E64AF">
              <w:rPr>
                <w:color w:val="000000" w:themeColor="text1"/>
                <w:sz w:val="20"/>
                <w:szCs w:val="20"/>
              </w:rPr>
              <w:t xml:space="preserve"> integrate </w:t>
            </w:r>
            <w:proofErr w:type="spellStart"/>
            <w:r w:rsidR="008072D8" w:rsidRPr="007E64AF">
              <w:rPr>
                <w:color w:val="000000" w:themeColor="text1"/>
                <w:sz w:val="20"/>
                <w:szCs w:val="20"/>
              </w:rPr>
              <w:t>privind</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energia</w:t>
            </w:r>
            <w:proofErr w:type="spellEnd"/>
            <w:r w:rsidR="008072D8" w:rsidRPr="007E64AF">
              <w:rPr>
                <w:color w:val="000000" w:themeColor="text1"/>
                <w:sz w:val="20"/>
                <w:szCs w:val="20"/>
              </w:rPr>
              <w:t xml:space="preserve"> și </w:t>
            </w:r>
            <w:proofErr w:type="spellStart"/>
            <w:r w:rsidR="008072D8" w:rsidRPr="007E64AF">
              <w:rPr>
                <w:color w:val="000000" w:themeColor="text1"/>
                <w:sz w:val="20"/>
                <w:szCs w:val="20"/>
              </w:rPr>
              <w:t>clima</w:t>
            </w:r>
            <w:proofErr w:type="spellEnd"/>
            <w:r w:rsidR="008072D8" w:rsidRPr="007E64AF">
              <w:rPr>
                <w:color w:val="000000" w:themeColor="text1"/>
                <w:sz w:val="20"/>
                <w:szCs w:val="20"/>
              </w:rPr>
              <w:t xml:space="preserve"> și/</w:t>
            </w:r>
            <w:proofErr w:type="spellStart"/>
            <w:r w:rsidR="008072D8" w:rsidRPr="007E64AF">
              <w:rPr>
                <w:color w:val="000000" w:themeColor="text1"/>
                <w:sz w:val="20"/>
                <w:szCs w:val="20"/>
              </w:rPr>
              <w:t>sau</w:t>
            </w:r>
            <w:proofErr w:type="spellEnd"/>
            <w:r w:rsidR="008072D8" w:rsidRPr="007E64AF">
              <w:rPr>
                <w:color w:val="000000" w:themeColor="text1"/>
                <w:sz w:val="20"/>
                <w:szCs w:val="20"/>
              </w:rPr>
              <w:t xml:space="preserve"> la </w:t>
            </w:r>
            <w:proofErr w:type="spellStart"/>
            <w:r w:rsidR="008072D8" w:rsidRPr="007E64AF">
              <w:rPr>
                <w:color w:val="000000" w:themeColor="text1"/>
                <w:sz w:val="20"/>
                <w:szCs w:val="20"/>
              </w:rPr>
              <w:t>punerea</w:t>
            </w:r>
            <w:proofErr w:type="spellEnd"/>
            <w:r w:rsidR="008072D8" w:rsidRPr="007E64AF">
              <w:rPr>
                <w:color w:val="000000" w:themeColor="text1"/>
                <w:sz w:val="20"/>
                <w:szCs w:val="20"/>
              </w:rPr>
              <w:t xml:space="preserve"> în </w:t>
            </w:r>
            <w:proofErr w:type="spellStart"/>
            <w:r w:rsidR="008072D8" w:rsidRPr="007E64AF">
              <w:rPr>
                <w:color w:val="000000" w:themeColor="text1"/>
                <w:sz w:val="20"/>
                <w:szCs w:val="20"/>
              </w:rPr>
              <w:t>aplicare</w:t>
            </w:r>
            <w:proofErr w:type="spellEnd"/>
            <w:r w:rsidR="008072D8" w:rsidRPr="007E64AF">
              <w:rPr>
                <w:color w:val="000000" w:themeColor="text1"/>
                <w:sz w:val="20"/>
                <w:szCs w:val="20"/>
              </w:rPr>
              <w:t xml:space="preserve"> </w:t>
            </w:r>
            <w:proofErr w:type="gramStart"/>
            <w:r w:rsidR="008072D8" w:rsidRPr="007E64AF">
              <w:rPr>
                <w:color w:val="000000" w:themeColor="text1"/>
                <w:sz w:val="20"/>
                <w:szCs w:val="20"/>
              </w:rPr>
              <w:t>a</w:t>
            </w:r>
            <w:proofErr w:type="gramEnd"/>
            <w:r w:rsidR="008072D8" w:rsidRPr="007E64AF">
              <w:rPr>
                <w:color w:val="000000" w:themeColor="text1"/>
                <w:sz w:val="20"/>
                <w:szCs w:val="20"/>
              </w:rPr>
              <w:t xml:space="preserve"> </w:t>
            </w:r>
            <w:proofErr w:type="spellStart"/>
            <w:r w:rsidR="008072D8" w:rsidRPr="007E64AF">
              <w:rPr>
                <w:color w:val="000000" w:themeColor="text1"/>
                <w:sz w:val="20"/>
                <w:szCs w:val="20"/>
              </w:rPr>
              <w:t>angajamentelor</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asumate</w:t>
            </w:r>
            <w:proofErr w:type="spellEnd"/>
            <w:r w:rsidR="008072D8" w:rsidRPr="007E64AF">
              <w:rPr>
                <w:color w:val="000000" w:themeColor="text1"/>
                <w:sz w:val="20"/>
                <w:szCs w:val="20"/>
              </w:rPr>
              <w:t xml:space="preserve"> în </w:t>
            </w:r>
            <w:proofErr w:type="spellStart"/>
            <w:r w:rsidR="008072D8" w:rsidRPr="007E64AF">
              <w:rPr>
                <w:color w:val="000000" w:themeColor="text1"/>
                <w:sz w:val="20"/>
                <w:szCs w:val="20"/>
              </w:rPr>
              <w:t>temeiul</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articolului</w:t>
            </w:r>
            <w:proofErr w:type="spellEnd"/>
            <w:r w:rsidR="008072D8" w:rsidRPr="007E64AF">
              <w:rPr>
                <w:color w:val="000000" w:themeColor="text1"/>
                <w:sz w:val="20"/>
                <w:szCs w:val="20"/>
              </w:rPr>
              <w:t xml:space="preserve"> 4 </w:t>
            </w:r>
            <w:proofErr w:type="spellStart"/>
            <w:r w:rsidR="008072D8" w:rsidRPr="007E64AF">
              <w:rPr>
                <w:color w:val="000000" w:themeColor="text1"/>
                <w:sz w:val="20"/>
                <w:szCs w:val="20"/>
              </w:rPr>
              <w:t>alineatul</w:t>
            </w:r>
            <w:proofErr w:type="spellEnd"/>
            <w:r w:rsidR="008072D8" w:rsidRPr="007E64AF">
              <w:rPr>
                <w:color w:val="000000" w:themeColor="text1"/>
                <w:sz w:val="20"/>
                <w:szCs w:val="20"/>
              </w:rPr>
              <w:t xml:space="preserve"> (2) </w:t>
            </w:r>
            <w:proofErr w:type="spellStart"/>
            <w:r w:rsidR="008072D8" w:rsidRPr="007E64AF">
              <w:rPr>
                <w:color w:val="000000" w:themeColor="text1"/>
                <w:sz w:val="20"/>
                <w:szCs w:val="20"/>
              </w:rPr>
              <w:t>literele</w:t>
            </w:r>
            <w:proofErr w:type="spellEnd"/>
            <w:r w:rsidR="008072D8" w:rsidRPr="007E64AF">
              <w:rPr>
                <w:color w:val="000000" w:themeColor="text1"/>
                <w:sz w:val="20"/>
                <w:szCs w:val="20"/>
              </w:rPr>
              <w:t xml:space="preserve"> (a) și(b) din CCONUSC, care le pot include pe </w:t>
            </w:r>
            <w:proofErr w:type="spellStart"/>
            <w:r w:rsidR="008072D8" w:rsidRPr="007E64AF">
              <w:rPr>
                <w:color w:val="000000" w:themeColor="text1"/>
                <w:sz w:val="20"/>
                <w:szCs w:val="20"/>
              </w:rPr>
              <w:t>cele</w:t>
            </w:r>
            <w:proofErr w:type="spellEnd"/>
            <w:r w:rsidR="008072D8" w:rsidRPr="007E64AF">
              <w:rPr>
                <w:color w:val="000000" w:themeColor="text1"/>
                <w:sz w:val="20"/>
                <w:szCs w:val="20"/>
              </w:rPr>
              <w:t xml:space="preserve"> care nu au ca </w:t>
            </w:r>
            <w:proofErr w:type="spellStart"/>
            <w:r w:rsidR="008072D8" w:rsidRPr="007E64AF">
              <w:rPr>
                <w:color w:val="000000" w:themeColor="text1"/>
                <w:sz w:val="20"/>
                <w:szCs w:val="20"/>
              </w:rPr>
              <w:t>obiectiv</w:t>
            </w:r>
            <w:proofErr w:type="spellEnd"/>
            <w:r w:rsidR="008072D8" w:rsidRPr="007E64AF">
              <w:rPr>
                <w:color w:val="000000" w:themeColor="text1"/>
                <w:sz w:val="20"/>
                <w:szCs w:val="20"/>
              </w:rPr>
              <w:t xml:space="preserve"> principal </w:t>
            </w:r>
            <w:proofErr w:type="spellStart"/>
            <w:r w:rsidR="008072D8" w:rsidRPr="007E64AF">
              <w:rPr>
                <w:color w:val="000000" w:themeColor="text1"/>
                <w:sz w:val="20"/>
                <w:szCs w:val="20"/>
              </w:rPr>
              <w:t>limitarea</w:t>
            </w:r>
            <w:proofErr w:type="spellEnd"/>
            <w:r w:rsidR="008072D8" w:rsidRPr="007E64AF">
              <w:rPr>
                <w:color w:val="000000" w:themeColor="text1"/>
                <w:sz w:val="20"/>
                <w:szCs w:val="20"/>
              </w:rPr>
              <w:t xml:space="preserve"> și </w:t>
            </w:r>
            <w:proofErr w:type="spellStart"/>
            <w:r w:rsidR="008072D8" w:rsidRPr="007E64AF">
              <w:rPr>
                <w:color w:val="000000" w:themeColor="text1"/>
                <w:sz w:val="20"/>
                <w:szCs w:val="20"/>
              </w:rPr>
              <w:t>reducerea</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emisiilor</w:t>
            </w:r>
            <w:proofErr w:type="spellEnd"/>
            <w:r w:rsidR="008072D8" w:rsidRPr="007E64AF">
              <w:rPr>
                <w:color w:val="000000" w:themeColor="text1"/>
                <w:sz w:val="20"/>
                <w:szCs w:val="20"/>
              </w:rPr>
              <w:t xml:space="preserve"> de gaze cu </w:t>
            </w:r>
            <w:proofErr w:type="spellStart"/>
            <w:r w:rsidR="008072D8" w:rsidRPr="007E64AF">
              <w:rPr>
                <w:color w:val="000000" w:themeColor="text1"/>
                <w:sz w:val="20"/>
                <w:szCs w:val="20"/>
              </w:rPr>
              <w:t>efect</w:t>
            </w:r>
            <w:proofErr w:type="spellEnd"/>
            <w:r w:rsidR="008072D8" w:rsidRPr="007E64AF">
              <w:rPr>
                <w:color w:val="000000" w:themeColor="text1"/>
                <w:sz w:val="20"/>
                <w:szCs w:val="20"/>
              </w:rPr>
              <w:t xml:space="preserve"> de </w:t>
            </w:r>
            <w:proofErr w:type="spellStart"/>
            <w:r w:rsidR="008072D8" w:rsidRPr="007E64AF">
              <w:rPr>
                <w:color w:val="000000" w:themeColor="text1"/>
                <w:sz w:val="20"/>
                <w:szCs w:val="20"/>
              </w:rPr>
              <w:t>seră</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sau</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modificarea</w:t>
            </w:r>
            <w:proofErr w:type="spellEnd"/>
            <w:r w:rsidR="008072D8" w:rsidRPr="007E64AF">
              <w:rPr>
                <w:color w:val="000000" w:themeColor="text1"/>
                <w:sz w:val="20"/>
                <w:szCs w:val="20"/>
              </w:rPr>
              <w:t xml:space="preserve"> </w:t>
            </w:r>
            <w:proofErr w:type="spellStart"/>
            <w:r w:rsidR="008072D8" w:rsidRPr="007E64AF">
              <w:rPr>
                <w:color w:val="000000" w:themeColor="text1"/>
                <w:sz w:val="20"/>
                <w:szCs w:val="20"/>
              </w:rPr>
              <w:t>sistemului</w:t>
            </w:r>
            <w:proofErr w:type="spellEnd"/>
            <w:r w:rsidR="008072D8" w:rsidRPr="007E64AF">
              <w:rPr>
                <w:color w:val="000000" w:themeColor="text1"/>
                <w:sz w:val="20"/>
                <w:szCs w:val="20"/>
              </w:rPr>
              <w:t xml:space="preserve"> energetic;</w:t>
            </w:r>
          </w:p>
        </w:tc>
        <w:tc>
          <w:tcPr>
            <w:tcW w:w="4541" w:type="dxa"/>
            <w:shd w:val="clear" w:color="auto" w:fill="auto"/>
          </w:tcPr>
          <w:p w14:paraId="7A434004" w14:textId="35188E00" w:rsidR="008E69D1" w:rsidRPr="00017B96" w:rsidRDefault="008E69D1" w:rsidP="00017B96">
            <w:pPr>
              <w:pStyle w:val="af3"/>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6FFC4619" w14:textId="77777777" w:rsidR="00392D8D" w:rsidRPr="00C951E7" w:rsidRDefault="00392D8D" w:rsidP="00392D8D">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0FBCB59" w14:textId="3C3247E1" w:rsidR="008E69D1" w:rsidRPr="00C951E7" w:rsidRDefault="008E69D1" w:rsidP="00925A21">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6B4CC67" w14:textId="6564F79E" w:rsidR="008E69D1" w:rsidRPr="00AC24A4" w:rsidRDefault="008E69D1"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11278A9" w14:textId="49A0D8CD" w:rsidR="00AC24A4" w:rsidRPr="00AC24A4" w:rsidRDefault="00293C8B" w:rsidP="00925A21">
            <w:pPr>
              <w:autoSpaceDE w:val="0"/>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eastAsia="ru-RU"/>
              </w:rPr>
              <w:t xml:space="preserve">Noțiunea </w:t>
            </w:r>
            <w:r w:rsidRPr="00017B96">
              <w:rPr>
                <w:rFonts w:ascii="Times New Roman" w:hAnsi="Times New Roman"/>
                <w:i/>
                <w:iCs/>
                <w:sz w:val="20"/>
                <w:szCs w:val="20"/>
                <w:lang w:val="ro-RO"/>
              </w:rPr>
              <w:t xml:space="preserve"> </w:t>
            </w:r>
            <w:r>
              <w:rPr>
                <w:rFonts w:ascii="Times New Roman" w:hAnsi="Times New Roman"/>
                <w:i/>
                <w:iCs/>
                <w:sz w:val="20"/>
                <w:szCs w:val="20"/>
                <w:lang w:val="ro-RO"/>
              </w:rPr>
              <w:t>„</w:t>
            </w:r>
            <w:r w:rsidRPr="001102BE">
              <w:rPr>
                <w:rFonts w:ascii="Times New Roman" w:hAnsi="Times New Roman"/>
                <w:sz w:val="20"/>
                <w:szCs w:val="20"/>
                <w:lang w:val="ro-RO"/>
              </w:rPr>
              <w:t>politici și măsuri</w:t>
            </w:r>
            <w:r w:rsidR="002B2A7A">
              <w:rPr>
                <w:rFonts w:ascii="Times New Roman" w:hAnsi="Times New Roman"/>
                <w:sz w:val="20"/>
                <w:szCs w:val="20"/>
                <w:lang w:val="ro-RO"/>
              </w:rPr>
              <w:t>”</w:t>
            </w:r>
            <w:r w:rsidRPr="00017B96">
              <w:rPr>
                <w:rFonts w:ascii="Times New Roman" w:hAnsi="Times New Roman"/>
                <w:b/>
                <w:bCs/>
                <w:i/>
                <w:iCs/>
                <w:sz w:val="20"/>
                <w:szCs w:val="20"/>
                <w:lang w:val="ro-RO"/>
              </w:rPr>
              <w:t xml:space="preserve"> </w:t>
            </w:r>
            <w:r>
              <w:rPr>
                <w:rFonts w:ascii="Times New Roman" w:eastAsia="Times New Roman" w:hAnsi="Times New Roman"/>
                <w:sz w:val="20"/>
                <w:szCs w:val="20"/>
                <w:lang w:val="ro-RO" w:eastAsia="ru-RU"/>
              </w:rPr>
              <w:t xml:space="preserve">a fost transpusă în Legea </w:t>
            </w:r>
            <w:r w:rsidRPr="000921E9">
              <w:rPr>
                <w:rFonts w:ascii="Times New Roman" w:eastAsia="Times New Roman" w:hAnsi="Times New Roman"/>
                <w:bCs/>
                <w:sz w:val="20"/>
                <w:szCs w:val="20"/>
                <w:lang w:val="ro-MD"/>
              </w:rPr>
              <w:t xml:space="preserve"> nr.174/2017 cu privire la energetică</w:t>
            </w:r>
          </w:p>
        </w:tc>
        <w:tc>
          <w:tcPr>
            <w:tcW w:w="1464" w:type="dxa"/>
            <w:shd w:val="clear" w:color="auto" w:fill="auto"/>
          </w:tcPr>
          <w:p w14:paraId="5196A4DC" w14:textId="788BB970" w:rsidR="000A3C73" w:rsidRPr="003F755D" w:rsidRDefault="000A3C73" w:rsidP="000A3C73">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3F6EFAE1" w14:textId="1F9B6860" w:rsidR="00392D8D" w:rsidRDefault="00392D8D" w:rsidP="003F755D">
            <w:pPr>
              <w:autoSpaceDE w:val="0"/>
              <w:spacing w:after="0" w:line="240" w:lineRule="auto"/>
              <w:rPr>
                <w:rFonts w:ascii="Times New Roman" w:hAnsi="Times New Roman"/>
                <w:sz w:val="20"/>
                <w:szCs w:val="20"/>
                <w:lang w:val="fr-FR"/>
              </w:rPr>
            </w:pPr>
          </w:p>
          <w:p w14:paraId="20607915" w14:textId="77777777" w:rsidR="00392D8D" w:rsidRPr="003F755D" w:rsidRDefault="00392D8D" w:rsidP="00392D8D">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7FFEE2A" w14:textId="77777777" w:rsidR="00392D8D" w:rsidRPr="003F755D" w:rsidRDefault="00392D8D" w:rsidP="003F755D">
            <w:pPr>
              <w:autoSpaceDE w:val="0"/>
              <w:spacing w:after="0" w:line="240" w:lineRule="auto"/>
              <w:rPr>
                <w:rFonts w:ascii="Times New Roman" w:hAnsi="Times New Roman"/>
                <w:sz w:val="20"/>
                <w:szCs w:val="20"/>
                <w:shd w:val="clear" w:color="auto" w:fill="FFFFFF"/>
                <w:lang w:val="ro-RO"/>
              </w:rPr>
            </w:pPr>
          </w:p>
          <w:p w14:paraId="7D896243" w14:textId="77777777" w:rsidR="003F755D" w:rsidRPr="003F755D" w:rsidRDefault="003F755D" w:rsidP="003F755D">
            <w:pPr>
              <w:autoSpaceDE w:val="0"/>
              <w:spacing w:after="0" w:line="240" w:lineRule="auto"/>
              <w:rPr>
                <w:rFonts w:ascii="Times New Roman" w:hAnsi="Times New Roman"/>
                <w:sz w:val="20"/>
                <w:szCs w:val="20"/>
                <w:shd w:val="clear" w:color="auto" w:fill="FFFFFF"/>
                <w:lang w:val="ro-RO"/>
              </w:rPr>
            </w:pPr>
          </w:p>
          <w:p w14:paraId="6CABF09D" w14:textId="0EDA7D6E" w:rsidR="008E69D1" w:rsidRPr="00C951E7" w:rsidRDefault="008E69D1" w:rsidP="008E5448">
            <w:pPr>
              <w:autoSpaceDE w:val="0"/>
              <w:spacing w:after="0" w:line="240" w:lineRule="auto"/>
              <w:rPr>
                <w:rFonts w:ascii="Times New Roman" w:hAnsi="Times New Roman"/>
                <w:b/>
                <w:bCs/>
                <w:sz w:val="20"/>
                <w:szCs w:val="20"/>
                <w:lang w:val="ro-RO"/>
              </w:rPr>
            </w:pPr>
          </w:p>
        </w:tc>
      </w:tr>
      <w:tr w:rsidR="00E31067" w:rsidRPr="007A690D" w14:paraId="4F1B1FA1" w14:textId="77777777" w:rsidTr="002B1ABB">
        <w:trPr>
          <w:trHeight w:val="660"/>
        </w:trPr>
        <w:tc>
          <w:tcPr>
            <w:tcW w:w="4810" w:type="dxa"/>
            <w:shd w:val="clear" w:color="auto" w:fill="auto"/>
          </w:tcPr>
          <w:p w14:paraId="60531244" w14:textId="4B081CCE" w:rsidR="00E31067" w:rsidRPr="00745D9A" w:rsidRDefault="00393B96" w:rsidP="00925A21">
            <w:pPr>
              <w:shd w:val="clear" w:color="auto" w:fill="FFFFFF"/>
              <w:spacing w:after="0" w:line="240" w:lineRule="auto"/>
              <w:jc w:val="both"/>
              <w:rPr>
                <w:rFonts w:ascii="Times New Roman" w:hAnsi="Times New Roman"/>
                <w:sz w:val="20"/>
                <w:szCs w:val="20"/>
                <w:lang w:val="fr-FR"/>
              </w:rPr>
            </w:pPr>
            <w:r w:rsidRPr="007E64AF">
              <w:rPr>
                <w:rFonts w:ascii="Times New Roman" w:hAnsi="Times New Roman"/>
                <w:color w:val="000000" w:themeColor="text1"/>
                <w:sz w:val="20"/>
                <w:szCs w:val="20"/>
                <w:shd w:val="clear" w:color="auto" w:fill="FFFFFF"/>
                <w:lang w:val="fr-FR"/>
              </w:rPr>
              <w:t>(</w:t>
            </w:r>
            <w:proofErr w:type="gramStart"/>
            <w:r w:rsidRPr="007E64AF">
              <w:rPr>
                <w:rFonts w:ascii="Times New Roman" w:hAnsi="Times New Roman"/>
                <w:color w:val="000000" w:themeColor="text1"/>
                <w:sz w:val="20"/>
                <w:szCs w:val="20"/>
                <w:shd w:val="clear" w:color="auto" w:fill="FFFFFF"/>
                <w:lang w:val="fr-FR"/>
              </w:rPr>
              <w:t>2)</w:t>
            </w:r>
            <w:r w:rsidR="00291211" w:rsidRPr="007E64AF">
              <w:rPr>
                <w:rFonts w:ascii="Times New Roman" w:hAnsi="Times New Roman"/>
                <w:color w:val="000000" w:themeColor="text1"/>
                <w:sz w:val="20"/>
                <w:szCs w:val="20"/>
                <w:shd w:val="clear" w:color="auto" w:fill="FFFFFF"/>
                <w:lang w:val="fr-FR"/>
              </w:rPr>
              <w:t>„</w:t>
            </w:r>
            <w:proofErr w:type="spellStart"/>
            <w:proofErr w:type="gramEnd"/>
            <w:r w:rsidR="00291211" w:rsidRPr="007E64AF">
              <w:rPr>
                <w:rFonts w:ascii="Times New Roman" w:hAnsi="Times New Roman"/>
                <w:color w:val="000000" w:themeColor="text1"/>
                <w:sz w:val="20"/>
                <w:szCs w:val="20"/>
                <w:shd w:val="clear" w:color="auto" w:fill="FFFFFF"/>
                <w:lang w:val="fr-FR"/>
              </w:rPr>
              <w:t>politici</w:t>
            </w:r>
            <w:proofErr w:type="spellEnd"/>
            <w:r w:rsidR="00291211" w:rsidRPr="007E64AF">
              <w:rPr>
                <w:rFonts w:ascii="Times New Roman" w:hAnsi="Times New Roman"/>
                <w:color w:val="000000" w:themeColor="text1"/>
                <w:sz w:val="20"/>
                <w:szCs w:val="20"/>
                <w:shd w:val="clear" w:color="auto" w:fill="FFFFFF"/>
                <w:lang w:val="fr-FR"/>
              </w:rPr>
              <w:t xml:space="preserve"> și </w:t>
            </w:r>
            <w:proofErr w:type="spellStart"/>
            <w:r w:rsidR="00291211" w:rsidRPr="007E64AF">
              <w:rPr>
                <w:rFonts w:ascii="Times New Roman" w:hAnsi="Times New Roman"/>
                <w:color w:val="000000" w:themeColor="text1"/>
                <w:sz w:val="20"/>
                <w:szCs w:val="20"/>
                <w:shd w:val="clear" w:color="auto" w:fill="FFFFFF"/>
                <w:lang w:val="fr-FR"/>
              </w:rPr>
              <w:t>măsuri</w:t>
            </w:r>
            <w:proofErr w:type="spellEnd"/>
            <w:r w:rsidR="00291211" w:rsidRPr="007E64AF">
              <w:rPr>
                <w:rFonts w:ascii="Times New Roman" w:hAnsi="Times New Roman"/>
                <w:color w:val="000000" w:themeColor="text1"/>
                <w:sz w:val="20"/>
                <w:szCs w:val="20"/>
                <w:shd w:val="clear" w:color="auto" w:fill="FFFFFF"/>
                <w:lang w:val="fr-FR"/>
              </w:rPr>
              <w:t xml:space="preserve"> </w:t>
            </w:r>
            <w:proofErr w:type="spellStart"/>
            <w:r w:rsidR="00291211" w:rsidRPr="007E64AF">
              <w:rPr>
                <w:rFonts w:ascii="Times New Roman" w:hAnsi="Times New Roman"/>
                <w:color w:val="000000" w:themeColor="text1"/>
                <w:sz w:val="20"/>
                <w:szCs w:val="20"/>
                <w:shd w:val="clear" w:color="auto" w:fill="FFFFFF"/>
                <w:lang w:val="fr-FR"/>
              </w:rPr>
              <w:t>existente</w:t>
            </w:r>
            <w:proofErr w:type="spellEnd"/>
            <w:r w:rsidR="00291211" w:rsidRPr="007E64AF">
              <w:rPr>
                <w:rFonts w:ascii="Times New Roman" w:hAnsi="Times New Roman"/>
                <w:color w:val="000000" w:themeColor="text1"/>
                <w:sz w:val="20"/>
                <w:szCs w:val="20"/>
                <w:shd w:val="clear" w:color="auto" w:fill="FFFFFF"/>
                <w:lang w:val="fr-FR"/>
              </w:rPr>
              <w:t xml:space="preserve">” </w:t>
            </w:r>
            <w:proofErr w:type="spellStart"/>
            <w:r w:rsidR="00291211" w:rsidRPr="007E64AF">
              <w:rPr>
                <w:rFonts w:ascii="Times New Roman" w:hAnsi="Times New Roman"/>
                <w:color w:val="000000" w:themeColor="text1"/>
                <w:sz w:val="20"/>
                <w:szCs w:val="20"/>
                <w:shd w:val="clear" w:color="auto" w:fill="FFFFFF"/>
                <w:lang w:val="fr-FR"/>
              </w:rPr>
              <w:t>înseamnă</w:t>
            </w:r>
            <w:proofErr w:type="spellEnd"/>
            <w:r w:rsidR="00291211" w:rsidRPr="007E64AF">
              <w:rPr>
                <w:rFonts w:ascii="Times New Roman" w:hAnsi="Times New Roman"/>
                <w:color w:val="000000" w:themeColor="text1"/>
                <w:sz w:val="20"/>
                <w:szCs w:val="20"/>
                <w:shd w:val="clear" w:color="auto" w:fill="FFFFFF"/>
                <w:lang w:val="fr-FR"/>
              </w:rPr>
              <w:t xml:space="preserve"> </w:t>
            </w:r>
            <w:proofErr w:type="spellStart"/>
            <w:r w:rsidR="00291211" w:rsidRPr="007E64AF">
              <w:rPr>
                <w:rFonts w:ascii="Times New Roman" w:hAnsi="Times New Roman"/>
                <w:color w:val="000000" w:themeColor="text1"/>
                <w:sz w:val="20"/>
                <w:szCs w:val="20"/>
                <w:shd w:val="clear" w:color="auto" w:fill="FFFFFF"/>
                <w:lang w:val="fr-FR"/>
              </w:rPr>
              <w:t>politici</w:t>
            </w:r>
            <w:proofErr w:type="spellEnd"/>
            <w:r w:rsidR="00291211" w:rsidRPr="007E64AF">
              <w:rPr>
                <w:rFonts w:ascii="Times New Roman" w:hAnsi="Times New Roman"/>
                <w:color w:val="000000" w:themeColor="text1"/>
                <w:sz w:val="20"/>
                <w:szCs w:val="20"/>
                <w:shd w:val="clear" w:color="auto" w:fill="FFFFFF"/>
                <w:lang w:val="fr-FR"/>
              </w:rPr>
              <w:t xml:space="preserve"> și </w:t>
            </w:r>
            <w:proofErr w:type="spellStart"/>
            <w:r w:rsidR="00291211" w:rsidRPr="007E64AF">
              <w:rPr>
                <w:rFonts w:ascii="Times New Roman" w:hAnsi="Times New Roman"/>
                <w:color w:val="000000" w:themeColor="text1"/>
                <w:sz w:val="20"/>
                <w:szCs w:val="20"/>
                <w:shd w:val="clear" w:color="auto" w:fill="FFFFFF"/>
                <w:lang w:val="fr-FR"/>
              </w:rPr>
              <w:t>măsuri</w:t>
            </w:r>
            <w:proofErr w:type="spellEnd"/>
            <w:r w:rsidR="00291211" w:rsidRPr="007E64AF">
              <w:rPr>
                <w:rFonts w:ascii="Times New Roman" w:hAnsi="Times New Roman"/>
                <w:color w:val="000000" w:themeColor="text1"/>
                <w:sz w:val="20"/>
                <w:szCs w:val="20"/>
                <w:shd w:val="clear" w:color="auto" w:fill="FFFFFF"/>
                <w:lang w:val="fr-FR"/>
              </w:rPr>
              <w:t xml:space="preserve"> </w:t>
            </w:r>
            <w:proofErr w:type="spellStart"/>
            <w:r w:rsidR="00291211" w:rsidRPr="007E64AF">
              <w:rPr>
                <w:rFonts w:ascii="Times New Roman" w:hAnsi="Times New Roman"/>
                <w:color w:val="000000" w:themeColor="text1"/>
                <w:sz w:val="20"/>
                <w:szCs w:val="20"/>
                <w:shd w:val="clear" w:color="auto" w:fill="FFFFFF"/>
                <w:lang w:val="fr-FR"/>
              </w:rPr>
              <w:t>puse</w:t>
            </w:r>
            <w:proofErr w:type="spellEnd"/>
            <w:r w:rsidR="00291211" w:rsidRPr="007E64AF">
              <w:rPr>
                <w:rFonts w:ascii="Times New Roman" w:hAnsi="Times New Roman"/>
                <w:color w:val="000000" w:themeColor="text1"/>
                <w:sz w:val="20"/>
                <w:szCs w:val="20"/>
                <w:shd w:val="clear" w:color="auto" w:fill="FFFFFF"/>
                <w:lang w:val="fr-FR"/>
              </w:rPr>
              <w:t xml:space="preserve"> în </w:t>
            </w:r>
            <w:proofErr w:type="spellStart"/>
            <w:r w:rsidR="00291211" w:rsidRPr="007E64AF">
              <w:rPr>
                <w:rFonts w:ascii="Times New Roman" w:hAnsi="Times New Roman"/>
                <w:color w:val="000000" w:themeColor="text1"/>
                <w:sz w:val="20"/>
                <w:szCs w:val="20"/>
                <w:shd w:val="clear" w:color="auto" w:fill="FFFFFF"/>
                <w:lang w:val="fr-FR"/>
              </w:rPr>
              <w:t>aplicare</w:t>
            </w:r>
            <w:proofErr w:type="spellEnd"/>
            <w:r w:rsidR="00291211" w:rsidRPr="007E64AF">
              <w:rPr>
                <w:rFonts w:ascii="Times New Roman" w:hAnsi="Times New Roman"/>
                <w:color w:val="000000" w:themeColor="text1"/>
                <w:sz w:val="20"/>
                <w:szCs w:val="20"/>
                <w:shd w:val="clear" w:color="auto" w:fill="FFFFFF"/>
                <w:lang w:val="fr-FR"/>
              </w:rPr>
              <w:t xml:space="preserve"> și </w:t>
            </w:r>
            <w:proofErr w:type="spellStart"/>
            <w:r w:rsidR="00291211" w:rsidRPr="007E64AF">
              <w:rPr>
                <w:rFonts w:ascii="Times New Roman" w:hAnsi="Times New Roman"/>
                <w:color w:val="000000" w:themeColor="text1"/>
                <w:sz w:val="20"/>
                <w:szCs w:val="20"/>
                <w:shd w:val="clear" w:color="auto" w:fill="FFFFFF"/>
                <w:lang w:val="fr-FR"/>
              </w:rPr>
              <w:t>politici</w:t>
            </w:r>
            <w:proofErr w:type="spellEnd"/>
            <w:r w:rsidR="00291211" w:rsidRPr="007E64AF">
              <w:rPr>
                <w:rFonts w:ascii="Times New Roman" w:hAnsi="Times New Roman"/>
                <w:color w:val="000000" w:themeColor="text1"/>
                <w:sz w:val="20"/>
                <w:szCs w:val="20"/>
                <w:shd w:val="clear" w:color="auto" w:fill="FFFFFF"/>
                <w:lang w:val="fr-FR"/>
              </w:rPr>
              <w:t xml:space="preserve"> și </w:t>
            </w:r>
            <w:proofErr w:type="spellStart"/>
            <w:r w:rsidR="00291211" w:rsidRPr="007E64AF">
              <w:rPr>
                <w:rFonts w:ascii="Times New Roman" w:hAnsi="Times New Roman"/>
                <w:color w:val="000000" w:themeColor="text1"/>
                <w:sz w:val="20"/>
                <w:szCs w:val="20"/>
                <w:shd w:val="clear" w:color="auto" w:fill="FFFFFF"/>
                <w:lang w:val="fr-FR"/>
              </w:rPr>
              <w:t>măsuri</w:t>
            </w:r>
            <w:proofErr w:type="spellEnd"/>
            <w:r w:rsidR="00291211" w:rsidRPr="007E64AF">
              <w:rPr>
                <w:rFonts w:ascii="Times New Roman" w:hAnsi="Times New Roman"/>
                <w:color w:val="000000" w:themeColor="text1"/>
                <w:sz w:val="20"/>
                <w:szCs w:val="20"/>
                <w:shd w:val="clear" w:color="auto" w:fill="FFFFFF"/>
                <w:lang w:val="fr-FR"/>
              </w:rPr>
              <w:t xml:space="preserve"> </w:t>
            </w:r>
            <w:proofErr w:type="spellStart"/>
            <w:r w:rsidR="00291211" w:rsidRPr="007E64AF">
              <w:rPr>
                <w:rFonts w:ascii="Times New Roman" w:hAnsi="Times New Roman"/>
                <w:color w:val="000000" w:themeColor="text1"/>
                <w:sz w:val="20"/>
                <w:szCs w:val="20"/>
                <w:shd w:val="clear" w:color="auto" w:fill="FFFFFF"/>
                <w:lang w:val="fr-FR"/>
              </w:rPr>
              <w:t>adoptate</w:t>
            </w:r>
            <w:proofErr w:type="spellEnd"/>
            <w:r w:rsidR="00291211" w:rsidRPr="007E64AF">
              <w:rPr>
                <w:rFonts w:ascii="Times New Roman" w:hAnsi="Times New Roman"/>
                <w:color w:val="000000" w:themeColor="text1"/>
                <w:sz w:val="20"/>
                <w:szCs w:val="20"/>
                <w:shd w:val="clear" w:color="auto" w:fill="FFFFFF"/>
                <w:lang w:val="fr-FR"/>
              </w:rPr>
              <w:t>;</w:t>
            </w:r>
          </w:p>
        </w:tc>
        <w:tc>
          <w:tcPr>
            <w:tcW w:w="4541" w:type="dxa"/>
            <w:shd w:val="clear" w:color="auto" w:fill="auto"/>
          </w:tcPr>
          <w:p w14:paraId="6DF0B595" w14:textId="31ACE1AF" w:rsidR="00E31067" w:rsidRPr="0012754A" w:rsidRDefault="00E31067" w:rsidP="0012754A">
            <w:pPr>
              <w:shd w:val="clear" w:color="auto" w:fill="FFFFFF"/>
              <w:spacing w:after="0" w:line="240" w:lineRule="auto"/>
              <w:jc w:val="both"/>
              <w:rPr>
                <w:rFonts w:ascii="Times New Roman" w:hAnsi="Times New Roman"/>
                <w:color w:val="333333"/>
                <w:sz w:val="20"/>
                <w:szCs w:val="20"/>
                <w:shd w:val="clear" w:color="auto" w:fill="FFFFFF"/>
                <w:lang w:val="ro-RO"/>
              </w:rPr>
            </w:pPr>
          </w:p>
        </w:tc>
        <w:tc>
          <w:tcPr>
            <w:tcW w:w="1276" w:type="dxa"/>
            <w:shd w:val="clear" w:color="auto" w:fill="auto"/>
          </w:tcPr>
          <w:p w14:paraId="4F67480C" w14:textId="77777777" w:rsidR="00392D8D" w:rsidRPr="00C951E7" w:rsidRDefault="00392D8D" w:rsidP="00392D8D">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46731123" w14:textId="0B9ADEF0" w:rsidR="00E31067" w:rsidRPr="00C951E7" w:rsidRDefault="00E31067" w:rsidP="00014522">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76536DE" w14:textId="706B61AE" w:rsidR="00E31067" w:rsidRPr="00C951E7" w:rsidRDefault="00E31067"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0F6C39C" w14:textId="04A5E011" w:rsidR="00E31067" w:rsidRPr="007476B2" w:rsidRDefault="002B2A7A" w:rsidP="00014522">
            <w:pPr>
              <w:autoSpaceDE w:val="0"/>
              <w:spacing w:after="0" w:line="240" w:lineRule="auto"/>
              <w:rPr>
                <w:rFonts w:ascii="Times New Roman" w:eastAsia="Times New Roman" w:hAnsi="Times New Roman"/>
                <w:sz w:val="20"/>
                <w:szCs w:val="20"/>
                <w:lang w:val="ro-RO"/>
              </w:rPr>
            </w:pPr>
            <w:r w:rsidRPr="007476B2">
              <w:rPr>
                <w:rFonts w:ascii="Times New Roman" w:eastAsia="Times New Roman" w:hAnsi="Times New Roman"/>
                <w:color w:val="000000" w:themeColor="text1"/>
                <w:sz w:val="20"/>
                <w:szCs w:val="20"/>
                <w:lang w:val="ro-RO" w:eastAsia="ru-RU"/>
              </w:rPr>
              <w:t>Noțiunea</w:t>
            </w:r>
            <w:r w:rsidRPr="007476B2">
              <w:rPr>
                <w:rFonts w:ascii="Times New Roman" w:hAnsi="Times New Roman"/>
                <w:color w:val="000000" w:themeColor="text1"/>
                <w:sz w:val="20"/>
                <w:szCs w:val="20"/>
              </w:rPr>
              <w:t xml:space="preserve"> “</w:t>
            </w:r>
            <w:r w:rsidRPr="007476B2">
              <w:rPr>
                <w:rFonts w:ascii="Times New Roman" w:hAnsi="Times New Roman"/>
                <w:color w:val="000000" w:themeColor="text1"/>
                <w:sz w:val="20"/>
                <w:szCs w:val="20"/>
                <w:shd w:val="clear" w:color="auto" w:fill="FFFFFF"/>
                <w:lang w:val="fr-FR"/>
              </w:rPr>
              <w:t xml:space="preserve"> </w:t>
            </w:r>
            <w:proofErr w:type="spellStart"/>
            <w:r w:rsidRPr="007476B2">
              <w:rPr>
                <w:rFonts w:ascii="Times New Roman" w:hAnsi="Times New Roman"/>
                <w:color w:val="000000" w:themeColor="text1"/>
                <w:sz w:val="20"/>
                <w:szCs w:val="20"/>
                <w:shd w:val="clear" w:color="auto" w:fill="FFFFFF"/>
                <w:lang w:val="fr-FR"/>
              </w:rPr>
              <w:t>politici</w:t>
            </w:r>
            <w:proofErr w:type="spellEnd"/>
            <w:r w:rsidRPr="007476B2">
              <w:rPr>
                <w:rFonts w:ascii="Times New Roman" w:hAnsi="Times New Roman"/>
                <w:color w:val="000000" w:themeColor="text1"/>
                <w:sz w:val="20"/>
                <w:szCs w:val="20"/>
                <w:shd w:val="clear" w:color="auto" w:fill="FFFFFF"/>
                <w:lang w:val="fr-FR"/>
              </w:rPr>
              <w:t xml:space="preserve"> și </w:t>
            </w:r>
            <w:proofErr w:type="spellStart"/>
            <w:r w:rsidRPr="007476B2">
              <w:rPr>
                <w:rFonts w:ascii="Times New Roman" w:hAnsi="Times New Roman"/>
                <w:color w:val="000000" w:themeColor="text1"/>
                <w:sz w:val="20"/>
                <w:szCs w:val="20"/>
                <w:shd w:val="clear" w:color="auto" w:fill="FFFFFF"/>
                <w:lang w:val="fr-FR"/>
              </w:rPr>
              <w:t>măsuri</w:t>
            </w:r>
            <w:proofErr w:type="spellEnd"/>
            <w:r w:rsidRPr="007476B2">
              <w:rPr>
                <w:rFonts w:ascii="Times New Roman" w:hAnsi="Times New Roman"/>
                <w:color w:val="000000" w:themeColor="text1"/>
                <w:sz w:val="20"/>
                <w:szCs w:val="20"/>
                <w:shd w:val="clear" w:color="auto" w:fill="FFFFFF"/>
                <w:lang w:val="fr-FR"/>
              </w:rPr>
              <w:t xml:space="preserve"> </w:t>
            </w:r>
            <w:proofErr w:type="spellStart"/>
            <w:r w:rsidRPr="007476B2">
              <w:rPr>
                <w:rFonts w:ascii="Times New Roman" w:hAnsi="Times New Roman"/>
                <w:color w:val="000000" w:themeColor="text1"/>
                <w:sz w:val="20"/>
                <w:szCs w:val="20"/>
                <w:shd w:val="clear" w:color="auto" w:fill="FFFFFF"/>
                <w:lang w:val="fr-FR"/>
              </w:rPr>
              <w:t>existente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este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transpusă</w:t>
            </w:r>
            <w:proofErr w:type="spellEnd"/>
            <w:r w:rsidRPr="007476B2">
              <w:rPr>
                <w:rFonts w:ascii="Times New Roman" w:hAnsi="Times New Roman"/>
                <w:color w:val="000000" w:themeColor="text1"/>
                <w:sz w:val="20"/>
                <w:szCs w:val="20"/>
              </w:rPr>
              <w:t xml:space="preserve"> în</w:t>
            </w:r>
            <w:r w:rsidRPr="007476B2">
              <w:rPr>
                <w:rStyle w:val="docheader"/>
                <w:rFonts w:ascii="Times New Roman" w:hAnsi="Times New Roman"/>
                <w:color w:val="000000" w:themeColor="text1"/>
                <w:sz w:val="20"/>
                <w:szCs w:val="20"/>
                <w:lang w:val="pt-PT"/>
              </w:rPr>
              <w:t xml:space="preserve"> </w:t>
            </w:r>
            <w:proofErr w:type="spellStart"/>
            <w:r w:rsidR="007476B2" w:rsidRPr="007476B2">
              <w:rPr>
                <w:rFonts w:ascii="Times New Roman" w:hAnsi="Times New Roman"/>
                <w:color w:val="000000" w:themeColor="text1"/>
                <w:sz w:val="20"/>
                <w:szCs w:val="20"/>
                <w:shd w:val="clear" w:color="auto" w:fill="FFFFFF"/>
              </w:rPr>
              <w:t>R</w:t>
            </w:r>
            <w:r w:rsidRPr="007476B2">
              <w:rPr>
                <w:rFonts w:ascii="Times New Roman" w:hAnsi="Times New Roman"/>
                <w:color w:val="000000" w:themeColor="text1"/>
                <w:sz w:val="20"/>
                <w:szCs w:val="20"/>
                <w:shd w:val="clear" w:color="auto" w:fill="FFFFFF"/>
              </w:rPr>
              <w:t>egulamentul</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privind</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mecanismul</w:t>
            </w:r>
            <w:proofErr w:type="spellEnd"/>
            <w:r w:rsidRPr="007476B2">
              <w:rPr>
                <w:rFonts w:ascii="Times New Roman" w:hAnsi="Times New Roman"/>
                <w:color w:val="000000" w:themeColor="text1"/>
                <w:sz w:val="20"/>
                <w:szCs w:val="20"/>
                <w:shd w:val="clear" w:color="auto" w:fill="FFFFFF"/>
              </w:rPr>
              <w:t xml:space="preserve"> de </w:t>
            </w:r>
            <w:proofErr w:type="spellStart"/>
            <w:r w:rsidRPr="007476B2">
              <w:rPr>
                <w:rFonts w:ascii="Times New Roman" w:hAnsi="Times New Roman"/>
                <w:color w:val="000000" w:themeColor="text1"/>
                <w:sz w:val="20"/>
                <w:szCs w:val="20"/>
                <w:shd w:val="clear" w:color="auto" w:fill="FFFFFF"/>
              </w:rPr>
              <w:lastRenderedPageBreak/>
              <w:t>guvernanță</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energetică</w:t>
            </w:r>
            <w:proofErr w:type="spellEnd"/>
            <w:r w:rsidRPr="007476B2">
              <w:rPr>
                <w:rFonts w:ascii="Times New Roman" w:hAnsi="Times New Roman"/>
                <w:color w:val="000000" w:themeColor="text1"/>
                <w:sz w:val="20"/>
                <w:szCs w:val="20"/>
                <w:shd w:val="clear" w:color="auto" w:fill="FFFFFF"/>
              </w:rPr>
              <w:t xml:space="preserve"> și a </w:t>
            </w:r>
            <w:proofErr w:type="spellStart"/>
            <w:r w:rsidRPr="007476B2">
              <w:rPr>
                <w:rFonts w:ascii="Times New Roman" w:hAnsi="Times New Roman"/>
                <w:color w:val="000000" w:themeColor="text1"/>
                <w:sz w:val="20"/>
                <w:szCs w:val="20"/>
                <w:shd w:val="clear" w:color="auto" w:fill="FFFFFF"/>
              </w:rPr>
              <w:t>acțiunilor</w:t>
            </w:r>
            <w:proofErr w:type="spellEnd"/>
            <w:r w:rsidRPr="007476B2">
              <w:rPr>
                <w:rFonts w:ascii="Times New Roman" w:hAnsi="Times New Roman"/>
                <w:color w:val="000000" w:themeColor="text1"/>
                <w:sz w:val="20"/>
                <w:szCs w:val="20"/>
                <w:shd w:val="clear" w:color="auto" w:fill="FFFFFF"/>
              </w:rPr>
              <w:t xml:space="preserve"> climatice</w:t>
            </w:r>
            <w:r w:rsidR="007476B2">
              <w:rPr>
                <w:rFonts w:ascii="Times New Roman" w:hAnsi="Times New Roman"/>
                <w:color w:val="000000" w:themeColor="text1"/>
                <w:sz w:val="20"/>
                <w:szCs w:val="20"/>
                <w:shd w:val="clear" w:color="auto" w:fill="FFFFFF"/>
              </w:rPr>
              <w:t xml:space="preserve">, </w:t>
            </w:r>
            <w:proofErr w:type="spellStart"/>
            <w:r w:rsidR="007476B2">
              <w:rPr>
                <w:rFonts w:ascii="Times New Roman" w:hAnsi="Times New Roman"/>
                <w:color w:val="000000" w:themeColor="text1"/>
                <w:sz w:val="20"/>
                <w:szCs w:val="20"/>
                <w:shd w:val="clear" w:color="auto" w:fill="FFFFFF"/>
              </w:rPr>
              <w:t>aprobat</w:t>
            </w:r>
            <w:proofErr w:type="spellEnd"/>
            <w:r w:rsidR="007476B2">
              <w:rPr>
                <w:rFonts w:ascii="Times New Roman" w:hAnsi="Times New Roman"/>
                <w:color w:val="000000" w:themeColor="text1"/>
                <w:sz w:val="20"/>
                <w:szCs w:val="20"/>
                <w:shd w:val="clear" w:color="auto" w:fill="FFFFFF"/>
              </w:rPr>
              <w:t xml:space="preserve"> de </w:t>
            </w:r>
            <w:proofErr w:type="spellStart"/>
            <w:r w:rsidR="007476B2">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65BAECCB" w14:textId="2355FC18" w:rsidR="008E5448" w:rsidRPr="00745D9A" w:rsidRDefault="00785396" w:rsidP="0078539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tc>
      </w:tr>
      <w:tr w:rsidR="006D32C4" w:rsidRPr="00343B51" w14:paraId="66D9E643" w14:textId="77777777" w:rsidTr="009F5405">
        <w:trPr>
          <w:trHeight w:val="1421"/>
        </w:trPr>
        <w:tc>
          <w:tcPr>
            <w:tcW w:w="4810" w:type="dxa"/>
            <w:shd w:val="clear" w:color="auto" w:fill="auto"/>
          </w:tcPr>
          <w:p w14:paraId="0BB0DB61" w14:textId="041061B0" w:rsidR="006D32C4" w:rsidRPr="003D20CB" w:rsidRDefault="00393B96" w:rsidP="00925A21">
            <w:pPr>
              <w:shd w:val="clear" w:color="auto" w:fill="FFFFFF"/>
              <w:spacing w:after="0" w:line="240" w:lineRule="auto"/>
              <w:jc w:val="both"/>
              <w:rPr>
                <w:rFonts w:ascii="Times New Roman" w:hAnsi="Times New Roman"/>
                <w:sz w:val="20"/>
                <w:szCs w:val="20"/>
              </w:rPr>
            </w:pPr>
            <w:r w:rsidRPr="007E64AF">
              <w:rPr>
                <w:rFonts w:ascii="Times New Roman" w:hAnsi="Times New Roman"/>
                <w:color w:val="000000" w:themeColor="text1"/>
                <w:sz w:val="20"/>
                <w:szCs w:val="20"/>
                <w:shd w:val="clear" w:color="auto" w:fill="FFFFFF"/>
              </w:rPr>
              <w:t>(</w:t>
            </w:r>
            <w:proofErr w:type="gramStart"/>
            <w:r w:rsidRPr="007E64AF">
              <w:rPr>
                <w:rFonts w:ascii="Times New Roman" w:hAnsi="Times New Roman"/>
                <w:color w:val="000000" w:themeColor="text1"/>
                <w:sz w:val="20"/>
                <w:szCs w:val="20"/>
                <w:shd w:val="clear" w:color="auto" w:fill="FFFFFF"/>
              </w:rPr>
              <w:t>3)</w:t>
            </w:r>
            <w:r w:rsidR="00647E03" w:rsidRPr="007E64AF">
              <w:rPr>
                <w:rFonts w:ascii="Times New Roman" w:hAnsi="Times New Roman"/>
                <w:color w:val="000000" w:themeColor="text1"/>
                <w:sz w:val="20"/>
                <w:szCs w:val="20"/>
                <w:shd w:val="clear" w:color="auto" w:fill="FFFFFF"/>
              </w:rPr>
              <w:t>„</w:t>
            </w:r>
            <w:proofErr w:type="spellStart"/>
            <w:proofErr w:type="gramEnd"/>
            <w:r w:rsidR="00647E03" w:rsidRPr="007E64AF">
              <w:rPr>
                <w:rFonts w:ascii="Times New Roman" w:hAnsi="Times New Roman"/>
                <w:color w:val="000000" w:themeColor="text1"/>
                <w:sz w:val="20"/>
                <w:szCs w:val="20"/>
                <w:shd w:val="clear" w:color="auto" w:fill="FFFFFF"/>
              </w:rPr>
              <w:t>politici</w:t>
            </w:r>
            <w:proofErr w:type="spellEnd"/>
            <w:r w:rsidR="00647E03" w:rsidRPr="007E64AF">
              <w:rPr>
                <w:rFonts w:ascii="Times New Roman" w:hAnsi="Times New Roman"/>
                <w:color w:val="000000" w:themeColor="text1"/>
                <w:sz w:val="20"/>
                <w:szCs w:val="20"/>
                <w:shd w:val="clear" w:color="auto" w:fill="FFFFFF"/>
              </w:rPr>
              <w:t xml:space="preserve"> și </w:t>
            </w:r>
            <w:proofErr w:type="spellStart"/>
            <w:r w:rsidR="00647E03" w:rsidRPr="007E64AF">
              <w:rPr>
                <w:rFonts w:ascii="Times New Roman" w:hAnsi="Times New Roman"/>
                <w:color w:val="000000" w:themeColor="text1"/>
                <w:sz w:val="20"/>
                <w:szCs w:val="20"/>
                <w:shd w:val="clear" w:color="auto" w:fill="FFFFFF"/>
              </w:rPr>
              <w:t>măsuri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puse</w:t>
            </w:r>
            <w:proofErr w:type="spellEnd"/>
            <w:r w:rsidR="00647E03" w:rsidRPr="007E64AF">
              <w:rPr>
                <w:rFonts w:ascii="Times New Roman" w:hAnsi="Times New Roman"/>
                <w:color w:val="000000" w:themeColor="text1"/>
                <w:sz w:val="20"/>
                <w:szCs w:val="20"/>
                <w:shd w:val="clear" w:color="auto" w:fill="FFFFFF"/>
              </w:rPr>
              <w:t xml:space="preserve"> în </w:t>
            </w:r>
            <w:proofErr w:type="spellStart"/>
            <w:r w:rsidR="00647E03" w:rsidRPr="007E64AF">
              <w:rPr>
                <w:rFonts w:ascii="Times New Roman" w:hAnsi="Times New Roman"/>
                <w:color w:val="000000" w:themeColor="text1"/>
                <w:sz w:val="20"/>
                <w:szCs w:val="20"/>
                <w:shd w:val="clear" w:color="auto" w:fill="FFFFFF"/>
              </w:rPr>
              <w:t>aplicare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înseamnă</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politici</w:t>
            </w:r>
            <w:proofErr w:type="spellEnd"/>
            <w:r w:rsidR="00647E03" w:rsidRPr="007E64AF">
              <w:rPr>
                <w:rFonts w:ascii="Times New Roman" w:hAnsi="Times New Roman"/>
                <w:color w:val="000000" w:themeColor="text1"/>
                <w:sz w:val="20"/>
                <w:szCs w:val="20"/>
                <w:shd w:val="clear" w:color="auto" w:fill="FFFFFF"/>
              </w:rPr>
              <w:t xml:space="preserve"> și </w:t>
            </w:r>
            <w:proofErr w:type="spellStart"/>
            <w:r w:rsidR="00647E03" w:rsidRPr="007E64AF">
              <w:rPr>
                <w:rFonts w:ascii="Times New Roman" w:hAnsi="Times New Roman"/>
                <w:color w:val="000000" w:themeColor="text1"/>
                <w:sz w:val="20"/>
                <w:szCs w:val="20"/>
                <w:shd w:val="clear" w:color="auto" w:fill="FFFFFF"/>
              </w:rPr>
              <w:t>măsuri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pentru</w:t>
            </w:r>
            <w:proofErr w:type="spellEnd"/>
            <w:r w:rsidR="00647E03" w:rsidRPr="007E64AF">
              <w:rPr>
                <w:rFonts w:ascii="Times New Roman" w:hAnsi="Times New Roman"/>
                <w:color w:val="000000" w:themeColor="text1"/>
                <w:sz w:val="20"/>
                <w:szCs w:val="20"/>
                <w:shd w:val="clear" w:color="auto" w:fill="FFFFFF"/>
              </w:rPr>
              <w:t xml:space="preserve"> care, la data </w:t>
            </w:r>
            <w:proofErr w:type="spellStart"/>
            <w:r w:rsidR="00647E03" w:rsidRPr="007E64AF">
              <w:rPr>
                <w:rFonts w:ascii="Times New Roman" w:hAnsi="Times New Roman"/>
                <w:color w:val="000000" w:themeColor="text1"/>
                <w:sz w:val="20"/>
                <w:szCs w:val="20"/>
                <w:shd w:val="clear" w:color="auto" w:fill="FFFFFF"/>
              </w:rPr>
              <w:t>prezentării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planului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național</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integrat</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privind</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energia</w:t>
            </w:r>
            <w:proofErr w:type="spellEnd"/>
            <w:r w:rsidR="00647E03" w:rsidRPr="007E64AF">
              <w:rPr>
                <w:rFonts w:ascii="Times New Roman" w:hAnsi="Times New Roman"/>
                <w:color w:val="000000" w:themeColor="text1"/>
                <w:sz w:val="20"/>
                <w:szCs w:val="20"/>
                <w:shd w:val="clear" w:color="auto" w:fill="FFFFFF"/>
              </w:rPr>
              <w:t xml:space="preserve"> și </w:t>
            </w:r>
            <w:proofErr w:type="spellStart"/>
            <w:r w:rsidR="00647E03" w:rsidRPr="007E64AF">
              <w:rPr>
                <w:rFonts w:ascii="Times New Roman" w:hAnsi="Times New Roman"/>
                <w:color w:val="000000" w:themeColor="text1"/>
                <w:sz w:val="20"/>
                <w:szCs w:val="20"/>
                <w:shd w:val="clear" w:color="auto" w:fill="FFFFFF"/>
              </w:rPr>
              <w:t>clima</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sau</w:t>
            </w:r>
            <w:proofErr w:type="spellEnd"/>
            <w:r w:rsidR="00647E03" w:rsidRPr="007E64AF">
              <w:rPr>
                <w:rFonts w:ascii="Times New Roman" w:hAnsi="Times New Roman"/>
                <w:color w:val="000000" w:themeColor="text1"/>
                <w:sz w:val="20"/>
                <w:szCs w:val="20"/>
                <w:shd w:val="clear" w:color="auto" w:fill="FFFFFF"/>
              </w:rPr>
              <w:t xml:space="preserve"> a </w:t>
            </w:r>
            <w:proofErr w:type="spellStart"/>
            <w:r w:rsidR="00647E03" w:rsidRPr="007E64AF">
              <w:rPr>
                <w:rFonts w:ascii="Times New Roman" w:hAnsi="Times New Roman"/>
                <w:color w:val="000000" w:themeColor="text1"/>
                <w:sz w:val="20"/>
                <w:szCs w:val="20"/>
                <w:shd w:val="clear" w:color="auto" w:fill="FFFFFF"/>
              </w:rPr>
              <w:t>raportului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național</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intermediar</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integrat</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privind</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energia</w:t>
            </w:r>
            <w:proofErr w:type="spellEnd"/>
            <w:r w:rsidR="00647E03" w:rsidRPr="007E64AF">
              <w:rPr>
                <w:rFonts w:ascii="Times New Roman" w:hAnsi="Times New Roman"/>
                <w:color w:val="000000" w:themeColor="text1"/>
                <w:sz w:val="20"/>
                <w:szCs w:val="20"/>
                <w:shd w:val="clear" w:color="auto" w:fill="FFFFFF"/>
              </w:rPr>
              <w:t xml:space="preserve"> și </w:t>
            </w:r>
            <w:proofErr w:type="spellStart"/>
            <w:r w:rsidR="00647E03" w:rsidRPr="007E64AF">
              <w:rPr>
                <w:rFonts w:ascii="Times New Roman" w:hAnsi="Times New Roman"/>
                <w:color w:val="000000" w:themeColor="text1"/>
                <w:sz w:val="20"/>
                <w:szCs w:val="20"/>
                <w:shd w:val="clear" w:color="auto" w:fill="FFFFFF"/>
              </w:rPr>
              <w:t>clima</w:t>
            </w:r>
            <w:proofErr w:type="spellEnd"/>
            <w:r w:rsidR="00647E03" w:rsidRPr="007E64AF">
              <w:rPr>
                <w:rFonts w:ascii="Times New Roman" w:hAnsi="Times New Roman"/>
                <w:color w:val="000000" w:themeColor="text1"/>
                <w:sz w:val="20"/>
                <w:szCs w:val="20"/>
                <w:shd w:val="clear" w:color="auto" w:fill="FFFFFF"/>
              </w:rPr>
              <w:t xml:space="preserve">, se </w:t>
            </w:r>
            <w:proofErr w:type="spellStart"/>
            <w:r w:rsidR="00647E03" w:rsidRPr="007E64AF">
              <w:rPr>
                <w:rFonts w:ascii="Times New Roman" w:hAnsi="Times New Roman"/>
                <w:color w:val="000000" w:themeColor="text1"/>
                <w:sz w:val="20"/>
                <w:szCs w:val="20"/>
                <w:shd w:val="clear" w:color="auto" w:fill="FFFFFF"/>
              </w:rPr>
              <w:t>aplică</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una</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sau</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mai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multe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dintre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următoarele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situații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legislația</w:t>
            </w:r>
            <w:proofErr w:type="spellEnd"/>
            <w:r w:rsidR="00647E03" w:rsidRPr="007E64AF">
              <w:rPr>
                <w:rFonts w:ascii="Times New Roman" w:hAnsi="Times New Roman"/>
                <w:color w:val="000000" w:themeColor="text1"/>
                <w:sz w:val="20"/>
                <w:szCs w:val="20"/>
                <w:shd w:val="clear" w:color="auto" w:fill="FFFFFF"/>
              </w:rPr>
              <w:t xml:space="preserve"> națională </w:t>
            </w:r>
            <w:proofErr w:type="spellStart"/>
            <w:r w:rsidR="00647E03" w:rsidRPr="007E64AF">
              <w:rPr>
                <w:rFonts w:ascii="Times New Roman" w:hAnsi="Times New Roman"/>
                <w:color w:val="000000" w:themeColor="text1"/>
                <w:sz w:val="20"/>
                <w:szCs w:val="20"/>
                <w:shd w:val="clear" w:color="auto" w:fill="FFFFFF"/>
              </w:rPr>
              <w:t>sau</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europeană</w:t>
            </w:r>
            <w:proofErr w:type="spellEnd"/>
            <w:r w:rsidR="00647E03" w:rsidRPr="007E64AF">
              <w:rPr>
                <w:rFonts w:ascii="Times New Roman" w:hAnsi="Times New Roman"/>
                <w:color w:val="000000" w:themeColor="text1"/>
                <w:sz w:val="20"/>
                <w:szCs w:val="20"/>
                <w:shd w:val="clear" w:color="auto" w:fill="FFFFFF"/>
              </w:rPr>
              <w:t xml:space="preserve"> direct </w:t>
            </w:r>
            <w:proofErr w:type="spellStart"/>
            <w:r w:rsidR="00647E03" w:rsidRPr="007E64AF">
              <w:rPr>
                <w:rFonts w:ascii="Times New Roman" w:hAnsi="Times New Roman"/>
                <w:color w:val="000000" w:themeColor="text1"/>
                <w:sz w:val="20"/>
                <w:szCs w:val="20"/>
                <w:shd w:val="clear" w:color="auto" w:fill="FFFFFF"/>
              </w:rPr>
              <w:t>aplicabilă</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este</w:t>
            </w:r>
            <w:proofErr w:type="spellEnd"/>
            <w:r w:rsidR="00647E03" w:rsidRPr="007E64AF">
              <w:rPr>
                <w:rFonts w:ascii="Times New Roman" w:hAnsi="Times New Roman"/>
                <w:color w:val="000000" w:themeColor="text1"/>
                <w:sz w:val="20"/>
                <w:szCs w:val="20"/>
                <w:shd w:val="clear" w:color="auto" w:fill="FFFFFF"/>
              </w:rPr>
              <w:t xml:space="preserve"> în </w:t>
            </w:r>
            <w:proofErr w:type="spellStart"/>
            <w:r w:rsidR="00647E03" w:rsidRPr="007E64AF">
              <w:rPr>
                <w:rFonts w:ascii="Times New Roman" w:hAnsi="Times New Roman"/>
                <w:color w:val="000000" w:themeColor="text1"/>
                <w:sz w:val="20"/>
                <w:szCs w:val="20"/>
                <w:shd w:val="clear" w:color="auto" w:fill="FFFFFF"/>
              </w:rPr>
              <w:t>vigoare</w:t>
            </w:r>
            <w:proofErr w:type="spellEnd"/>
            <w:r w:rsidR="00647E03" w:rsidRPr="007E64AF">
              <w:rPr>
                <w:rFonts w:ascii="Times New Roman" w:hAnsi="Times New Roman"/>
                <w:color w:val="000000" w:themeColor="text1"/>
                <w:sz w:val="20"/>
                <w:szCs w:val="20"/>
                <w:shd w:val="clear" w:color="auto" w:fill="FFFFFF"/>
              </w:rPr>
              <w:t xml:space="preserve">, au </w:t>
            </w:r>
            <w:proofErr w:type="spellStart"/>
            <w:r w:rsidR="00647E03" w:rsidRPr="007E64AF">
              <w:rPr>
                <w:rFonts w:ascii="Times New Roman" w:hAnsi="Times New Roman"/>
                <w:color w:val="000000" w:themeColor="text1"/>
                <w:sz w:val="20"/>
                <w:szCs w:val="20"/>
                <w:shd w:val="clear" w:color="auto" w:fill="FFFFFF"/>
              </w:rPr>
              <w:t>fost</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stabilite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unul</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sau</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mai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multe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acorduri</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voluntare</w:t>
            </w:r>
            <w:proofErr w:type="spellEnd"/>
            <w:r w:rsidR="00647E03" w:rsidRPr="007E64AF">
              <w:rPr>
                <w:rFonts w:ascii="Times New Roman" w:hAnsi="Times New Roman"/>
                <w:color w:val="000000" w:themeColor="text1"/>
                <w:sz w:val="20"/>
                <w:szCs w:val="20"/>
                <w:shd w:val="clear" w:color="auto" w:fill="FFFFFF"/>
              </w:rPr>
              <w:t xml:space="preserve">, au </w:t>
            </w:r>
            <w:proofErr w:type="spellStart"/>
            <w:r w:rsidR="00647E03" w:rsidRPr="007E64AF">
              <w:rPr>
                <w:rFonts w:ascii="Times New Roman" w:hAnsi="Times New Roman"/>
                <w:color w:val="000000" w:themeColor="text1"/>
                <w:sz w:val="20"/>
                <w:szCs w:val="20"/>
                <w:shd w:val="clear" w:color="auto" w:fill="FFFFFF"/>
              </w:rPr>
              <w:t>fost</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alocate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resurse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financiare</w:t>
            </w:r>
            <w:proofErr w:type="spellEnd"/>
            <w:r w:rsidR="00647E03" w:rsidRPr="007E64AF">
              <w:rPr>
                <w:rFonts w:ascii="Times New Roman" w:hAnsi="Times New Roman"/>
                <w:color w:val="000000" w:themeColor="text1"/>
                <w:sz w:val="20"/>
                <w:szCs w:val="20"/>
                <w:shd w:val="clear" w:color="auto" w:fill="FFFFFF"/>
              </w:rPr>
              <w:t xml:space="preserve">, au </w:t>
            </w:r>
            <w:proofErr w:type="spellStart"/>
            <w:r w:rsidR="00647E03" w:rsidRPr="007E64AF">
              <w:rPr>
                <w:rFonts w:ascii="Times New Roman" w:hAnsi="Times New Roman"/>
                <w:color w:val="000000" w:themeColor="text1"/>
                <w:sz w:val="20"/>
                <w:szCs w:val="20"/>
                <w:shd w:val="clear" w:color="auto" w:fill="FFFFFF"/>
              </w:rPr>
              <w:t>fost</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mobilizate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resurse</w:t>
            </w:r>
            <w:proofErr w:type="spellEnd"/>
            <w:r w:rsidR="00647E03" w:rsidRPr="007E64AF">
              <w:rPr>
                <w:rFonts w:ascii="Times New Roman" w:hAnsi="Times New Roman"/>
                <w:color w:val="000000" w:themeColor="text1"/>
                <w:sz w:val="20"/>
                <w:szCs w:val="20"/>
                <w:shd w:val="clear" w:color="auto" w:fill="FFFFFF"/>
              </w:rPr>
              <w:t xml:space="preserve"> </w:t>
            </w:r>
            <w:proofErr w:type="spellStart"/>
            <w:r w:rsidR="00647E03" w:rsidRPr="007E64AF">
              <w:rPr>
                <w:rFonts w:ascii="Times New Roman" w:hAnsi="Times New Roman"/>
                <w:color w:val="000000" w:themeColor="text1"/>
                <w:sz w:val="20"/>
                <w:szCs w:val="20"/>
                <w:shd w:val="clear" w:color="auto" w:fill="FFFFFF"/>
              </w:rPr>
              <w:t>umane</w:t>
            </w:r>
            <w:proofErr w:type="spellEnd"/>
            <w:r w:rsidR="00647E03" w:rsidRPr="007E64AF">
              <w:rPr>
                <w:rFonts w:ascii="Times New Roman" w:hAnsi="Times New Roman"/>
                <w:color w:val="000000" w:themeColor="text1"/>
                <w:sz w:val="20"/>
                <w:szCs w:val="20"/>
                <w:shd w:val="clear" w:color="auto" w:fill="FFFFFF"/>
              </w:rPr>
              <w:t>;</w:t>
            </w:r>
          </w:p>
        </w:tc>
        <w:tc>
          <w:tcPr>
            <w:tcW w:w="4541" w:type="dxa"/>
            <w:shd w:val="clear" w:color="auto" w:fill="auto"/>
          </w:tcPr>
          <w:p w14:paraId="1ADCBE3B" w14:textId="003BCD80" w:rsidR="0012754A" w:rsidRPr="002B1ABB" w:rsidRDefault="0012754A" w:rsidP="007476B2">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5D17C433" w14:textId="77777777" w:rsidR="00343B51" w:rsidRPr="00C951E7" w:rsidRDefault="00343B51" w:rsidP="00343B51">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217A946F" w14:textId="4E79F103" w:rsidR="006D32C4" w:rsidRPr="00C951E7" w:rsidRDefault="006D32C4" w:rsidP="00014522">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69D263C"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5D0C9AE" w14:textId="43978B55" w:rsidR="006D32C4" w:rsidRPr="00C951E7" w:rsidRDefault="007476B2" w:rsidP="00014522">
            <w:pPr>
              <w:autoSpaceDE w:val="0"/>
              <w:spacing w:after="0" w:line="240" w:lineRule="auto"/>
              <w:rPr>
                <w:rFonts w:ascii="Times New Roman" w:eastAsia="Times New Roman" w:hAnsi="Times New Roman"/>
                <w:sz w:val="20"/>
                <w:szCs w:val="20"/>
                <w:lang w:val="ro-RO"/>
              </w:rPr>
            </w:pPr>
            <w:r w:rsidRPr="007476B2">
              <w:rPr>
                <w:rFonts w:ascii="Times New Roman" w:eastAsia="Times New Roman" w:hAnsi="Times New Roman"/>
                <w:color w:val="000000" w:themeColor="text1"/>
                <w:sz w:val="20"/>
                <w:szCs w:val="20"/>
                <w:lang w:val="ro-RO" w:eastAsia="ru-RU"/>
              </w:rPr>
              <w:t>Noțiunea</w:t>
            </w:r>
            <w:r w:rsidRPr="007476B2">
              <w:rPr>
                <w:rFonts w:ascii="Times New Roman" w:hAnsi="Times New Roman"/>
                <w:color w:val="000000" w:themeColor="text1"/>
                <w:sz w:val="20"/>
                <w:szCs w:val="20"/>
              </w:rPr>
              <w:t xml:space="preserve"> “</w:t>
            </w:r>
            <w:r w:rsidRPr="003D20CB">
              <w:rPr>
                <w:rFonts w:ascii="Times New Roman" w:hAnsi="Times New Roman"/>
                <w:sz w:val="20"/>
                <w:szCs w:val="20"/>
                <w:shd w:val="clear" w:color="auto" w:fill="FFFFFF"/>
              </w:rPr>
              <w:t xml:space="preserve"> </w:t>
            </w:r>
            <w:proofErr w:type="spellStart"/>
            <w:r w:rsidRPr="003D20CB">
              <w:rPr>
                <w:rFonts w:ascii="Times New Roman" w:hAnsi="Times New Roman"/>
                <w:sz w:val="20"/>
                <w:szCs w:val="20"/>
                <w:shd w:val="clear" w:color="auto" w:fill="FFFFFF"/>
              </w:rPr>
              <w:t>politici</w:t>
            </w:r>
            <w:proofErr w:type="spellEnd"/>
            <w:r w:rsidRPr="003D20CB">
              <w:rPr>
                <w:rFonts w:ascii="Times New Roman" w:hAnsi="Times New Roman"/>
                <w:sz w:val="20"/>
                <w:szCs w:val="20"/>
                <w:shd w:val="clear" w:color="auto" w:fill="FFFFFF"/>
              </w:rPr>
              <w:t xml:space="preserve"> și </w:t>
            </w:r>
            <w:proofErr w:type="spellStart"/>
            <w:r w:rsidRPr="003D20CB">
              <w:rPr>
                <w:rFonts w:ascii="Times New Roman" w:hAnsi="Times New Roman"/>
                <w:sz w:val="20"/>
                <w:szCs w:val="20"/>
                <w:shd w:val="clear" w:color="auto" w:fill="FFFFFF"/>
              </w:rPr>
              <w:t>măsuri</w:t>
            </w:r>
            <w:proofErr w:type="spellEnd"/>
            <w:r w:rsidRPr="003D20CB">
              <w:rPr>
                <w:rFonts w:ascii="Times New Roman" w:hAnsi="Times New Roman"/>
                <w:sz w:val="20"/>
                <w:szCs w:val="20"/>
                <w:shd w:val="clear" w:color="auto" w:fill="FFFFFF"/>
              </w:rPr>
              <w:t xml:space="preserve"> </w:t>
            </w:r>
            <w:proofErr w:type="spellStart"/>
            <w:r w:rsidRPr="003D20CB">
              <w:rPr>
                <w:rFonts w:ascii="Times New Roman" w:hAnsi="Times New Roman"/>
                <w:sz w:val="20"/>
                <w:szCs w:val="20"/>
                <w:shd w:val="clear" w:color="auto" w:fill="FFFFFF"/>
              </w:rPr>
              <w:t>puse</w:t>
            </w:r>
            <w:proofErr w:type="spellEnd"/>
            <w:r w:rsidRPr="003D20CB">
              <w:rPr>
                <w:rFonts w:ascii="Times New Roman" w:hAnsi="Times New Roman"/>
                <w:sz w:val="20"/>
                <w:szCs w:val="20"/>
                <w:shd w:val="clear" w:color="auto" w:fill="FFFFFF"/>
              </w:rPr>
              <w:t xml:space="preserve"> în </w:t>
            </w:r>
            <w:proofErr w:type="spellStart"/>
            <w:r w:rsidRPr="003D20CB">
              <w:rPr>
                <w:rFonts w:ascii="Times New Roman" w:hAnsi="Times New Roman"/>
                <w:sz w:val="20"/>
                <w:szCs w:val="20"/>
                <w:shd w:val="clear" w:color="auto" w:fill="FFFFFF"/>
              </w:rPr>
              <w:t>aplicare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este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transpusă</w:t>
            </w:r>
            <w:proofErr w:type="spellEnd"/>
            <w:r w:rsidRPr="007476B2">
              <w:rPr>
                <w:rFonts w:ascii="Times New Roman" w:hAnsi="Times New Roman"/>
                <w:color w:val="000000" w:themeColor="text1"/>
                <w:sz w:val="20"/>
                <w:szCs w:val="20"/>
              </w:rPr>
              <w:t xml:space="preserve"> în</w:t>
            </w:r>
            <w:r w:rsidRPr="007476B2">
              <w:rPr>
                <w:rStyle w:val="docheader"/>
                <w:rFonts w:ascii="Times New Roman" w:hAnsi="Times New Roman"/>
                <w:color w:val="000000" w:themeColor="text1"/>
                <w:sz w:val="20"/>
                <w:szCs w:val="20"/>
                <w:lang w:val="pt-PT"/>
              </w:rPr>
              <w:t xml:space="preserve"> </w:t>
            </w:r>
            <w:proofErr w:type="spellStart"/>
            <w:r w:rsidRPr="007476B2">
              <w:rPr>
                <w:rFonts w:ascii="Times New Roman" w:hAnsi="Times New Roman"/>
                <w:color w:val="000000" w:themeColor="text1"/>
                <w:sz w:val="20"/>
                <w:szCs w:val="20"/>
                <w:shd w:val="clear" w:color="auto" w:fill="FFFFFF"/>
              </w:rPr>
              <w:t>Regulamentul</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privind</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mecanismul</w:t>
            </w:r>
            <w:proofErr w:type="spellEnd"/>
            <w:r w:rsidRPr="007476B2">
              <w:rPr>
                <w:rFonts w:ascii="Times New Roman" w:hAnsi="Times New Roman"/>
                <w:color w:val="000000" w:themeColor="text1"/>
                <w:sz w:val="20"/>
                <w:szCs w:val="20"/>
                <w:shd w:val="clear" w:color="auto" w:fill="FFFFFF"/>
              </w:rPr>
              <w:t xml:space="preserve"> de </w:t>
            </w:r>
            <w:proofErr w:type="spellStart"/>
            <w:r w:rsidRPr="007476B2">
              <w:rPr>
                <w:rFonts w:ascii="Times New Roman" w:hAnsi="Times New Roman"/>
                <w:color w:val="000000" w:themeColor="text1"/>
                <w:sz w:val="20"/>
                <w:szCs w:val="20"/>
                <w:shd w:val="clear" w:color="auto" w:fill="FFFFFF"/>
              </w:rPr>
              <w:t>guvernanță</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energetică</w:t>
            </w:r>
            <w:proofErr w:type="spellEnd"/>
            <w:r w:rsidRPr="007476B2">
              <w:rPr>
                <w:rFonts w:ascii="Times New Roman" w:hAnsi="Times New Roman"/>
                <w:color w:val="000000" w:themeColor="text1"/>
                <w:sz w:val="20"/>
                <w:szCs w:val="20"/>
                <w:shd w:val="clear" w:color="auto" w:fill="FFFFFF"/>
              </w:rPr>
              <w:t xml:space="preserve"> și a </w:t>
            </w:r>
            <w:proofErr w:type="spellStart"/>
            <w:r w:rsidRPr="007476B2">
              <w:rPr>
                <w:rFonts w:ascii="Times New Roman" w:hAnsi="Times New Roman"/>
                <w:color w:val="000000" w:themeColor="text1"/>
                <w:sz w:val="20"/>
                <w:szCs w:val="20"/>
                <w:shd w:val="clear" w:color="auto" w:fill="FFFFFF"/>
              </w:rPr>
              <w:t>acțiunilor</w:t>
            </w:r>
            <w:proofErr w:type="spellEnd"/>
            <w:r w:rsidRPr="007476B2">
              <w:rPr>
                <w:rFonts w:ascii="Times New Roman" w:hAnsi="Times New Roman"/>
                <w:color w:val="000000" w:themeColor="text1"/>
                <w:sz w:val="20"/>
                <w:szCs w:val="20"/>
                <w:shd w:val="clear" w:color="auto" w:fill="FFFFFF"/>
              </w:rPr>
              <w:t xml:space="preserve"> climatice</w:t>
            </w:r>
            <w:r>
              <w:rPr>
                <w:rFonts w:ascii="Times New Roman" w:hAnsi="Times New Roman"/>
                <w:color w:val="000000" w:themeColor="text1"/>
                <w:sz w:val="20"/>
                <w:szCs w:val="20"/>
                <w:shd w:val="clear" w:color="auto" w:fill="FFFFFF"/>
              </w:rPr>
              <w:t xml:space="preserve">, </w:t>
            </w:r>
            <w:proofErr w:type="spellStart"/>
            <w:r>
              <w:rPr>
                <w:rFonts w:ascii="Times New Roman" w:hAnsi="Times New Roman"/>
                <w:color w:val="000000" w:themeColor="text1"/>
                <w:sz w:val="20"/>
                <w:szCs w:val="20"/>
                <w:shd w:val="clear" w:color="auto" w:fill="FFFFFF"/>
              </w:rPr>
              <w:t>aprobat</w:t>
            </w:r>
            <w:proofErr w:type="spellEnd"/>
            <w:r>
              <w:rPr>
                <w:rFonts w:ascii="Times New Roman" w:hAnsi="Times New Roman"/>
                <w:color w:val="000000" w:themeColor="text1"/>
                <w:sz w:val="20"/>
                <w:szCs w:val="20"/>
                <w:shd w:val="clear" w:color="auto" w:fill="FFFFFF"/>
              </w:rPr>
              <w:t xml:space="preserve"> de </w:t>
            </w:r>
            <w:proofErr w:type="spellStart"/>
            <w:r>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35D5D1AF" w14:textId="34B4E8AE" w:rsidR="008E5448" w:rsidRPr="00C951E7" w:rsidRDefault="002B1ABB" w:rsidP="002B1ABB">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tc>
      </w:tr>
      <w:tr w:rsidR="00745D9A" w:rsidRPr="003C5C2B" w14:paraId="3EEE4A86" w14:textId="77777777" w:rsidTr="003C5C2B">
        <w:trPr>
          <w:trHeight w:val="1467"/>
        </w:trPr>
        <w:tc>
          <w:tcPr>
            <w:tcW w:w="4810" w:type="dxa"/>
            <w:shd w:val="clear" w:color="auto" w:fill="auto"/>
          </w:tcPr>
          <w:p w14:paraId="42350A25" w14:textId="6EAF106B" w:rsidR="00745D9A" w:rsidRPr="007A690D" w:rsidRDefault="00393B96" w:rsidP="00925A21">
            <w:pPr>
              <w:shd w:val="clear" w:color="auto" w:fill="FFFFFF"/>
              <w:spacing w:after="0" w:line="240" w:lineRule="auto"/>
              <w:jc w:val="both"/>
              <w:rPr>
                <w:rFonts w:ascii="Times New Roman" w:hAnsi="Times New Roman"/>
                <w:color w:val="333333"/>
                <w:sz w:val="20"/>
                <w:szCs w:val="20"/>
                <w:shd w:val="clear" w:color="auto" w:fill="FFFFFF"/>
              </w:rPr>
            </w:pPr>
            <w:r w:rsidRPr="007E64AF">
              <w:rPr>
                <w:rFonts w:ascii="Times New Roman" w:eastAsia="Times New Roman" w:hAnsi="Times New Roman"/>
                <w:color w:val="000000" w:themeColor="text1"/>
                <w:sz w:val="20"/>
                <w:szCs w:val="20"/>
                <w:lang w:val="ro-MD" w:eastAsia="ru-RU"/>
              </w:rPr>
              <w:t>(4)</w:t>
            </w:r>
            <w:r w:rsidR="00745D9A" w:rsidRPr="007E64AF">
              <w:rPr>
                <w:rFonts w:ascii="Times New Roman" w:eastAsia="Times New Roman" w:hAnsi="Times New Roman"/>
                <w:color w:val="000000" w:themeColor="text1"/>
                <w:sz w:val="20"/>
                <w:szCs w:val="20"/>
                <w:lang w:eastAsia="ru-RU"/>
              </w:rPr>
              <w:t>„</w:t>
            </w:r>
            <w:proofErr w:type="spellStart"/>
            <w:r w:rsidR="00745D9A" w:rsidRPr="007E64AF">
              <w:rPr>
                <w:rFonts w:ascii="Times New Roman" w:hAnsi="Times New Roman"/>
                <w:color w:val="000000" w:themeColor="text1"/>
                <w:sz w:val="20"/>
                <w:szCs w:val="20"/>
                <w:lang w:eastAsia="ru-RU"/>
              </w:rPr>
              <w:t>politici</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măsuri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adoptate</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înseamnă</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politici</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măsuri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pentru</w:t>
            </w:r>
            <w:proofErr w:type="spellEnd"/>
            <w:r w:rsidR="00745D9A" w:rsidRPr="007E64AF">
              <w:rPr>
                <w:rFonts w:ascii="Times New Roman" w:hAnsi="Times New Roman"/>
                <w:color w:val="000000" w:themeColor="text1"/>
                <w:sz w:val="20"/>
                <w:szCs w:val="20"/>
                <w:lang w:eastAsia="ru-RU"/>
              </w:rPr>
              <w:t xml:space="preserve"> care a </w:t>
            </w:r>
            <w:proofErr w:type="spellStart"/>
            <w:r w:rsidR="00745D9A" w:rsidRPr="007E64AF">
              <w:rPr>
                <w:rFonts w:ascii="Times New Roman" w:hAnsi="Times New Roman"/>
                <w:color w:val="000000" w:themeColor="text1"/>
                <w:sz w:val="20"/>
                <w:szCs w:val="20"/>
                <w:lang w:eastAsia="ru-RU"/>
              </w:rPr>
              <w:t>fost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luată</w:t>
            </w:r>
            <w:proofErr w:type="spellEnd"/>
            <w:r w:rsidR="00745D9A" w:rsidRPr="007E64AF">
              <w:rPr>
                <w:rFonts w:ascii="Times New Roman" w:hAnsi="Times New Roman"/>
                <w:color w:val="000000" w:themeColor="text1"/>
                <w:sz w:val="20"/>
                <w:szCs w:val="20"/>
                <w:lang w:eastAsia="ru-RU"/>
              </w:rPr>
              <w:t xml:space="preserve"> o </w:t>
            </w:r>
            <w:proofErr w:type="spellStart"/>
            <w:r w:rsidR="00745D9A" w:rsidRPr="007E64AF">
              <w:rPr>
                <w:rFonts w:ascii="Times New Roman" w:hAnsi="Times New Roman"/>
                <w:color w:val="000000" w:themeColor="text1"/>
                <w:sz w:val="20"/>
                <w:szCs w:val="20"/>
                <w:lang w:eastAsia="ru-RU"/>
              </w:rPr>
              <w:t>decizie</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guvernamentală</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oficială</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până</w:t>
            </w:r>
            <w:proofErr w:type="spellEnd"/>
            <w:r w:rsidR="00745D9A" w:rsidRPr="007E64AF">
              <w:rPr>
                <w:rFonts w:ascii="Times New Roman" w:hAnsi="Times New Roman"/>
                <w:color w:val="000000" w:themeColor="text1"/>
                <w:sz w:val="20"/>
                <w:szCs w:val="20"/>
                <w:lang w:eastAsia="ru-RU"/>
              </w:rPr>
              <w:t xml:space="preserve"> la data </w:t>
            </w:r>
            <w:proofErr w:type="spellStart"/>
            <w:r w:rsidR="00745D9A" w:rsidRPr="007E64AF">
              <w:rPr>
                <w:rFonts w:ascii="Times New Roman" w:hAnsi="Times New Roman"/>
                <w:color w:val="000000" w:themeColor="text1"/>
                <w:sz w:val="20"/>
                <w:szCs w:val="20"/>
                <w:lang w:eastAsia="ru-RU"/>
              </w:rPr>
              <w:t>prezentării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planului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național</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integrat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privind</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energia</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clima</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sau</w:t>
            </w:r>
            <w:proofErr w:type="spellEnd"/>
            <w:r w:rsidR="00745D9A" w:rsidRPr="007E64AF">
              <w:rPr>
                <w:rFonts w:ascii="Times New Roman" w:hAnsi="Times New Roman"/>
                <w:color w:val="000000" w:themeColor="text1"/>
                <w:sz w:val="20"/>
                <w:szCs w:val="20"/>
                <w:lang w:eastAsia="ru-RU"/>
              </w:rPr>
              <w:t xml:space="preserve"> a </w:t>
            </w:r>
            <w:proofErr w:type="spellStart"/>
            <w:r w:rsidR="00745D9A" w:rsidRPr="007E64AF">
              <w:rPr>
                <w:rFonts w:ascii="Times New Roman" w:hAnsi="Times New Roman"/>
                <w:color w:val="000000" w:themeColor="text1"/>
                <w:sz w:val="20"/>
                <w:szCs w:val="20"/>
                <w:lang w:eastAsia="ru-RU"/>
              </w:rPr>
              <w:t>raportului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național</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intermediar</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integrat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privind</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energia</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clima</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pentru</w:t>
            </w:r>
            <w:proofErr w:type="spellEnd"/>
            <w:r w:rsidR="00745D9A" w:rsidRPr="007E64AF">
              <w:rPr>
                <w:rFonts w:ascii="Times New Roman" w:hAnsi="Times New Roman"/>
                <w:color w:val="000000" w:themeColor="text1"/>
                <w:sz w:val="20"/>
                <w:szCs w:val="20"/>
                <w:lang w:eastAsia="ru-RU"/>
              </w:rPr>
              <w:t xml:space="preserve"> care există un </w:t>
            </w:r>
            <w:proofErr w:type="spellStart"/>
            <w:r w:rsidR="00745D9A" w:rsidRPr="007E64AF">
              <w:rPr>
                <w:rFonts w:ascii="Times New Roman" w:hAnsi="Times New Roman"/>
                <w:color w:val="000000" w:themeColor="text1"/>
                <w:sz w:val="20"/>
                <w:szCs w:val="20"/>
                <w:lang w:eastAsia="ru-RU"/>
              </w:rPr>
              <w:t>angajament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clar</w:t>
            </w:r>
            <w:proofErr w:type="spellEnd"/>
            <w:r w:rsidR="00745D9A" w:rsidRPr="007E64AF">
              <w:rPr>
                <w:rFonts w:ascii="Times New Roman" w:hAnsi="Times New Roman"/>
                <w:color w:val="000000" w:themeColor="text1"/>
                <w:sz w:val="20"/>
                <w:szCs w:val="20"/>
                <w:lang w:eastAsia="ru-RU"/>
              </w:rPr>
              <w:t xml:space="preserve"> de a </w:t>
            </w:r>
            <w:proofErr w:type="spellStart"/>
            <w:r w:rsidR="00745D9A" w:rsidRPr="007E64AF">
              <w:rPr>
                <w:rFonts w:ascii="Times New Roman" w:hAnsi="Times New Roman"/>
                <w:color w:val="000000" w:themeColor="text1"/>
                <w:sz w:val="20"/>
                <w:szCs w:val="20"/>
                <w:lang w:eastAsia="ru-RU"/>
              </w:rPr>
              <w:t>proceda</w:t>
            </w:r>
            <w:proofErr w:type="spellEnd"/>
            <w:r w:rsidR="00745D9A" w:rsidRPr="007E64AF">
              <w:rPr>
                <w:rFonts w:ascii="Times New Roman" w:hAnsi="Times New Roman"/>
                <w:color w:val="000000" w:themeColor="text1"/>
                <w:sz w:val="20"/>
                <w:szCs w:val="20"/>
                <w:lang w:eastAsia="ru-RU"/>
              </w:rPr>
              <w:t xml:space="preserve"> la </w:t>
            </w:r>
            <w:proofErr w:type="spellStart"/>
            <w:r w:rsidR="00745D9A" w:rsidRPr="007E64AF">
              <w:rPr>
                <w:rFonts w:ascii="Times New Roman" w:hAnsi="Times New Roman"/>
                <w:color w:val="000000" w:themeColor="text1"/>
                <w:sz w:val="20"/>
                <w:szCs w:val="20"/>
                <w:lang w:eastAsia="ru-RU"/>
              </w:rPr>
              <w:t>punerea</w:t>
            </w:r>
            <w:proofErr w:type="spellEnd"/>
            <w:r w:rsidR="00745D9A" w:rsidRPr="007E64AF">
              <w:rPr>
                <w:rFonts w:ascii="Times New Roman" w:hAnsi="Times New Roman"/>
                <w:color w:val="000000" w:themeColor="text1"/>
                <w:sz w:val="20"/>
                <w:szCs w:val="20"/>
                <w:lang w:eastAsia="ru-RU"/>
              </w:rPr>
              <w:t xml:space="preserve"> în </w:t>
            </w:r>
            <w:proofErr w:type="spellStart"/>
            <w:r w:rsidR="00745D9A" w:rsidRPr="007E64AF">
              <w:rPr>
                <w:rFonts w:ascii="Times New Roman" w:hAnsi="Times New Roman"/>
                <w:color w:val="000000" w:themeColor="text1"/>
                <w:sz w:val="20"/>
                <w:szCs w:val="20"/>
                <w:lang w:eastAsia="ru-RU"/>
              </w:rPr>
              <w:t>aplicare</w:t>
            </w:r>
            <w:proofErr w:type="spellEnd"/>
            <w:r w:rsidR="00745D9A" w:rsidRPr="007E64AF">
              <w:rPr>
                <w:rFonts w:ascii="Times New Roman" w:hAnsi="Times New Roman"/>
                <w:color w:val="000000" w:themeColor="text1"/>
                <w:sz w:val="20"/>
                <w:szCs w:val="20"/>
                <w:lang w:eastAsia="ru-RU"/>
              </w:rPr>
              <w:t>;</w:t>
            </w:r>
          </w:p>
        </w:tc>
        <w:tc>
          <w:tcPr>
            <w:tcW w:w="4541" w:type="dxa"/>
            <w:shd w:val="clear" w:color="auto" w:fill="auto"/>
          </w:tcPr>
          <w:p w14:paraId="07D2F693" w14:textId="127231E5" w:rsidR="00745D9A" w:rsidRPr="002B1ABB" w:rsidRDefault="00745D9A" w:rsidP="007476B2">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4462341F" w14:textId="77777777" w:rsidR="003C5C2B" w:rsidRPr="00C951E7" w:rsidRDefault="003C5C2B" w:rsidP="003C5C2B">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434A23AB" w14:textId="37F16FFE" w:rsidR="00745D9A" w:rsidRPr="00C951E7" w:rsidRDefault="00745D9A" w:rsidP="00925A21">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E472ECA" w14:textId="597D835F" w:rsidR="00745D9A" w:rsidRPr="00C951E7" w:rsidRDefault="00745D9A" w:rsidP="00827FB7">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BDAC2CA" w14:textId="5B87CA0D" w:rsidR="00745D9A" w:rsidRPr="00C951E7" w:rsidRDefault="007476B2" w:rsidP="00827FB7">
            <w:pPr>
              <w:autoSpaceDE w:val="0"/>
              <w:spacing w:after="0" w:line="240" w:lineRule="auto"/>
              <w:rPr>
                <w:rFonts w:ascii="Times New Roman" w:eastAsia="Times New Roman" w:hAnsi="Times New Roman"/>
                <w:sz w:val="20"/>
                <w:szCs w:val="20"/>
                <w:lang w:val="ro-RO"/>
              </w:rPr>
            </w:pPr>
            <w:r w:rsidRPr="007476B2">
              <w:rPr>
                <w:rFonts w:ascii="Times New Roman" w:eastAsia="Times New Roman" w:hAnsi="Times New Roman"/>
                <w:color w:val="000000" w:themeColor="text1"/>
                <w:sz w:val="20"/>
                <w:szCs w:val="20"/>
                <w:lang w:val="ro-RO" w:eastAsia="ru-RU"/>
              </w:rPr>
              <w:t>Noțiunea</w:t>
            </w:r>
            <w:r w:rsidRPr="007476B2">
              <w:rPr>
                <w:rFonts w:ascii="Times New Roman" w:hAnsi="Times New Roman"/>
                <w:color w:val="000000" w:themeColor="text1"/>
                <w:sz w:val="20"/>
                <w:szCs w:val="20"/>
              </w:rPr>
              <w:t xml:space="preserve"> “</w:t>
            </w:r>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politici</w:t>
            </w:r>
            <w:proofErr w:type="spellEnd"/>
            <w:r w:rsidRPr="007A690D">
              <w:rPr>
                <w:rFonts w:ascii="Times New Roman" w:hAnsi="Times New Roman"/>
                <w:sz w:val="20"/>
                <w:szCs w:val="20"/>
                <w:lang w:eastAsia="ru-RU"/>
              </w:rPr>
              <w:t xml:space="preserve"> și </w:t>
            </w:r>
            <w:proofErr w:type="spellStart"/>
            <w:r w:rsidRPr="007A690D">
              <w:rPr>
                <w:rFonts w:ascii="Times New Roman" w:hAnsi="Times New Roman"/>
                <w:sz w:val="20"/>
                <w:szCs w:val="20"/>
                <w:lang w:eastAsia="ru-RU"/>
              </w:rPr>
              <w:t>măsuri</w:t>
            </w:r>
            <w:proofErr w:type="spellEnd"/>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adoptate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este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transpusă</w:t>
            </w:r>
            <w:proofErr w:type="spellEnd"/>
            <w:r w:rsidRPr="007476B2">
              <w:rPr>
                <w:rFonts w:ascii="Times New Roman" w:hAnsi="Times New Roman"/>
                <w:color w:val="000000" w:themeColor="text1"/>
                <w:sz w:val="20"/>
                <w:szCs w:val="20"/>
              </w:rPr>
              <w:t xml:space="preserve"> în</w:t>
            </w:r>
            <w:r w:rsidRPr="007476B2">
              <w:rPr>
                <w:rStyle w:val="docheader"/>
                <w:rFonts w:ascii="Times New Roman" w:hAnsi="Times New Roman"/>
                <w:color w:val="000000" w:themeColor="text1"/>
                <w:sz w:val="20"/>
                <w:szCs w:val="20"/>
                <w:lang w:val="pt-PT"/>
              </w:rPr>
              <w:t xml:space="preserve"> </w:t>
            </w:r>
            <w:proofErr w:type="spellStart"/>
            <w:r w:rsidRPr="007476B2">
              <w:rPr>
                <w:rFonts w:ascii="Times New Roman" w:hAnsi="Times New Roman"/>
                <w:color w:val="000000" w:themeColor="text1"/>
                <w:sz w:val="20"/>
                <w:szCs w:val="20"/>
                <w:shd w:val="clear" w:color="auto" w:fill="FFFFFF"/>
              </w:rPr>
              <w:t>Regulamentul</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privind</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mecanismul</w:t>
            </w:r>
            <w:proofErr w:type="spellEnd"/>
            <w:r w:rsidRPr="007476B2">
              <w:rPr>
                <w:rFonts w:ascii="Times New Roman" w:hAnsi="Times New Roman"/>
                <w:color w:val="000000" w:themeColor="text1"/>
                <w:sz w:val="20"/>
                <w:szCs w:val="20"/>
                <w:shd w:val="clear" w:color="auto" w:fill="FFFFFF"/>
              </w:rPr>
              <w:t xml:space="preserve"> de </w:t>
            </w:r>
            <w:proofErr w:type="spellStart"/>
            <w:r w:rsidRPr="007476B2">
              <w:rPr>
                <w:rFonts w:ascii="Times New Roman" w:hAnsi="Times New Roman"/>
                <w:color w:val="000000" w:themeColor="text1"/>
                <w:sz w:val="20"/>
                <w:szCs w:val="20"/>
                <w:shd w:val="clear" w:color="auto" w:fill="FFFFFF"/>
              </w:rPr>
              <w:t>guvernanță</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energetică</w:t>
            </w:r>
            <w:proofErr w:type="spellEnd"/>
            <w:r w:rsidRPr="007476B2">
              <w:rPr>
                <w:rFonts w:ascii="Times New Roman" w:hAnsi="Times New Roman"/>
                <w:color w:val="000000" w:themeColor="text1"/>
                <w:sz w:val="20"/>
                <w:szCs w:val="20"/>
                <w:shd w:val="clear" w:color="auto" w:fill="FFFFFF"/>
              </w:rPr>
              <w:t xml:space="preserve"> și a </w:t>
            </w:r>
            <w:proofErr w:type="spellStart"/>
            <w:r w:rsidRPr="007476B2">
              <w:rPr>
                <w:rFonts w:ascii="Times New Roman" w:hAnsi="Times New Roman"/>
                <w:color w:val="000000" w:themeColor="text1"/>
                <w:sz w:val="20"/>
                <w:szCs w:val="20"/>
                <w:shd w:val="clear" w:color="auto" w:fill="FFFFFF"/>
              </w:rPr>
              <w:t>acțiunilor</w:t>
            </w:r>
            <w:proofErr w:type="spellEnd"/>
            <w:r w:rsidRPr="007476B2">
              <w:rPr>
                <w:rFonts w:ascii="Times New Roman" w:hAnsi="Times New Roman"/>
                <w:color w:val="000000" w:themeColor="text1"/>
                <w:sz w:val="20"/>
                <w:szCs w:val="20"/>
                <w:shd w:val="clear" w:color="auto" w:fill="FFFFFF"/>
              </w:rPr>
              <w:t xml:space="preserve"> climatice</w:t>
            </w:r>
            <w:r>
              <w:rPr>
                <w:rFonts w:ascii="Times New Roman" w:hAnsi="Times New Roman"/>
                <w:color w:val="000000" w:themeColor="text1"/>
                <w:sz w:val="20"/>
                <w:szCs w:val="20"/>
                <w:shd w:val="clear" w:color="auto" w:fill="FFFFFF"/>
              </w:rPr>
              <w:t xml:space="preserve">, </w:t>
            </w:r>
            <w:proofErr w:type="spellStart"/>
            <w:r>
              <w:rPr>
                <w:rFonts w:ascii="Times New Roman" w:hAnsi="Times New Roman"/>
                <w:color w:val="000000" w:themeColor="text1"/>
                <w:sz w:val="20"/>
                <w:szCs w:val="20"/>
                <w:shd w:val="clear" w:color="auto" w:fill="FFFFFF"/>
              </w:rPr>
              <w:t>aprobat</w:t>
            </w:r>
            <w:proofErr w:type="spellEnd"/>
            <w:r>
              <w:rPr>
                <w:rFonts w:ascii="Times New Roman" w:hAnsi="Times New Roman"/>
                <w:color w:val="000000" w:themeColor="text1"/>
                <w:sz w:val="20"/>
                <w:szCs w:val="20"/>
                <w:shd w:val="clear" w:color="auto" w:fill="FFFFFF"/>
              </w:rPr>
              <w:t xml:space="preserve"> de </w:t>
            </w:r>
            <w:proofErr w:type="spellStart"/>
            <w:r>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2BBDBB46" w14:textId="1B4F2B63" w:rsidR="00827FB7" w:rsidRPr="003F755D" w:rsidRDefault="002B1ABB" w:rsidP="00827FB7">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726F9D31" w14:textId="498260E8" w:rsidR="008E5448" w:rsidRPr="00C951E7" w:rsidRDefault="008E5448" w:rsidP="000D03E8">
            <w:pPr>
              <w:autoSpaceDE w:val="0"/>
              <w:spacing w:after="0" w:line="240" w:lineRule="auto"/>
              <w:rPr>
                <w:rFonts w:ascii="Times New Roman" w:hAnsi="Times New Roman"/>
                <w:sz w:val="20"/>
                <w:szCs w:val="20"/>
                <w:lang w:val="ro-RO"/>
              </w:rPr>
            </w:pPr>
          </w:p>
        </w:tc>
      </w:tr>
      <w:tr w:rsidR="006D32C4" w:rsidRPr="003C5C2B" w14:paraId="1E9B171A" w14:textId="77777777" w:rsidTr="001A1EAE">
        <w:trPr>
          <w:trHeight w:val="415"/>
        </w:trPr>
        <w:tc>
          <w:tcPr>
            <w:tcW w:w="4810" w:type="dxa"/>
            <w:shd w:val="clear" w:color="auto" w:fill="auto"/>
          </w:tcPr>
          <w:p w14:paraId="4769537E" w14:textId="258BD2BB" w:rsidR="006D32C4" w:rsidRPr="007A690D" w:rsidRDefault="00393B96" w:rsidP="00925A21">
            <w:pPr>
              <w:shd w:val="clear" w:color="auto" w:fill="FFFFFF"/>
              <w:spacing w:after="0" w:line="240" w:lineRule="auto"/>
              <w:jc w:val="both"/>
              <w:rPr>
                <w:rFonts w:ascii="Times New Roman" w:hAnsi="Times New Roman"/>
                <w:sz w:val="20"/>
                <w:szCs w:val="20"/>
              </w:rPr>
            </w:pPr>
            <w:r w:rsidRPr="007E64AF">
              <w:rPr>
                <w:rFonts w:ascii="Times New Roman" w:hAnsi="Times New Roman"/>
                <w:color w:val="000000" w:themeColor="text1"/>
                <w:sz w:val="20"/>
                <w:szCs w:val="20"/>
                <w:lang w:eastAsia="ru-RU"/>
              </w:rPr>
              <w:t>(</w:t>
            </w:r>
            <w:proofErr w:type="gramStart"/>
            <w:r w:rsidRPr="007E64AF">
              <w:rPr>
                <w:rFonts w:ascii="Times New Roman" w:hAnsi="Times New Roman"/>
                <w:color w:val="000000" w:themeColor="text1"/>
                <w:sz w:val="20"/>
                <w:szCs w:val="20"/>
                <w:lang w:eastAsia="ru-RU"/>
              </w:rPr>
              <w:t>5)</w:t>
            </w:r>
            <w:r w:rsidR="00745D9A" w:rsidRPr="007E64AF">
              <w:rPr>
                <w:rFonts w:ascii="Times New Roman" w:hAnsi="Times New Roman"/>
                <w:color w:val="000000" w:themeColor="text1"/>
                <w:sz w:val="20"/>
                <w:szCs w:val="20"/>
                <w:lang w:eastAsia="ru-RU"/>
              </w:rPr>
              <w:t>„</w:t>
            </w:r>
            <w:proofErr w:type="spellStart"/>
            <w:proofErr w:type="gramEnd"/>
            <w:r w:rsidR="00745D9A" w:rsidRPr="007E64AF">
              <w:rPr>
                <w:rFonts w:ascii="Times New Roman" w:hAnsi="Times New Roman"/>
                <w:color w:val="000000" w:themeColor="text1"/>
                <w:sz w:val="20"/>
                <w:szCs w:val="20"/>
                <w:lang w:eastAsia="ru-RU"/>
              </w:rPr>
              <w:t>politici</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măsuri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planificate</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înseamnă</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opțiuni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aflate</w:t>
            </w:r>
            <w:proofErr w:type="spellEnd"/>
            <w:r w:rsidR="00745D9A" w:rsidRPr="007E64AF">
              <w:rPr>
                <w:rFonts w:ascii="Times New Roman" w:hAnsi="Times New Roman"/>
                <w:color w:val="000000" w:themeColor="text1"/>
                <w:sz w:val="20"/>
                <w:szCs w:val="20"/>
                <w:lang w:eastAsia="ru-RU"/>
              </w:rPr>
              <w:t xml:space="preserve"> în </w:t>
            </w:r>
            <w:proofErr w:type="spellStart"/>
            <w:r w:rsidR="00745D9A" w:rsidRPr="007E64AF">
              <w:rPr>
                <w:rFonts w:ascii="Times New Roman" w:hAnsi="Times New Roman"/>
                <w:color w:val="000000" w:themeColor="text1"/>
                <w:sz w:val="20"/>
                <w:szCs w:val="20"/>
                <w:lang w:eastAsia="ru-RU"/>
              </w:rPr>
              <w:t>discuție</w:t>
            </w:r>
            <w:proofErr w:type="spellEnd"/>
            <w:r w:rsidR="00745D9A" w:rsidRPr="007E64AF">
              <w:rPr>
                <w:rFonts w:ascii="Times New Roman" w:hAnsi="Times New Roman"/>
                <w:color w:val="000000" w:themeColor="text1"/>
                <w:sz w:val="20"/>
                <w:szCs w:val="20"/>
                <w:lang w:eastAsia="ru-RU"/>
              </w:rPr>
              <w:t xml:space="preserve"> care au o </w:t>
            </w:r>
            <w:proofErr w:type="spellStart"/>
            <w:r w:rsidR="00745D9A" w:rsidRPr="007E64AF">
              <w:rPr>
                <w:rFonts w:ascii="Times New Roman" w:hAnsi="Times New Roman"/>
                <w:color w:val="000000" w:themeColor="text1"/>
                <w:sz w:val="20"/>
                <w:szCs w:val="20"/>
                <w:lang w:eastAsia="ru-RU"/>
              </w:rPr>
              <w:t>șansă</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reală</w:t>
            </w:r>
            <w:proofErr w:type="spellEnd"/>
            <w:r w:rsidR="00745D9A" w:rsidRPr="007E64AF">
              <w:rPr>
                <w:rFonts w:ascii="Times New Roman" w:hAnsi="Times New Roman"/>
                <w:color w:val="000000" w:themeColor="text1"/>
                <w:sz w:val="20"/>
                <w:szCs w:val="20"/>
                <w:lang w:eastAsia="ru-RU"/>
              </w:rPr>
              <w:t xml:space="preserve"> de a fi </w:t>
            </w:r>
            <w:proofErr w:type="spellStart"/>
            <w:r w:rsidR="00745D9A" w:rsidRPr="007E64AF">
              <w:rPr>
                <w:rFonts w:ascii="Times New Roman" w:hAnsi="Times New Roman"/>
                <w:color w:val="000000" w:themeColor="text1"/>
                <w:sz w:val="20"/>
                <w:szCs w:val="20"/>
                <w:lang w:eastAsia="ru-RU"/>
              </w:rPr>
              <w:t>adoptate</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puse</w:t>
            </w:r>
            <w:proofErr w:type="spellEnd"/>
            <w:r w:rsidR="00745D9A" w:rsidRPr="007E64AF">
              <w:rPr>
                <w:rFonts w:ascii="Times New Roman" w:hAnsi="Times New Roman"/>
                <w:color w:val="000000" w:themeColor="text1"/>
                <w:sz w:val="20"/>
                <w:szCs w:val="20"/>
                <w:lang w:eastAsia="ru-RU"/>
              </w:rPr>
              <w:t xml:space="preserve"> în </w:t>
            </w:r>
            <w:proofErr w:type="spellStart"/>
            <w:r w:rsidR="00745D9A" w:rsidRPr="007E64AF">
              <w:rPr>
                <w:rFonts w:ascii="Times New Roman" w:hAnsi="Times New Roman"/>
                <w:color w:val="000000" w:themeColor="text1"/>
                <w:sz w:val="20"/>
                <w:szCs w:val="20"/>
                <w:lang w:eastAsia="ru-RU"/>
              </w:rPr>
              <w:t>aplicare</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după</w:t>
            </w:r>
            <w:proofErr w:type="spellEnd"/>
            <w:r w:rsidR="00745D9A" w:rsidRPr="007E64AF">
              <w:rPr>
                <w:rFonts w:ascii="Times New Roman" w:hAnsi="Times New Roman"/>
                <w:color w:val="000000" w:themeColor="text1"/>
                <w:sz w:val="20"/>
                <w:szCs w:val="20"/>
                <w:lang w:eastAsia="ru-RU"/>
              </w:rPr>
              <w:t xml:space="preserve"> data </w:t>
            </w:r>
            <w:proofErr w:type="spellStart"/>
            <w:r w:rsidR="00745D9A" w:rsidRPr="007E64AF">
              <w:rPr>
                <w:rFonts w:ascii="Times New Roman" w:hAnsi="Times New Roman"/>
                <w:color w:val="000000" w:themeColor="text1"/>
                <w:sz w:val="20"/>
                <w:szCs w:val="20"/>
                <w:lang w:eastAsia="ru-RU"/>
              </w:rPr>
              <w:t>prezentării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planului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național</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integrat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privind</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energia</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clima</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sau</w:t>
            </w:r>
            <w:proofErr w:type="spellEnd"/>
            <w:r w:rsidR="00745D9A" w:rsidRPr="007E64AF">
              <w:rPr>
                <w:rFonts w:ascii="Times New Roman" w:hAnsi="Times New Roman"/>
                <w:color w:val="000000" w:themeColor="text1"/>
                <w:sz w:val="20"/>
                <w:szCs w:val="20"/>
                <w:lang w:eastAsia="ru-RU"/>
              </w:rPr>
              <w:t xml:space="preserve"> a </w:t>
            </w:r>
            <w:proofErr w:type="spellStart"/>
            <w:r w:rsidR="00745D9A" w:rsidRPr="007E64AF">
              <w:rPr>
                <w:rFonts w:ascii="Times New Roman" w:hAnsi="Times New Roman"/>
                <w:color w:val="000000" w:themeColor="text1"/>
                <w:sz w:val="20"/>
                <w:szCs w:val="20"/>
                <w:lang w:eastAsia="ru-RU"/>
              </w:rPr>
              <w:t>raportului</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național</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intermediar</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integrat</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privind</w:t>
            </w:r>
            <w:proofErr w:type="spellEnd"/>
            <w:r w:rsidR="00745D9A" w:rsidRPr="007E64AF">
              <w:rPr>
                <w:rFonts w:ascii="Times New Roman" w:hAnsi="Times New Roman"/>
                <w:color w:val="000000" w:themeColor="text1"/>
                <w:sz w:val="20"/>
                <w:szCs w:val="20"/>
                <w:lang w:eastAsia="ru-RU"/>
              </w:rPr>
              <w:t xml:space="preserve"> </w:t>
            </w:r>
            <w:proofErr w:type="spellStart"/>
            <w:r w:rsidR="00745D9A" w:rsidRPr="007E64AF">
              <w:rPr>
                <w:rFonts w:ascii="Times New Roman" w:hAnsi="Times New Roman"/>
                <w:color w:val="000000" w:themeColor="text1"/>
                <w:sz w:val="20"/>
                <w:szCs w:val="20"/>
                <w:lang w:eastAsia="ru-RU"/>
              </w:rPr>
              <w:t>energia</w:t>
            </w:r>
            <w:proofErr w:type="spellEnd"/>
            <w:r w:rsidR="00745D9A" w:rsidRPr="007E64AF">
              <w:rPr>
                <w:rFonts w:ascii="Times New Roman" w:hAnsi="Times New Roman"/>
                <w:color w:val="000000" w:themeColor="text1"/>
                <w:sz w:val="20"/>
                <w:szCs w:val="20"/>
                <w:lang w:eastAsia="ru-RU"/>
              </w:rPr>
              <w:t xml:space="preserve"> și </w:t>
            </w:r>
            <w:proofErr w:type="spellStart"/>
            <w:r w:rsidR="00745D9A" w:rsidRPr="007E64AF">
              <w:rPr>
                <w:rFonts w:ascii="Times New Roman" w:hAnsi="Times New Roman"/>
                <w:color w:val="000000" w:themeColor="text1"/>
                <w:sz w:val="20"/>
                <w:szCs w:val="20"/>
                <w:lang w:eastAsia="ru-RU"/>
              </w:rPr>
              <w:t>clima</w:t>
            </w:r>
            <w:proofErr w:type="spellEnd"/>
            <w:r w:rsidR="00745D9A" w:rsidRPr="007E64AF">
              <w:rPr>
                <w:rFonts w:ascii="Times New Roman" w:hAnsi="Times New Roman"/>
                <w:color w:val="000000" w:themeColor="text1"/>
                <w:sz w:val="20"/>
                <w:szCs w:val="20"/>
                <w:lang w:eastAsia="ru-RU"/>
              </w:rPr>
              <w:t>;</w:t>
            </w:r>
          </w:p>
        </w:tc>
        <w:tc>
          <w:tcPr>
            <w:tcW w:w="4541" w:type="dxa"/>
            <w:shd w:val="clear" w:color="auto" w:fill="auto"/>
          </w:tcPr>
          <w:p w14:paraId="2EB4EF94" w14:textId="46657121" w:rsidR="001A1EAE" w:rsidRPr="002B1ABB" w:rsidRDefault="001A1EAE" w:rsidP="007476B2">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06B64EC5" w14:textId="77777777" w:rsidR="003C5C2B" w:rsidRPr="00C951E7" w:rsidRDefault="003C5C2B" w:rsidP="003C5C2B">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6E57BC55" w14:textId="067662BB" w:rsidR="006D32C4" w:rsidRPr="00C951E7" w:rsidRDefault="006D32C4" w:rsidP="00827FB7">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6E0F23B"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EB983E4" w14:textId="37AAB5FE" w:rsidR="006D32C4" w:rsidRPr="00C951E7" w:rsidRDefault="007476B2" w:rsidP="00827FB7">
            <w:pPr>
              <w:autoSpaceDE w:val="0"/>
              <w:spacing w:after="0" w:line="240" w:lineRule="auto"/>
              <w:rPr>
                <w:rFonts w:ascii="Times New Roman" w:eastAsia="Times New Roman" w:hAnsi="Times New Roman"/>
                <w:sz w:val="20"/>
                <w:szCs w:val="20"/>
                <w:lang w:val="ro-RO"/>
              </w:rPr>
            </w:pPr>
            <w:r w:rsidRPr="007476B2">
              <w:rPr>
                <w:rFonts w:ascii="Times New Roman" w:eastAsia="Times New Roman" w:hAnsi="Times New Roman"/>
                <w:color w:val="000000" w:themeColor="text1"/>
                <w:sz w:val="20"/>
                <w:szCs w:val="20"/>
                <w:lang w:val="ro-RO" w:eastAsia="ru-RU"/>
              </w:rPr>
              <w:t>Noțiunea</w:t>
            </w:r>
            <w:r w:rsidRPr="007476B2">
              <w:rPr>
                <w:rFonts w:ascii="Times New Roman" w:hAnsi="Times New Roman"/>
                <w:color w:val="000000" w:themeColor="text1"/>
                <w:sz w:val="20"/>
                <w:szCs w:val="20"/>
              </w:rPr>
              <w:t xml:space="preserve"> “</w:t>
            </w:r>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politici</w:t>
            </w:r>
            <w:proofErr w:type="spellEnd"/>
            <w:r w:rsidRPr="007A690D">
              <w:rPr>
                <w:rFonts w:ascii="Times New Roman" w:hAnsi="Times New Roman"/>
                <w:sz w:val="20"/>
                <w:szCs w:val="20"/>
                <w:lang w:eastAsia="ru-RU"/>
              </w:rPr>
              <w:t xml:space="preserve"> și </w:t>
            </w:r>
            <w:proofErr w:type="spellStart"/>
            <w:r w:rsidRPr="007A690D">
              <w:rPr>
                <w:rFonts w:ascii="Times New Roman" w:hAnsi="Times New Roman"/>
                <w:sz w:val="20"/>
                <w:szCs w:val="20"/>
                <w:lang w:eastAsia="ru-RU"/>
              </w:rPr>
              <w:t>măsuri</w:t>
            </w:r>
            <w:proofErr w:type="spellEnd"/>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planificate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este</w:t>
            </w:r>
            <w:proofErr w:type="spellEnd"/>
            <w:r w:rsidRPr="007476B2">
              <w:rPr>
                <w:rFonts w:ascii="Times New Roman" w:hAnsi="Times New Roman"/>
                <w:color w:val="000000" w:themeColor="text1"/>
                <w:sz w:val="20"/>
                <w:szCs w:val="20"/>
              </w:rPr>
              <w:t xml:space="preserve">  </w:t>
            </w:r>
            <w:proofErr w:type="spellStart"/>
            <w:r w:rsidRPr="007476B2">
              <w:rPr>
                <w:rFonts w:ascii="Times New Roman" w:hAnsi="Times New Roman"/>
                <w:color w:val="000000" w:themeColor="text1"/>
                <w:sz w:val="20"/>
                <w:szCs w:val="20"/>
              </w:rPr>
              <w:t>transpusă</w:t>
            </w:r>
            <w:proofErr w:type="spellEnd"/>
            <w:r w:rsidRPr="007476B2">
              <w:rPr>
                <w:rFonts w:ascii="Times New Roman" w:hAnsi="Times New Roman"/>
                <w:color w:val="000000" w:themeColor="text1"/>
                <w:sz w:val="20"/>
                <w:szCs w:val="20"/>
              </w:rPr>
              <w:t xml:space="preserve"> în</w:t>
            </w:r>
            <w:r w:rsidRPr="007476B2">
              <w:rPr>
                <w:rStyle w:val="docheader"/>
                <w:rFonts w:ascii="Times New Roman" w:hAnsi="Times New Roman"/>
                <w:color w:val="000000" w:themeColor="text1"/>
                <w:sz w:val="20"/>
                <w:szCs w:val="20"/>
                <w:lang w:val="pt-PT"/>
              </w:rPr>
              <w:t xml:space="preserve"> </w:t>
            </w:r>
            <w:proofErr w:type="spellStart"/>
            <w:r w:rsidRPr="007476B2">
              <w:rPr>
                <w:rFonts w:ascii="Times New Roman" w:hAnsi="Times New Roman"/>
                <w:color w:val="000000" w:themeColor="text1"/>
                <w:sz w:val="20"/>
                <w:szCs w:val="20"/>
                <w:shd w:val="clear" w:color="auto" w:fill="FFFFFF"/>
              </w:rPr>
              <w:t>Regulamentul</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privind</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mecanismul</w:t>
            </w:r>
            <w:proofErr w:type="spellEnd"/>
            <w:r w:rsidRPr="007476B2">
              <w:rPr>
                <w:rFonts w:ascii="Times New Roman" w:hAnsi="Times New Roman"/>
                <w:color w:val="000000" w:themeColor="text1"/>
                <w:sz w:val="20"/>
                <w:szCs w:val="20"/>
                <w:shd w:val="clear" w:color="auto" w:fill="FFFFFF"/>
              </w:rPr>
              <w:t xml:space="preserve"> de </w:t>
            </w:r>
            <w:proofErr w:type="spellStart"/>
            <w:r w:rsidRPr="007476B2">
              <w:rPr>
                <w:rFonts w:ascii="Times New Roman" w:hAnsi="Times New Roman"/>
                <w:color w:val="000000" w:themeColor="text1"/>
                <w:sz w:val="20"/>
                <w:szCs w:val="20"/>
                <w:shd w:val="clear" w:color="auto" w:fill="FFFFFF"/>
              </w:rPr>
              <w:t>guvernanță</w:t>
            </w:r>
            <w:proofErr w:type="spellEnd"/>
            <w:r w:rsidRPr="007476B2">
              <w:rPr>
                <w:rFonts w:ascii="Times New Roman" w:hAnsi="Times New Roman"/>
                <w:color w:val="000000" w:themeColor="text1"/>
                <w:sz w:val="20"/>
                <w:szCs w:val="20"/>
                <w:shd w:val="clear" w:color="auto" w:fill="FFFFFF"/>
              </w:rPr>
              <w:t xml:space="preserve"> </w:t>
            </w:r>
            <w:proofErr w:type="spellStart"/>
            <w:r w:rsidRPr="007476B2">
              <w:rPr>
                <w:rFonts w:ascii="Times New Roman" w:hAnsi="Times New Roman"/>
                <w:color w:val="000000" w:themeColor="text1"/>
                <w:sz w:val="20"/>
                <w:szCs w:val="20"/>
                <w:shd w:val="clear" w:color="auto" w:fill="FFFFFF"/>
              </w:rPr>
              <w:t>energetică</w:t>
            </w:r>
            <w:proofErr w:type="spellEnd"/>
            <w:r w:rsidRPr="007476B2">
              <w:rPr>
                <w:rFonts w:ascii="Times New Roman" w:hAnsi="Times New Roman"/>
                <w:color w:val="000000" w:themeColor="text1"/>
                <w:sz w:val="20"/>
                <w:szCs w:val="20"/>
                <w:shd w:val="clear" w:color="auto" w:fill="FFFFFF"/>
              </w:rPr>
              <w:t xml:space="preserve"> și a </w:t>
            </w:r>
            <w:proofErr w:type="spellStart"/>
            <w:r w:rsidRPr="007476B2">
              <w:rPr>
                <w:rFonts w:ascii="Times New Roman" w:hAnsi="Times New Roman"/>
                <w:color w:val="000000" w:themeColor="text1"/>
                <w:sz w:val="20"/>
                <w:szCs w:val="20"/>
                <w:shd w:val="clear" w:color="auto" w:fill="FFFFFF"/>
              </w:rPr>
              <w:t>acțiunilor</w:t>
            </w:r>
            <w:proofErr w:type="spellEnd"/>
            <w:r w:rsidRPr="007476B2">
              <w:rPr>
                <w:rFonts w:ascii="Times New Roman" w:hAnsi="Times New Roman"/>
                <w:color w:val="000000" w:themeColor="text1"/>
                <w:sz w:val="20"/>
                <w:szCs w:val="20"/>
                <w:shd w:val="clear" w:color="auto" w:fill="FFFFFF"/>
              </w:rPr>
              <w:t xml:space="preserve"> climatice</w:t>
            </w:r>
            <w:r>
              <w:rPr>
                <w:rFonts w:ascii="Times New Roman" w:hAnsi="Times New Roman"/>
                <w:color w:val="000000" w:themeColor="text1"/>
                <w:sz w:val="20"/>
                <w:szCs w:val="20"/>
                <w:shd w:val="clear" w:color="auto" w:fill="FFFFFF"/>
              </w:rPr>
              <w:t xml:space="preserve">, </w:t>
            </w:r>
            <w:proofErr w:type="spellStart"/>
            <w:r>
              <w:rPr>
                <w:rFonts w:ascii="Times New Roman" w:hAnsi="Times New Roman"/>
                <w:color w:val="000000" w:themeColor="text1"/>
                <w:sz w:val="20"/>
                <w:szCs w:val="20"/>
                <w:shd w:val="clear" w:color="auto" w:fill="FFFFFF"/>
              </w:rPr>
              <w:t>aprobat</w:t>
            </w:r>
            <w:proofErr w:type="spellEnd"/>
            <w:r>
              <w:rPr>
                <w:rFonts w:ascii="Times New Roman" w:hAnsi="Times New Roman"/>
                <w:color w:val="000000" w:themeColor="text1"/>
                <w:sz w:val="20"/>
                <w:szCs w:val="20"/>
                <w:shd w:val="clear" w:color="auto" w:fill="FFFFFF"/>
              </w:rPr>
              <w:t xml:space="preserve"> de </w:t>
            </w:r>
            <w:proofErr w:type="spellStart"/>
            <w:r>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5E05C673" w14:textId="47403614" w:rsidR="008E5448" w:rsidRPr="00C951E7" w:rsidRDefault="002B1ABB" w:rsidP="002B1ABB">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tc>
      </w:tr>
      <w:tr w:rsidR="006D32C4" w:rsidRPr="003C5C2B" w14:paraId="6DC961F7" w14:textId="77777777" w:rsidTr="009F5405">
        <w:trPr>
          <w:trHeight w:val="776"/>
        </w:trPr>
        <w:tc>
          <w:tcPr>
            <w:tcW w:w="4810" w:type="dxa"/>
            <w:shd w:val="clear" w:color="auto" w:fill="auto"/>
          </w:tcPr>
          <w:p w14:paraId="06A13203" w14:textId="057A9CA5" w:rsidR="006D32C4" w:rsidRPr="00745D9A" w:rsidRDefault="00393B96" w:rsidP="00925A21">
            <w:pPr>
              <w:shd w:val="clear" w:color="auto" w:fill="FFFFFF"/>
              <w:spacing w:after="0" w:line="240" w:lineRule="auto"/>
              <w:jc w:val="both"/>
              <w:rPr>
                <w:rFonts w:ascii="Times New Roman" w:hAnsi="Times New Roman"/>
                <w:sz w:val="20"/>
                <w:szCs w:val="20"/>
              </w:rPr>
            </w:pPr>
            <w:r w:rsidRPr="007E64AF">
              <w:rPr>
                <w:rFonts w:ascii="Times New Roman" w:hAnsi="Times New Roman"/>
                <w:color w:val="000000" w:themeColor="text1"/>
                <w:sz w:val="20"/>
                <w:szCs w:val="20"/>
                <w:lang w:val="ro-MD"/>
              </w:rPr>
              <w:t>(6)</w:t>
            </w:r>
            <w:r w:rsidR="00745D9A" w:rsidRPr="007E64AF">
              <w:rPr>
                <w:rFonts w:ascii="Times New Roman" w:hAnsi="Times New Roman"/>
                <w:color w:val="000000" w:themeColor="text1"/>
                <w:sz w:val="20"/>
                <w:szCs w:val="20"/>
              </w:rPr>
              <w:t>„</w:t>
            </w:r>
            <w:proofErr w:type="spellStart"/>
            <w:r w:rsidR="00745D9A" w:rsidRPr="007E64AF">
              <w:rPr>
                <w:rFonts w:ascii="Times New Roman" w:hAnsi="Times New Roman"/>
                <w:color w:val="000000" w:themeColor="text1"/>
                <w:sz w:val="20"/>
                <w:szCs w:val="20"/>
              </w:rPr>
              <w:t>sistem</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pentru</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politici</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măsuri</w:t>
            </w:r>
            <w:proofErr w:type="spellEnd"/>
            <w:r w:rsidR="00745D9A" w:rsidRPr="007E64AF">
              <w:rPr>
                <w:rFonts w:ascii="Times New Roman" w:hAnsi="Times New Roman"/>
                <w:color w:val="000000" w:themeColor="text1"/>
                <w:sz w:val="20"/>
                <w:szCs w:val="20"/>
              </w:rPr>
              <w:t xml:space="preserve"> și </w:t>
            </w:r>
            <w:proofErr w:type="spellStart"/>
            <w:r w:rsidR="00745D9A" w:rsidRPr="007E64AF">
              <w:rPr>
                <w:rFonts w:ascii="Times New Roman" w:hAnsi="Times New Roman"/>
                <w:color w:val="000000" w:themeColor="text1"/>
                <w:sz w:val="20"/>
                <w:szCs w:val="20"/>
              </w:rPr>
              <w:t>prognoze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înseamnă</w:t>
            </w:r>
            <w:proofErr w:type="spellEnd"/>
            <w:r w:rsidR="00745D9A" w:rsidRPr="007E64AF">
              <w:rPr>
                <w:rFonts w:ascii="Times New Roman" w:hAnsi="Times New Roman"/>
                <w:color w:val="000000" w:themeColor="text1"/>
                <w:sz w:val="20"/>
                <w:szCs w:val="20"/>
              </w:rPr>
              <w:t xml:space="preserve"> un </w:t>
            </w:r>
            <w:proofErr w:type="spellStart"/>
            <w:r w:rsidR="00745D9A" w:rsidRPr="007E64AF">
              <w:rPr>
                <w:rFonts w:ascii="Times New Roman" w:hAnsi="Times New Roman"/>
                <w:color w:val="000000" w:themeColor="text1"/>
                <w:sz w:val="20"/>
                <w:szCs w:val="20"/>
              </w:rPr>
              <w:t>sistem</w:t>
            </w:r>
            <w:proofErr w:type="spellEnd"/>
            <w:r w:rsidR="00745D9A" w:rsidRPr="007E64AF">
              <w:rPr>
                <w:rFonts w:ascii="Times New Roman" w:hAnsi="Times New Roman"/>
                <w:color w:val="000000" w:themeColor="text1"/>
                <w:sz w:val="20"/>
                <w:szCs w:val="20"/>
              </w:rPr>
              <w:t xml:space="preserve"> de </w:t>
            </w:r>
            <w:proofErr w:type="spellStart"/>
            <w:r w:rsidR="00745D9A" w:rsidRPr="007E64AF">
              <w:rPr>
                <w:rFonts w:ascii="Times New Roman" w:hAnsi="Times New Roman"/>
                <w:color w:val="000000" w:themeColor="text1"/>
                <w:sz w:val="20"/>
                <w:szCs w:val="20"/>
              </w:rPr>
              <w:t>măsuri</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instituționale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juridice</w:t>
            </w:r>
            <w:proofErr w:type="spellEnd"/>
            <w:r w:rsidR="00745D9A" w:rsidRPr="007E64AF">
              <w:rPr>
                <w:rFonts w:ascii="Times New Roman" w:hAnsi="Times New Roman"/>
                <w:color w:val="000000" w:themeColor="text1"/>
                <w:sz w:val="20"/>
                <w:szCs w:val="20"/>
              </w:rPr>
              <w:t xml:space="preserve"> și </w:t>
            </w:r>
            <w:proofErr w:type="spellStart"/>
            <w:r w:rsidR="00745D9A" w:rsidRPr="007E64AF">
              <w:rPr>
                <w:rFonts w:ascii="Times New Roman" w:hAnsi="Times New Roman"/>
                <w:color w:val="000000" w:themeColor="text1"/>
                <w:sz w:val="20"/>
                <w:szCs w:val="20"/>
              </w:rPr>
              <w:t>procedurale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stabilit</w:t>
            </w:r>
            <w:proofErr w:type="spellEnd"/>
            <w:r w:rsidR="00745D9A" w:rsidRPr="007E64AF">
              <w:rPr>
                <w:rFonts w:ascii="Times New Roman" w:hAnsi="Times New Roman"/>
                <w:color w:val="000000" w:themeColor="text1"/>
                <w:sz w:val="20"/>
                <w:szCs w:val="20"/>
              </w:rPr>
              <w:t xml:space="preserve"> în </w:t>
            </w:r>
            <w:proofErr w:type="spellStart"/>
            <w:r w:rsidR="00745D9A" w:rsidRPr="007E64AF">
              <w:rPr>
                <w:rFonts w:ascii="Times New Roman" w:hAnsi="Times New Roman"/>
                <w:color w:val="000000" w:themeColor="text1"/>
                <w:sz w:val="20"/>
                <w:szCs w:val="20"/>
              </w:rPr>
              <w:t>vederea</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raportării</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politicilor</w:t>
            </w:r>
            <w:proofErr w:type="spellEnd"/>
            <w:r w:rsidR="00745D9A" w:rsidRPr="007E64AF">
              <w:rPr>
                <w:rFonts w:ascii="Times New Roman" w:hAnsi="Times New Roman"/>
                <w:color w:val="000000" w:themeColor="text1"/>
                <w:sz w:val="20"/>
                <w:szCs w:val="20"/>
              </w:rPr>
              <w:t xml:space="preserve"> și a </w:t>
            </w:r>
            <w:proofErr w:type="spellStart"/>
            <w:r w:rsidR="00745D9A" w:rsidRPr="007E64AF">
              <w:rPr>
                <w:rFonts w:ascii="Times New Roman" w:hAnsi="Times New Roman"/>
                <w:color w:val="000000" w:themeColor="text1"/>
                <w:sz w:val="20"/>
                <w:szCs w:val="20"/>
              </w:rPr>
              <w:t>măsurilor</w:t>
            </w:r>
            <w:proofErr w:type="spellEnd"/>
            <w:r w:rsidR="00745D9A" w:rsidRPr="007E64AF">
              <w:rPr>
                <w:rFonts w:ascii="Times New Roman" w:hAnsi="Times New Roman"/>
                <w:color w:val="000000" w:themeColor="text1"/>
                <w:sz w:val="20"/>
                <w:szCs w:val="20"/>
              </w:rPr>
              <w:t xml:space="preserve">, precum și a </w:t>
            </w:r>
            <w:proofErr w:type="spellStart"/>
            <w:r w:rsidR="00745D9A" w:rsidRPr="007E64AF">
              <w:rPr>
                <w:rFonts w:ascii="Times New Roman" w:hAnsi="Times New Roman"/>
                <w:color w:val="000000" w:themeColor="text1"/>
                <w:sz w:val="20"/>
                <w:szCs w:val="20"/>
              </w:rPr>
              <w:t>prognozelor</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referitoare</w:t>
            </w:r>
            <w:proofErr w:type="spellEnd"/>
            <w:r w:rsidR="00745D9A" w:rsidRPr="007E64AF">
              <w:rPr>
                <w:rFonts w:ascii="Times New Roman" w:hAnsi="Times New Roman"/>
                <w:color w:val="000000" w:themeColor="text1"/>
                <w:sz w:val="20"/>
                <w:szCs w:val="20"/>
              </w:rPr>
              <w:t xml:space="preserve"> la </w:t>
            </w:r>
            <w:proofErr w:type="spellStart"/>
            <w:r w:rsidR="00745D9A" w:rsidRPr="007E64AF">
              <w:rPr>
                <w:rFonts w:ascii="Times New Roman" w:hAnsi="Times New Roman"/>
                <w:color w:val="000000" w:themeColor="text1"/>
                <w:sz w:val="20"/>
                <w:szCs w:val="20"/>
              </w:rPr>
              <w:t>emisiile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antropice</w:t>
            </w:r>
            <w:proofErr w:type="spellEnd"/>
            <w:r w:rsidR="00745D9A" w:rsidRPr="007E64AF">
              <w:rPr>
                <w:rFonts w:ascii="Times New Roman" w:hAnsi="Times New Roman"/>
                <w:color w:val="000000" w:themeColor="text1"/>
                <w:sz w:val="20"/>
                <w:szCs w:val="20"/>
              </w:rPr>
              <w:t xml:space="preserve"> de </w:t>
            </w:r>
            <w:proofErr w:type="spellStart"/>
            <w:r w:rsidR="00745D9A" w:rsidRPr="007E64AF">
              <w:rPr>
                <w:rFonts w:ascii="Times New Roman" w:hAnsi="Times New Roman"/>
                <w:color w:val="000000" w:themeColor="text1"/>
                <w:sz w:val="20"/>
                <w:szCs w:val="20"/>
              </w:rPr>
              <w:t>către</w:t>
            </w:r>
            <w:proofErr w:type="spellEnd"/>
            <w:r w:rsidR="00745D9A" w:rsidRPr="007E64AF">
              <w:rPr>
                <w:rFonts w:ascii="Times New Roman" w:hAnsi="Times New Roman"/>
                <w:color w:val="000000" w:themeColor="text1"/>
                <w:sz w:val="20"/>
                <w:szCs w:val="20"/>
              </w:rPr>
              <w:t xml:space="preserve"> surse și </w:t>
            </w:r>
            <w:proofErr w:type="spellStart"/>
            <w:r w:rsidR="00745D9A" w:rsidRPr="007E64AF">
              <w:rPr>
                <w:rFonts w:ascii="Times New Roman" w:hAnsi="Times New Roman"/>
                <w:color w:val="000000" w:themeColor="text1"/>
                <w:sz w:val="20"/>
                <w:szCs w:val="20"/>
              </w:rPr>
              <w:t>absorbțiile</w:t>
            </w:r>
            <w:proofErr w:type="spellEnd"/>
            <w:r w:rsidR="00745D9A" w:rsidRPr="007E64AF">
              <w:rPr>
                <w:rFonts w:ascii="Times New Roman" w:hAnsi="Times New Roman"/>
                <w:color w:val="000000" w:themeColor="text1"/>
                <w:sz w:val="20"/>
                <w:szCs w:val="20"/>
              </w:rPr>
              <w:t xml:space="preserve"> de </w:t>
            </w:r>
            <w:proofErr w:type="spellStart"/>
            <w:r w:rsidR="00745D9A" w:rsidRPr="007E64AF">
              <w:rPr>
                <w:rFonts w:ascii="Times New Roman" w:hAnsi="Times New Roman"/>
                <w:color w:val="000000" w:themeColor="text1"/>
                <w:sz w:val="20"/>
                <w:szCs w:val="20"/>
              </w:rPr>
              <w:t>către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absorbanți</w:t>
            </w:r>
            <w:proofErr w:type="spellEnd"/>
            <w:r w:rsidR="00745D9A" w:rsidRPr="007E64AF">
              <w:rPr>
                <w:rFonts w:ascii="Times New Roman" w:hAnsi="Times New Roman"/>
                <w:color w:val="000000" w:themeColor="text1"/>
                <w:sz w:val="20"/>
                <w:szCs w:val="20"/>
              </w:rPr>
              <w:t xml:space="preserve"> de gaze cu </w:t>
            </w:r>
            <w:proofErr w:type="spellStart"/>
            <w:r w:rsidR="00745D9A" w:rsidRPr="007E64AF">
              <w:rPr>
                <w:rFonts w:ascii="Times New Roman" w:hAnsi="Times New Roman"/>
                <w:color w:val="000000" w:themeColor="text1"/>
                <w:sz w:val="20"/>
                <w:szCs w:val="20"/>
              </w:rPr>
              <w:t>efect</w:t>
            </w:r>
            <w:proofErr w:type="spellEnd"/>
            <w:r w:rsidR="00745D9A" w:rsidRPr="007E64AF">
              <w:rPr>
                <w:rFonts w:ascii="Times New Roman" w:hAnsi="Times New Roman"/>
                <w:color w:val="000000" w:themeColor="text1"/>
                <w:sz w:val="20"/>
                <w:szCs w:val="20"/>
              </w:rPr>
              <w:t xml:space="preserve"> de </w:t>
            </w:r>
            <w:proofErr w:type="spellStart"/>
            <w:r w:rsidR="00745D9A" w:rsidRPr="007E64AF">
              <w:rPr>
                <w:rFonts w:ascii="Times New Roman" w:hAnsi="Times New Roman"/>
                <w:color w:val="000000" w:themeColor="text1"/>
                <w:sz w:val="20"/>
                <w:szCs w:val="20"/>
              </w:rPr>
              <w:t>seră</w:t>
            </w:r>
            <w:proofErr w:type="spellEnd"/>
            <w:r w:rsidR="00745D9A" w:rsidRPr="007E64AF">
              <w:rPr>
                <w:rFonts w:ascii="Times New Roman" w:hAnsi="Times New Roman"/>
                <w:color w:val="000000" w:themeColor="text1"/>
                <w:sz w:val="20"/>
                <w:szCs w:val="20"/>
              </w:rPr>
              <w:t xml:space="preserve"> și la </w:t>
            </w:r>
            <w:proofErr w:type="spellStart"/>
            <w:r w:rsidR="00745D9A" w:rsidRPr="007E64AF">
              <w:rPr>
                <w:rFonts w:ascii="Times New Roman" w:hAnsi="Times New Roman"/>
                <w:color w:val="000000" w:themeColor="text1"/>
                <w:sz w:val="20"/>
                <w:szCs w:val="20"/>
              </w:rPr>
              <w:t>sistemul</w:t>
            </w:r>
            <w:proofErr w:type="spellEnd"/>
            <w:r w:rsidR="00745D9A" w:rsidRPr="007E64AF">
              <w:rPr>
                <w:rFonts w:ascii="Times New Roman" w:hAnsi="Times New Roman"/>
                <w:color w:val="000000" w:themeColor="text1"/>
                <w:sz w:val="20"/>
                <w:szCs w:val="20"/>
              </w:rPr>
              <w:t xml:space="preserve"> energetic, </w:t>
            </w:r>
            <w:proofErr w:type="spellStart"/>
            <w:r w:rsidR="00745D9A" w:rsidRPr="007E64AF">
              <w:rPr>
                <w:rFonts w:ascii="Times New Roman" w:hAnsi="Times New Roman"/>
                <w:color w:val="000000" w:themeColor="text1"/>
                <w:sz w:val="20"/>
                <w:szCs w:val="20"/>
              </w:rPr>
              <w:t>printre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altele</w:t>
            </w:r>
            <w:proofErr w:type="spellEnd"/>
            <w:r w:rsidR="00745D9A" w:rsidRPr="007E64AF">
              <w:rPr>
                <w:rFonts w:ascii="Times New Roman" w:hAnsi="Times New Roman"/>
                <w:color w:val="000000" w:themeColor="text1"/>
                <w:sz w:val="20"/>
                <w:szCs w:val="20"/>
              </w:rPr>
              <w:t xml:space="preserve"> </w:t>
            </w:r>
            <w:proofErr w:type="spellStart"/>
            <w:r w:rsidR="00745D9A" w:rsidRPr="007E64AF">
              <w:rPr>
                <w:rFonts w:ascii="Times New Roman" w:hAnsi="Times New Roman"/>
                <w:color w:val="000000" w:themeColor="text1"/>
                <w:sz w:val="20"/>
                <w:szCs w:val="20"/>
              </w:rPr>
              <w:t>astfel</w:t>
            </w:r>
            <w:proofErr w:type="spellEnd"/>
            <w:r w:rsidR="00745D9A" w:rsidRPr="007E64AF">
              <w:rPr>
                <w:rFonts w:ascii="Times New Roman" w:hAnsi="Times New Roman"/>
                <w:color w:val="000000" w:themeColor="text1"/>
                <w:sz w:val="20"/>
                <w:szCs w:val="20"/>
              </w:rPr>
              <w:t xml:space="preserve"> cum se </w:t>
            </w:r>
            <w:proofErr w:type="spellStart"/>
            <w:r w:rsidR="00745D9A" w:rsidRPr="007E64AF">
              <w:rPr>
                <w:rFonts w:ascii="Times New Roman" w:hAnsi="Times New Roman"/>
                <w:color w:val="000000" w:themeColor="text1"/>
                <w:sz w:val="20"/>
                <w:szCs w:val="20"/>
              </w:rPr>
              <w:t>impune</w:t>
            </w:r>
            <w:proofErr w:type="spellEnd"/>
            <w:r w:rsidR="00745D9A" w:rsidRPr="007E64AF">
              <w:rPr>
                <w:rFonts w:ascii="Times New Roman" w:hAnsi="Times New Roman"/>
                <w:color w:val="000000" w:themeColor="text1"/>
                <w:sz w:val="20"/>
                <w:szCs w:val="20"/>
              </w:rPr>
              <w:t xml:space="preserve"> la </w:t>
            </w:r>
            <w:proofErr w:type="spellStart"/>
            <w:r w:rsidR="00745D9A" w:rsidRPr="007E64AF">
              <w:rPr>
                <w:rFonts w:ascii="Times New Roman" w:hAnsi="Times New Roman"/>
                <w:color w:val="000000" w:themeColor="text1"/>
                <w:sz w:val="20"/>
                <w:szCs w:val="20"/>
              </w:rPr>
              <w:t>articolul</w:t>
            </w:r>
            <w:proofErr w:type="spellEnd"/>
            <w:r w:rsidR="00745D9A" w:rsidRPr="007E64AF">
              <w:rPr>
                <w:rFonts w:ascii="Times New Roman" w:hAnsi="Times New Roman"/>
                <w:color w:val="000000" w:themeColor="text1"/>
                <w:sz w:val="20"/>
                <w:szCs w:val="20"/>
              </w:rPr>
              <w:t xml:space="preserve"> 39;</w:t>
            </w:r>
          </w:p>
        </w:tc>
        <w:tc>
          <w:tcPr>
            <w:tcW w:w="4541" w:type="dxa"/>
            <w:shd w:val="clear" w:color="auto" w:fill="auto"/>
          </w:tcPr>
          <w:p w14:paraId="71084EC4" w14:textId="3D78E6BC" w:rsidR="006D32C4" w:rsidRPr="00F27867" w:rsidRDefault="006D32C4" w:rsidP="003C5C2B">
            <w:pPr>
              <w:shd w:val="clear" w:color="auto" w:fill="FFFFFF"/>
              <w:spacing w:after="0" w:line="240" w:lineRule="auto"/>
              <w:jc w:val="both"/>
              <w:rPr>
                <w:rFonts w:ascii="Times New Roman" w:hAnsi="Times New Roman"/>
                <w:sz w:val="20"/>
                <w:szCs w:val="20"/>
                <w:lang w:val="pt-PT" w:eastAsia="ro-RO" w:bidi="or-IN"/>
              </w:rPr>
            </w:pPr>
          </w:p>
        </w:tc>
        <w:tc>
          <w:tcPr>
            <w:tcW w:w="1276" w:type="dxa"/>
            <w:shd w:val="clear" w:color="auto" w:fill="auto"/>
          </w:tcPr>
          <w:p w14:paraId="66C29F73" w14:textId="5EEDDBE8" w:rsidR="006D32C4" w:rsidRPr="00C951E7" w:rsidRDefault="003C5C2B" w:rsidP="002526D0">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2526D0" w:rsidRPr="00C951E7">
              <w:rPr>
                <w:rFonts w:ascii="Times New Roman" w:hAnsi="Times New Roman"/>
                <w:bCs/>
                <w:color w:val="000000" w:themeColor="text1"/>
                <w:sz w:val="20"/>
                <w:szCs w:val="20"/>
                <w:lang w:val="ro-RO"/>
              </w:rPr>
              <w:t>ompatibil</w:t>
            </w:r>
          </w:p>
        </w:tc>
        <w:tc>
          <w:tcPr>
            <w:tcW w:w="1275" w:type="dxa"/>
            <w:shd w:val="clear" w:color="auto" w:fill="auto"/>
          </w:tcPr>
          <w:p w14:paraId="536BEE7F"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EA9514E" w14:textId="3AAA1C85" w:rsidR="006D32C4" w:rsidRPr="00F57FF6" w:rsidRDefault="00F57FF6" w:rsidP="00F57FF6">
            <w:pPr>
              <w:spacing w:after="0" w:line="240" w:lineRule="auto"/>
              <w:jc w:val="both"/>
              <w:rPr>
                <w:rFonts w:ascii="Times New Roman" w:hAnsi="Times New Roman"/>
                <w:sz w:val="20"/>
                <w:szCs w:val="20"/>
                <w:lang w:val="pt-PT"/>
              </w:rPr>
            </w:pPr>
            <w:r w:rsidRPr="00F57FF6">
              <w:rPr>
                <w:rFonts w:ascii="Times New Roman" w:eastAsia="Times New Roman" w:hAnsi="Times New Roman"/>
                <w:sz w:val="20"/>
                <w:szCs w:val="20"/>
                <w:lang w:val="ro-RO" w:eastAsia="ru-RU"/>
              </w:rPr>
              <w:t>Noțiunea</w:t>
            </w:r>
            <w:r w:rsidRPr="00F57FF6">
              <w:rPr>
                <w:rFonts w:ascii="Times New Roman" w:hAnsi="Times New Roman"/>
                <w:sz w:val="20"/>
                <w:szCs w:val="20"/>
              </w:rPr>
              <w:t xml:space="preserve"> “</w:t>
            </w:r>
            <w:proofErr w:type="spellStart"/>
            <w:r w:rsidRPr="00F57FF6">
              <w:rPr>
                <w:rFonts w:ascii="Times New Roman" w:hAnsi="Times New Roman"/>
                <w:sz w:val="20"/>
                <w:szCs w:val="20"/>
              </w:rPr>
              <w:t>sistem</w:t>
            </w:r>
            <w:proofErr w:type="spellEnd"/>
            <w:r w:rsidRPr="00F57FF6">
              <w:rPr>
                <w:rFonts w:ascii="Times New Roman" w:hAnsi="Times New Roman"/>
                <w:sz w:val="20"/>
                <w:szCs w:val="20"/>
              </w:rPr>
              <w:t xml:space="preserve"> </w:t>
            </w:r>
            <w:proofErr w:type="spellStart"/>
            <w:r w:rsidRPr="00F57FF6">
              <w:rPr>
                <w:rFonts w:ascii="Times New Roman" w:hAnsi="Times New Roman"/>
                <w:sz w:val="20"/>
                <w:szCs w:val="20"/>
              </w:rPr>
              <w:t>pentru</w:t>
            </w:r>
            <w:proofErr w:type="spellEnd"/>
            <w:r w:rsidRPr="00F57FF6">
              <w:rPr>
                <w:rFonts w:ascii="Times New Roman" w:hAnsi="Times New Roman"/>
                <w:sz w:val="20"/>
                <w:szCs w:val="20"/>
              </w:rPr>
              <w:t xml:space="preserve"> </w:t>
            </w:r>
            <w:proofErr w:type="spellStart"/>
            <w:r w:rsidRPr="00F57FF6">
              <w:rPr>
                <w:rFonts w:ascii="Times New Roman" w:hAnsi="Times New Roman"/>
                <w:sz w:val="20"/>
                <w:szCs w:val="20"/>
              </w:rPr>
              <w:t>politici</w:t>
            </w:r>
            <w:proofErr w:type="spellEnd"/>
            <w:r w:rsidRPr="00F57FF6">
              <w:rPr>
                <w:rFonts w:ascii="Times New Roman" w:hAnsi="Times New Roman"/>
                <w:sz w:val="20"/>
                <w:szCs w:val="20"/>
              </w:rPr>
              <w:t xml:space="preserve">, </w:t>
            </w:r>
            <w:proofErr w:type="spellStart"/>
            <w:r w:rsidRPr="00F57FF6">
              <w:rPr>
                <w:rFonts w:ascii="Times New Roman" w:hAnsi="Times New Roman"/>
                <w:sz w:val="20"/>
                <w:szCs w:val="20"/>
              </w:rPr>
              <w:t>măsuri</w:t>
            </w:r>
            <w:proofErr w:type="spellEnd"/>
            <w:r w:rsidRPr="00F57FF6">
              <w:rPr>
                <w:rFonts w:ascii="Times New Roman" w:hAnsi="Times New Roman"/>
                <w:sz w:val="20"/>
                <w:szCs w:val="20"/>
              </w:rPr>
              <w:t xml:space="preserve"> și </w:t>
            </w:r>
            <w:proofErr w:type="spellStart"/>
            <w:r w:rsidRPr="00F57FF6">
              <w:rPr>
                <w:rFonts w:ascii="Times New Roman" w:hAnsi="Times New Roman"/>
                <w:sz w:val="20"/>
                <w:szCs w:val="20"/>
              </w:rPr>
              <w:t>prognoze</w:t>
            </w:r>
            <w:proofErr w:type="spellEnd"/>
            <w:r w:rsidRPr="00F57FF6">
              <w:rPr>
                <w:rFonts w:ascii="Times New Roman" w:hAnsi="Times New Roman"/>
                <w:sz w:val="20"/>
                <w:szCs w:val="20"/>
              </w:rPr>
              <w:t xml:space="preserve">” </w:t>
            </w:r>
            <w:proofErr w:type="spellStart"/>
            <w:r>
              <w:rPr>
                <w:rFonts w:ascii="Times New Roman" w:hAnsi="Times New Roman"/>
                <w:sz w:val="20"/>
                <w:szCs w:val="20"/>
              </w:rPr>
              <w:t>este</w:t>
            </w:r>
            <w:proofErr w:type="spellEnd"/>
            <w:r>
              <w:rPr>
                <w:rFonts w:ascii="Times New Roman" w:hAnsi="Times New Roman"/>
                <w:sz w:val="20"/>
                <w:szCs w:val="20"/>
              </w:rPr>
              <w:t xml:space="preserve"> </w:t>
            </w:r>
            <w:r w:rsidRPr="00F57FF6">
              <w:rPr>
                <w:rFonts w:ascii="Times New Roman" w:hAnsi="Times New Roman"/>
                <w:sz w:val="20"/>
                <w:szCs w:val="20"/>
              </w:rPr>
              <w:t xml:space="preserve"> </w:t>
            </w:r>
            <w:proofErr w:type="spellStart"/>
            <w:r w:rsidRPr="00F57FF6">
              <w:rPr>
                <w:rFonts w:ascii="Times New Roman" w:hAnsi="Times New Roman"/>
                <w:sz w:val="20"/>
                <w:szCs w:val="20"/>
              </w:rPr>
              <w:t>transpusă</w:t>
            </w:r>
            <w:proofErr w:type="spellEnd"/>
            <w:r w:rsidRPr="00F57FF6">
              <w:rPr>
                <w:rFonts w:ascii="Times New Roman" w:hAnsi="Times New Roman"/>
                <w:sz w:val="20"/>
                <w:szCs w:val="20"/>
              </w:rPr>
              <w:t xml:space="preserve"> în</w:t>
            </w:r>
            <w:r w:rsidRPr="00F57FF6">
              <w:rPr>
                <w:rStyle w:val="docheader"/>
                <w:rFonts w:ascii="Times New Roman" w:hAnsi="Times New Roman"/>
                <w:sz w:val="20"/>
                <w:szCs w:val="20"/>
                <w:lang w:val="pt-PT"/>
              </w:rPr>
              <w:t xml:space="preserve"> HG</w:t>
            </w:r>
            <w:r>
              <w:rPr>
                <w:rStyle w:val="docheader"/>
                <w:rFonts w:ascii="Times New Roman" w:hAnsi="Times New Roman"/>
                <w:sz w:val="20"/>
                <w:szCs w:val="20"/>
                <w:lang w:val="pt-PT"/>
              </w:rPr>
              <w:t xml:space="preserve"> </w:t>
            </w:r>
            <w:proofErr w:type="spellStart"/>
            <w:r w:rsidRPr="00F57FF6">
              <w:rPr>
                <w:rFonts w:ascii="Times New Roman" w:hAnsi="Times New Roman"/>
                <w:sz w:val="20"/>
                <w:szCs w:val="20"/>
                <w:lang w:val="pt-PT"/>
              </w:rPr>
              <w:t>nr</w:t>
            </w:r>
            <w:proofErr w:type="spellEnd"/>
            <w:r w:rsidRPr="00F57FF6">
              <w:rPr>
                <w:rFonts w:ascii="Times New Roman" w:hAnsi="Times New Roman"/>
                <w:sz w:val="20"/>
                <w:szCs w:val="20"/>
                <w:lang w:val="pt-PT"/>
              </w:rPr>
              <w:t xml:space="preserve">. 1277/2018 cu </w:t>
            </w:r>
            <w:proofErr w:type="spellStart"/>
            <w:r w:rsidRPr="00F57FF6">
              <w:rPr>
                <w:rFonts w:ascii="Times New Roman" w:hAnsi="Times New Roman"/>
                <w:sz w:val="20"/>
                <w:szCs w:val="20"/>
                <w:lang w:val="pt-PT"/>
              </w:rPr>
              <w:t>privire</w:t>
            </w:r>
            <w:proofErr w:type="spellEnd"/>
            <w:r w:rsidRPr="00F57FF6">
              <w:rPr>
                <w:rFonts w:ascii="Times New Roman" w:hAnsi="Times New Roman"/>
                <w:sz w:val="20"/>
                <w:szCs w:val="20"/>
                <w:lang w:val="pt-PT"/>
              </w:rPr>
              <w:t xml:space="preserve"> la </w:t>
            </w:r>
            <w:proofErr w:type="spellStart"/>
            <w:r w:rsidRPr="00F57FF6">
              <w:rPr>
                <w:rFonts w:ascii="Times New Roman" w:hAnsi="Times New Roman"/>
                <w:sz w:val="20"/>
                <w:szCs w:val="20"/>
                <w:lang w:val="pt-PT"/>
              </w:rPr>
              <w:lastRenderedPageBreak/>
              <w:t>instituirea</w:t>
            </w:r>
            <w:proofErr w:type="spellEnd"/>
            <w:r w:rsidRPr="00F57FF6">
              <w:rPr>
                <w:rFonts w:ascii="Times New Roman" w:hAnsi="Times New Roman"/>
                <w:sz w:val="20"/>
                <w:szCs w:val="20"/>
                <w:lang w:val="pt-PT"/>
              </w:rPr>
              <w:t xml:space="preserve"> și funcționarea Sistemului național de monitorizare și raportare a emisiilor de gaze cu </w:t>
            </w:r>
            <w:proofErr w:type="spellStart"/>
            <w:r w:rsidRPr="00F57FF6">
              <w:rPr>
                <w:rFonts w:ascii="Times New Roman" w:hAnsi="Times New Roman"/>
                <w:sz w:val="20"/>
                <w:szCs w:val="20"/>
                <w:lang w:val="pt-PT"/>
              </w:rPr>
              <w:t>efect</w:t>
            </w:r>
            <w:proofErr w:type="spellEnd"/>
            <w:r w:rsidRPr="00F57FF6">
              <w:rPr>
                <w:rFonts w:ascii="Times New Roman" w:hAnsi="Times New Roman"/>
                <w:sz w:val="20"/>
                <w:szCs w:val="20"/>
                <w:lang w:val="pt-PT"/>
              </w:rPr>
              <w:t xml:space="preserve"> de </w:t>
            </w:r>
            <w:proofErr w:type="spellStart"/>
            <w:r w:rsidRPr="00F57FF6">
              <w:rPr>
                <w:rFonts w:ascii="Times New Roman" w:hAnsi="Times New Roman"/>
                <w:sz w:val="20"/>
                <w:szCs w:val="20"/>
                <w:lang w:val="pt-PT"/>
              </w:rPr>
              <w:t>seră</w:t>
            </w:r>
            <w:proofErr w:type="spellEnd"/>
            <w:r w:rsidRPr="00F57FF6">
              <w:rPr>
                <w:rFonts w:ascii="Times New Roman" w:hAnsi="Times New Roman"/>
                <w:sz w:val="20"/>
                <w:szCs w:val="20"/>
                <w:lang w:val="pt-PT"/>
              </w:rPr>
              <w:t xml:space="preserve"> și altor </w:t>
            </w:r>
            <w:proofErr w:type="spellStart"/>
            <w:r w:rsidRPr="00F57FF6">
              <w:rPr>
                <w:rFonts w:ascii="Times New Roman" w:hAnsi="Times New Roman"/>
                <w:sz w:val="20"/>
                <w:szCs w:val="20"/>
                <w:lang w:val="pt-PT"/>
              </w:rPr>
              <w:t>informații</w:t>
            </w:r>
            <w:proofErr w:type="spellEnd"/>
            <w:r w:rsidRPr="00F57FF6">
              <w:rPr>
                <w:rFonts w:ascii="Times New Roman" w:hAnsi="Times New Roman"/>
                <w:sz w:val="20"/>
                <w:szCs w:val="20"/>
                <w:lang w:val="pt-PT"/>
              </w:rPr>
              <w:t xml:space="preserve"> relevante </w:t>
            </w:r>
            <w:proofErr w:type="spellStart"/>
            <w:r w:rsidRPr="00F57FF6">
              <w:rPr>
                <w:rFonts w:ascii="Times New Roman" w:hAnsi="Times New Roman"/>
                <w:sz w:val="20"/>
                <w:szCs w:val="20"/>
                <w:lang w:val="pt-PT"/>
              </w:rPr>
              <w:t>pentru</w:t>
            </w:r>
            <w:proofErr w:type="spellEnd"/>
            <w:r w:rsidRPr="00F57FF6">
              <w:rPr>
                <w:rFonts w:ascii="Times New Roman" w:hAnsi="Times New Roman"/>
                <w:sz w:val="20"/>
                <w:szCs w:val="20"/>
                <w:lang w:val="pt-PT"/>
              </w:rPr>
              <w:t xml:space="preserve"> </w:t>
            </w:r>
            <w:proofErr w:type="spellStart"/>
            <w:r w:rsidRPr="00F57FF6">
              <w:rPr>
                <w:rFonts w:ascii="Times New Roman" w:hAnsi="Times New Roman"/>
                <w:sz w:val="20"/>
                <w:szCs w:val="20"/>
                <w:lang w:val="pt-PT"/>
              </w:rPr>
              <w:t>schimbările</w:t>
            </w:r>
            <w:proofErr w:type="spellEnd"/>
            <w:r w:rsidRPr="00F57FF6">
              <w:rPr>
                <w:rFonts w:ascii="Times New Roman" w:hAnsi="Times New Roman"/>
                <w:sz w:val="20"/>
                <w:szCs w:val="20"/>
                <w:lang w:val="pt-PT"/>
              </w:rPr>
              <w:t xml:space="preserve"> climatice</w:t>
            </w:r>
          </w:p>
        </w:tc>
        <w:tc>
          <w:tcPr>
            <w:tcW w:w="1464" w:type="dxa"/>
            <w:shd w:val="clear" w:color="auto" w:fill="auto"/>
          </w:tcPr>
          <w:p w14:paraId="142C57C8" w14:textId="77777777" w:rsidR="00F27867" w:rsidRPr="003F755D" w:rsidRDefault="00F27867" w:rsidP="00F27867">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lastRenderedPageBreak/>
              <w:t>Ministerul Mediului</w:t>
            </w:r>
          </w:p>
          <w:p w14:paraId="13DD4D59" w14:textId="77777777" w:rsidR="002526D0" w:rsidRPr="003F755D" w:rsidRDefault="002526D0" w:rsidP="002526D0">
            <w:pPr>
              <w:autoSpaceDE w:val="0"/>
              <w:spacing w:after="0" w:line="240" w:lineRule="auto"/>
              <w:rPr>
                <w:rFonts w:ascii="Times New Roman" w:hAnsi="Times New Roman"/>
                <w:sz w:val="20"/>
                <w:szCs w:val="20"/>
                <w:shd w:val="clear" w:color="auto" w:fill="FFFFFF"/>
                <w:lang w:val="ro-RO"/>
              </w:rPr>
            </w:pPr>
          </w:p>
          <w:p w14:paraId="0BEBE8E6" w14:textId="77777777" w:rsidR="00957E35" w:rsidRDefault="00957E35" w:rsidP="00957E35">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1E4FEF5F" w14:textId="77777777" w:rsidR="006D32C4" w:rsidRDefault="006D32C4" w:rsidP="00FF681F">
            <w:pPr>
              <w:autoSpaceDE w:val="0"/>
              <w:spacing w:after="0" w:line="240" w:lineRule="auto"/>
              <w:rPr>
                <w:rFonts w:ascii="Times New Roman" w:hAnsi="Times New Roman"/>
                <w:sz w:val="20"/>
                <w:szCs w:val="20"/>
                <w:shd w:val="clear" w:color="auto" w:fill="FFFFFF"/>
                <w:lang w:val="ro-RO"/>
              </w:rPr>
            </w:pPr>
          </w:p>
          <w:p w14:paraId="70A10F00" w14:textId="00D8F587" w:rsidR="008E5448" w:rsidRPr="00A13EB8" w:rsidRDefault="008E5448" w:rsidP="00FF681F">
            <w:pPr>
              <w:autoSpaceDE w:val="0"/>
              <w:spacing w:after="0" w:line="240" w:lineRule="auto"/>
              <w:rPr>
                <w:rFonts w:ascii="Times New Roman" w:hAnsi="Times New Roman"/>
                <w:sz w:val="20"/>
                <w:szCs w:val="20"/>
                <w:shd w:val="clear" w:color="auto" w:fill="FFFFFF"/>
                <w:lang w:val="ro-RO"/>
              </w:rPr>
            </w:pPr>
          </w:p>
        </w:tc>
      </w:tr>
      <w:tr w:rsidR="006D32C4" w:rsidRPr="003C5C2B" w14:paraId="04FE6FF2" w14:textId="77777777" w:rsidTr="009F5405">
        <w:trPr>
          <w:trHeight w:val="776"/>
        </w:trPr>
        <w:tc>
          <w:tcPr>
            <w:tcW w:w="4810" w:type="dxa"/>
            <w:shd w:val="clear" w:color="auto" w:fill="auto"/>
          </w:tcPr>
          <w:p w14:paraId="0AE857A2" w14:textId="3E427221" w:rsidR="0078646B" w:rsidRPr="00F909F6" w:rsidRDefault="00000000" w:rsidP="00925A21">
            <w:pPr>
              <w:shd w:val="clear" w:color="auto" w:fill="FFFFFF"/>
              <w:spacing w:after="0" w:line="240" w:lineRule="auto"/>
              <w:jc w:val="both"/>
              <w:rPr>
                <w:rFonts w:ascii="Times New Roman" w:hAnsi="Times New Roman"/>
                <w:sz w:val="20"/>
                <w:szCs w:val="20"/>
                <w:lang w:eastAsia="ru-RU"/>
              </w:rPr>
            </w:pPr>
            <w:hyperlink r:id="rId11" w:tooltip="32021R1119: REPLACED" w:history="1">
              <w:r w:rsidR="0078646B" w:rsidRPr="00F909F6">
                <w:rPr>
                  <w:rStyle w:val="af6"/>
                  <w:rFonts w:ascii="Times New Roman" w:eastAsia="Arial Unicode MS" w:hAnsi="Times New Roman"/>
                  <w:b/>
                  <w:bCs/>
                  <w:color w:val="23527C"/>
                  <w:sz w:val="20"/>
                  <w:szCs w:val="20"/>
                  <w:shd w:val="clear" w:color="auto" w:fill="FFFFFF"/>
                </w:rPr>
                <w:t>▼M2</w:t>
              </w:r>
            </w:hyperlink>
          </w:p>
          <w:p w14:paraId="4A00B449" w14:textId="35C8152E" w:rsidR="006D32C4" w:rsidRPr="009F2339" w:rsidRDefault="00393B96" w:rsidP="00925A21">
            <w:pPr>
              <w:shd w:val="clear" w:color="auto" w:fill="FFFFFF"/>
              <w:spacing w:after="0" w:line="240" w:lineRule="auto"/>
              <w:jc w:val="both"/>
              <w:rPr>
                <w:rFonts w:ascii="Times New Roman" w:hAnsi="Times New Roman"/>
                <w:sz w:val="20"/>
                <w:szCs w:val="20"/>
              </w:rPr>
            </w:pPr>
            <w:r>
              <w:rPr>
                <w:rFonts w:ascii="Times New Roman" w:hAnsi="Times New Roman"/>
                <w:sz w:val="20"/>
                <w:szCs w:val="20"/>
                <w:lang w:eastAsia="ru-RU"/>
              </w:rPr>
              <w:t>(</w:t>
            </w:r>
            <w:proofErr w:type="gramStart"/>
            <w:r w:rsidRPr="007E64AF">
              <w:rPr>
                <w:rFonts w:ascii="Times New Roman" w:hAnsi="Times New Roman"/>
                <w:color w:val="000000" w:themeColor="text1"/>
                <w:sz w:val="20"/>
                <w:szCs w:val="20"/>
                <w:lang w:eastAsia="ru-RU"/>
              </w:rPr>
              <w:t>7)</w:t>
            </w:r>
            <w:r w:rsidR="009F2339" w:rsidRPr="007E64AF">
              <w:rPr>
                <w:rFonts w:ascii="Times New Roman" w:hAnsi="Times New Roman"/>
                <w:color w:val="000000" w:themeColor="text1"/>
                <w:sz w:val="20"/>
                <w:szCs w:val="20"/>
                <w:lang w:eastAsia="ru-RU"/>
              </w:rPr>
              <w:t>„</w:t>
            </w:r>
            <w:proofErr w:type="spellStart"/>
            <w:proofErr w:type="gramEnd"/>
            <w:r w:rsidR="009F2339" w:rsidRPr="007E64AF">
              <w:rPr>
                <w:rFonts w:ascii="Times New Roman" w:hAnsi="Times New Roman"/>
                <w:color w:val="000000" w:themeColor="text1"/>
                <w:sz w:val="20"/>
                <w:szCs w:val="20"/>
                <w:lang w:val="en-US" w:eastAsia="ru-RU"/>
              </w:rPr>
              <w:t>prognoze</w:t>
            </w:r>
            <w:proofErr w:type="spellEnd"/>
            <w:r w:rsidR="009F2339" w:rsidRPr="007E64AF">
              <w:rPr>
                <w:rFonts w:ascii="Times New Roman" w:hAnsi="Times New Roman"/>
                <w:color w:val="000000" w:themeColor="text1"/>
                <w:sz w:val="20"/>
                <w:szCs w:val="20"/>
                <w:lang w:eastAsia="ru-RU"/>
              </w:rPr>
              <w:t>” î</w:t>
            </w:r>
            <w:proofErr w:type="spellStart"/>
            <w:r w:rsidR="009F2339" w:rsidRPr="007E64AF">
              <w:rPr>
                <w:rFonts w:ascii="Times New Roman" w:hAnsi="Times New Roman"/>
                <w:color w:val="000000" w:themeColor="text1"/>
                <w:sz w:val="20"/>
                <w:szCs w:val="20"/>
                <w:lang w:val="en-US" w:eastAsia="ru-RU"/>
              </w:rPr>
              <w:t>nseamn</w:t>
            </w:r>
            <w:proofErr w:type="spellEnd"/>
            <w:r w:rsidR="009F2339" w:rsidRPr="007E64AF">
              <w:rPr>
                <w:rFonts w:ascii="Times New Roman" w:hAnsi="Times New Roman"/>
                <w:color w:val="000000" w:themeColor="text1"/>
                <w:sz w:val="20"/>
                <w:szCs w:val="20"/>
                <w:lang w:eastAsia="ru-RU"/>
              </w:rPr>
              <w:t xml:space="preserve">ă </w:t>
            </w:r>
            <w:proofErr w:type="spellStart"/>
            <w:r w:rsidR="009F2339" w:rsidRPr="007E64AF">
              <w:rPr>
                <w:rFonts w:ascii="Times New Roman" w:hAnsi="Times New Roman"/>
                <w:color w:val="000000" w:themeColor="text1"/>
                <w:sz w:val="20"/>
                <w:szCs w:val="20"/>
                <w:lang w:val="en-US" w:eastAsia="ru-RU"/>
              </w:rPr>
              <w:t>previziuni</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referitoare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la</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emisiile</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antropice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c</w:t>
            </w:r>
            <w:r w:rsidR="009F2339" w:rsidRPr="007E64AF">
              <w:rPr>
                <w:rFonts w:ascii="Times New Roman" w:hAnsi="Times New Roman"/>
                <w:color w:val="000000" w:themeColor="text1"/>
                <w:sz w:val="20"/>
                <w:szCs w:val="20"/>
                <w:lang w:eastAsia="ru-RU"/>
              </w:rPr>
              <w:t>ă</w:t>
            </w:r>
            <w:proofErr w:type="spellStart"/>
            <w:r w:rsidR="009F2339" w:rsidRPr="007E64AF">
              <w:rPr>
                <w:rFonts w:ascii="Times New Roman" w:hAnsi="Times New Roman"/>
                <w:color w:val="000000" w:themeColor="text1"/>
                <w:sz w:val="20"/>
                <w:szCs w:val="20"/>
                <w:lang w:val="en-US" w:eastAsia="ru-RU"/>
              </w:rPr>
              <w:t>tre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surse</w:t>
            </w:r>
            <w:r w:rsidR="009F2339" w:rsidRPr="007E64AF">
              <w:rPr>
                <w:rFonts w:ascii="Times New Roman" w:hAnsi="Times New Roman"/>
                <w:color w:val="000000" w:themeColor="text1"/>
                <w:sz w:val="20"/>
                <w:szCs w:val="20"/>
                <w:lang w:eastAsia="ru-RU"/>
              </w:rPr>
              <w:t xml:space="preserve"> ș</w:t>
            </w:r>
            <w:proofErr w:type="spellStart"/>
            <w:r w:rsidR="009F2339" w:rsidRPr="007E64AF">
              <w:rPr>
                <w:rFonts w:ascii="Times New Roman" w:hAnsi="Times New Roman"/>
                <w:color w:val="000000" w:themeColor="text1"/>
                <w:sz w:val="20"/>
                <w:szCs w:val="20"/>
                <w:lang w:val="en-US" w:eastAsia="ru-RU"/>
              </w:rPr>
              <w:t>i</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la</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absorb</w:t>
            </w:r>
            <w:r w:rsidR="009F2339" w:rsidRPr="007E64AF">
              <w:rPr>
                <w:rFonts w:ascii="Times New Roman" w:hAnsi="Times New Roman"/>
                <w:color w:val="000000" w:themeColor="text1"/>
                <w:sz w:val="20"/>
                <w:szCs w:val="20"/>
                <w:lang w:eastAsia="ru-RU"/>
              </w:rPr>
              <w:t>ț</w:t>
            </w:r>
            <w:proofErr w:type="spellStart"/>
            <w:r w:rsidR="009F2339" w:rsidRPr="007E64AF">
              <w:rPr>
                <w:rFonts w:ascii="Times New Roman" w:hAnsi="Times New Roman"/>
                <w:color w:val="000000" w:themeColor="text1"/>
                <w:sz w:val="20"/>
                <w:szCs w:val="20"/>
                <w:lang w:val="en-US" w:eastAsia="ru-RU"/>
              </w:rPr>
              <w:t>iile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c</w:t>
            </w:r>
            <w:r w:rsidR="009F2339" w:rsidRPr="007E64AF">
              <w:rPr>
                <w:rFonts w:ascii="Times New Roman" w:hAnsi="Times New Roman"/>
                <w:color w:val="000000" w:themeColor="text1"/>
                <w:sz w:val="20"/>
                <w:szCs w:val="20"/>
                <w:lang w:eastAsia="ru-RU"/>
              </w:rPr>
              <w:t>ă</w:t>
            </w:r>
            <w:proofErr w:type="spellStart"/>
            <w:r w:rsidR="009F2339" w:rsidRPr="007E64AF">
              <w:rPr>
                <w:rFonts w:ascii="Times New Roman" w:hAnsi="Times New Roman"/>
                <w:color w:val="000000" w:themeColor="text1"/>
                <w:sz w:val="20"/>
                <w:szCs w:val="20"/>
                <w:lang w:val="en-US" w:eastAsia="ru-RU"/>
              </w:rPr>
              <w:t>tre</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absorban</w:t>
            </w:r>
            <w:proofErr w:type="spellEnd"/>
            <w:r w:rsidR="009F2339" w:rsidRPr="007E64AF">
              <w:rPr>
                <w:rFonts w:ascii="Times New Roman" w:hAnsi="Times New Roman"/>
                <w:color w:val="000000" w:themeColor="text1"/>
                <w:sz w:val="20"/>
                <w:szCs w:val="20"/>
                <w:lang w:eastAsia="ru-RU"/>
              </w:rPr>
              <w:t>ț</w:t>
            </w:r>
            <w:proofErr w:type="spellStart"/>
            <w:r w:rsidR="009F2339" w:rsidRPr="007E64AF">
              <w:rPr>
                <w:rFonts w:ascii="Times New Roman" w:hAnsi="Times New Roman"/>
                <w:color w:val="000000" w:themeColor="text1"/>
                <w:sz w:val="20"/>
                <w:szCs w:val="20"/>
                <w:lang w:val="en-US" w:eastAsia="ru-RU"/>
              </w:rPr>
              <w:t>i</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gaze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cu</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efect</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ser</w:t>
            </w:r>
            <w:r w:rsidR="009F2339" w:rsidRPr="007E64AF">
              <w:rPr>
                <w:rFonts w:ascii="Times New Roman" w:hAnsi="Times New Roman"/>
                <w:color w:val="000000" w:themeColor="text1"/>
                <w:sz w:val="20"/>
                <w:szCs w:val="20"/>
                <w:lang w:eastAsia="ru-RU"/>
              </w:rPr>
              <w:t xml:space="preserve">ă </w:t>
            </w:r>
            <w:proofErr w:type="spellStart"/>
            <w:r w:rsidR="009F2339" w:rsidRPr="007E64AF">
              <w:rPr>
                <w:rFonts w:ascii="Times New Roman" w:hAnsi="Times New Roman"/>
                <w:color w:val="000000" w:themeColor="text1"/>
                <w:sz w:val="20"/>
                <w:szCs w:val="20"/>
                <w:lang w:val="en-US" w:eastAsia="ru-RU"/>
              </w:rPr>
              <w:t>sau</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referitoare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la</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evolu</w:t>
            </w:r>
            <w:proofErr w:type="spellEnd"/>
            <w:r w:rsidR="009F2339" w:rsidRPr="007E64AF">
              <w:rPr>
                <w:rFonts w:ascii="Times New Roman" w:hAnsi="Times New Roman"/>
                <w:color w:val="000000" w:themeColor="text1"/>
                <w:sz w:val="20"/>
                <w:szCs w:val="20"/>
                <w:lang w:eastAsia="ru-RU"/>
              </w:rPr>
              <w:t>ț</w:t>
            </w:r>
            <w:proofErr w:type="spellStart"/>
            <w:r w:rsidR="009F2339" w:rsidRPr="007E64AF">
              <w:rPr>
                <w:rFonts w:ascii="Times New Roman" w:hAnsi="Times New Roman"/>
                <w:color w:val="000000" w:themeColor="text1"/>
                <w:sz w:val="20"/>
                <w:szCs w:val="20"/>
                <w:lang w:val="en-US" w:eastAsia="ru-RU"/>
              </w:rPr>
              <w:t>ii</w:t>
            </w:r>
            <w:r w:rsidR="0078646B" w:rsidRPr="007E64AF">
              <w:rPr>
                <w:rFonts w:ascii="Times New Roman" w:hAnsi="Times New Roman"/>
                <w:color w:val="000000" w:themeColor="text1"/>
                <w:sz w:val="20"/>
                <w:szCs w:val="20"/>
                <w:lang w:val="en-US" w:eastAsia="ru-RU"/>
              </w:rPr>
              <w:t>le</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sistemului</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energetic</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inclusiv</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cel</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pu</w:t>
            </w:r>
            <w:proofErr w:type="spellEnd"/>
            <w:r w:rsidR="009F2339" w:rsidRPr="007E64AF">
              <w:rPr>
                <w:rFonts w:ascii="Times New Roman" w:hAnsi="Times New Roman"/>
                <w:color w:val="000000" w:themeColor="text1"/>
                <w:sz w:val="20"/>
                <w:szCs w:val="20"/>
                <w:lang w:eastAsia="ru-RU"/>
              </w:rPr>
              <w:t>ț</w:t>
            </w:r>
            <w:r w:rsidR="009F2339" w:rsidRPr="007E64AF">
              <w:rPr>
                <w:rFonts w:ascii="Times New Roman" w:hAnsi="Times New Roman"/>
                <w:color w:val="000000" w:themeColor="text1"/>
                <w:sz w:val="20"/>
                <w:szCs w:val="20"/>
                <w:lang w:val="en-US" w:eastAsia="ru-RU"/>
              </w:rPr>
              <w:t>in</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estim</w:t>
            </w:r>
            <w:proofErr w:type="spellEnd"/>
            <w:r w:rsidR="009F2339" w:rsidRPr="007E64AF">
              <w:rPr>
                <w:rFonts w:ascii="Times New Roman" w:hAnsi="Times New Roman"/>
                <w:color w:val="000000" w:themeColor="text1"/>
                <w:sz w:val="20"/>
                <w:szCs w:val="20"/>
                <w:lang w:eastAsia="ru-RU"/>
              </w:rPr>
              <w:t>ă</w:t>
            </w:r>
            <w:proofErr w:type="spellStart"/>
            <w:r w:rsidR="009F2339" w:rsidRPr="007E64AF">
              <w:rPr>
                <w:rFonts w:ascii="Times New Roman" w:hAnsi="Times New Roman"/>
                <w:color w:val="000000" w:themeColor="text1"/>
                <w:sz w:val="20"/>
                <w:szCs w:val="20"/>
                <w:lang w:val="en-US" w:eastAsia="ru-RU"/>
              </w:rPr>
              <w:t>ri</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cantitative</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pentru</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o</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succesiune</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proofErr w:type="spellStart"/>
            <w:r w:rsidR="0078646B" w:rsidRPr="007E64AF">
              <w:rPr>
                <w:rFonts w:ascii="Times New Roman" w:hAnsi="Times New Roman"/>
                <w:color w:val="000000" w:themeColor="text1"/>
                <w:sz w:val="20"/>
                <w:szCs w:val="20"/>
                <w:lang w:val="en-US" w:eastAsia="ru-RU"/>
              </w:rPr>
              <w:t>șase</w:t>
            </w:r>
            <w:proofErr w:type="spellEnd"/>
            <w:r w:rsidR="0078646B" w:rsidRPr="007E64AF">
              <w:rPr>
                <w:rFonts w:ascii="Times New Roman" w:hAnsi="Times New Roman"/>
                <w:color w:val="000000" w:themeColor="text1"/>
                <w:sz w:val="20"/>
                <w:szCs w:val="20"/>
                <w:lang w:val="en-US" w:eastAsia="ru-RU"/>
              </w:rPr>
              <w:t xml:space="preserve"> </w:t>
            </w:r>
            <w:r w:rsidR="009F2339" w:rsidRPr="007E64AF">
              <w:rPr>
                <w:rFonts w:ascii="Times New Roman" w:hAnsi="Times New Roman"/>
                <w:color w:val="000000" w:themeColor="text1"/>
                <w:sz w:val="20"/>
                <w:szCs w:val="20"/>
                <w:lang w:val="en-US" w:eastAsia="ru-RU"/>
              </w:rPr>
              <w:t>ani</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viitori</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care</w:t>
            </w:r>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se</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termin</w:t>
            </w:r>
            <w:proofErr w:type="spellEnd"/>
            <w:r w:rsidR="009F2339" w:rsidRPr="007E64AF">
              <w:rPr>
                <w:rFonts w:ascii="Times New Roman" w:hAnsi="Times New Roman"/>
                <w:color w:val="000000" w:themeColor="text1"/>
                <w:sz w:val="20"/>
                <w:szCs w:val="20"/>
                <w:lang w:eastAsia="ru-RU"/>
              </w:rPr>
              <w:t xml:space="preserve">ă </w:t>
            </w:r>
            <w:r w:rsidR="009F2339" w:rsidRPr="007E64AF">
              <w:rPr>
                <w:rFonts w:ascii="Times New Roman" w:hAnsi="Times New Roman"/>
                <w:color w:val="000000" w:themeColor="text1"/>
                <w:sz w:val="20"/>
                <w:szCs w:val="20"/>
                <w:lang w:val="en-US" w:eastAsia="ru-RU"/>
              </w:rPr>
              <w:t xml:space="preserve">cu </w:t>
            </w:r>
            <w:r w:rsidR="009F2339" w:rsidRPr="007E64AF">
              <w:rPr>
                <w:rFonts w:ascii="Times New Roman" w:hAnsi="Times New Roman"/>
                <w:color w:val="000000" w:themeColor="text1"/>
                <w:sz w:val="20"/>
                <w:szCs w:val="20"/>
                <w:lang w:eastAsia="ru-RU"/>
              </w:rPr>
              <w:t xml:space="preserve">0 </w:t>
            </w:r>
            <w:proofErr w:type="spellStart"/>
            <w:r w:rsidR="009F2339" w:rsidRPr="007E64AF">
              <w:rPr>
                <w:rFonts w:ascii="Times New Roman" w:hAnsi="Times New Roman"/>
                <w:color w:val="000000" w:themeColor="text1"/>
                <w:sz w:val="20"/>
                <w:szCs w:val="20"/>
                <w:lang w:val="en-US" w:eastAsia="ru-RU"/>
              </w:rPr>
              <w:t>sau</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 xml:space="preserve">cu </w:t>
            </w:r>
            <w:r w:rsidR="009F2339" w:rsidRPr="007E64AF">
              <w:rPr>
                <w:rFonts w:ascii="Times New Roman" w:hAnsi="Times New Roman"/>
                <w:color w:val="000000" w:themeColor="text1"/>
                <w:sz w:val="20"/>
                <w:szCs w:val="20"/>
                <w:lang w:eastAsia="ru-RU"/>
              </w:rPr>
              <w:t xml:space="preserve">5, </w:t>
            </w:r>
            <w:proofErr w:type="spellStart"/>
            <w:r w:rsidR="009F2339" w:rsidRPr="007E64AF">
              <w:rPr>
                <w:rFonts w:ascii="Times New Roman" w:hAnsi="Times New Roman"/>
                <w:color w:val="000000" w:themeColor="text1"/>
                <w:sz w:val="20"/>
                <w:szCs w:val="20"/>
                <w:lang w:val="en-US" w:eastAsia="ru-RU"/>
              </w:rPr>
              <w:t>imediat</w:t>
            </w:r>
            <w:proofErr w:type="spellEnd"/>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urm</w:t>
            </w:r>
            <w:proofErr w:type="spellEnd"/>
            <w:r w:rsidR="009F2339" w:rsidRPr="007E64AF">
              <w:rPr>
                <w:rFonts w:ascii="Times New Roman" w:hAnsi="Times New Roman"/>
                <w:color w:val="000000" w:themeColor="text1"/>
                <w:sz w:val="20"/>
                <w:szCs w:val="20"/>
                <w:lang w:eastAsia="ru-RU"/>
              </w:rPr>
              <w:t>ă</w:t>
            </w:r>
            <w:r w:rsidR="009F2339" w:rsidRPr="007E64AF">
              <w:rPr>
                <w:rFonts w:ascii="Times New Roman" w:hAnsi="Times New Roman"/>
                <w:color w:val="000000" w:themeColor="text1"/>
                <w:sz w:val="20"/>
                <w:szCs w:val="20"/>
                <w:lang w:val="en-US" w:eastAsia="ru-RU"/>
              </w:rPr>
              <w:t>tori</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anului</w:t>
            </w:r>
            <w:proofErr w:type="spellEnd"/>
            <w:r w:rsidR="009F2339" w:rsidRPr="007E64AF">
              <w:rPr>
                <w:rFonts w:ascii="Times New Roman" w:hAnsi="Times New Roman"/>
                <w:color w:val="000000" w:themeColor="text1"/>
                <w:sz w:val="20"/>
                <w:szCs w:val="20"/>
                <w:lang w:eastAsia="ru-RU"/>
              </w:rPr>
              <w:t xml:space="preserve"> </w:t>
            </w:r>
            <w:r w:rsidR="009F2339" w:rsidRPr="007E64AF">
              <w:rPr>
                <w:rFonts w:ascii="Times New Roman" w:hAnsi="Times New Roman"/>
                <w:color w:val="000000" w:themeColor="text1"/>
                <w:sz w:val="20"/>
                <w:szCs w:val="20"/>
                <w:lang w:val="en-US" w:eastAsia="ru-RU"/>
              </w:rPr>
              <w:t>de</w:t>
            </w:r>
            <w:r w:rsidR="009F2339" w:rsidRPr="007E64AF">
              <w:rPr>
                <w:rFonts w:ascii="Times New Roman" w:hAnsi="Times New Roman"/>
                <w:color w:val="000000" w:themeColor="text1"/>
                <w:sz w:val="20"/>
                <w:szCs w:val="20"/>
                <w:lang w:eastAsia="ru-RU"/>
              </w:rPr>
              <w:t xml:space="preserve"> </w:t>
            </w:r>
            <w:proofErr w:type="spellStart"/>
            <w:r w:rsidR="009F2339" w:rsidRPr="007E64AF">
              <w:rPr>
                <w:rFonts w:ascii="Times New Roman" w:hAnsi="Times New Roman"/>
                <w:color w:val="000000" w:themeColor="text1"/>
                <w:sz w:val="20"/>
                <w:szCs w:val="20"/>
                <w:lang w:val="en-US" w:eastAsia="ru-RU"/>
              </w:rPr>
              <w:t>raportare</w:t>
            </w:r>
            <w:proofErr w:type="spellEnd"/>
            <w:r w:rsidR="009F2339" w:rsidRPr="007E64AF">
              <w:rPr>
                <w:rFonts w:ascii="Times New Roman" w:hAnsi="Times New Roman"/>
                <w:color w:val="000000" w:themeColor="text1"/>
                <w:sz w:val="20"/>
                <w:szCs w:val="20"/>
                <w:lang w:eastAsia="ru-RU"/>
              </w:rPr>
              <w:t>;</w:t>
            </w:r>
          </w:p>
        </w:tc>
        <w:tc>
          <w:tcPr>
            <w:tcW w:w="4541" w:type="dxa"/>
            <w:shd w:val="clear" w:color="auto" w:fill="auto"/>
          </w:tcPr>
          <w:p w14:paraId="181134F4" w14:textId="760F0CCC" w:rsidR="006D32C4" w:rsidRPr="00A61044" w:rsidRDefault="006D32C4" w:rsidP="00A61044">
            <w:pPr>
              <w:contextualSpacing/>
              <w:jc w:val="both"/>
              <w:rPr>
                <w:rFonts w:ascii="Times New Roman" w:hAnsi="Times New Roman"/>
                <w:color w:val="000000"/>
                <w:sz w:val="20"/>
                <w:szCs w:val="20"/>
                <w:lang w:val="ro-MD"/>
              </w:rPr>
            </w:pPr>
          </w:p>
        </w:tc>
        <w:tc>
          <w:tcPr>
            <w:tcW w:w="1276" w:type="dxa"/>
            <w:shd w:val="clear" w:color="auto" w:fill="auto"/>
          </w:tcPr>
          <w:p w14:paraId="672945B6" w14:textId="4792A4A4" w:rsidR="006D32C4" w:rsidRPr="00C951E7" w:rsidRDefault="003C5C2B" w:rsidP="002526D0">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2526D0" w:rsidRPr="00C951E7">
              <w:rPr>
                <w:rFonts w:ascii="Times New Roman" w:hAnsi="Times New Roman"/>
                <w:bCs/>
                <w:color w:val="000000" w:themeColor="text1"/>
                <w:sz w:val="20"/>
                <w:szCs w:val="20"/>
                <w:lang w:val="ro-RO"/>
              </w:rPr>
              <w:t>ompatibil</w:t>
            </w:r>
          </w:p>
        </w:tc>
        <w:tc>
          <w:tcPr>
            <w:tcW w:w="1275" w:type="dxa"/>
            <w:shd w:val="clear" w:color="auto" w:fill="auto"/>
          </w:tcPr>
          <w:p w14:paraId="3564457D" w14:textId="77777777" w:rsidR="006D32C4" w:rsidRPr="00C951E7" w:rsidRDefault="006D32C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2CA953D" w14:textId="64F49589" w:rsidR="006D32C4" w:rsidRPr="00C951E7" w:rsidRDefault="00A90105" w:rsidP="002526D0">
            <w:pPr>
              <w:autoSpaceDE w:val="0"/>
              <w:spacing w:after="0" w:line="240" w:lineRule="auto"/>
              <w:rPr>
                <w:rFonts w:ascii="Times New Roman" w:eastAsia="Times New Roman" w:hAnsi="Times New Roman"/>
                <w:sz w:val="20"/>
                <w:szCs w:val="20"/>
                <w:lang w:val="ro-RO"/>
              </w:rPr>
            </w:pPr>
            <w:r w:rsidRPr="00F57FF6">
              <w:rPr>
                <w:rFonts w:ascii="Times New Roman" w:eastAsia="Times New Roman" w:hAnsi="Times New Roman"/>
                <w:sz w:val="20"/>
                <w:szCs w:val="20"/>
                <w:lang w:val="ro-RO" w:eastAsia="ru-RU"/>
              </w:rPr>
              <w:t>Noțiunea</w:t>
            </w:r>
            <w:r w:rsidRPr="00F57FF6">
              <w:rPr>
                <w:rFonts w:ascii="Times New Roman" w:hAnsi="Times New Roman"/>
                <w:sz w:val="20"/>
                <w:szCs w:val="20"/>
              </w:rPr>
              <w:t xml:space="preserve"> “</w:t>
            </w:r>
            <w:r w:rsidRPr="007E64AF">
              <w:rPr>
                <w:rFonts w:ascii="Times New Roman" w:hAnsi="Times New Roman"/>
                <w:color w:val="000000" w:themeColor="text1"/>
                <w:sz w:val="20"/>
                <w:szCs w:val="20"/>
                <w:lang w:val="en-US" w:eastAsia="ru-RU"/>
              </w:rPr>
              <w:t xml:space="preserve"> </w:t>
            </w:r>
            <w:proofErr w:type="spellStart"/>
            <w:r w:rsidRPr="007E64AF">
              <w:rPr>
                <w:rFonts w:ascii="Times New Roman" w:hAnsi="Times New Roman"/>
                <w:color w:val="000000" w:themeColor="text1"/>
                <w:sz w:val="20"/>
                <w:szCs w:val="20"/>
                <w:lang w:val="en-US" w:eastAsia="ru-RU"/>
              </w:rPr>
              <w:t>prognoze</w:t>
            </w:r>
            <w:proofErr w:type="spellEnd"/>
            <w:r w:rsidRPr="00F57FF6">
              <w:rPr>
                <w:rFonts w:ascii="Times New Roman" w:hAnsi="Times New Roman"/>
                <w:sz w:val="20"/>
                <w:szCs w:val="20"/>
              </w:rPr>
              <w:t xml:space="preserve">” </w:t>
            </w:r>
            <w:proofErr w:type="spellStart"/>
            <w:r>
              <w:rPr>
                <w:rFonts w:ascii="Times New Roman" w:hAnsi="Times New Roman"/>
                <w:sz w:val="20"/>
                <w:szCs w:val="20"/>
              </w:rPr>
              <w:t>este</w:t>
            </w:r>
            <w:proofErr w:type="spellEnd"/>
            <w:r>
              <w:rPr>
                <w:rFonts w:ascii="Times New Roman" w:hAnsi="Times New Roman"/>
                <w:sz w:val="20"/>
                <w:szCs w:val="20"/>
              </w:rPr>
              <w:t xml:space="preserve"> </w:t>
            </w:r>
            <w:r w:rsidRPr="00F57FF6">
              <w:rPr>
                <w:rFonts w:ascii="Times New Roman" w:hAnsi="Times New Roman"/>
                <w:sz w:val="20"/>
                <w:szCs w:val="20"/>
              </w:rPr>
              <w:t xml:space="preserve"> </w:t>
            </w:r>
            <w:proofErr w:type="spellStart"/>
            <w:r w:rsidRPr="00F57FF6">
              <w:rPr>
                <w:rFonts w:ascii="Times New Roman" w:hAnsi="Times New Roman"/>
                <w:sz w:val="20"/>
                <w:szCs w:val="20"/>
              </w:rPr>
              <w:t>transpusă</w:t>
            </w:r>
            <w:proofErr w:type="spellEnd"/>
            <w:r w:rsidRPr="00F57FF6">
              <w:rPr>
                <w:rFonts w:ascii="Times New Roman" w:hAnsi="Times New Roman"/>
                <w:sz w:val="20"/>
                <w:szCs w:val="20"/>
              </w:rPr>
              <w:t xml:space="preserve"> în</w:t>
            </w:r>
            <w:r w:rsidRPr="00F57FF6">
              <w:rPr>
                <w:rStyle w:val="docheader"/>
                <w:rFonts w:ascii="Times New Roman" w:hAnsi="Times New Roman"/>
                <w:sz w:val="20"/>
                <w:szCs w:val="20"/>
                <w:lang w:val="pt-PT"/>
              </w:rPr>
              <w:t xml:space="preserve"> HG</w:t>
            </w:r>
            <w:r>
              <w:rPr>
                <w:rStyle w:val="docheader"/>
                <w:rFonts w:ascii="Times New Roman" w:hAnsi="Times New Roman"/>
                <w:sz w:val="20"/>
                <w:szCs w:val="20"/>
                <w:lang w:val="pt-PT"/>
              </w:rPr>
              <w:t xml:space="preserve"> </w:t>
            </w:r>
            <w:proofErr w:type="spellStart"/>
            <w:r w:rsidRPr="00F57FF6">
              <w:rPr>
                <w:rFonts w:ascii="Times New Roman" w:hAnsi="Times New Roman"/>
                <w:sz w:val="20"/>
                <w:szCs w:val="20"/>
                <w:lang w:val="pt-PT"/>
              </w:rPr>
              <w:t>nr</w:t>
            </w:r>
            <w:proofErr w:type="spellEnd"/>
            <w:r w:rsidRPr="00F57FF6">
              <w:rPr>
                <w:rFonts w:ascii="Times New Roman" w:hAnsi="Times New Roman"/>
                <w:sz w:val="20"/>
                <w:szCs w:val="20"/>
                <w:lang w:val="pt-PT"/>
              </w:rPr>
              <w:t>. 1277/2018</w:t>
            </w:r>
          </w:p>
        </w:tc>
        <w:tc>
          <w:tcPr>
            <w:tcW w:w="1464" w:type="dxa"/>
            <w:shd w:val="clear" w:color="auto" w:fill="auto"/>
          </w:tcPr>
          <w:p w14:paraId="6108C8DE" w14:textId="77777777" w:rsidR="006C14F3" w:rsidRPr="003F755D" w:rsidRDefault="006C14F3" w:rsidP="006C14F3">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28127452" w14:textId="77777777" w:rsidR="00652854" w:rsidRDefault="00652854" w:rsidP="00652854">
            <w:pPr>
              <w:autoSpaceDE w:val="0"/>
              <w:spacing w:after="0" w:line="240" w:lineRule="auto"/>
              <w:rPr>
                <w:rFonts w:ascii="Times New Roman" w:hAnsi="Times New Roman"/>
                <w:sz w:val="20"/>
                <w:szCs w:val="20"/>
                <w:shd w:val="clear" w:color="auto" w:fill="FFFFFF"/>
                <w:lang w:val="ro-RO"/>
              </w:rPr>
            </w:pPr>
          </w:p>
          <w:p w14:paraId="65FA6EBF" w14:textId="5377700D" w:rsidR="00652854" w:rsidRDefault="00652854" w:rsidP="00652854">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Agenția de Mediu</w:t>
            </w:r>
          </w:p>
          <w:p w14:paraId="10CC3448" w14:textId="7B9ED33F" w:rsidR="008E5448" w:rsidRPr="00C951E7" w:rsidRDefault="008E5448" w:rsidP="006C14F3">
            <w:pPr>
              <w:autoSpaceDE w:val="0"/>
              <w:spacing w:after="0" w:line="240" w:lineRule="auto"/>
              <w:rPr>
                <w:rFonts w:ascii="Times New Roman" w:eastAsia="Times New Roman" w:hAnsi="Times New Roman"/>
                <w:sz w:val="20"/>
                <w:szCs w:val="20"/>
                <w:lang w:val="ro-RO"/>
              </w:rPr>
            </w:pPr>
          </w:p>
        </w:tc>
      </w:tr>
      <w:tr w:rsidR="006D32C4" w:rsidRPr="00C951E7" w14:paraId="6041CD93" w14:textId="77777777" w:rsidTr="009F5405">
        <w:trPr>
          <w:trHeight w:val="1408"/>
        </w:trPr>
        <w:tc>
          <w:tcPr>
            <w:tcW w:w="4810" w:type="dxa"/>
            <w:shd w:val="clear" w:color="auto" w:fill="auto"/>
          </w:tcPr>
          <w:p w14:paraId="166EFCB3" w14:textId="74525DB4" w:rsidR="0008222E" w:rsidRPr="0008222E" w:rsidRDefault="00000000" w:rsidP="00925A21">
            <w:pPr>
              <w:shd w:val="clear" w:color="auto" w:fill="FFFFFF"/>
              <w:spacing w:after="0" w:line="240" w:lineRule="auto"/>
              <w:jc w:val="both"/>
              <w:rPr>
                <w:rFonts w:ascii="Times New Roman" w:hAnsi="Times New Roman"/>
                <w:sz w:val="20"/>
                <w:szCs w:val="20"/>
                <w:lang w:eastAsia="ru-RU"/>
              </w:rPr>
            </w:pPr>
            <w:hyperlink r:id="rId12" w:tooltip="32018R1999" w:history="1">
              <w:r w:rsidR="0008222E" w:rsidRPr="0008222E">
                <w:rPr>
                  <w:rStyle w:val="af6"/>
                  <w:rFonts w:ascii="Times New Roman" w:eastAsia="Arial Unicode MS" w:hAnsi="Times New Roman"/>
                  <w:b/>
                  <w:bCs/>
                  <w:color w:val="23527C"/>
                  <w:sz w:val="20"/>
                  <w:szCs w:val="20"/>
                  <w:shd w:val="clear" w:color="auto" w:fill="FFFFFF"/>
                </w:rPr>
                <w:t>▼B</w:t>
              </w:r>
            </w:hyperlink>
          </w:p>
          <w:p w14:paraId="6199E0C5" w14:textId="74770E5D" w:rsidR="006D32C4" w:rsidRPr="009F2339" w:rsidRDefault="00393B96" w:rsidP="00925A21">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eastAsia="ru-RU"/>
              </w:rPr>
              <w:t>(</w:t>
            </w:r>
            <w:proofErr w:type="gramStart"/>
            <w:r w:rsidR="009F2339" w:rsidRPr="009D0E2C">
              <w:rPr>
                <w:rFonts w:ascii="Times New Roman" w:hAnsi="Times New Roman"/>
                <w:color w:val="000000" w:themeColor="text1"/>
                <w:sz w:val="20"/>
                <w:szCs w:val="20"/>
                <w:lang w:eastAsia="ru-RU"/>
              </w:rPr>
              <w:t>8</w:t>
            </w:r>
            <w:r w:rsidRPr="009D0E2C">
              <w:rPr>
                <w:rFonts w:ascii="Times New Roman" w:hAnsi="Times New Roman"/>
                <w:color w:val="000000" w:themeColor="text1"/>
                <w:sz w:val="20"/>
                <w:szCs w:val="20"/>
                <w:lang w:eastAsia="ru-RU"/>
              </w:rPr>
              <w:t>)</w:t>
            </w:r>
            <w:r w:rsidR="009F2339" w:rsidRPr="009D0E2C">
              <w:rPr>
                <w:rFonts w:ascii="Times New Roman" w:hAnsi="Times New Roman"/>
                <w:color w:val="000000" w:themeColor="text1"/>
                <w:sz w:val="20"/>
                <w:szCs w:val="20"/>
                <w:lang w:eastAsia="ru-RU"/>
              </w:rPr>
              <w:t>„</w:t>
            </w:r>
            <w:proofErr w:type="spellStart"/>
            <w:proofErr w:type="gramEnd"/>
            <w:r w:rsidR="009F2339" w:rsidRPr="009D0E2C">
              <w:rPr>
                <w:rFonts w:ascii="Times New Roman" w:hAnsi="Times New Roman"/>
                <w:color w:val="000000" w:themeColor="text1"/>
                <w:sz w:val="20"/>
                <w:szCs w:val="20"/>
                <w:lang w:val="en-US" w:eastAsia="ru-RU"/>
              </w:rPr>
              <w:t>prognoze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f</w:t>
            </w:r>
            <w:r w:rsidR="009F2339" w:rsidRPr="009D0E2C">
              <w:rPr>
                <w:rFonts w:ascii="Times New Roman" w:hAnsi="Times New Roman"/>
                <w:color w:val="000000" w:themeColor="text1"/>
                <w:sz w:val="20"/>
                <w:szCs w:val="20"/>
                <w:lang w:eastAsia="ru-RU"/>
              </w:rPr>
              <w:t>ă</w:t>
            </w:r>
            <w:r w:rsidR="009F2339" w:rsidRPr="009D0E2C">
              <w:rPr>
                <w:rFonts w:ascii="Times New Roman" w:hAnsi="Times New Roman"/>
                <w:color w:val="000000" w:themeColor="text1"/>
                <w:sz w:val="20"/>
                <w:szCs w:val="20"/>
                <w:lang w:val="en-US" w:eastAsia="ru-RU"/>
              </w:rPr>
              <w:t>r</w:t>
            </w:r>
            <w:r w:rsidR="009F2339" w:rsidRPr="009D0E2C">
              <w:rPr>
                <w:rFonts w:ascii="Times New Roman" w:hAnsi="Times New Roman"/>
                <w:color w:val="000000" w:themeColor="text1"/>
                <w:sz w:val="20"/>
                <w:szCs w:val="20"/>
                <w:lang w:eastAsia="ru-RU"/>
              </w:rPr>
              <w:t xml:space="preserve">ă </w:t>
            </w:r>
            <w:r w:rsidR="009F2339" w:rsidRPr="009D0E2C">
              <w:rPr>
                <w:rFonts w:ascii="Times New Roman" w:hAnsi="Times New Roman"/>
                <w:color w:val="000000" w:themeColor="text1"/>
                <w:sz w:val="20"/>
                <w:szCs w:val="20"/>
                <w:lang w:val="en-US" w:eastAsia="ru-RU"/>
              </w:rPr>
              <w:t>m</w:t>
            </w:r>
            <w:r w:rsidR="009F2339" w:rsidRPr="009D0E2C">
              <w:rPr>
                <w:rFonts w:ascii="Times New Roman" w:hAnsi="Times New Roman"/>
                <w:color w:val="000000" w:themeColor="text1"/>
                <w:sz w:val="20"/>
                <w:szCs w:val="20"/>
                <w:lang w:eastAsia="ru-RU"/>
              </w:rPr>
              <w:t>ă</w:t>
            </w:r>
            <w:proofErr w:type="spellStart"/>
            <w:r w:rsidR="009F2339" w:rsidRPr="009D0E2C">
              <w:rPr>
                <w:rFonts w:ascii="Times New Roman" w:hAnsi="Times New Roman"/>
                <w:color w:val="000000" w:themeColor="text1"/>
                <w:sz w:val="20"/>
                <w:szCs w:val="20"/>
                <w:lang w:val="en-US" w:eastAsia="ru-RU"/>
              </w:rPr>
              <w:t>suri</w:t>
            </w:r>
            <w:proofErr w:type="spellEnd"/>
            <w:r w:rsidR="009F2339" w:rsidRPr="009D0E2C">
              <w:rPr>
                <w:rFonts w:ascii="Times New Roman" w:hAnsi="Times New Roman"/>
                <w:color w:val="000000" w:themeColor="text1"/>
                <w:sz w:val="20"/>
                <w:szCs w:val="20"/>
                <w:lang w:eastAsia="ru-RU"/>
              </w:rPr>
              <w:t>” î</w:t>
            </w:r>
            <w:proofErr w:type="spellStart"/>
            <w:r w:rsidR="009F2339" w:rsidRPr="009D0E2C">
              <w:rPr>
                <w:rFonts w:ascii="Times New Roman" w:hAnsi="Times New Roman"/>
                <w:color w:val="000000" w:themeColor="text1"/>
                <w:sz w:val="20"/>
                <w:szCs w:val="20"/>
                <w:lang w:val="en-US" w:eastAsia="ru-RU"/>
              </w:rPr>
              <w:t>nseamn</w:t>
            </w:r>
            <w:proofErr w:type="spellEnd"/>
            <w:r w:rsidR="009F2339" w:rsidRPr="009D0E2C">
              <w:rPr>
                <w:rFonts w:ascii="Times New Roman" w:hAnsi="Times New Roman"/>
                <w:color w:val="000000" w:themeColor="text1"/>
                <w:sz w:val="20"/>
                <w:szCs w:val="20"/>
                <w:lang w:eastAsia="ru-RU"/>
              </w:rPr>
              <w:t xml:space="preserve">ă </w:t>
            </w:r>
            <w:proofErr w:type="spellStart"/>
            <w:r w:rsidR="009F2339" w:rsidRPr="009D0E2C">
              <w:rPr>
                <w:rFonts w:ascii="Times New Roman" w:hAnsi="Times New Roman"/>
                <w:color w:val="000000" w:themeColor="text1"/>
                <w:sz w:val="20"/>
                <w:szCs w:val="20"/>
                <w:lang w:val="en-US" w:eastAsia="ru-RU"/>
              </w:rPr>
              <w:t>prognoze</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referitoare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la</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emisiile</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antropice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de</w:t>
            </w:r>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c</w:t>
            </w:r>
            <w:r w:rsidR="009F2339" w:rsidRPr="009D0E2C">
              <w:rPr>
                <w:rFonts w:ascii="Times New Roman" w:hAnsi="Times New Roman"/>
                <w:color w:val="000000" w:themeColor="text1"/>
                <w:sz w:val="20"/>
                <w:szCs w:val="20"/>
                <w:lang w:eastAsia="ru-RU"/>
              </w:rPr>
              <w:t>ă</w:t>
            </w:r>
            <w:proofErr w:type="spellStart"/>
            <w:r w:rsidR="009F2339" w:rsidRPr="009D0E2C">
              <w:rPr>
                <w:rFonts w:ascii="Times New Roman" w:hAnsi="Times New Roman"/>
                <w:color w:val="000000" w:themeColor="text1"/>
                <w:sz w:val="20"/>
                <w:szCs w:val="20"/>
                <w:lang w:val="en-US" w:eastAsia="ru-RU"/>
              </w:rPr>
              <w:t>tre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surse</w:t>
            </w:r>
            <w:r w:rsidR="009F2339" w:rsidRPr="009D0E2C">
              <w:rPr>
                <w:rFonts w:ascii="Times New Roman" w:hAnsi="Times New Roman"/>
                <w:color w:val="000000" w:themeColor="text1"/>
                <w:sz w:val="20"/>
                <w:szCs w:val="20"/>
                <w:lang w:eastAsia="ru-RU"/>
              </w:rPr>
              <w:t xml:space="preserve"> ș</w:t>
            </w:r>
            <w:proofErr w:type="spellStart"/>
            <w:r w:rsidR="009F2339" w:rsidRPr="009D0E2C">
              <w:rPr>
                <w:rFonts w:ascii="Times New Roman" w:hAnsi="Times New Roman"/>
                <w:color w:val="000000" w:themeColor="text1"/>
                <w:sz w:val="20"/>
                <w:szCs w:val="20"/>
                <w:lang w:val="en-US" w:eastAsia="ru-RU"/>
              </w:rPr>
              <w:t>i</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absorb</w:t>
            </w:r>
            <w:r w:rsidR="009F2339" w:rsidRPr="009D0E2C">
              <w:rPr>
                <w:rFonts w:ascii="Times New Roman" w:hAnsi="Times New Roman"/>
                <w:color w:val="000000" w:themeColor="text1"/>
                <w:sz w:val="20"/>
                <w:szCs w:val="20"/>
                <w:lang w:eastAsia="ru-RU"/>
              </w:rPr>
              <w:t>ț</w:t>
            </w:r>
            <w:proofErr w:type="spellStart"/>
            <w:r w:rsidR="009F2339" w:rsidRPr="009D0E2C">
              <w:rPr>
                <w:rFonts w:ascii="Times New Roman" w:hAnsi="Times New Roman"/>
                <w:color w:val="000000" w:themeColor="text1"/>
                <w:sz w:val="20"/>
                <w:szCs w:val="20"/>
                <w:lang w:val="en-US" w:eastAsia="ru-RU"/>
              </w:rPr>
              <w:t>iile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de</w:t>
            </w:r>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c</w:t>
            </w:r>
            <w:r w:rsidR="009F2339" w:rsidRPr="009D0E2C">
              <w:rPr>
                <w:rFonts w:ascii="Times New Roman" w:hAnsi="Times New Roman"/>
                <w:color w:val="000000" w:themeColor="text1"/>
                <w:sz w:val="20"/>
                <w:szCs w:val="20"/>
                <w:lang w:eastAsia="ru-RU"/>
              </w:rPr>
              <w:t>ă</w:t>
            </w:r>
            <w:proofErr w:type="spellStart"/>
            <w:r w:rsidR="009F2339" w:rsidRPr="009D0E2C">
              <w:rPr>
                <w:rFonts w:ascii="Times New Roman" w:hAnsi="Times New Roman"/>
                <w:color w:val="000000" w:themeColor="text1"/>
                <w:sz w:val="20"/>
                <w:szCs w:val="20"/>
                <w:lang w:val="en-US" w:eastAsia="ru-RU"/>
              </w:rPr>
              <w:t>tre</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absorban</w:t>
            </w:r>
            <w:proofErr w:type="spellEnd"/>
            <w:r w:rsidR="009F2339" w:rsidRPr="009D0E2C">
              <w:rPr>
                <w:rFonts w:ascii="Times New Roman" w:hAnsi="Times New Roman"/>
                <w:color w:val="000000" w:themeColor="text1"/>
                <w:sz w:val="20"/>
                <w:szCs w:val="20"/>
                <w:lang w:eastAsia="ru-RU"/>
              </w:rPr>
              <w:t>ț</w:t>
            </w:r>
            <w:proofErr w:type="spellStart"/>
            <w:r w:rsidR="009F2339" w:rsidRPr="009D0E2C">
              <w:rPr>
                <w:rFonts w:ascii="Times New Roman" w:hAnsi="Times New Roman"/>
                <w:color w:val="000000" w:themeColor="text1"/>
                <w:sz w:val="20"/>
                <w:szCs w:val="20"/>
                <w:lang w:val="en-US" w:eastAsia="ru-RU"/>
              </w:rPr>
              <w:t>i</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ale</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gazelor</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cu</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efect</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de</w:t>
            </w:r>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ser</w:t>
            </w:r>
            <w:r w:rsidR="009F2339" w:rsidRPr="009D0E2C">
              <w:rPr>
                <w:rFonts w:ascii="Times New Roman" w:hAnsi="Times New Roman"/>
                <w:color w:val="000000" w:themeColor="text1"/>
                <w:sz w:val="20"/>
                <w:szCs w:val="20"/>
                <w:lang w:eastAsia="ru-RU"/>
              </w:rPr>
              <w:t xml:space="preserve">ă, </w:t>
            </w:r>
            <w:r w:rsidR="009F2339" w:rsidRPr="009D0E2C">
              <w:rPr>
                <w:rFonts w:ascii="Times New Roman" w:hAnsi="Times New Roman"/>
                <w:color w:val="000000" w:themeColor="text1"/>
                <w:sz w:val="20"/>
                <w:szCs w:val="20"/>
                <w:lang w:val="en-US" w:eastAsia="ru-RU"/>
              </w:rPr>
              <w:t>care</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exclud</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efectele</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tuturor</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politicilor</w:t>
            </w:r>
            <w:proofErr w:type="spellEnd"/>
            <w:r w:rsidR="009F2339" w:rsidRPr="009D0E2C">
              <w:rPr>
                <w:rFonts w:ascii="Times New Roman" w:hAnsi="Times New Roman"/>
                <w:color w:val="000000" w:themeColor="text1"/>
                <w:sz w:val="20"/>
                <w:szCs w:val="20"/>
                <w:lang w:eastAsia="ru-RU"/>
              </w:rPr>
              <w:t xml:space="preserve"> ș</w:t>
            </w:r>
            <w:proofErr w:type="spellStart"/>
            <w:r w:rsidR="009F2339" w:rsidRPr="009D0E2C">
              <w:rPr>
                <w:rFonts w:ascii="Times New Roman" w:hAnsi="Times New Roman"/>
                <w:color w:val="000000" w:themeColor="text1"/>
                <w:sz w:val="20"/>
                <w:szCs w:val="20"/>
                <w:lang w:val="en-US" w:eastAsia="ru-RU"/>
              </w:rPr>
              <w:t>i</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m</w:t>
            </w:r>
            <w:r w:rsidR="009F2339" w:rsidRPr="009D0E2C">
              <w:rPr>
                <w:rFonts w:ascii="Times New Roman" w:hAnsi="Times New Roman"/>
                <w:color w:val="000000" w:themeColor="text1"/>
                <w:sz w:val="20"/>
                <w:szCs w:val="20"/>
                <w:lang w:eastAsia="ru-RU"/>
              </w:rPr>
              <w:t>ă</w:t>
            </w:r>
            <w:proofErr w:type="spellStart"/>
            <w:r w:rsidR="009F2339" w:rsidRPr="009D0E2C">
              <w:rPr>
                <w:rFonts w:ascii="Times New Roman" w:hAnsi="Times New Roman"/>
                <w:color w:val="000000" w:themeColor="text1"/>
                <w:sz w:val="20"/>
                <w:szCs w:val="20"/>
                <w:lang w:val="en-US" w:eastAsia="ru-RU"/>
              </w:rPr>
              <w:t>surilor</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planificate</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adoptate</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sau</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puse</w:t>
            </w:r>
            <w:proofErr w:type="spellEnd"/>
            <w:r w:rsidR="009F2339" w:rsidRPr="009D0E2C">
              <w:rPr>
                <w:rFonts w:ascii="Times New Roman" w:hAnsi="Times New Roman"/>
                <w:color w:val="000000" w:themeColor="text1"/>
                <w:sz w:val="20"/>
                <w:szCs w:val="20"/>
                <w:lang w:eastAsia="ru-RU"/>
              </w:rPr>
              <w:t xml:space="preserve"> î</w:t>
            </w:r>
            <w:r w:rsidR="009F2339" w:rsidRPr="009D0E2C">
              <w:rPr>
                <w:rFonts w:ascii="Times New Roman" w:hAnsi="Times New Roman"/>
                <w:color w:val="000000" w:themeColor="text1"/>
                <w:sz w:val="20"/>
                <w:szCs w:val="20"/>
                <w:lang w:val="en-US" w:eastAsia="ru-RU"/>
              </w:rPr>
              <w:t>n</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aplicare</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dup</w:t>
            </w:r>
            <w:r w:rsidR="009F2339" w:rsidRPr="009D0E2C">
              <w:rPr>
                <w:rFonts w:ascii="Times New Roman" w:hAnsi="Times New Roman"/>
                <w:color w:val="000000" w:themeColor="text1"/>
                <w:sz w:val="20"/>
                <w:szCs w:val="20"/>
                <w:lang w:eastAsia="ru-RU"/>
              </w:rPr>
              <w:t xml:space="preserve">ă </w:t>
            </w:r>
            <w:r w:rsidR="009F2339" w:rsidRPr="009D0E2C">
              <w:rPr>
                <w:rFonts w:ascii="Times New Roman" w:hAnsi="Times New Roman"/>
                <w:color w:val="000000" w:themeColor="text1"/>
                <w:sz w:val="20"/>
                <w:szCs w:val="20"/>
                <w:lang w:val="en-US" w:eastAsia="ru-RU"/>
              </w:rPr>
              <w:t>anul</w:t>
            </w:r>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ales</w:t>
            </w:r>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drept</w:t>
            </w:r>
            <w:proofErr w:type="spellEnd"/>
            <w:r w:rsidR="009F2339" w:rsidRPr="009D0E2C">
              <w:rPr>
                <w:rFonts w:ascii="Times New Roman" w:hAnsi="Times New Roman"/>
                <w:color w:val="000000" w:themeColor="text1"/>
                <w:sz w:val="20"/>
                <w:szCs w:val="20"/>
                <w:lang w:eastAsia="ru-RU"/>
              </w:rPr>
              <w:t xml:space="preserve"> î</w:t>
            </w:r>
            <w:proofErr w:type="spellStart"/>
            <w:r w:rsidR="009F2339" w:rsidRPr="009D0E2C">
              <w:rPr>
                <w:rFonts w:ascii="Times New Roman" w:hAnsi="Times New Roman"/>
                <w:color w:val="000000" w:themeColor="text1"/>
                <w:sz w:val="20"/>
                <w:szCs w:val="20"/>
                <w:lang w:val="en-US" w:eastAsia="ru-RU"/>
              </w:rPr>
              <w:t>nceputul</w:t>
            </w:r>
            <w:proofErr w:type="spellEnd"/>
            <w:r w:rsidR="009F2339" w:rsidRPr="009D0E2C">
              <w:rPr>
                <w:rFonts w:ascii="Times New Roman" w:hAnsi="Times New Roman"/>
                <w:color w:val="000000" w:themeColor="text1"/>
                <w:sz w:val="20"/>
                <w:szCs w:val="20"/>
                <w:lang w:eastAsia="ru-RU"/>
              </w:rPr>
              <w:t xml:space="preserve"> </w:t>
            </w:r>
            <w:proofErr w:type="spellStart"/>
            <w:r w:rsidR="009F2339" w:rsidRPr="009D0E2C">
              <w:rPr>
                <w:rFonts w:ascii="Times New Roman" w:hAnsi="Times New Roman"/>
                <w:color w:val="000000" w:themeColor="text1"/>
                <w:sz w:val="20"/>
                <w:szCs w:val="20"/>
                <w:lang w:val="en-US" w:eastAsia="ru-RU"/>
              </w:rPr>
              <w:t>prognozei</w:t>
            </w:r>
            <w:proofErr w:type="spellEnd"/>
            <w:r w:rsidR="009F2339" w:rsidRPr="009D0E2C">
              <w:rPr>
                <w:rFonts w:ascii="Times New Roman" w:hAnsi="Times New Roman"/>
                <w:color w:val="000000" w:themeColor="text1"/>
                <w:sz w:val="20"/>
                <w:szCs w:val="20"/>
                <w:lang w:eastAsia="ru-RU"/>
              </w:rPr>
              <w:t xml:space="preserve"> </w:t>
            </w:r>
            <w:r w:rsidR="009F2339" w:rsidRPr="009D0E2C">
              <w:rPr>
                <w:rFonts w:ascii="Times New Roman" w:hAnsi="Times New Roman"/>
                <w:color w:val="000000" w:themeColor="text1"/>
                <w:sz w:val="20"/>
                <w:szCs w:val="20"/>
                <w:lang w:val="en-US" w:eastAsia="ru-RU"/>
              </w:rPr>
              <w:t>respective</w:t>
            </w:r>
            <w:r w:rsidR="009F2339" w:rsidRPr="009D0E2C">
              <w:rPr>
                <w:rFonts w:ascii="Times New Roman" w:hAnsi="Times New Roman"/>
                <w:color w:val="000000" w:themeColor="text1"/>
                <w:sz w:val="20"/>
                <w:szCs w:val="20"/>
                <w:lang w:eastAsia="ru-RU"/>
              </w:rPr>
              <w:t>;</w:t>
            </w:r>
          </w:p>
        </w:tc>
        <w:tc>
          <w:tcPr>
            <w:tcW w:w="4541" w:type="dxa"/>
            <w:shd w:val="clear" w:color="auto" w:fill="auto"/>
          </w:tcPr>
          <w:p w14:paraId="6750CE64" w14:textId="1850885D" w:rsidR="00A96AB2" w:rsidRPr="0008222E" w:rsidRDefault="00A96AB2" w:rsidP="00F57FF6">
            <w:pPr>
              <w:shd w:val="clear" w:color="auto" w:fill="FFFFFF"/>
              <w:tabs>
                <w:tab w:val="left" w:pos="993"/>
              </w:tabs>
              <w:adjustRightInd w:val="0"/>
              <w:spacing w:after="0" w:line="240" w:lineRule="auto"/>
              <w:jc w:val="both"/>
              <w:textAlignment w:val="top"/>
              <w:rPr>
                <w:rFonts w:ascii="Times New Roman" w:hAnsi="Times New Roman"/>
                <w:b/>
                <w:bCs/>
                <w:sz w:val="20"/>
                <w:szCs w:val="20"/>
                <w:lang w:val="ro-MD"/>
              </w:rPr>
            </w:pPr>
          </w:p>
        </w:tc>
        <w:tc>
          <w:tcPr>
            <w:tcW w:w="1276" w:type="dxa"/>
            <w:shd w:val="clear" w:color="auto" w:fill="auto"/>
          </w:tcPr>
          <w:p w14:paraId="3C252D22" w14:textId="77777777" w:rsidR="007348E0" w:rsidRPr="00C951E7" w:rsidRDefault="007348E0" w:rsidP="00925A21">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220AB097" w14:textId="77777777" w:rsidR="006D32C4" w:rsidRPr="00C951E7" w:rsidRDefault="006D32C4" w:rsidP="00925A21">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F2557AA" w14:textId="77777777" w:rsidR="006D32C4" w:rsidRPr="00C951E7" w:rsidRDefault="006D32C4" w:rsidP="00925A21">
            <w:pPr>
              <w:spacing w:line="240" w:lineRule="auto"/>
              <w:jc w:val="both"/>
              <w:rPr>
                <w:rFonts w:ascii="Times New Roman" w:hAnsi="Times New Roman"/>
                <w:sz w:val="20"/>
                <w:szCs w:val="20"/>
                <w:lang w:val="ro-RO"/>
              </w:rPr>
            </w:pPr>
          </w:p>
        </w:tc>
        <w:tc>
          <w:tcPr>
            <w:tcW w:w="1701" w:type="dxa"/>
            <w:shd w:val="clear" w:color="auto" w:fill="auto"/>
          </w:tcPr>
          <w:p w14:paraId="26A0E130" w14:textId="452C5437" w:rsidR="006D32C4" w:rsidRPr="00D70655" w:rsidRDefault="00D70655" w:rsidP="00925A21">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Pr="00D70655">
              <w:rPr>
                <w:rFonts w:ascii="Times New Roman" w:hAnsi="Times New Roman"/>
                <w:sz w:val="20"/>
                <w:szCs w:val="20"/>
                <w:lang w:val="ro-RO" w:eastAsia="ru-RU"/>
              </w:rPr>
              <w:t xml:space="preserve">„prognoze fără măsuri” </w:t>
            </w:r>
            <w:r>
              <w:rPr>
                <w:rFonts w:ascii="Times New Roman" w:eastAsia="Times New Roman" w:hAnsi="Times New Roman"/>
                <w:sz w:val="20"/>
                <w:szCs w:val="20"/>
                <w:lang w:val="ro-RO"/>
              </w:rPr>
              <w:t xml:space="preserve">este </w:t>
            </w:r>
            <w:r w:rsidR="00E66697"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00E66697" w:rsidRPr="00D70655">
              <w:rPr>
                <w:rFonts w:ascii="Times New Roman" w:eastAsia="Times New Roman" w:hAnsi="Times New Roman"/>
                <w:sz w:val="20"/>
                <w:szCs w:val="20"/>
                <w:lang w:val="ro-RO"/>
              </w:rPr>
              <w:t xml:space="preserve"> în</w:t>
            </w:r>
            <w:r w:rsidRPr="00D70655">
              <w:rPr>
                <w:rFonts w:ascii="Times New Roman" w:eastAsia="Times New Roman" w:hAnsi="Times New Roman"/>
                <w:sz w:val="20"/>
                <w:szCs w:val="20"/>
                <w:lang w:val="ro-RO"/>
              </w:rPr>
              <w:t xml:space="preserve">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 xml:space="preserve">1277/2018 </w:t>
            </w:r>
          </w:p>
        </w:tc>
        <w:tc>
          <w:tcPr>
            <w:tcW w:w="1464" w:type="dxa"/>
            <w:shd w:val="clear" w:color="auto" w:fill="auto"/>
          </w:tcPr>
          <w:p w14:paraId="2A6B2E32" w14:textId="77777777" w:rsidR="002526D0" w:rsidRPr="003F755D" w:rsidRDefault="002526D0" w:rsidP="002526D0">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62F757FC" w14:textId="77777777" w:rsidR="002526D0" w:rsidRDefault="002526D0" w:rsidP="000D03E8">
            <w:pPr>
              <w:autoSpaceDE w:val="0"/>
              <w:spacing w:after="0" w:line="240" w:lineRule="auto"/>
              <w:rPr>
                <w:rFonts w:ascii="Times New Roman" w:hAnsi="Times New Roman"/>
                <w:sz w:val="20"/>
                <w:szCs w:val="20"/>
                <w:lang w:val="ro-RO"/>
              </w:rPr>
            </w:pPr>
          </w:p>
          <w:p w14:paraId="0FCAABF1" w14:textId="0BC36B48" w:rsidR="000D03E8" w:rsidRPr="00C951E7" w:rsidRDefault="008677F2" w:rsidP="000D03E8">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w:t>
            </w:r>
            <w:r w:rsidR="000D03E8" w:rsidRPr="00C951E7">
              <w:rPr>
                <w:rFonts w:ascii="Times New Roman" w:hAnsi="Times New Roman"/>
                <w:sz w:val="20"/>
                <w:szCs w:val="20"/>
                <w:lang w:val="ro-RO"/>
              </w:rPr>
              <w:t xml:space="preserve"> de Mediu</w:t>
            </w:r>
          </w:p>
          <w:p w14:paraId="04EBAC68" w14:textId="38B47C33" w:rsidR="006D32C4" w:rsidRPr="00C951E7" w:rsidRDefault="006D32C4" w:rsidP="00FF681F">
            <w:pPr>
              <w:autoSpaceDE w:val="0"/>
              <w:spacing w:after="0" w:line="240" w:lineRule="auto"/>
              <w:rPr>
                <w:rFonts w:ascii="Times New Roman" w:eastAsia="Times New Roman" w:hAnsi="Times New Roman"/>
                <w:sz w:val="20"/>
                <w:szCs w:val="20"/>
                <w:lang w:val="ro-RO"/>
              </w:rPr>
            </w:pPr>
          </w:p>
        </w:tc>
      </w:tr>
      <w:tr w:rsidR="00227374" w:rsidRPr="00280E24" w14:paraId="4A4489AD" w14:textId="77777777" w:rsidTr="004E4CC3">
        <w:trPr>
          <w:trHeight w:val="983"/>
        </w:trPr>
        <w:tc>
          <w:tcPr>
            <w:tcW w:w="4810" w:type="dxa"/>
            <w:shd w:val="clear" w:color="auto" w:fill="auto"/>
          </w:tcPr>
          <w:p w14:paraId="187C1747" w14:textId="0F2FCC8D" w:rsidR="00227374" w:rsidRPr="00227374" w:rsidRDefault="00393B96" w:rsidP="00925A21">
            <w:pPr>
              <w:shd w:val="clear" w:color="auto" w:fill="FFFFFF"/>
              <w:spacing w:after="0" w:line="240" w:lineRule="auto"/>
              <w:jc w:val="both"/>
              <w:rPr>
                <w:rFonts w:ascii="Times New Roman" w:hAnsi="Times New Roman"/>
                <w:sz w:val="20"/>
                <w:szCs w:val="20"/>
                <w:lang w:eastAsia="ru-RU"/>
              </w:rPr>
            </w:pPr>
            <w:r w:rsidRPr="009D0E2C">
              <w:rPr>
                <w:rFonts w:ascii="Times New Roman" w:hAnsi="Times New Roman"/>
                <w:color w:val="000000" w:themeColor="text1"/>
                <w:sz w:val="20"/>
                <w:szCs w:val="20"/>
                <w:lang w:eastAsia="ru-RU"/>
              </w:rPr>
              <w:t>(</w:t>
            </w:r>
            <w:proofErr w:type="gramStart"/>
            <w:r w:rsidRPr="009D0E2C">
              <w:rPr>
                <w:rFonts w:ascii="Times New Roman" w:hAnsi="Times New Roman"/>
                <w:color w:val="000000" w:themeColor="text1"/>
                <w:sz w:val="20"/>
                <w:szCs w:val="20"/>
                <w:lang w:eastAsia="ru-RU"/>
              </w:rPr>
              <w:t>9)</w:t>
            </w:r>
            <w:r w:rsidR="00227374" w:rsidRPr="009D0E2C">
              <w:rPr>
                <w:rFonts w:ascii="Times New Roman" w:hAnsi="Times New Roman"/>
                <w:color w:val="000000" w:themeColor="text1"/>
                <w:sz w:val="20"/>
                <w:szCs w:val="20"/>
                <w:lang w:eastAsia="ru-RU"/>
              </w:rPr>
              <w:t>„</w:t>
            </w:r>
            <w:proofErr w:type="spellStart"/>
            <w:proofErr w:type="gramEnd"/>
            <w:r w:rsidR="00227374" w:rsidRPr="009D0E2C">
              <w:rPr>
                <w:rFonts w:ascii="Times New Roman" w:hAnsi="Times New Roman"/>
                <w:color w:val="000000" w:themeColor="text1"/>
                <w:sz w:val="20"/>
                <w:szCs w:val="20"/>
                <w:lang w:val="en-US" w:eastAsia="ru-RU"/>
              </w:rPr>
              <w:t>prognoze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m</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suri</w:t>
            </w:r>
            <w:proofErr w:type="spellEnd"/>
            <w:r w:rsidR="00227374" w:rsidRPr="009D0E2C">
              <w:rPr>
                <w:rFonts w:ascii="Times New Roman" w:hAnsi="Times New Roman"/>
                <w:color w:val="000000" w:themeColor="text1"/>
                <w:sz w:val="20"/>
                <w:szCs w:val="20"/>
                <w:lang w:eastAsia="ru-RU"/>
              </w:rPr>
              <w:t>” î</w:t>
            </w:r>
            <w:proofErr w:type="spellStart"/>
            <w:r w:rsidR="00227374" w:rsidRPr="009D0E2C">
              <w:rPr>
                <w:rFonts w:ascii="Times New Roman" w:hAnsi="Times New Roman"/>
                <w:color w:val="000000" w:themeColor="text1"/>
                <w:sz w:val="20"/>
                <w:szCs w:val="20"/>
                <w:lang w:val="en-US" w:eastAsia="ru-RU"/>
              </w:rPr>
              <w:t>nseamn</w:t>
            </w:r>
            <w:proofErr w:type="spellEnd"/>
            <w:r w:rsidR="00227374" w:rsidRPr="009D0E2C">
              <w:rPr>
                <w:rFonts w:ascii="Times New Roman" w:hAnsi="Times New Roman"/>
                <w:color w:val="000000" w:themeColor="text1"/>
                <w:sz w:val="20"/>
                <w:szCs w:val="20"/>
                <w:lang w:eastAsia="ru-RU"/>
              </w:rPr>
              <w:t xml:space="preserve">ă </w:t>
            </w:r>
            <w:proofErr w:type="spellStart"/>
            <w:r w:rsidR="00227374" w:rsidRPr="009D0E2C">
              <w:rPr>
                <w:rFonts w:ascii="Times New Roman" w:hAnsi="Times New Roman"/>
                <w:color w:val="000000" w:themeColor="text1"/>
                <w:sz w:val="20"/>
                <w:szCs w:val="20"/>
                <w:lang w:val="en-US" w:eastAsia="ru-RU"/>
              </w:rPr>
              <w:t>prognoze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referitoare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la</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emisiile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antropice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tre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surse</w:t>
            </w:r>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absorb</w:t>
            </w:r>
            <w:r w:rsidR="00227374" w:rsidRPr="009D0E2C">
              <w:rPr>
                <w:rFonts w:ascii="Times New Roman" w:hAnsi="Times New Roman"/>
                <w:color w:val="000000" w:themeColor="text1"/>
                <w:sz w:val="20"/>
                <w:szCs w:val="20"/>
                <w:lang w:eastAsia="ru-RU"/>
              </w:rPr>
              <w:t>ț</w:t>
            </w:r>
            <w:proofErr w:type="spellStart"/>
            <w:r w:rsidR="00227374" w:rsidRPr="009D0E2C">
              <w:rPr>
                <w:rFonts w:ascii="Times New Roman" w:hAnsi="Times New Roman"/>
                <w:color w:val="000000" w:themeColor="text1"/>
                <w:sz w:val="20"/>
                <w:szCs w:val="20"/>
                <w:lang w:val="en-US" w:eastAsia="ru-RU"/>
              </w:rPr>
              <w:t>iile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tre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absorban</w:t>
            </w:r>
            <w:proofErr w:type="spellEnd"/>
            <w:r w:rsidR="00227374" w:rsidRPr="009D0E2C">
              <w:rPr>
                <w:rFonts w:ascii="Times New Roman" w:hAnsi="Times New Roman"/>
                <w:color w:val="000000" w:themeColor="text1"/>
                <w:sz w:val="20"/>
                <w:szCs w:val="20"/>
                <w:lang w:eastAsia="ru-RU"/>
              </w:rPr>
              <w:t>ț</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gaze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efect</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ser</w:t>
            </w:r>
            <w:r w:rsidR="00227374" w:rsidRPr="009D0E2C">
              <w:rPr>
                <w:rFonts w:ascii="Times New Roman" w:hAnsi="Times New Roman"/>
                <w:color w:val="000000" w:themeColor="text1"/>
                <w:sz w:val="20"/>
                <w:szCs w:val="20"/>
                <w:lang w:eastAsia="ru-RU"/>
              </w:rPr>
              <w:t xml:space="preserve">ă, </w:t>
            </w:r>
            <w:r w:rsidR="00227374" w:rsidRPr="009D0E2C">
              <w:rPr>
                <w:rFonts w:ascii="Times New Roman" w:hAnsi="Times New Roman"/>
                <w:color w:val="000000" w:themeColor="text1"/>
                <w:sz w:val="20"/>
                <w:szCs w:val="20"/>
                <w:lang w:val="en-US" w:eastAsia="ru-RU"/>
              </w:rPr>
              <w:t>care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cuprind</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efectele</w:t>
            </w:r>
            <w:r w:rsidR="00227374" w:rsidRPr="009D0E2C">
              <w:rPr>
                <w:rFonts w:ascii="Times New Roman" w:hAnsi="Times New Roman"/>
                <w:color w:val="000000" w:themeColor="text1"/>
                <w:sz w:val="20"/>
                <w:szCs w:val="20"/>
                <w:lang w:eastAsia="ru-RU"/>
              </w:rPr>
              <w:t>, î</w:t>
            </w:r>
            <w:r w:rsidR="00227374" w:rsidRPr="009D0E2C">
              <w:rPr>
                <w:rFonts w:ascii="Times New Roman" w:hAnsi="Times New Roman"/>
                <w:color w:val="000000" w:themeColor="text1"/>
                <w:sz w:val="20"/>
                <w:szCs w:val="20"/>
                <w:lang w:val="en-US" w:eastAsia="ru-RU"/>
              </w:rPr>
              <w:t>n</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ceea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prive</w:t>
            </w:r>
            <w:proofErr w:type="spellEnd"/>
            <w:r w:rsidR="00227374" w:rsidRPr="009D0E2C">
              <w:rPr>
                <w:rFonts w:ascii="Times New Roman" w:hAnsi="Times New Roman"/>
                <w:color w:val="000000" w:themeColor="text1"/>
                <w:sz w:val="20"/>
                <w:szCs w:val="20"/>
                <w:lang w:eastAsia="ru-RU"/>
              </w:rPr>
              <w:t>ș</w:t>
            </w:r>
            <w:proofErr w:type="spellStart"/>
            <w:r w:rsidR="00227374" w:rsidRPr="009D0E2C">
              <w:rPr>
                <w:rFonts w:ascii="Times New Roman" w:hAnsi="Times New Roman"/>
                <w:color w:val="000000" w:themeColor="text1"/>
                <w:sz w:val="20"/>
                <w:szCs w:val="20"/>
                <w:lang w:val="en-US" w:eastAsia="ru-RU"/>
              </w:rPr>
              <w:t>te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reducerea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emisiilor</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gaze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efect</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ser</w:t>
            </w:r>
            <w:r w:rsidR="00227374" w:rsidRPr="009D0E2C">
              <w:rPr>
                <w:rFonts w:ascii="Times New Roman" w:hAnsi="Times New Roman"/>
                <w:color w:val="000000" w:themeColor="text1"/>
                <w:sz w:val="20"/>
                <w:szCs w:val="20"/>
                <w:lang w:eastAsia="ru-RU"/>
              </w:rPr>
              <w:t xml:space="preserve">ă </w:t>
            </w:r>
            <w:proofErr w:type="spellStart"/>
            <w:r w:rsidR="00227374" w:rsidRPr="009D0E2C">
              <w:rPr>
                <w:rFonts w:ascii="Times New Roman" w:hAnsi="Times New Roman"/>
                <w:color w:val="000000" w:themeColor="text1"/>
                <w:sz w:val="20"/>
                <w:szCs w:val="20"/>
                <w:lang w:val="en-US" w:eastAsia="ru-RU"/>
              </w:rPr>
              <w:t>sau</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evolu</w:t>
            </w:r>
            <w:proofErr w:type="spellEnd"/>
            <w:r w:rsidR="00227374" w:rsidRPr="009D0E2C">
              <w:rPr>
                <w:rFonts w:ascii="Times New Roman" w:hAnsi="Times New Roman"/>
                <w:color w:val="000000" w:themeColor="text1"/>
                <w:sz w:val="20"/>
                <w:szCs w:val="20"/>
                <w:lang w:eastAsia="ru-RU"/>
              </w:rPr>
              <w:t>ț</w:t>
            </w:r>
            <w:proofErr w:type="spellStart"/>
            <w:r w:rsidR="00227374" w:rsidRPr="009D0E2C">
              <w:rPr>
                <w:rFonts w:ascii="Times New Roman" w:hAnsi="Times New Roman"/>
                <w:color w:val="000000" w:themeColor="text1"/>
                <w:sz w:val="20"/>
                <w:szCs w:val="20"/>
                <w:lang w:val="en-US" w:eastAsia="ru-RU"/>
              </w:rPr>
              <w:t>iile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sistemului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energetic</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ale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politicilor</w:t>
            </w:r>
            <w:proofErr w:type="spellEnd"/>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m</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surilor</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adoptate</w:t>
            </w:r>
            <w:proofErr w:type="spellEnd"/>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puse</w:t>
            </w:r>
            <w:proofErr w:type="spellEnd"/>
            <w:r w:rsidR="00227374" w:rsidRPr="009D0E2C">
              <w:rPr>
                <w:rFonts w:ascii="Times New Roman" w:hAnsi="Times New Roman"/>
                <w:color w:val="000000" w:themeColor="text1"/>
                <w:sz w:val="20"/>
                <w:szCs w:val="20"/>
                <w:lang w:eastAsia="ru-RU"/>
              </w:rPr>
              <w:t xml:space="preserve"> î</w:t>
            </w:r>
            <w:r w:rsidR="00227374" w:rsidRPr="009D0E2C">
              <w:rPr>
                <w:rFonts w:ascii="Times New Roman" w:hAnsi="Times New Roman"/>
                <w:color w:val="000000" w:themeColor="text1"/>
                <w:sz w:val="20"/>
                <w:szCs w:val="20"/>
                <w:lang w:val="en-US" w:eastAsia="ru-RU"/>
              </w:rPr>
              <w:t>n</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aplicare</w:t>
            </w:r>
            <w:proofErr w:type="spellEnd"/>
            <w:r w:rsidR="00227374" w:rsidRPr="009D0E2C">
              <w:rPr>
                <w:rFonts w:ascii="Times New Roman" w:hAnsi="Times New Roman"/>
                <w:color w:val="000000" w:themeColor="text1"/>
                <w:sz w:val="20"/>
                <w:szCs w:val="20"/>
                <w:lang w:eastAsia="ru-RU"/>
              </w:rPr>
              <w:t>;</w:t>
            </w:r>
          </w:p>
        </w:tc>
        <w:tc>
          <w:tcPr>
            <w:tcW w:w="4541" w:type="dxa"/>
            <w:shd w:val="clear" w:color="auto" w:fill="auto"/>
          </w:tcPr>
          <w:p w14:paraId="6B95B0FE" w14:textId="52BCD564" w:rsidR="00227374" w:rsidRPr="00BC10A6" w:rsidRDefault="00227374" w:rsidP="009209A2">
            <w:pPr>
              <w:pStyle w:val="af0"/>
              <w:shd w:val="clear" w:color="auto" w:fill="FFFFFF"/>
              <w:tabs>
                <w:tab w:val="left" w:pos="993"/>
              </w:tabs>
              <w:adjustRightInd w:val="0"/>
              <w:spacing w:before="0" w:beforeAutospacing="0" w:after="0" w:afterAutospacing="0"/>
              <w:jc w:val="both"/>
              <w:textAlignment w:val="top"/>
              <w:rPr>
                <w:rFonts w:asciiTheme="majorBidi" w:hAnsiTheme="majorBidi" w:cstheme="majorBidi"/>
                <w:sz w:val="20"/>
                <w:szCs w:val="20"/>
                <w:lang w:eastAsia="ro-RO" w:bidi="or-IN"/>
              </w:rPr>
            </w:pPr>
          </w:p>
        </w:tc>
        <w:tc>
          <w:tcPr>
            <w:tcW w:w="1276" w:type="dxa"/>
            <w:shd w:val="clear" w:color="auto" w:fill="auto"/>
          </w:tcPr>
          <w:p w14:paraId="68B3F4EF" w14:textId="20581D1C" w:rsidR="00227374" w:rsidRPr="00C951E7" w:rsidRDefault="00280E24" w:rsidP="00925A21">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4664F4" w:rsidRPr="00C951E7">
              <w:rPr>
                <w:rFonts w:ascii="Times New Roman" w:hAnsi="Times New Roman"/>
                <w:bCs/>
                <w:color w:val="000000" w:themeColor="text1"/>
                <w:sz w:val="20"/>
                <w:szCs w:val="20"/>
                <w:lang w:val="ro-RO"/>
              </w:rPr>
              <w:t>ompatibil</w:t>
            </w:r>
          </w:p>
        </w:tc>
        <w:tc>
          <w:tcPr>
            <w:tcW w:w="1275" w:type="dxa"/>
            <w:shd w:val="clear" w:color="auto" w:fill="auto"/>
          </w:tcPr>
          <w:p w14:paraId="5AC86DFB" w14:textId="77777777" w:rsidR="00227374" w:rsidRPr="00C951E7" w:rsidRDefault="00227374"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6302B5F" w14:textId="1BD4EE0B" w:rsidR="00227374" w:rsidRPr="00C951E7" w:rsidRDefault="007E64AF" w:rsidP="00B92F65">
            <w:pPr>
              <w:autoSpaceDE w:val="0"/>
              <w:spacing w:after="0" w:line="240" w:lineRule="auto"/>
              <w:rPr>
                <w:rFonts w:ascii="Times New Roman" w:eastAsia="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7E64AF">
              <w:rPr>
                <w:rFonts w:ascii="Times New Roman" w:hAnsi="Times New Roman"/>
                <w:color w:val="000000" w:themeColor="text1"/>
                <w:sz w:val="20"/>
                <w:szCs w:val="20"/>
                <w:lang w:val="en-US" w:eastAsia="ru-RU"/>
              </w:rPr>
              <w:t xml:space="preserve"> </w:t>
            </w:r>
            <w:proofErr w:type="spellStart"/>
            <w:r w:rsidRPr="007E64AF">
              <w:rPr>
                <w:rFonts w:ascii="Times New Roman" w:hAnsi="Times New Roman"/>
                <w:color w:val="000000" w:themeColor="text1"/>
                <w:sz w:val="20"/>
                <w:szCs w:val="20"/>
                <w:lang w:val="en-US" w:eastAsia="ru-RU"/>
              </w:rPr>
              <w:t>prognoze</w:t>
            </w:r>
            <w:proofErr w:type="spellEnd"/>
            <w:r w:rsidRPr="007E64AF">
              <w:rPr>
                <w:rFonts w:ascii="Times New Roman" w:hAnsi="Times New Roman"/>
                <w:color w:val="000000" w:themeColor="text1"/>
                <w:sz w:val="20"/>
                <w:szCs w:val="20"/>
                <w:lang w:eastAsia="ru-RU"/>
              </w:rPr>
              <w:t xml:space="preserve"> </w:t>
            </w:r>
            <w:r w:rsidRPr="007E64AF">
              <w:rPr>
                <w:rFonts w:ascii="Times New Roman" w:hAnsi="Times New Roman"/>
                <w:color w:val="000000" w:themeColor="text1"/>
                <w:sz w:val="20"/>
                <w:szCs w:val="20"/>
                <w:lang w:val="en-US" w:eastAsia="ru-RU"/>
              </w:rPr>
              <w:t>cu</w:t>
            </w:r>
            <w:r w:rsidRPr="007E64AF">
              <w:rPr>
                <w:rFonts w:ascii="Times New Roman" w:hAnsi="Times New Roman"/>
                <w:color w:val="000000" w:themeColor="text1"/>
                <w:sz w:val="20"/>
                <w:szCs w:val="20"/>
                <w:lang w:eastAsia="ru-RU"/>
              </w:rPr>
              <w:t xml:space="preserve"> </w:t>
            </w:r>
            <w:r w:rsidRPr="007E64AF">
              <w:rPr>
                <w:rFonts w:ascii="Times New Roman" w:hAnsi="Times New Roman"/>
                <w:color w:val="000000" w:themeColor="text1"/>
                <w:sz w:val="20"/>
                <w:szCs w:val="20"/>
                <w:lang w:val="en-US" w:eastAsia="ru-RU"/>
              </w:rPr>
              <w:t>m</w:t>
            </w:r>
            <w:r w:rsidRPr="007E64AF">
              <w:rPr>
                <w:rFonts w:ascii="Times New Roman" w:hAnsi="Times New Roman"/>
                <w:color w:val="000000" w:themeColor="text1"/>
                <w:sz w:val="20"/>
                <w:szCs w:val="20"/>
                <w:lang w:eastAsia="ru-RU"/>
              </w:rPr>
              <w:t>ă</w:t>
            </w:r>
            <w:proofErr w:type="spellStart"/>
            <w:r w:rsidRPr="007E64AF">
              <w:rPr>
                <w:rFonts w:ascii="Times New Roman" w:hAnsi="Times New Roman"/>
                <w:color w:val="000000" w:themeColor="text1"/>
                <w:sz w:val="20"/>
                <w:szCs w:val="20"/>
                <w:lang w:val="en-US" w:eastAsia="ru-RU"/>
              </w:rPr>
              <w:t>suri</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3AD53F48" w14:textId="558751BA" w:rsidR="00B92F65" w:rsidRPr="003F755D" w:rsidRDefault="00BC10A6" w:rsidP="00B92F65">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10FCB8A7" w14:textId="77777777" w:rsidR="00227374" w:rsidRPr="00C951E7" w:rsidRDefault="00227374" w:rsidP="008E5448">
            <w:pPr>
              <w:autoSpaceDE w:val="0"/>
              <w:spacing w:after="0" w:line="240" w:lineRule="auto"/>
              <w:rPr>
                <w:rFonts w:ascii="Times New Roman" w:hAnsi="Times New Roman"/>
                <w:sz w:val="20"/>
                <w:szCs w:val="20"/>
                <w:lang w:val="ro-RO"/>
              </w:rPr>
            </w:pPr>
          </w:p>
        </w:tc>
      </w:tr>
      <w:tr w:rsidR="00B06269" w:rsidRPr="00280E24" w14:paraId="00557517" w14:textId="77777777" w:rsidTr="009F5405">
        <w:trPr>
          <w:trHeight w:val="776"/>
        </w:trPr>
        <w:tc>
          <w:tcPr>
            <w:tcW w:w="4810" w:type="dxa"/>
            <w:shd w:val="clear" w:color="auto" w:fill="auto"/>
          </w:tcPr>
          <w:p w14:paraId="478FAA1B" w14:textId="3C176467" w:rsidR="00B06269" w:rsidRPr="00227374" w:rsidRDefault="00F25AE8" w:rsidP="00925A21">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eastAsia="ru-RU"/>
              </w:rPr>
              <w:t>10.</w:t>
            </w:r>
            <w:r w:rsidR="00227374" w:rsidRPr="009D0E2C">
              <w:rPr>
                <w:rFonts w:ascii="Times New Roman" w:hAnsi="Times New Roman"/>
                <w:color w:val="000000" w:themeColor="text1"/>
                <w:sz w:val="20"/>
                <w:szCs w:val="20"/>
                <w:lang w:eastAsia="ru-RU"/>
              </w:rPr>
              <w:t>„</w:t>
            </w:r>
            <w:proofErr w:type="spellStart"/>
            <w:r w:rsidR="00227374" w:rsidRPr="009D0E2C">
              <w:rPr>
                <w:rFonts w:ascii="Times New Roman" w:hAnsi="Times New Roman"/>
                <w:color w:val="000000" w:themeColor="text1"/>
                <w:sz w:val="20"/>
                <w:szCs w:val="20"/>
                <w:lang w:val="en-US" w:eastAsia="ru-RU"/>
              </w:rPr>
              <w:t>prognoze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m</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suri</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suplimentare</w:t>
            </w:r>
            <w:proofErr w:type="spellEnd"/>
            <w:r w:rsidR="00227374" w:rsidRPr="009D0E2C">
              <w:rPr>
                <w:rFonts w:ascii="Times New Roman" w:hAnsi="Times New Roman"/>
                <w:color w:val="000000" w:themeColor="text1"/>
                <w:sz w:val="20"/>
                <w:szCs w:val="20"/>
                <w:lang w:eastAsia="ru-RU"/>
              </w:rPr>
              <w:t>” î</w:t>
            </w:r>
            <w:proofErr w:type="spellStart"/>
            <w:r w:rsidR="00227374" w:rsidRPr="009D0E2C">
              <w:rPr>
                <w:rFonts w:ascii="Times New Roman" w:hAnsi="Times New Roman"/>
                <w:color w:val="000000" w:themeColor="text1"/>
                <w:sz w:val="20"/>
                <w:szCs w:val="20"/>
                <w:lang w:val="en-US" w:eastAsia="ru-RU"/>
              </w:rPr>
              <w:t>nseamn</w:t>
            </w:r>
            <w:proofErr w:type="spellEnd"/>
            <w:r w:rsidR="00227374" w:rsidRPr="009D0E2C">
              <w:rPr>
                <w:rFonts w:ascii="Times New Roman" w:hAnsi="Times New Roman"/>
                <w:color w:val="000000" w:themeColor="text1"/>
                <w:sz w:val="20"/>
                <w:szCs w:val="20"/>
                <w:lang w:eastAsia="ru-RU"/>
              </w:rPr>
              <w:t xml:space="preserve">ă </w:t>
            </w:r>
            <w:proofErr w:type="spellStart"/>
            <w:r w:rsidR="00227374" w:rsidRPr="009D0E2C">
              <w:rPr>
                <w:rFonts w:ascii="Times New Roman" w:hAnsi="Times New Roman"/>
                <w:color w:val="000000" w:themeColor="text1"/>
                <w:sz w:val="20"/>
                <w:szCs w:val="20"/>
                <w:lang w:val="en-US" w:eastAsia="ru-RU"/>
              </w:rPr>
              <w:t>prognoze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referitoare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la</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emisiile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antropice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tre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surse</w:t>
            </w:r>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absorb</w:t>
            </w:r>
            <w:r w:rsidR="00227374" w:rsidRPr="009D0E2C">
              <w:rPr>
                <w:rFonts w:ascii="Times New Roman" w:hAnsi="Times New Roman"/>
                <w:color w:val="000000" w:themeColor="text1"/>
                <w:sz w:val="20"/>
                <w:szCs w:val="20"/>
                <w:lang w:eastAsia="ru-RU"/>
              </w:rPr>
              <w:t>ț</w:t>
            </w:r>
            <w:proofErr w:type="spellStart"/>
            <w:r w:rsidR="00227374" w:rsidRPr="009D0E2C">
              <w:rPr>
                <w:rFonts w:ascii="Times New Roman" w:hAnsi="Times New Roman"/>
                <w:color w:val="000000" w:themeColor="text1"/>
                <w:sz w:val="20"/>
                <w:szCs w:val="20"/>
                <w:lang w:val="en-US" w:eastAsia="ru-RU"/>
              </w:rPr>
              <w:t>iile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tre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absorban</w:t>
            </w:r>
            <w:proofErr w:type="spellEnd"/>
            <w:r w:rsidR="00227374" w:rsidRPr="009D0E2C">
              <w:rPr>
                <w:rFonts w:ascii="Times New Roman" w:hAnsi="Times New Roman"/>
                <w:color w:val="000000" w:themeColor="text1"/>
                <w:sz w:val="20"/>
                <w:szCs w:val="20"/>
                <w:lang w:eastAsia="ru-RU"/>
              </w:rPr>
              <w:t>ț</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gaze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efect</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ser</w:t>
            </w:r>
            <w:r w:rsidR="00227374" w:rsidRPr="009D0E2C">
              <w:rPr>
                <w:rFonts w:ascii="Times New Roman" w:hAnsi="Times New Roman"/>
                <w:color w:val="000000" w:themeColor="text1"/>
                <w:sz w:val="20"/>
                <w:szCs w:val="20"/>
                <w:lang w:eastAsia="ru-RU"/>
              </w:rPr>
              <w:t xml:space="preserve">ă </w:t>
            </w:r>
            <w:proofErr w:type="spellStart"/>
            <w:r w:rsidR="00227374" w:rsidRPr="009D0E2C">
              <w:rPr>
                <w:rFonts w:ascii="Times New Roman" w:hAnsi="Times New Roman"/>
                <w:color w:val="000000" w:themeColor="text1"/>
                <w:sz w:val="20"/>
                <w:szCs w:val="20"/>
                <w:lang w:val="en-US" w:eastAsia="ru-RU"/>
              </w:rPr>
              <w:t>sau</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referitoare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la</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evolu</w:t>
            </w:r>
            <w:proofErr w:type="spellEnd"/>
            <w:r w:rsidR="00227374" w:rsidRPr="009D0E2C">
              <w:rPr>
                <w:rFonts w:ascii="Times New Roman" w:hAnsi="Times New Roman"/>
                <w:color w:val="000000" w:themeColor="text1"/>
                <w:sz w:val="20"/>
                <w:szCs w:val="20"/>
                <w:lang w:eastAsia="ru-RU"/>
              </w:rPr>
              <w:t>ț</w:t>
            </w:r>
            <w:r w:rsidR="00227374" w:rsidRPr="009D0E2C">
              <w:rPr>
                <w:rFonts w:ascii="Times New Roman" w:hAnsi="Times New Roman"/>
                <w:color w:val="000000" w:themeColor="text1"/>
                <w:sz w:val="20"/>
                <w:szCs w:val="20"/>
                <w:lang w:val="en-US" w:eastAsia="ru-RU"/>
              </w:rPr>
              <w:t>ii</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ale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sistemului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energetic</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care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cuprind</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efectele</w:t>
            </w:r>
            <w:r w:rsidR="00227374" w:rsidRPr="009D0E2C">
              <w:rPr>
                <w:rFonts w:ascii="Times New Roman" w:hAnsi="Times New Roman"/>
                <w:color w:val="000000" w:themeColor="text1"/>
                <w:sz w:val="20"/>
                <w:szCs w:val="20"/>
                <w:lang w:eastAsia="ru-RU"/>
              </w:rPr>
              <w:t>, î</w:t>
            </w:r>
            <w:r w:rsidR="00227374" w:rsidRPr="009D0E2C">
              <w:rPr>
                <w:rFonts w:ascii="Times New Roman" w:hAnsi="Times New Roman"/>
                <w:color w:val="000000" w:themeColor="text1"/>
                <w:sz w:val="20"/>
                <w:szCs w:val="20"/>
                <w:lang w:val="en-US" w:eastAsia="ru-RU"/>
              </w:rPr>
              <w:t>n</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ceea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ce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prive</w:t>
            </w:r>
            <w:proofErr w:type="spellEnd"/>
            <w:r w:rsidR="00227374" w:rsidRPr="009D0E2C">
              <w:rPr>
                <w:rFonts w:ascii="Times New Roman" w:hAnsi="Times New Roman"/>
                <w:color w:val="000000" w:themeColor="text1"/>
                <w:sz w:val="20"/>
                <w:szCs w:val="20"/>
                <w:lang w:eastAsia="ru-RU"/>
              </w:rPr>
              <w:t>ș</w:t>
            </w:r>
            <w:proofErr w:type="spellStart"/>
            <w:r w:rsidR="00227374" w:rsidRPr="009D0E2C">
              <w:rPr>
                <w:rFonts w:ascii="Times New Roman" w:hAnsi="Times New Roman"/>
                <w:color w:val="000000" w:themeColor="text1"/>
                <w:sz w:val="20"/>
                <w:szCs w:val="20"/>
                <w:lang w:val="en-US" w:eastAsia="ru-RU"/>
              </w:rPr>
              <w:t>te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reducerea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emisiilor</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gaze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cu</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efect</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de</w:t>
            </w:r>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ser</w:t>
            </w:r>
            <w:r w:rsidR="00227374" w:rsidRPr="009D0E2C">
              <w:rPr>
                <w:rFonts w:ascii="Times New Roman" w:hAnsi="Times New Roman"/>
                <w:color w:val="000000" w:themeColor="text1"/>
                <w:sz w:val="20"/>
                <w:szCs w:val="20"/>
                <w:lang w:eastAsia="ru-RU"/>
              </w:rPr>
              <w:t xml:space="preserve">ă, </w:t>
            </w:r>
            <w:r w:rsidR="00227374" w:rsidRPr="009D0E2C">
              <w:rPr>
                <w:rFonts w:ascii="Times New Roman" w:hAnsi="Times New Roman"/>
                <w:color w:val="000000" w:themeColor="text1"/>
                <w:sz w:val="20"/>
                <w:szCs w:val="20"/>
                <w:lang w:val="en-US" w:eastAsia="ru-RU"/>
              </w:rPr>
              <w:t>ale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politicilor</w:t>
            </w:r>
            <w:proofErr w:type="spellEnd"/>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m</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surilor</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adoptate</w:t>
            </w:r>
            <w:proofErr w:type="spellEnd"/>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puse</w:t>
            </w:r>
            <w:proofErr w:type="spellEnd"/>
            <w:r w:rsidR="00227374" w:rsidRPr="009D0E2C">
              <w:rPr>
                <w:rFonts w:ascii="Times New Roman" w:hAnsi="Times New Roman"/>
                <w:color w:val="000000" w:themeColor="text1"/>
                <w:sz w:val="20"/>
                <w:szCs w:val="20"/>
                <w:lang w:eastAsia="ru-RU"/>
              </w:rPr>
              <w:t xml:space="preserve"> î</w:t>
            </w:r>
            <w:r w:rsidR="00227374" w:rsidRPr="009D0E2C">
              <w:rPr>
                <w:rFonts w:ascii="Times New Roman" w:hAnsi="Times New Roman"/>
                <w:color w:val="000000" w:themeColor="text1"/>
                <w:sz w:val="20"/>
                <w:szCs w:val="20"/>
                <w:lang w:val="en-US" w:eastAsia="ru-RU"/>
              </w:rPr>
              <w:t>n</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aplicare</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pentru</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atenuarea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schimb</w:t>
            </w:r>
            <w:proofErr w:type="spellEnd"/>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rilor</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climatice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sau</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pentru</w:t>
            </w:r>
            <w:proofErr w:type="spellEnd"/>
            <w:r w:rsidR="00227374" w:rsidRPr="009D0E2C">
              <w:rPr>
                <w:rFonts w:ascii="Times New Roman" w:hAnsi="Times New Roman"/>
                <w:color w:val="000000" w:themeColor="text1"/>
                <w:sz w:val="20"/>
                <w:szCs w:val="20"/>
                <w:lang w:eastAsia="ru-RU"/>
              </w:rPr>
              <w:t xml:space="preserve"> î</w:t>
            </w:r>
            <w:proofErr w:type="spellStart"/>
            <w:r w:rsidR="00227374" w:rsidRPr="009D0E2C">
              <w:rPr>
                <w:rFonts w:ascii="Times New Roman" w:hAnsi="Times New Roman"/>
                <w:color w:val="000000" w:themeColor="text1"/>
                <w:sz w:val="20"/>
                <w:szCs w:val="20"/>
                <w:lang w:val="en-US" w:eastAsia="ru-RU"/>
              </w:rPr>
              <w:t>ndeplinirea</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obiectivelor</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energetice</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precum</w:t>
            </w:r>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ale</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politicilor</w:t>
            </w:r>
            <w:proofErr w:type="spellEnd"/>
            <w:r w:rsidR="00227374" w:rsidRPr="009D0E2C">
              <w:rPr>
                <w:rFonts w:ascii="Times New Roman" w:hAnsi="Times New Roman"/>
                <w:color w:val="000000" w:themeColor="text1"/>
                <w:sz w:val="20"/>
                <w:szCs w:val="20"/>
                <w:lang w:eastAsia="ru-RU"/>
              </w:rPr>
              <w:t xml:space="preserve"> ș</w:t>
            </w:r>
            <w:proofErr w:type="spellStart"/>
            <w:r w:rsidR="00227374" w:rsidRPr="009D0E2C">
              <w:rPr>
                <w:rFonts w:ascii="Times New Roman" w:hAnsi="Times New Roman"/>
                <w:color w:val="000000" w:themeColor="text1"/>
                <w:sz w:val="20"/>
                <w:szCs w:val="20"/>
                <w:lang w:val="en-US" w:eastAsia="ru-RU"/>
              </w:rPr>
              <w:t>i</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m</w:t>
            </w:r>
            <w:r w:rsidR="00227374" w:rsidRPr="009D0E2C">
              <w:rPr>
                <w:rFonts w:ascii="Times New Roman" w:hAnsi="Times New Roman"/>
                <w:color w:val="000000" w:themeColor="text1"/>
                <w:sz w:val="20"/>
                <w:szCs w:val="20"/>
                <w:lang w:eastAsia="ru-RU"/>
              </w:rPr>
              <w:t>ă</w:t>
            </w:r>
            <w:proofErr w:type="spellStart"/>
            <w:r w:rsidR="00227374" w:rsidRPr="009D0E2C">
              <w:rPr>
                <w:rFonts w:ascii="Times New Roman" w:hAnsi="Times New Roman"/>
                <w:color w:val="000000" w:themeColor="text1"/>
                <w:sz w:val="20"/>
                <w:szCs w:val="20"/>
                <w:lang w:val="en-US" w:eastAsia="ru-RU"/>
              </w:rPr>
              <w:t>surilor</w:t>
            </w:r>
            <w:proofErr w:type="spellEnd"/>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planificate</w:t>
            </w:r>
            <w:proofErr w:type="spellEnd"/>
            <w:r w:rsidR="00227374" w:rsidRPr="009D0E2C">
              <w:rPr>
                <w:rFonts w:ascii="Times New Roman" w:hAnsi="Times New Roman"/>
                <w:color w:val="000000" w:themeColor="text1"/>
                <w:sz w:val="20"/>
                <w:szCs w:val="20"/>
                <w:lang w:eastAsia="ru-RU"/>
              </w:rPr>
              <w:t xml:space="preserve"> î</w:t>
            </w:r>
            <w:r w:rsidR="00227374" w:rsidRPr="009D0E2C">
              <w:rPr>
                <w:rFonts w:ascii="Times New Roman" w:hAnsi="Times New Roman"/>
                <w:color w:val="000000" w:themeColor="text1"/>
                <w:sz w:val="20"/>
                <w:szCs w:val="20"/>
                <w:lang w:val="en-US" w:eastAsia="ru-RU"/>
              </w:rPr>
              <w:t>n</w:t>
            </w:r>
            <w:r w:rsidR="00227374" w:rsidRPr="009D0E2C">
              <w:rPr>
                <w:rFonts w:ascii="Times New Roman" w:hAnsi="Times New Roman"/>
                <w:color w:val="000000" w:themeColor="text1"/>
                <w:sz w:val="20"/>
                <w:szCs w:val="20"/>
                <w:lang w:eastAsia="ru-RU"/>
              </w:rPr>
              <w:t xml:space="preserve"> </w:t>
            </w:r>
            <w:proofErr w:type="spellStart"/>
            <w:r w:rsidR="00227374" w:rsidRPr="009D0E2C">
              <w:rPr>
                <w:rFonts w:ascii="Times New Roman" w:hAnsi="Times New Roman"/>
                <w:color w:val="000000" w:themeColor="text1"/>
                <w:sz w:val="20"/>
                <w:szCs w:val="20"/>
                <w:lang w:val="en-US" w:eastAsia="ru-RU"/>
              </w:rPr>
              <w:t>acest</w:t>
            </w:r>
            <w:proofErr w:type="spellEnd"/>
            <w:r w:rsidR="00227374" w:rsidRPr="009D0E2C">
              <w:rPr>
                <w:rFonts w:ascii="Times New Roman" w:hAnsi="Times New Roman"/>
                <w:color w:val="000000" w:themeColor="text1"/>
                <w:sz w:val="20"/>
                <w:szCs w:val="20"/>
                <w:lang w:eastAsia="ru-RU"/>
              </w:rPr>
              <w:t xml:space="preserve"> </w:t>
            </w:r>
            <w:r w:rsidR="00227374" w:rsidRPr="009D0E2C">
              <w:rPr>
                <w:rFonts w:ascii="Times New Roman" w:hAnsi="Times New Roman"/>
                <w:color w:val="000000" w:themeColor="text1"/>
                <w:sz w:val="20"/>
                <w:szCs w:val="20"/>
                <w:lang w:val="en-US" w:eastAsia="ru-RU"/>
              </w:rPr>
              <w:t>scop</w:t>
            </w:r>
            <w:r w:rsidR="00227374" w:rsidRPr="009D0E2C">
              <w:rPr>
                <w:rFonts w:ascii="Times New Roman" w:hAnsi="Times New Roman"/>
                <w:color w:val="000000" w:themeColor="text1"/>
                <w:sz w:val="20"/>
                <w:szCs w:val="20"/>
                <w:lang w:eastAsia="ru-RU"/>
              </w:rPr>
              <w:t>;</w:t>
            </w:r>
          </w:p>
        </w:tc>
        <w:tc>
          <w:tcPr>
            <w:tcW w:w="4541" w:type="dxa"/>
            <w:shd w:val="clear" w:color="auto" w:fill="auto"/>
          </w:tcPr>
          <w:p w14:paraId="6D7D99B5" w14:textId="360F74FC" w:rsidR="002B5FF3" w:rsidRPr="000021EC" w:rsidRDefault="002B5FF3" w:rsidP="000021EC">
            <w:pPr>
              <w:pStyle w:val="af3"/>
              <w:shd w:val="clear" w:color="auto" w:fill="FFFFFF"/>
              <w:tabs>
                <w:tab w:val="left" w:pos="993"/>
              </w:tabs>
              <w:adjustRightInd w:val="0"/>
              <w:ind w:left="0"/>
              <w:jc w:val="both"/>
              <w:textAlignment w:val="top"/>
              <w:rPr>
                <w:rFonts w:ascii="Times New Roman" w:hAnsi="Times New Roman"/>
                <w:sz w:val="20"/>
                <w:szCs w:val="20"/>
                <w:lang w:val="pt-PT"/>
              </w:rPr>
            </w:pPr>
          </w:p>
        </w:tc>
        <w:tc>
          <w:tcPr>
            <w:tcW w:w="1276" w:type="dxa"/>
            <w:shd w:val="clear" w:color="auto" w:fill="auto"/>
          </w:tcPr>
          <w:p w14:paraId="067EB509" w14:textId="3C639942" w:rsidR="00B06269" w:rsidRPr="00C951E7" w:rsidRDefault="00280E24" w:rsidP="00B92F65">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B92F65" w:rsidRPr="00C951E7">
              <w:rPr>
                <w:rFonts w:ascii="Times New Roman" w:hAnsi="Times New Roman"/>
                <w:bCs/>
                <w:color w:val="000000" w:themeColor="text1"/>
                <w:sz w:val="20"/>
                <w:szCs w:val="20"/>
                <w:lang w:val="ro-RO"/>
              </w:rPr>
              <w:t>ompatibil</w:t>
            </w:r>
          </w:p>
        </w:tc>
        <w:tc>
          <w:tcPr>
            <w:tcW w:w="1275" w:type="dxa"/>
            <w:shd w:val="clear" w:color="auto" w:fill="auto"/>
          </w:tcPr>
          <w:p w14:paraId="45F3CC8C" w14:textId="77777777" w:rsidR="00B06269" w:rsidRPr="00C951E7" w:rsidRDefault="00B06269"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4FAEC21" w14:textId="0E9CF27E" w:rsidR="00B06269" w:rsidRPr="004E4CC3" w:rsidRDefault="004E4CC3" w:rsidP="00B92F65">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Pr="00D70655">
              <w:rPr>
                <w:rFonts w:ascii="Times New Roman" w:hAnsi="Times New Roman"/>
                <w:sz w:val="20"/>
                <w:szCs w:val="20"/>
                <w:lang w:val="ro-RO" w:eastAsia="ru-RU"/>
              </w:rPr>
              <w:t xml:space="preserve">„prognoze </w:t>
            </w:r>
            <w:r>
              <w:rPr>
                <w:rFonts w:ascii="Times New Roman" w:hAnsi="Times New Roman"/>
                <w:sz w:val="20"/>
                <w:szCs w:val="20"/>
                <w:lang w:val="ro-RO" w:eastAsia="ru-RU"/>
              </w:rPr>
              <w:t>cu</w:t>
            </w:r>
            <w:r w:rsidRPr="00D70655">
              <w:rPr>
                <w:rFonts w:ascii="Times New Roman" w:hAnsi="Times New Roman"/>
                <w:sz w:val="20"/>
                <w:szCs w:val="20"/>
                <w:lang w:val="ro-RO" w:eastAsia="ru-RU"/>
              </w:rPr>
              <w:t xml:space="preserve"> măsuri</w:t>
            </w:r>
            <w:r w:rsidR="00F57FF6" w:rsidRPr="002A0884">
              <w:rPr>
                <w:rFonts w:ascii="Times New Roman" w:eastAsia="Times New Roman" w:hAnsi="Times New Roman"/>
                <w:i/>
                <w:sz w:val="20"/>
                <w:szCs w:val="20"/>
                <w:lang w:val="ro-MD" w:eastAsia="ro-RO" w:bidi="or-IN"/>
              </w:rPr>
              <w:t xml:space="preserve"> </w:t>
            </w:r>
            <w:r w:rsidR="00F57FF6" w:rsidRPr="00F57FF6">
              <w:rPr>
                <w:rFonts w:ascii="Times New Roman" w:eastAsia="Times New Roman" w:hAnsi="Times New Roman"/>
                <w:iCs/>
                <w:sz w:val="20"/>
                <w:szCs w:val="20"/>
                <w:lang w:val="ro-MD" w:eastAsia="ro-RO" w:bidi="or-IN"/>
              </w:rPr>
              <w:t>adiționale</w:t>
            </w:r>
            <w:r w:rsidRPr="00F57FF6">
              <w:rPr>
                <w:rFonts w:ascii="Times New Roman" w:hAnsi="Times New Roman"/>
                <w:iCs/>
                <w:sz w:val="20"/>
                <w:szCs w:val="20"/>
                <w:lang w:val="ro-RO" w:eastAsia="ru-RU"/>
              </w:rPr>
              <w:t>”</w:t>
            </w:r>
            <w:r w:rsidRPr="00D70655">
              <w:rPr>
                <w:rFonts w:ascii="Times New Roman" w:hAnsi="Times New Roman"/>
                <w:sz w:val="20"/>
                <w:szCs w:val="20"/>
                <w:lang w:val="ro-RO" w:eastAsia="ru-RU"/>
              </w:rPr>
              <w:t xml:space="preserve"> </w:t>
            </w:r>
            <w:r>
              <w:rPr>
                <w:rFonts w:ascii="Times New Roman" w:eastAsia="Times New Roman" w:hAnsi="Times New Roman"/>
                <w:sz w:val="20"/>
                <w:szCs w:val="20"/>
                <w:lang w:val="ro-RO"/>
              </w:rPr>
              <w:t xml:space="preserve">este </w:t>
            </w:r>
            <w:r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Pr="00D70655">
              <w:rPr>
                <w:rFonts w:ascii="Times New Roman" w:eastAsia="Times New Roman" w:hAnsi="Times New Roman"/>
                <w:sz w:val="20"/>
                <w:szCs w:val="20"/>
                <w:lang w:val="ro-RO"/>
              </w:rPr>
              <w:t xml:space="preserve"> în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 xml:space="preserve">1277/2018 </w:t>
            </w:r>
          </w:p>
        </w:tc>
        <w:tc>
          <w:tcPr>
            <w:tcW w:w="1464" w:type="dxa"/>
            <w:shd w:val="clear" w:color="auto" w:fill="auto"/>
          </w:tcPr>
          <w:p w14:paraId="63FD615C" w14:textId="77777777" w:rsidR="004E4CC3" w:rsidRPr="003F755D" w:rsidRDefault="004E4CC3" w:rsidP="004E4CC3">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A8CE3A3" w14:textId="77777777" w:rsidR="004E4CC3" w:rsidRDefault="004E4CC3" w:rsidP="004E4CC3">
            <w:pPr>
              <w:autoSpaceDE w:val="0"/>
              <w:spacing w:after="0" w:line="240" w:lineRule="auto"/>
              <w:rPr>
                <w:rFonts w:ascii="Times New Roman" w:hAnsi="Times New Roman"/>
                <w:sz w:val="20"/>
                <w:szCs w:val="20"/>
                <w:lang w:val="ro-RO"/>
              </w:rPr>
            </w:pPr>
          </w:p>
          <w:p w14:paraId="5A059631" w14:textId="77777777" w:rsidR="004E4CC3" w:rsidRPr="00C951E7" w:rsidRDefault="004E4CC3" w:rsidP="004E4CC3">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 de Mediu</w:t>
            </w:r>
          </w:p>
          <w:p w14:paraId="3BB0381D" w14:textId="77777777" w:rsidR="002A0884" w:rsidRPr="003F755D" w:rsidRDefault="002A0884" w:rsidP="00B92F65">
            <w:pPr>
              <w:autoSpaceDE w:val="0"/>
              <w:spacing w:after="0" w:line="240" w:lineRule="auto"/>
              <w:rPr>
                <w:rFonts w:ascii="Times New Roman" w:hAnsi="Times New Roman"/>
                <w:sz w:val="20"/>
                <w:szCs w:val="20"/>
                <w:shd w:val="clear" w:color="auto" w:fill="FFFFFF"/>
                <w:lang w:val="ro-RO"/>
              </w:rPr>
            </w:pPr>
          </w:p>
          <w:p w14:paraId="19417C97" w14:textId="6BDB0D78" w:rsidR="00B06269" w:rsidRPr="00C951E7" w:rsidRDefault="00B06269" w:rsidP="008E5448">
            <w:pPr>
              <w:autoSpaceDE w:val="0"/>
              <w:spacing w:after="0" w:line="240" w:lineRule="auto"/>
              <w:rPr>
                <w:rFonts w:ascii="Times New Roman" w:eastAsia="Times New Roman" w:hAnsi="Times New Roman"/>
                <w:sz w:val="20"/>
                <w:szCs w:val="20"/>
                <w:lang w:val="ro-RO"/>
              </w:rPr>
            </w:pPr>
          </w:p>
        </w:tc>
      </w:tr>
      <w:tr w:rsidR="008268CC" w:rsidRPr="00280E24" w14:paraId="0DE9AC0C" w14:textId="77777777" w:rsidTr="009F5405">
        <w:trPr>
          <w:trHeight w:val="776"/>
        </w:trPr>
        <w:tc>
          <w:tcPr>
            <w:tcW w:w="4810" w:type="dxa"/>
            <w:shd w:val="clear" w:color="auto" w:fill="auto"/>
          </w:tcPr>
          <w:p w14:paraId="0D014660" w14:textId="57FEA4B5" w:rsidR="008268CC" w:rsidRPr="008268CC" w:rsidRDefault="00393B96" w:rsidP="00925A21">
            <w:pPr>
              <w:shd w:val="clear" w:color="auto" w:fill="FFFFFF"/>
              <w:spacing w:after="0" w:line="240" w:lineRule="auto"/>
              <w:jc w:val="both"/>
              <w:rPr>
                <w:rFonts w:ascii="Times New Roman" w:hAnsi="Times New Roman"/>
                <w:sz w:val="20"/>
                <w:szCs w:val="20"/>
                <w:shd w:val="clear" w:color="auto" w:fill="FFFFFF"/>
                <w:lang w:val="ro-RO"/>
              </w:rPr>
            </w:pPr>
            <w:r w:rsidRPr="009D0E2C">
              <w:rPr>
                <w:rFonts w:ascii="Times New Roman" w:eastAsia="Times New Roman" w:hAnsi="Times New Roman"/>
                <w:iCs/>
                <w:color w:val="000000" w:themeColor="text1"/>
                <w:sz w:val="20"/>
                <w:szCs w:val="20"/>
                <w:lang w:val="ro-MD" w:eastAsia="ro-MD"/>
              </w:rPr>
              <w:lastRenderedPageBreak/>
              <w:t xml:space="preserve">(11) </w:t>
            </w:r>
            <w:r w:rsidR="008268CC" w:rsidRPr="009D0E2C">
              <w:rPr>
                <w:rFonts w:ascii="Times New Roman" w:eastAsia="Times New Roman" w:hAnsi="Times New Roman"/>
                <w:i/>
                <w:iCs/>
                <w:color w:val="000000" w:themeColor="text1"/>
                <w:sz w:val="20"/>
                <w:szCs w:val="20"/>
                <w:lang w:val="ro-MD" w:eastAsia="ro-MD"/>
              </w:rPr>
              <w:t xml:space="preserve">obiectivele ale </w:t>
            </w:r>
            <w:r w:rsidR="008268CC" w:rsidRPr="009D0E2C">
              <w:rPr>
                <w:rFonts w:ascii="Times New Roman" w:hAnsi="Times New Roman"/>
                <w:i/>
                <w:iCs/>
                <w:color w:val="000000" w:themeColor="text1"/>
                <w:sz w:val="20"/>
                <w:szCs w:val="20"/>
                <w:shd w:val="clear" w:color="auto" w:fill="FFFFFF"/>
                <w:lang w:val="ro-RO"/>
              </w:rPr>
              <w:t>Comunității Energetice pentru 2030</w:t>
            </w:r>
            <w:r w:rsidR="008268CC" w:rsidRPr="009D0E2C">
              <w:rPr>
                <w:color w:val="000000" w:themeColor="text1"/>
                <w:sz w:val="20"/>
                <w:szCs w:val="20"/>
                <w:lang w:val="ro-RO"/>
              </w:rPr>
              <w:t xml:space="preserve"> </w:t>
            </w:r>
            <w:r w:rsidR="008268CC" w:rsidRPr="009D0E2C">
              <w:rPr>
                <w:rFonts w:ascii="Times New Roman" w:hAnsi="Times New Roman"/>
                <w:color w:val="000000" w:themeColor="text1"/>
                <w:sz w:val="20"/>
                <w:szCs w:val="20"/>
                <w:lang w:val="ro-RO"/>
              </w:rPr>
              <w:t>sau</w:t>
            </w:r>
            <w:r w:rsidR="008268CC" w:rsidRPr="009D0E2C">
              <w:rPr>
                <w:color w:val="000000" w:themeColor="text1"/>
                <w:sz w:val="20"/>
                <w:szCs w:val="20"/>
                <w:lang w:val="ro-RO"/>
              </w:rPr>
              <w:t xml:space="preserve"> </w:t>
            </w:r>
            <w:r w:rsidR="008268CC" w:rsidRPr="009D0E2C">
              <w:rPr>
                <w:rFonts w:ascii="Times New Roman" w:hAnsi="Times New Roman"/>
                <w:i/>
                <w:iCs/>
                <w:color w:val="000000" w:themeColor="text1"/>
                <w:sz w:val="20"/>
                <w:szCs w:val="20"/>
                <w:shd w:val="clear" w:color="auto" w:fill="FFFFFF"/>
                <w:lang w:val="ro-RO"/>
              </w:rPr>
              <w:t xml:space="preserve">obiectivele Comunității Energiei pentru 2030 pentru energie și climă - </w:t>
            </w:r>
            <w:r w:rsidR="008268CC" w:rsidRPr="009D0E2C">
              <w:rPr>
                <w:rFonts w:ascii="Times New Roman" w:hAnsi="Times New Roman"/>
                <w:color w:val="000000" w:themeColor="text1"/>
                <w:sz w:val="20"/>
                <w:szCs w:val="20"/>
                <w:shd w:val="clear" w:color="auto" w:fill="FFFFFF"/>
                <w:lang w:val="ro-RO"/>
              </w:rPr>
              <w:t xml:space="preserve">valoarea calculată pe baza obiectivelor adoptate pentru fiecare </w:t>
            </w:r>
            <w:r w:rsidR="008268CC" w:rsidRPr="009D0E2C">
              <w:rPr>
                <w:rFonts w:ascii="Times New Roman" w:hAnsi="Times New Roman"/>
                <w:color w:val="000000" w:themeColor="text1"/>
                <w:sz w:val="20"/>
                <w:szCs w:val="20"/>
                <w:shd w:val="clear" w:color="auto" w:fill="FFFFFF"/>
                <w:lang w:val="ro-MD"/>
              </w:rPr>
              <w:t xml:space="preserve">stat membru </w:t>
            </w:r>
            <w:r w:rsidR="008268CC" w:rsidRPr="009D0E2C">
              <w:rPr>
                <w:rFonts w:ascii="Times New Roman" w:hAnsi="Times New Roman"/>
                <w:color w:val="000000" w:themeColor="text1"/>
                <w:sz w:val="20"/>
                <w:szCs w:val="20"/>
                <w:shd w:val="clear" w:color="auto" w:fill="FFFFFF"/>
                <w:lang w:val="ro-RO"/>
              </w:rPr>
              <w:t xml:space="preserve">după cum urmează: un minim intern reducerea emisiilor de gaze cu efect de seră la nivelul întregii economii în comparație cu 1990 trebuie realizată până în 2030, o cotă minimă de energie regenerabilă consumată în Comunitatea Energiei în 2030, un obiectiv principal minim pentru îmbunătățirea eficienței energetice în 2030 și un procent minim al țintei de interconectare a energiei electrice pentru 2030 sau orice obiective ulterioare în termenii de să fie adoptat în acest sens de către Consiliul Ministerial pentru 2030 pe baza </w:t>
            </w:r>
            <w:r w:rsidR="008268CC" w:rsidRPr="009D0E2C">
              <w:rPr>
                <w:rStyle w:val="af7"/>
                <w:rFonts w:ascii="Times New Roman" w:hAnsi="Times New Roman"/>
                <w:color w:val="000000" w:themeColor="text1"/>
                <w:sz w:val="20"/>
                <w:szCs w:val="20"/>
                <w:shd w:val="clear" w:color="auto" w:fill="FFFFFF"/>
                <w:lang w:val="ro-MD"/>
              </w:rPr>
              <w:t xml:space="preserve">studiului sau cercetărilor </w:t>
            </w:r>
            <w:r w:rsidR="008268CC" w:rsidRPr="009D0E2C">
              <w:rPr>
                <w:rFonts w:ascii="Times New Roman" w:hAnsi="Times New Roman"/>
                <w:color w:val="000000" w:themeColor="text1"/>
                <w:sz w:val="20"/>
                <w:szCs w:val="20"/>
                <w:shd w:val="clear" w:color="auto" w:fill="FFFFFF"/>
                <w:lang w:val="ro-RO"/>
              </w:rPr>
              <w:t>efectuate în acest sens;</w:t>
            </w:r>
          </w:p>
        </w:tc>
        <w:tc>
          <w:tcPr>
            <w:tcW w:w="4541" w:type="dxa"/>
            <w:shd w:val="clear" w:color="auto" w:fill="auto"/>
          </w:tcPr>
          <w:p w14:paraId="04F577C4" w14:textId="253E137F" w:rsidR="008268CC" w:rsidRPr="00C951E7" w:rsidRDefault="008268CC" w:rsidP="000C5461">
            <w:pPr>
              <w:pStyle w:val="af3"/>
              <w:spacing w:after="0" w:line="240" w:lineRule="auto"/>
              <w:ind w:left="0" w:firstLine="426"/>
              <w:contextualSpacing w:val="0"/>
              <w:jc w:val="both"/>
              <w:rPr>
                <w:rFonts w:ascii="Times New Roman" w:hAnsi="Times New Roman"/>
                <w:sz w:val="20"/>
                <w:szCs w:val="20"/>
                <w:shd w:val="clear" w:color="auto" w:fill="FFFFFF"/>
                <w:lang w:val="ro-RO"/>
              </w:rPr>
            </w:pPr>
          </w:p>
        </w:tc>
        <w:tc>
          <w:tcPr>
            <w:tcW w:w="1276" w:type="dxa"/>
            <w:shd w:val="clear" w:color="auto" w:fill="auto"/>
          </w:tcPr>
          <w:p w14:paraId="58005818" w14:textId="4FC070DA" w:rsidR="008268CC" w:rsidRPr="00C951E7" w:rsidRDefault="00280E24" w:rsidP="00B92F65">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Pr="00C951E7">
              <w:rPr>
                <w:rFonts w:ascii="Times New Roman" w:hAnsi="Times New Roman"/>
                <w:bCs/>
                <w:color w:val="000000" w:themeColor="text1"/>
                <w:sz w:val="20"/>
                <w:szCs w:val="20"/>
                <w:lang w:val="ro-RO"/>
              </w:rPr>
              <w:t>ompatibil</w:t>
            </w:r>
          </w:p>
        </w:tc>
        <w:tc>
          <w:tcPr>
            <w:tcW w:w="1275" w:type="dxa"/>
            <w:shd w:val="clear" w:color="auto" w:fill="auto"/>
          </w:tcPr>
          <w:p w14:paraId="20406BE9"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C9C210C" w14:textId="77777777" w:rsidR="008268CC" w:rsidRDefault="00280E24" w:rsidP="00280E24">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Noțiunea a fost inclusă în conformitatea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0C5461">
              <w:rPr>
                <w:rFonts w:ascii="Times New Roman" w:eastAsia="Times New Roman" w:hAnsi="Times New Roman"/>
                <w:sz w:val="20"/>
                <w:szCs w:val="20"/>
                <w:lang w:val="ro-RO"/>
              </w:rPr>
              <w:t xml:space="preserve"> </w:t>
            </w:r>
            <w:r w:rsidR="000C5461" w:rsidRPr="00F13819">
              <w:rPr>
                <w:rFonts w:ascii="Times New Roman" w:eastAsia="Times New Roman" w:hAnsi="Times New Roman"/>
                <w:sz w:val="20"/>
                <w:szCs w:val="20"/>
                <w:lang w:val="ro-RO"/>
              </w:rPr>
              <w:t xml:space="preserve"> D/202</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w:t>
            </w:r>
            <w:r w:rsidR="000C5461">
              <w:rPr>
                <w:rFonts w:ascii="Times New Roman" w:eastAsia="Times New Roman" w:hAnsi="Times New Roman"/>
                <w:sz w:val="20"/>
                <w:szCs w:val="20"/>
                <w:lang w:val="ro-RO"/>
              </w:rPr>
              <w:t>02</w:t>
            </w:r>
            <w:r w:rsidR="000C5461" w:rsidRPr="00F13819">
              <w:rPr>
                <w:rFonts w:ascii="Times New Roman" w:eastAsia="Times New Roman" w:hAnsi="Times New Roman"/>
                <w:sz w:val="20"/>
                <w:szCs w:val="20"/>
                <w:lang w:val="ro-RO"/>
              </w:rPr>
              <w:t>/MC-</w:t>
            </w:r>
            <w:proofErr w:type="spellStart"/>
            <w:r w:rsidR="000C5461" w:rsidRPr="00F13819">
              <w:rPr>
                <w:rFonts w:ascii="Times New Roman" w:eastAsia="Times New Roman" w:hAnsi="Times New Roman"/>
                <w:sz w:val="20"/>
                <w:szCs w:val="20"/>
                <w:lang w:val="ro-RO"/>
              </w:rPr>
              <w:t>EnC</w:t>
            </w:r>
            <w:proofErr w:type="spellEnd"/>
            <w:r w:rsidR="000C5461" w:rsidRPr="00F13819">
              <w:rPr>
                <w:rFonts w:ascii="Times New Roman" w:eastAsia="Times New Roman" w:hAnsi="Times New Roman"/>
                <w:sz w:val="20"/>
                <w:szCs w:val="20"/>
                <w:lang w:val="ro-RO"/>
              </w:rPr>
              <w:t xml:space="preserve"> din </w:t>
            </w:r>
            <w:r w:rsidR="000C5461">
              <w:rPr>
                <w:rFonts w:ascii="Times New Roman" w:eastAsia="Times New Roman" w:hAnsi="Times New Roman"/>
                <w:sz w:val="20"/>
                <w:szCs w:val="20"/>
                <w:lang w:val="ro-RO"/>
              </w:rPr>
              <w:t>15</w:t>
            </w:r>
            <w:r w:rsidR="000C5461" w:rsidRPr="00F13819">
              <w:rPr>
                <w:rFonts w:ascii="Times New Roman" w:eastAsia="Times New Roman" w:hAnsi="Times New Roman"/>
                <w:sz w:val="20"/>
                <w:szCs w:val="20"/>
                <w:lang w:val="ro-RO"/>
              </w:rPr>
              <w:t>.1</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.202</w:t>
            </w:r>
            <w:r w:rsidR="000C5461">
              <w:rPr>
                <w:rFonts w:ascii="Times New Roman" w:eastAsia="Times New Roman" w:hAnsi="Times New Roman"/>
                <w:sz w:val="20"/>
                <w:szCs w:val="20"/>
                <w:lang w:val="ro-RO"/>
              </w:rPr>
              <w:t>2</w:t>
            </w:r>
            <w:r w:rsidR="000C5461">
              <w:rPr>
                <w:rFonts w:ascii="Times New Roman" w:hAnsi="Times New Roman"/>
                <w:sz w:val="20"/>
                <w:szCs w:val="20"/>
                <w:shd w:val="clear" w:color="auto" w:fill="FFFFFF"/>
                <w:lang w:val="ro-RO"/>
              </w:rPr>
              <w:t>.</w:t>
            </w:r>
          </w:p>
          <w:p w14:paraId="62787F4B" w14:textId="579F11AE" w:rsidR="001102BE" w:rsidRPr="008268CC" w:rsidRDefault="001102BE" w:rsidP="00280E24">
            <w:pPr>
              <w:autoSpaceDE w:val="0"/>
              <w:spacing w:after="0" w:line="240" w:lineRule="auto"/>
              <w:rPr>
                <w:rFonts w:ascii="Times New Roman" w:hAnsi="Times New Roman"/>
                <w:sz w:val="20"/>
                <w:szCs w:val="20"/>
                <w:lang w:val="ro-RO"/>
              </w:rPr>
            </w:pPr>
            <w:r>
              <w:rPr>
                <w:rFonts w:ascii="Times New Roman" w:eastAsia="Times New Roman" w:hAnsi="Times New Roman"/>
                <w:sz w:val="20"/>
                <w:szCs w:val="20"/>
                <w:lang w:val="ro-RO" w:eastAsia="ru-RU"/>
              </w:rPr>
              <w:t xml:space="preserve">Noțiunea </w:t>
            </w:r>
            <w:r w:rsidRPr="00017B96">
              <w:rPr>
                <w:rFonts w:ascii="Times New Roman" w:hAnsi="Times New Roman"/>
                <w:i/>
                <w:iCs/>
                <w:sz w:val="20"/>
                <w:szCs w:val="20"/>
                <w:lang w:val="ro-RO"/>
              </w:rPr>
              <w:t xml:space="preserve"> </w:t>
            </w:r>
            <w:r>
              <w:rPr>
                <w:rFonts w:ascii="Times New Roman" w:hAnsi="Times New Roman"/>
                <w:i/>
                <w:iCs/>
                <w:sz w:val="20"/>
                <w:szCs w:val="20"/>
                <w:lang w:val="ro-RO"/>
              </w:rPr>
              <w:t>„</w:t>
            </w:r>
            <w:r w:rsidRPr="000C5461">
              <w:rPr>
                <w:rFonts w:ascii="Times New Roman" w:hAnsi="Times New Roman"/>
                <w:i/>
                <w:iCs/>
                <w:sz w:val="20"/>
                <w:szCs w:val="20"/>
                <w:lang w:val="ro-RO"/>
              </w:rPr>
              <w:t xml:space="preserve"> </w:t>
            </w:r>
            <w:r w:rsidRPr="001102BE">
              <w:rPr>
                <w:rFonts w:ascii="Times New Roman" w:hAnsi="Times New Roman"/>
                <w:sz w:val="20"/>
                <w:szCs w:val="20"/>
                <w:lang w:val="ro-RO"/>
              </w:rPr>
              <w:t>obiectivele Comunității Energetice privind energia și clima pentru 2030”</w:t>
            </w:r>
            <w:r w:rsidRPr="00017B96">
              <w:rPr>
                <w:rFonts w:ascii="Times New Roman" w:hAnsi="Times New Roman"/>
                <w:b/>
                <w:bCs/>
                <w:i/>
                <w:iCs/>
                <w:sz w:val="20"/>
                <w:szCs w:val="20"/>
                <w:lang w:val="ro-RO"/>
              </w:rPr>
              <w:t xml:space="preserve"> </w:t>
            </w:r>
            <w:r>
              <w:rPr>
                <w:rFonts w:ascii="Times New Roman" w:eastAsia="Times New Roman" w:hAnsi="Times New Roman"/>
                <w:sz w:val="20"/>
                <w:szCs w:val="20"/>
                <w:lang w:val="ro-RO" w:eastAsia="ru-RU"/>
              </w:rPr>
              <w:t xml:space="preserve">este transpusă în Legea </w:t>
            </w:r>
            <w:r w:rsidRPr="000921E9">
              <w:rPr>
                <w:rFonts w:ascii="Times New Roman" w:eastAsia="Times New Roman" w:hAnsi="Times New Roman"/>
                <w:bCs/>
                <w:sz w:val="20"/>
                <w:szCs w:val="20"/>
                <w:lang w:val="ro-MD"/>
              </w:rPr>
              <w:t xml:space="preserve"> nr.174/2017 cu privire la energetică</w:t>
            </w:r>
          </w:p>
        </w:tc>
        <w:tc>
          <w:tcPr>
            <w:tcW w:w="1464" w:type="dxa"/>
            <w:shd w:val="clear" w:color="auto" w:fill="auto"/>
          </w:tcPr>
          <w:p w14:paraId="6A20DD77" w14:textId="494FB936" w:rsidR="00631509" w:rsidRPr="003F755D" w:rsidRDefault="00631509" w:rsidP="0063150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43B83C2F" w14:textId="77777777" w:rsidR="008268CC" w:rsidRPr="008268CC" w:rsidRDefault="008268CC" w:rsidP="00631509">
            <w:pPr>
              <w:autoSpaceDE w:val="0"/>
              <w:spacing w:after="0" w:line="240" w:lineRule="auto"/>
              <w:rPr>
                <w:rFonts w:ascii="Times New Roman" w:hAnsi="Times New Roman"/>
                <w:sz w:val="20"/>
                <w:szCs w:val="20"/>
                <w:lang w:val="fr-FR"/>
              </w:rPr>
            </w:pPr>
          </w:p>
        </w:tc>
      </w:tr>
      <w:tr w:rsidR="008268CC" w:rsidRPr="00280E24" w14:paraId="3266A800" w14:textId="77777777" w:rsidTr="009F5405">
        <w:trPr>
          <w:trHeight w:val="776"/>
        </w:trPr>
        <w:tc>
          <w:tcPr>
            <w:tcW w:w="4810" w:type="dxa"/>
            <w:shd w:val="clear" w:color="auto" w:fill="auto"/>
          </w:tcPr>
          <w:p w14:paraId="5DB2F66C" w14:textId="3A1A30F7" w:rsidR="008268CC" w:rsidRPr="00CB126B" w:rsidRDefault="00393B96" w:rsidP="00CB126B">
            <w:pPr>
              <w:shd w:val="clear" w:color="auto" w:fill="FFFFFF"/>
              <w:spacing w:after="0" w:line="240" w:lineRule="auto"/>
              <w:jc w:val="both"/>
              <w:rPr>
                <w:rFonts w:ascii="Times New Roman" w:hAnsi="Times New Roman"/>
                <w:sz w:val="20"/>
                <w:szCs w:val="20"/>
                <w:shd w:val="clear" w:color="auto" w:fill="FFFFFF"/>
                <w:lang w:val="ro-RO"/>
              </w:rPr>
            </w:pPr>
            <w:r w:rsidRPr="009D0E2C">
              <w:rPr>
                <w:rFonts w:ascii="Times New Roman" w:hAnsi="Times New Roman"/>
                <w:iCs/>
                <w:color w:val="000000" w:themeColor="text1"/>
                <w:sz w:val="20"/>
                <w:szCs w:val="20"/>
                <w:shd w:val="clear" w:color="auto" w:fill="FFFFFF"/>
                <w:lang w:val="ro-RO"/>
              </w:rPr>
              <w:t>(11bis)</w:t>
            </w:r>
            <w:r w:rsidRPr="009D0E2C">
              <w:rPr>
                <w:rFonts w:ascii="Times New Roman" w:hAnsi="Times New Roman"/>
                <w:i/>
                <w:iCs/>
                <w:color w:val="000000" w:themeColor="text1"/>
                <w:sz w:val="20"/>
                <w:szCs w:val="20"/>
                <w:shd w:val="clear" w:color="auto" w:fill="FFFFFF"/>
                <w:lang w:val="ro-RO"/>
              </w:rPr>
              <w:t xml:space="preserve"> </w:t>
            </w:r>
            <w:r w:rsidR="00CB126B" w:rsidRPr="009D0E2C">
              <w:rPr>
                <w:rFonts w:ascii="Times New Roman" w:hAnsi="Times New Roman"/>
                <w:i/>
                <w:iCs/>
                <w:color w:val="000000" w:themeColor="text1"/>
                <w:sz w:val="20"/>
                <w:szCs w:val="20"/>
                <w:shd w:val="clear" w:color="auto" w:fill="FFFFFF"/>
                <w:lang w:val="ro-RO"/>
              </w:rPr>
              <w:t>obiectivul Comunității Energetice pentru 2030 privind eficiența energetică</w:t>
            </w:r>
            <w:r w:rsidR="00CB126B" w:rsidRPr="009D0E2C">
              <w:rPr>
                <w:rFonts w:ascii="Times New Roman" w:hAnsi="Times New Roman"/>
                <w:color w:val="000000" w:themeColor="text1"/>
                <w:sz w:val="20"/>
                <w:szCs w:val="20"/>
                <w:shd w:val="clear" w:color="auto" w:fill="FFFFFF"/>
                <w:lang w:val="ro-RO"/>
              </w:rPr>
              <w:t xml:space="preserve"> - obiectivul de reducere a consumului de energie primară și/sau finală al statelor membre pentru 2030, în condițiile care urmează să fie adoptate de Consiliul Ministerial, după caz, pe baza studiului sau cercetărilor efectuate în acest sens;</w:t>
            </w:r>
          </w:p>
        </w:tc>
        <w:tc>
          <w:tcPr>
            <w:tcW w:w="4541" w:type="dxa"/>
            <w:shd w:val="clear" w:color="auto" w:fill="auto"/>
          </w:tcPr>
          <w:p w14:paraId="35A46D12" w14:textId="2AECF07A" w:rsidR="008268CC" w:rsidRPr="000C5461" w:rsidRDefault="008268CC" w:rsidP="000C5461">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7FF90B39" w14:textId="2604B78D" w:rsidR="008268CC" w:rsidRPr="008268CC" w:rsidRDefault="00280E24" w:rsidP="00B92F65">
            <w:pPr>
              <w:spacing w:after="0" w:line="240" w:lineRule="auto"/>
              <w:rPr>
                <w:rFonts w:ascii="Times New Roman" w:hAnsi="Times New Roman"/>
                <w:bCs/>
                <w:color w:val="FF0000"/>
                <w:sz w:val="20"/>
                <w:szCs w:val="20"/>
                <w:lang w:val="ro-RO"/>
              </w:rPr>
            </w:pPr>
            <w:r>
              <w:rPr>
                <w:rFonts w:ascii="Times New Roman" w:hAnsi="Times New Roman"/>
                <w:bCs/>
                <w:color w:val="000000" w:themeColor="text1"/>
                <w:sz w:val="20"/>
                <w:szCs w:val="20"/>
                <w:lang w:val="ro-RO"/>
              </w:rPr>
              <w:t>C</w:t>
            </w:r>
            <w:r w:rsidRPr="00C951E7">
              <w:rPr>
                <w:rFonts w:ascii="Times New Roman" w:hAnsi="Times New Roman"/>
                <w:bCs/>
                <w:color w:val="000000" w:themeColor="text1"/>
                <w:sz w:val="20"/>
                <w:szCs w:val="20"/>
                <w:lang w:val="ro-RO"/>
              </w:rPr>
              <w:t>ompatibil</w:t>
            </w:r>
          </w:p>
        </w:tc>
        <w:tc>
          <w:tcPr>
            <w:tcW w:w="1275" w:type="dxa"/>
            <w:shd w:val="clear" w:color="auto" w:fill="auto"/>
          </w:tcPr>
          <w:p w14:paraId="1030990C" w14:textId="77777777" w:rsidR="008268CC" w:rsidRPr="00C951E7" w:rsidRDefault="008268CC"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E5F2733" w14:textId="77777777" w:rsidR="008268CC" w:rsidRDefault="00280E24" w:rsidP="000C5461">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Noțiunea a fost inclusă în conformitatea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0C5461">
              <w:rPr>
                <w:rFonts w:ascii="Times New Roman" w:eastAsia="Times New Roman" w:hAnsi="Times New Roman"/>
                <w:sz w:val="20"/>
                <w:szCs w:val="20"/>
                <w:lang w:val="ro-RO"/>
              </w:rPr>
              <w:t xml:space="preserve"> și </w:t>
            </w:r>
            <w:r w:rsidR="000C5461" w:rsidRPr="00F13819">
              <w:rPr>
                <w:rFonts w:ascii="Times New Roman" w:eastAsia="Times New Roman" w:hAnsi="Times New Roman"/>
                <w:sz w:val="20"/>
                <w:szCs w:val="20"/>
                <w:lang w:val="ro-RO"/>
              </w:rPr>
              <w:t xml:space="preserve"> D/202</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w:t>
            </w:r>
            <w:r w:rsidR="000C5461">
              <w:rPr>
                <w:rFonts w:ascii="Times New Roman" w:eastAsia="Times New Roman" w:hAnsi="Times New Roman"/>
                <w:sz w:val="20"/>
                <w:szCs w:val="20"/>
                <w:lang w:val="ro-RO"/>
              </w:rPr>
              <w:t>02</w:t>
            </w:r>
            <w:r w:rsidR="000C5461" w:rsidRPr="00F13819">
              <w:rPr>
                <w:rFonts w:ascii="Times New Roman" w:eastAsia="Times New Roman" w:hAnsi="Times New Roman"/>
                <w:sz w:val="20"/>
                <w:szCs w:val="20"/>
                <w:lang w:val="ro-RO"/>
              </w:rPr>
              <w:t>/MC-</w:t>
            </w:r>
            <w:proofErr w:type="spellStart"/>
            <w:r w:rsidR="000C5461" w:rsidRPr="00F13819">
              <w:rPr>
                <w:rFonts w:ascii="Times New Roman" w:eastAsia="Times New Roman" w:hAnsi="Times New Roman"/>
                <w:sz w:val="20"/>
                <w:szCs w:val="20"/>
                <w:lang w:val="ro-RO"/>
              </w:rPr>
              <w:t>EnC</w:t>
            </w:r>
            <w:proofErr w:type="spellEnd"/>
            <w:r w:rsidR="000C5461" w:rsidRPr="00F13819">
              <w:rPr>
                <w:rFonts w:ascii="Times New Roman" w:eastAsia="Times New Roman" w:hAnsi="Times New Roman"/>
                <w:sz w:val="20"/>
                <w:szCs w:val="20"/>
                <w:lang w:val="ro-RO"/>
              </w:rPr>
              <w:t xml:space="preserve"> din </w:t>
            </w:r>
            <w:r w:rsidR="000C5461">
              <w:rPr>
                <w:rFonts w:ascii="Times New Roman" w:eastAsia="Times New Roman" w:hAnsi="Times New Roman"/>
                <w:sz w:val="20"/>
                <w:szCs w:val="20"/>
                <w:lang w:val="ro-RO"/>
              </w:rPr>
              <w:t>15</w:t>
            </w:r>
            <w:r w:rsidR="000C5461" w:rsidRPr="00F13819">
              <w:rPr>
                <w:rFonts w:ascii="Times New Roman" w:eastAsia="Times New Roman" w:hAnsi="Times New Roman"/>
                <w:sz w:val="20"/>
                <w:szCs w:val="20"/>
                <w:lang w:val="ro-RO"/>
              </w:rPr>
              <w:t>.1</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.202</w:t>
            </w:r>
            <w:r w:rsidR="000C5461">
              <w:rPr>
                <w:rFonts w:ascii="Times New Roman" w:eastAsia="Times New Roman" w:hAnsi="Times New Roman"/>
                <w:sz w:val="20"/>
                <w:szCs w:val="20"/>
                <w:lang w:val="ro-RO"/>
              </w:rPr>
              <w:t>2</w:t>
            </w:r>
            <w:r w:rsidR="000C5461">
              <w:rPr>
                <w:rFonts w:ascii="Times New Roman" w:hAnsi="Times New Roman"/>
                <w:sz w:val="20"/>
                <w:szCs w:val="20"/>
                <w:shd w:val="clear" w:color="auto" w:fill="FFFFFF"/>
                <w:lang w:val="ro-RO"/>
              </w:rPr>
              <w:t>.</w:t>
            </w:r>
          </w:p>
          <w:p w14:paraId="336C2745" w14:textId="744234B5" w:rsidR="007E64AF" w:rsidRPr="00CB126B" w:rsidRDefault="007E64AF" w:rsidP="000C5461">
            <w:pPr>
              <w:autoSpaceDE w:val="0"/>
              <w:spacing w:after="0" w:line="240" w:lineRule="auto"/>
              <w:rPr>
                <w:rFonts w:ascii="Times New Roman" w:hAnsi="Times New Roman"/>
                <w:sz w:val="20"/>
                <w:szCs w:val="20"/>
                <w:shd w:val="clear" w:color="auto" w:fill="FFFFFF"/>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7E64AF">
              <w:rPr>
                <w:rFonts w:ascii="Times New Roman" w:hAnsi="Times New Roman"/>
                <w:i/>
                <w:iCs/>
                <w:color w:val="000000" w:themeColor="text1"/>
                <w:sz w:val="20"/>
                <w:szCs w:val="20"/>
                <w:shd w:val="clear" w:color="auto" w:fill="FFFFFF"/>
                <w:lang w:val="ro-RO"/>
              </w:rPr>
              <w:t xml:space="preserve"> </w:t>
            </w:r>
            <w:r w:rsidRPr="007E64AF">
              <w:rPr>
                <w:rFonts w:ascii="Times New Roman" w:hAnsi="Times New Roman"/>
                <w:color w:val="000000" w:themeColor="text1"/>
                <w:sz w:val="20"/>
                <w:szCs w:val="20"/>
                <w:shd w:val="clear" w:color="auto" w:fill="FFFFFF"/>
                <w:lang w:val="ro-RO"/>
              </w:rPr>
              <w:t>obiectivul Comunității Energetice pentru 2030 privind eficiența energetică</w:t>
            </w:r>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lastRenderedPageBreak/>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6E7E45F1" w14:textId="12812676" w:rsidR="00631509" w:rsidRPr="003F755D" w:rsidRDefault="00631509" w:rsidP="0063150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572B4799" w14:textId="77777777" w:rsidR="008268CC" w:rsidRPr="003F755D" w:rsidRDefault="008268CC" w:rsidP="00631509">
            <w:pPr>
              <w:autoSpaceDE w:val="0"/>
              <w:spacing w:after="0" w:line="240" w:lineRule="auto"/>
              <w:rPr>
                <w:rFonts w:ascii="Times New Roman" w:hAnsi="Times New Roman"/>
                <w:sz w:val="20"/>
                <w:szCs w:val="20"/>
                <w:lang w:val="fr-FR"/>
              </w:rPr>
            </w:pPr>
          </w:p>
        </w:tc>
      </w:tr>
      <w:tr w:rsidR="00CB126B" w:rsidRPr="008268CC" w14:paraId="6570F7C8" w14:textId="77777777" w:rsidTr="009F5405">
        <w:trPr>
          <w:trHeight w:val="776"/>
        </w:trPr>
        <w:tc>
          <w:tcPr>
            <w:tcW w:w="4810" w:type="dxa"/>
            <w:shd w:val="clear" w:color="auto" w:fill="auto"/>
          </w:tcPr>
          <w:p w14:paraId="1CB5FED8" w14:textId="3B15E336" w:rsidR="00CB126B" w:rsidRPr="00CB126B" w:rsidRDefault="00393B96" w:rsidP="00CB126B">
            <w:pPr>
              <w:shd w:val="clear" w:color="auto" w:fill="FFFFFF"/>
              <w:spacing w:after="0" w:line="240" w:lineRule="auto"/>
              <w:jc w:val="both"/>
              <w:rPr>
                <w:rFonts w:ascii="Times New Roman" w:hAnsi="Times New Roman"/>
                <w:sz w:val="20"/>
                <w:szCs w:val="20"/>
                <w:shd w:val="clear" w:color="auto" w:fill="FFFFFF"/>
                <w:lang w:val="ro-RO"/>
              </w:rPr>
            </w:pPr>
            <w:r w:rsidRPr="009D0E2C">
              <w:rPr>
                <w:rFonts w:ascii="Times New Roman" w:hAnsi="Times New Roman"/>
                <w:iCs/>
                <w:color w:val="000000" w:themeColor="text1"/>
                <w:sz w:val="20"/>
                <w:szCs w:val="20"/>
                <w:shd w:val="clear" w:color="auto" w:fill="FFFFFF"/>
                <w:lang w:val="ro-RO"/>
              </w:rPr>
              <w:t>(11cis)</w:t>
            </w:r>
            <w:r w:rsidRPr="009D0E2C">
              <w:rPr>
                <w:rFonts w:ascii="Times New Roman" w:hAnsi="Times New Roman"/>
                <w:i/>
                <w:iCs/>
                <w:color w:val="000000" w:themeColor="text1"/>
                <w:sz w:val="20"/>
                <w:szCs w:val="20"/>
                <w:shd w:val="clear" w:color="auto" w:fill="FFFFFF"/>
                <w:lang w:val="ro-RO"/>
              </w:rPr>
              <w:t xml:space="preserve"> </w:t>
            </w:r>
            <w:r w:rsidR="00CB126B" w:rsidRPr="009D0E2C">
              <w:rPr>
                <w:rFonts w:ascii="Times New Roman" w:hAnsi="Times New Roman"/>
                <w:i/>
                <w:iCs/>
                <w:color w:val="000000" w:themeColor="text1"/>
                <w:sz w:val="20"/>
                <w:szCs w:val="20"/>
                <w:shd w:val="clear" w:color="auto" w:fill="FFFFFF"/>
                <w:lang w:val="ro-RO"/>
              </w:rPr>
              <w:t xml:space="preserve">consumul de energie al Comunităţii Energetice - </w:t>
            </w:r>
            <w:r w:rsidR="00CB126B" w:rsidRPr="009D0E2C">
              <w:rPr>
                <w:rFonts w:ascii="Times New Roman" w:hAnsi="Times New Roman"/>
                <w:color w:val="000000" w:themeColor="text1"/>
                <w:sz w:val="20"/>
                <w:szCs w:val="20"/>
                <w:shd w:val="clear" w:color="auto" w:fill="FFFFFF"/>
                <w:lang w:val="ro-RO"/>
              </w:rPr>
              <w:t xml:space="preserve">consumul de energie al statelor membre, în </w:t>
            </w:r>
            <w:proofErr w:type="spellStart"/>
            <w:r w:rsidR="00CB126B" w:rsidRPr="009D0E2C">
              <w:rPr>
                <w:rFonts w:ascii="Times New Roman" w:hAnsi="Times New Roman"/>
                <w:color w:val="000000" w:themeColor="text1"/>
                <w:sz w:val="20"/>
                <w:szCs w:val="20"/>
                <w:shd w:val="clear" w:color="auto" w:fill="FFFFFF"/>
                <w:lang w:val="ro-RO"/>
              </w:rPr>
              <w:t>condiţiile</w:t>
            </w:r>
            <w:proofErr w:type="spellEnd"/>
            <w:r w:rsidR="00CB126B" w:rsidRPr="009D0E2C">
              <w:rPr>
                <w:rFonts w:ascii="Times New Roman" w:hAnsi="Times New Roman"/>
                <w:color w:val="000000" w:themeColor="text1"/>
                <w:sz w:val="20"/>
                <w:szCs w:val="20"/>
                <w:shd w:val="clear" w:color="auto" w:fill="FFFFFF"/>
                <w:lang w:val="ro-RO"/>
              </w:rPr>
              <w:t xml:space="preserve"> care urmează să fie adoptate de Consiliul Ministerial, după caz, pe baza studiului (studiilor) realizat(e) în acest sens;</w:t>
            </w:r>
          </w:p>
        </w:tc>
        <w:tc>
          <w:tcPr>
            <w:tcW w:w="4541" w:type="dxa"/>
            <w:shd w:val="clear" w:color="auto" w:fill="auto"/>
          </w:tcPr>
          <w:p w14:paraId="0CFE5F5E" w14:textId="77777777" w:rsidR="00815B00" w:rsidRPr="00280E24" w:rsidRDefault="00815B00" w:rsidP="007E64AF">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159D43C9" w14:textId="7108E5CD" w:rsidR="00CB126B" w:rsidRPr="008268CC" w:rsidRDefault="00280E24" w:rsidP="00B92F65">
            <w:pPr>
              <w:spacing w:after="0" w:line="240" w:lineRule="auto"/>
              <w:rPr>
                <w:rFonts w:ascii="Times New Roman" w:hAnsi="Times New Roman"/>
                <w:bCs/>
                <w:color w:val="FF0000"/>
                <w:sz w:val="20"/>
                <w:szCs w:val="20"/>
                <w:lang w:val="ro-RO"/>
              </w:rPr>
            </w:pPr>
            <w:r w:rsidRPr="00815B00">
              <w:rPr>
                <w:rFonts w:ascii="Times New Roman" w:hAnsi="Times New Roman"/>
                <w:bCs/>
                <w:sz w:val="20"/>
                <w:szCs w:val="20"/>
                <w:lang w:val="ro-RO"/>
              </w:rPr>
              <w:t>Compatibil</w:t>
            </w:r>
          </w:p>
        </w:tc>
        <w:tc>
          <w:tcPr>
            <w:tcW w:w="1275" w:type="dxa"/>
            <w:shd w:val="clear" w:color="auto" w:fill="auto"/>
          </w:tcPr>
          <w:p w14:paraId="4D3E370F" w14:textId="77777777" w:rsidR="00CB126B" w:rsidRPr="00C951E7" w:rsidRDefault="00CB126B"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322DD89" w14:textId="77777777" w:rsidR="00CB126B" w:rsidRDefault="00CB126B" w:rsidP="00CB126B">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Noțiunea a fost inclusă în conformitatea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0C5461">
              <w:rPr>
                <w:rFonts w:ascii="Times New Roman" w:eastAsia="Times New Roman" w:hAnsi="Times New Roman"/>
                <w:sz w:val="20"/>
                <w:szCs w:val="20"/>
                <w:lang w:val="ro-RO"/>
              </w:rPr>
              <w:t xml:space="preserve">  și </w:t>
            </w:r>
            <w:r w:rsidR="000C5461" w:rsidRPr="00F13819">
              <w:rPr>
                <w:rFonts w:ascii="Times New Roman" w:eastAsia="Times New Roman" w:hAnsi="Times New Roman"/>
                <w:sz w:val="20"/>
                <w:szCs w:val="20"/>
                <w:lang w:val="ro-RO"/>
              </w:rPr>
              <w:t>D/202</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w:t>
            </w:r>
            <w:r w:rsidR="000C5461">
              <w:rPr>
                <w:rFonts w:ascii="Times New Roman" w:eastAsia="Times New Roman" w:hAnsi="Times New Roman"/>
                <w:sz w:val="20"/>
                <w:szCs w:val="20"/>
                <w:lang w:val="ro-RO"/>
              </w:rPr>
              <w:t>02</w:t>
            </w:r>
            <w:r w:rsidR="000C5461" w:rsidRPr="00F13819">
              <w:rPr>
                <w:rFonts w:ascii="Times New Roman" w:eastAsia="Times New Roman" w:hAnsi="Times New Roman"/>
                <w:sz w:val="20"/>
                <w:szCs w:val="20"/>
                <w:lang w:val="ro-RO"/>
              </w:rPr>
              <w:t>/MC-</w:t>
            </w:r>
            <w:proofErr w:type="spellStart"/>
            <w:r w:rsidR="000C5461" w:rsidRPr="00F13819">
              <w:rPr>
                <w:rFonts w:ascii="Times New Roman" w:eastAsia="Times New Roman" w:hAnsi="Times New Roman"/>
                <w:sz w:val="20"/>
                <w:szCs w:val="20"/>
                <w:lang w:val="ro-RO"/>
              </w:rPr>
              <w:t>EnC</w:t>
            </w:r>
            <w:proofErr w:type="spellEnd"/>
            <w:r w:rsidR="000C5461" w:rsidRPr="00F13819">
              <w:rPr>
                <w:rFonts w:ascii="Times New Roman" w:eastAsia="Times New Roman" w:hAnsi="Times New Roman"/>
                <w:sz w:val="20"/>
                <w:szCs w:val="20"/>
                <w:lang w:val="ro-RO"/>
              </w:rPr>
              <w:t xml:space="preserve"> din </w:t>
            </w:r>
            <w:r w:rsidR="000C5461">
              <w:rPr>
                <w:rFonts w:ascii="Times New Roman" w:eastAsia="Times New Roman" w:hAnsi="Times New Roman"/>
                <w:sz w:val="20"/>
                <w:szCs w:val="20"/>
                <w:lang w:val="ro-RO"/>
              </w:rPr>
              <w:t>15</w:t>
            </w:r>
            <w:r w:rsidR="000C5461" w:rsidRPr="00F13819">
              <w:rPr>
                <w:rFonts w:ascii="Times New Roman" w:eastAsia="Times New Roman" w:hAnsi="Times New Roman"/>
                <w:sz w:val="20"/>
                <w:szCs w:val="20"/>
                <w:lang w:val="ro-RO"/>
              </w:rPr>
              <w:t>.1</w:t>
            </w:r>
            <w:r w:rsidR="000C5461">
              <w:rPr>
                <w:rFonts w:ascii="Times New Roman" w:eastAsia="Times New Roman" w:hAnsi="Times New Roman"/>
                <w:sz w:val="20"/>
                <w:szCs w:val="20"/>
                <w:lang w:val="ro-RO"/>
              </w:rPr>
              <w:t>2</w:t>
            </w:r>
            <w:r w:rsidR="000C5461" w:rsidRPr="00F13819">
              <w:rPr>
                <w:rFonts w:ascii="Times New Roman" w:eastAsia="Times New Roman" w:hAnsi="Times New Roman"/>
                <w:sz w:val="20"/>
                <w:szCs w:val="20"/>
                <w:lang w:val="ro-RO"/>
              </w:rPr>
              <w:t>.202</w:t>
            </w:r>
            <w:r w:rsidR="000C5461">
              <w:rPr>
                <w:rFonts w:ascii="Times New Roman" w:eastAsia="Times New Roman" w:hAnsi="Times New Roman"/>
                <w:sz w:val="20"/>
                <w:szCs w:val="20"/>
                <w:lang w:val="ro-RO"/>
              </w:rPr>
              <w:t>2</w:t>
            </w:r>
            <w:r w:rsidR="000C5461">
              <w:rPr>
                <w:rFonts w:ascii="Times New Roman" w:hAnsi="Times New Roman"/>
                <w:sz w:val="20"/>
                <w:szCs w:val="20"/>
                <w:shd w:val="clear" w:color="auto" w:fill="FFFFFF"/>
                <w:lang w:val="ro-RO"/>
              </w:rPr>
              <w:t>.</w:t>
            </w:r>
          </w:p>
          <w:p w14:paraId="66D30766" w14:textId="18993907" w:rsidR="007E64AF" w:rsidRDefault="007E64AF" w:rsidP="00CB126B">
            <w:pPr>
              <w:autoSpaceDE w:val="0"/>
              <w:spacing w:after="0" w:line="240" w:lineRule="auto"/>
              <w:rPr>
                <w:rFonts w:ascii="Times New Roman" w:eastAsia="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7E64AF">
              <w:rPr>
                <w:rFonts w:ascii="Times New Roman" w:hAnsi="Times New Roman"/>
                <w:sz w:val="20"/>
                <w:szCs w:val="20"/>
                <w:shd w:val="clear" w:color="auto" w:fill="FFFFFF"/>
                <w:lang w:val="ro-RO"/>
              </w:rPr>
              <w:t xml:space="preserve">consumul de energie al </w:t>
            </w:r>
            <w:proofErr w:type="spellStart"/>
            <w:r w:rsidRPr="007E64AF">
              <w:rPr>
                <w:rFonts w:ascii="Times New Roman" w:hAnsi="Times New Roman"/>
                <w:sz w:val="20"/>
                <w:szCs w:val="20"/>
                <w:shd w:val="clear" w:color="auto" w:fill="FFFFFF"/>
                <w:lang w:val="ro-RO"/>
              </w:rPr>
              <w:t>Comunităţii</w:t>
            </w:r>
            <w:proofErr w:type="spellEnd"/>
            <w:r w:rsidRPr="007E64AF">
              <w:rPr>
                <w:rFonts w:ascii="Times New Roman" w:hAnsi="Times New Roman"/>
                <w:sz w:val="20"/>
                <w:szCs w:val="20"/>
                <w:shd w:val="clear" w:color="auto" w:fill="FFFFFF"/>
                <w:lang w:val="ro-RO"/>
              </w:rPr>
              <w:t xml:space="preserve"> Energetice</w:t>
            </w:r>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7D4E2EC0" w14:textId="492D6D73" w:rsidR="00631509" w:rsidRPr="003F755D" w:rsidRDefault="00631509" w:rsidP="0063150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48CFC2CC" w14:textId="77777777" w:rsidR="00CB126B" w:rsidRPr="003F755D" w:rsidRDefault="00CB126B" w:rsidP="00631509">
            <w:pPr>
              <w:autoSpaceDE w:val="0"/>
              <w:spacing w:after="0" w:line="240" w:lineRule="auto"/>
              <w:rPr>
                <w:rFonts w:ascii="Times New Roman" w:hAnsi="Times New Roman"/>
                <w:sz w:val="20"/>
                <w:szCs w:val="20"/>
                <w:lang w:val="fr-FR"/>
              </w:rPr>
            </w:pPr>
          </w:p>
        </w:tc>
      </w:tr>
      <w:tr w:rsidR="00471502" w:rsidRPr="007A5423" w14:paraId="33225D29" w14:textId="77777777" w:rsidTr="009F5405">
        <w:trPr>
          <w:trHeight w:val="699"/>
        </w:trPr>
        <w:tc>
          <w:tcPr>
            <w:tcW w:w="4810" w:type="dxa"/>
            <w:shd w:val="clear" w:color="auto" w:fill="auto"/>
          </w:tcPr>
          <w:p w14:paraId="0A7E7DFC" w14:textId="16D777A0" w:rsidR="00471502" w:rsidRPr="007A690D" w:rsidRDefault="00393B96" w:rsidP="00F25AE8">
            <w:pPr>
              <w:jc w:val="both"/>
              <w:rPr>
                <w:rFonts w:ascii="Times New Roman" w:hAnsi="Times New Roman"/>
                <w:sz w:val="20"/>
                <w:szCs w:val="20"/>
                <w:lang w:eastAsia="ru-RU"/>
              </w:rPr>
            </w:pPr>
            <w:r w:rsidRPr="009D0E2C">
              <w:rPr>
                <w:rFonts w:ascii="Times New Roman" w:hAnsi="Times New Roman"/>
                <w:color w:val="000000" w:themeColor="text1"/>
                <w:sz w:val="20"/>
                <w:szCs w:val="20"/>
                <w:lang w:eastAsia="ru-RU"/>
              </w:rPr>
              <w:t xml:space="preserve">(12) </w:t>
            </w:r>
            <w:r w:rsidR="00F25AE8" w:rsidRPr="009D0E2C">
              <w:rPr>
                <w:rFonts w:ascii="Times New Roman" w:hAnsi="Times New Roman"/>
                <w:color w:val="000000" w:themeColor="text1"/>
                <w:sz w:val="20"/>
                <w:szCs w:val="20"/>
                <w:lang w:eastAsia="ru-RU"/>
              </w:rPr>
              <w:t>„</w:t>
            </w:r>
            <w:proofErr w:type="spellStart"/>
            <w:r w:rsidR="00F25AE8" w:rsidRPr="009D0E2C">
              <w:rPr>
                <w:rFonts w:ascii="Times New Roman" w:hAnsi="Times New Roman"/>
                <w:color w:val="000000" w:themeColor="text1"/>
                <w:sz w:val="20"/>
                <w:szCs w:val="20"/>
                <w:lang w:eastAsia="ru-RU"/>
              </w:rPr>
              <w:t>sistem</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național</w:t>
            </w:r>
            <w:proofErr w:type="spellEnd"/>
            <w:r w:rsidR="00F25AE8" w:rsidRPr="009D0E2C">
              <w:rPr>
                <w:rFonts w:ascii="Times New Roman" w:hAnsi="Times New Roman"/>
                <w:color w:val="000000" w:themeColor="text1"/>
                <w:sz w:val="20"/>
                <w:szCs w:val="20"/>
                <w:lang w:eastAsia="ru-RU"/>
              </w:rPr>
              <w:t xml:space="preserve"> de </w:t>
            </w:r>
            <w:proofErr w:type="spellStart"/>
            <w:r w:rsidR="00F25AE8" w:rsidRPr="009D0E2C">
              <w:rPr>
                <w:rFonts w:ascii="Times New Roman" w:hAnsi="Times New Roman"/>
                <w:color w:val="000000" w:themeColor="text1"/>
                <w:sz w:val="20"/>
                <w:szCs w:val="20"/>
                <w:lang w:eastAsia="ru-RU"/>
              </w:rPr>
              <w:t>inventariere</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înseamnă</w:t>
            </w:r>
            <w:proofErr w:type="spellEnd"/>
            <w:r w:rsidR="00F25AE8" w:rsidRPr="009D0E2C">
              <w:rPr>
                <w:rFonts w:ascii="Times New Roman" w:hAnsi="Times New Roman"/>
                <w:color w:val="000000" w:themeColor="text1"/>
                <w:sz w:val="20"/>
                <w:szCs w:val="20"/>
                <w:lang w:eastAsia="ru-RU"/>
              </w:rPr>
              <w:t xml:space="preserve"> un </w:t>
            </w:r>
            <w:proofErr w:type="spellStart"/>
            <w:r w:rsidR="00F25AE8" w:rsidRPr="009D0E2C">
              <w:rPr>
                <w:rFonts w:ascii="Times New Roman" w:hAnsi="Times New Roman"/>
                <w:color w:val="000000" w:themeColor="text1"/>
                <w:sz w:val="20"/>
                <w:szCs w:val="20"/>
                <w:lang w:eastAsia="ru-RU"/>
              </w:rPr>
              <w:t>sistem</w:t>
            </w:r>
            <w:proofErr w:type="spellEnd"/>
            <w:r w:rsidR="00F25AE8" w:rsidRPr="009D0E2C">
              <w:rPr>
                <w:rFonts w:ascii="Times New Roman" w:hAnsi="Times New Roman"/>
                <w:color w:val="000000" w:themeColor="text1"/>
                <w:sz w:val="20"/>
                <w:szCs w:val="20"/>
                <w:lang w:eastAsia="ru-RU"/>
              </w:rPr>
              <w:t xml:space="preserve"> de </w:t>
            </w:r>
            <w:proofErr w:type="spellStart"/>
            <w:r w:rsidR="00F25AE8" w:rsidRPr="009D0E2C">
              <w:rPr>
                <w:rFonts w:ascii="Times New Roman" w:hAnsi="Times New Roman"/>
                <w:color w:val="000000" w:themeColor="text1"/>
                <w:sz w:val="20"/>
                <w:szCs w:val="20"/>
                <w:lang w:eastAsia="ru-RU"/>
              </w:rPr>
              <w:t>măsuri</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instituționale</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juridice</w:t>
            </w:r>
            <w:proofErr w:type="spellEnd"/>
            <w:r w:rsidR="00F25AE8" w:rsidRPr="009D0E2C">
              <w:rPr>
                <w:rFonts w:ascii="Times New Roman" w:hAnsi="Times New Roman"/>
                <w:color w:val="000000" w:themeColor="text1"/>
                <w:sz w:val="20"/>
                <w:szCs w:val="20"/>
                <w:lang w:eastAsia="ru-RU"/>
              </w:rPr>
              <w:t xml:space="preserve"> și </w:t>
            </w:r>
            <w:proofErr w:type="spellStart"/>
            <w:r w:rsidR="00F25AE8" w:rsidRPr="009D0E2C">
              <w:rPr>
                <w:rFonts w:ascii="Times New Roman" w:hAnsi="Times New Roman"/>
                <w:color w:val="000000" w:themeColor="text1"/>
                <w:sz w:val="20"/>
                <w:szCs w:val="20"/>
                <w:lang w:eastAsia="ru-RU"/>
              </w:rPr>
              <w:t>procedurale</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stabilite</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într</w:t>
            </w:r>
            <w:proofErr w:type="spellEnd"/>
            <w:r w:rsidR="00F25AE8" w:rsidRPr="009D0E2C">
              <w:rPr>
                <w:rFonts w:ascii="Times New Roman" w:hAnsi="Times New Roman"/>
                <w:color w:val="000000" w:themeColor="text1"/>
                <w:sz w:val="20"/>
                <w:szCs w:val="20"/>
                <w:lang w:eastAsia="ru-RU"/>
              </w:rPr>
              <w:t xml:space="preserve">-un stat </w:t>
            </w:r>
            <w:proofErr w:type="spellStart"/>
            <w:r w:rsidR="00F25AE8" w:rsidRPr="009D0E2C">
              <w:rPr>
                <w:rFonts w:ascii="Times New Roman" w:hAnsi="Times New Roman"/>
                <w:color w:val="000000" w:themeColor="text1"/>
                <w:sz w:val="20"/>
                <w:szCs w:val="20"/>
                <w:lang w:eastAsia="ru-RU"/>
              </w:rPr>
              <w:t>membru</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pentru</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estimarea</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emisiilor</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antropice</w:t>
            </w:r>
            <w:proofErr w:type="spellEnd"/>
            <w:r w:rsidR="00F25AE8" w:rsidRPr="009D0E2C">
              <w:rPr>
                <w:rFonts w:ascii="Times New Roman" w:hAnsi="Times New Roman"/>
                <w:color w:val="000000" w:themeColor="text1"/>
                <w:sz w:val="20"/>
                <w:szCs w:val="20"/>
                <w:lang w:eastAsia="ru-RU"/>
              </w:rPr>
              <w:t xml:space="preserve"> de </w:t>
            </w:r>
            <w:proofErr w:type="spellStart"/>
            <w:r w:rsidR="00F25AE8" w:rsidRPr="009D0E2C">
              <w:rPr>
                <w:rFonts w:ascii="Times New Roman" w:hAnsi="Times New Roman"/>
                <w:color w:val="000000" w:themeColor="text1"/>
                <w:sz w:val="20"/>
                <w:szCs w:val="20"/>
                <w:lang w:eastAsia="ru-RU"/>
              </w:rPr>
              <w:t>către</w:t>
            </w:r>
            <w:proofErr w:type="spellEnd"/>
            <w:r w:rsidR="00F25AE8" w:rsidRPr="009D0E2C">
              <w:rPr>
                <w:rFonts w:ascii="Times New Roman" w:hAnsi="Times New Roman"/>
                <w:color w:val="000000" w:themeColor="text1"/>
                <w:sz w:val="20"/>
                <w:szCs w:val="20"/>
                <w:lang w:eastAsia="ru-RU"/>
              </w:rPr>
              <w:t xml:space="preserve"> surse și </w:t>
            </w:r>
            <w:proofErr w:type="gramStart"/>
            <w:r w:rsidR="00F25AE8" w:rsidRPr="009D0E2C">
              <w:rPr>
                <w:rFonts w:ascii="Times New Roman" w:hAnsi="Times New Roman"/>
                <w:color w:val="000000" w:themeColor="text1"/>
                <w:sz w:val="20"/>
                <w:szCs w:val="20"/>
                <w:lang w:eastAsia="ru-RU"/>
              </w:rPr>
              <w:t>a</w:t>
            </w:r>
            <w:proofErr w:type="gram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absorbțiilor</w:t>
            </w:r>
            <w:proofErr w:type="spellEnd"/>
            <w:r w:rsidR="00F25AE8" w:rsidRPr="009D0E2C">
              <w:rPr>
                <w:rFonts w:ascii="Times New Roman" w:hAnsi="Times New Roman"/>
                <w:color w:val="000000" w:themeColor="text1"/>
                <w:sz w:val="20"/>
                <w:szCs w:val="20"/>
                <w:lang w:eastAsia="ru-RU"/>
              </w:rPr>
              <w:t xml:space="preserve"> de </w:t>
            </w:r>
            <w:proofErr w:type="spellStart"/>
            <w:r w:rsidR="00F25AE8" w:rsidRPr="009D0E2C">
              <w:rPr>
                <w:rFonts w:ascii="Times New Roman" w:hAnsi="Times New Roman"/>
                <w:color w:val="000000" w:themeColor="text1"/>
                <w:sz w:val="20"/>
                <w:szCs w:val="20"/>
                <w:lang w:eastAsia="ru-RU"/>
              </w:rPr>
              <w:t>către</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absorbanți</w:t>
            </w:r>
            <w:proofErr w:type="spellEnd"/>
            <w:r w:rsidR="00F25AE8" w:rsidRPr="009D0E2C">
              <w:rPr>
                <w:rFonts w:ascii="Times New Roman" w:hAnsi="Times New Roman"/>
                <w:color w:val="000000" w:themeColor="text1"/>
                <w:sz w:val="20"/>
                <w:szCs w:val="20"/>
                <w:lang w:eastAsia="ru-RU"/>
              </w:rPr>
              <w:t xml:space="preserve"> ale </w:t>
            </w:r>
            <w:proofErr w:type="spellStart"/>
            <w:r w:rsidR="00F25AE8" w:rsidRPr="009D0E2C">
              <w:rPr>
                <w:rFonts w:ascii="Times New Roman" w:hAnsi="Times New Roman"/>
                <w:color w:val="000000" w:themeColor="text1"/>
                <w:sz w:val="20"/>
                <w:szCs w:val="20"/>
                <w:lang w:eastAsia="ru-RU"/>
              </w:rPr>
              <w:t>gazelor</w:t>
            </w:r>
            <w:proofErr w:type="spellEnd"/>
            <w:r w:rsidR="00F25AE8" w:rsidRPr="009D0E2C">
              <w:rPr>
                <w:rFonts w:ascii="Times New Roman" w:hAnsi="Times New Roman"/>
                <w:color w:val="000000" w:themeColor="text1"/>
                <w:sz w:val="20"/>
                <w:szCs w:val="20"/>
                <w:lang w:eastAsia="ru-RU"/>
              </w:rPr>
              <w:t xml:space="preserve"> cu </w:t>
            </w:r>
            <w:proofErr w:type="spellStart"/>
            <w:r w:rsidR="00F25AE8" w:rsidRPr="009D0E2C">
              <w:rPr>
                <w:rFonts w:ascii="Times New Roman" w:hAnsi="Times New Roman"/>
                <w:color w:val="000000" w:themeColor="text1"/>
                <w:sz w:val="20"/>
                <w:szCs w:val="20"/>
                <w:lang w:eastAsia="ru-RU"/>
              </w:rPr>
              <w:t>efect</w:t>
            </w:r>
            <w:proofErr w:type="spellEnd"/>
            <w:r w:rsidR="00F25AE8" w:rsidRPr="009D0E2C">
              <w:rPr>
                <w:rFonts w:ascii="Times New Roman" w:hAnsi="Times New Roman"/>
                <w:color w:val="000000" w:themeColor="text1"/>
                <w:sz w:val="20"/>
                <w:szCs w:val="20"/>
                <w:lang w:eastAsia="ru-RU"/>
              </w:rPr>
              <w:t xml:space="preserve"> de </w:t>
            </w:r>
            <w:proofErr w:type="spellStart"/>
            <w:r w:rsidR="00F25AE8" w:rsidRPr="009D0E2C">
              <w:rPr>
                <w:rFonts w:ascii="Times New Roman" w:hAnsi="Times New Roman"/>
                <w:color w:val="000000" w:themeColor="text1"/>
                <w:sz w:val="20"/>
                <w:szCs w:val="20"/>
                <w:lang w:eastAsia="ru-RU"/>
              </w:rPr>
              <w:t>seră</w:t>
            </w:r>
            <w:proofErr w:type="spellEnd"/>
            <w:r w:rsidR="00F25AE8" w:rsidRPr="009D0E2C">
              <w:rPr>
                <w:rFonts w:ascii="Times New Roman" w:hAnsi="Times New Roman"/>
                <w:color w:val="000000" w:themeColor="text1"/>
                <w:sz w:val="20"/>
                <w:szCs w:val="20"/>
                <w:lang w:eastAsia="ru-RU"/>
              </w:rPr>
              <w:t xml:space="preserve">, precum și </w:t>
            </w:r>
            <w:proofErr w:type="spellStart"/>
            <w:r w:rsidR="00F25AE8" w:rsidRPr="009D0E2C">
              <w:rPr>
                <w:rFonts w:ascii="Times New Roman" w:hAnsi="Times New Roman"/>
                <w:color w:val="000000" w:themeColor="text1"/>
                <w:sz w:val="20"/>
                <w:szCs w:val="20"/>
                <w:lang w:eastAsia="ru-RU"/>
              </w:rPr>
              <w:t>pentru</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raportarea</w:t>
            </w:r>
            <w:proofErr w:type="spellEnd"/>
            <w:r w:rsidR="00F25AE8" w:rsidRPr="009D0E2C">
              <w:rPr>
                <w:rFonts w:ascii="Times New Roman" w:hAnsi="Times New Roman"/>
                <w:color w:val="000000" w:themeColor="text1"/>
                <w:sz w:val="20"/>
                <w:szCs w:val="20"/>
                <w:lang w:eastAsia="ru-RU"/>
              </w:rPr>
              <w:t xml:space="preserve"> și </w:t>
            </w:r>
            <w:proofErr w:type="spellStart"/>
            <w:r w:rsidR="00F25AE8" w:rsidRPr="009D0E2C">
              <w:rPr>
                <w:rFonts w:ascii="Times New Roman" w:hAnsi="Times New Roman"/>
                <w:color w:val="000000" w:themeColor="text1"/>
                <w:sz w:val="20"/>
                <w:szCs w:val="20"/>
                <w:lang w:eastAsia="ru-RU"/>
              </w:rPr>
              <w:t>arhivarea</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informațiilor</w:t>
            </w:r>
            <w:proofErr w:type="spellEnd"/>
            <w:r w:rsidR="00F25AE8" w:rsidRPr="009D0E2C">
              <w:rPr>
                <w:rFonts w:ascii="Times New Roman" w:hAnsi="Times New Roman"/>
                <w:color w:val="000000" w:themeColor="text1"/>
                <w:sz w:val="20"/>
                <w:szCs w:val="20"/>
                <w:lang w:eastAsia="ru-RU"/>
              </w:rPr>
              <w:t xml:space="preserve"> </w:t>
            </w:r>
            <w:proofErr w:type="spellStart"/>
            <w:r w:rsidR="00F25AE8" w:rsidRPr="009D0E2C">
              <w:rPr>
                <w:rFonts w:ascii="Times New Roman" w:hAnsi="Times New Roman"/>
                <w:color w:val="000000" w:themeColor="text1"/>
                <w:sz w:val="20"/>
                <w:szCs w:val="20"/>
                <w:lang w:eastAsia="ru-RU"/>
              </w:rPr>
              <w:t>referitoare</w:t>
            </w:r>
            <w:proofErr w:type="spellEnd"/>
            <w:r w:rsidR="00F25AE8" w:rsidRPr="009D0E2C">
              <w:rPr>
                <w:rFonts w:ascii="Times New Roman" w:hAnsi="Times New Roman"/>
                <w:color w:val="000000" w:themeColor="text1"/>
                <w:sz w:val="20"/>
                <w:szCs w:val="20"/>
                <w:lang w:eastAsia="ru-RU"/>
              </w:rPr>
              <w:t xml:space="preserve"> la </w:t>
            </w:r>
            <w:proofErr w:type="spellStart"/>
            <w:r w:rsidR="00F25AE8" w:rsidRPr="009D0E2C">
              <w:rPr>
                <w:rFonts w:ascii="Times New Roman" w:hAnsi="Times New Roman"/>
                <w:color w:val="000000" w:themeColor="text1"/>
                <w:sz w:val="20"/>
                <w:szCs w:val="20"/>
                <w:lang w:eastAsia="ru-RU"/>
              </w:rPr>
              <w:t>inventar</w:t>
            </w:r>
            <w:proofErr w:type="spellEnd"/>
            <w:r w:rsidR="00F25AE8" w:rsidRPr="009D0E2C">
              <w:rPr>
                <w:rFonts w:ascii="Times New Roman" w:hAnsi="Times New Roman"/>
                <w:color w:val="000000" w:themeColor="text1"/>
                <w:sz w:val="20"/>
                <w:szCs w:val="20"/>
                <w:lang w:eastAsia="ru-RU"/>
              </w:rPr>
              <w:t>;</w:t>
            </w:r>
          </w:p>
        </w:tc>
        <w:tc>
          <w:tcPr>
            <w:tcW w:w="4541" w:type="dxa"/>
            <w:shd w:val="clear" w:color="auto" w:fill="auto"/>
          </w:tcPr>
          <w:p w14:paraId="31B3D875" w14:textId="572EDB5E" w:rsidR="00355EAE" w:rsidRPr="008C3C24" w:rsidRDefault="00355EAE" w:rsidP="008C3C24">
            <w:pPr>
              <w:shd w:val="clear" w:color="auto" w:fill="FFFFFF"/>
              <w:spacing w:after="0" w:line="240" w:lineRule="auto"/>
              <w:jc w:val="both"/>
              <w:rPr>
                <w:rFonts w:ascii="Times New Roman" w:hAnsi="Times New Roman"/>
                <w:color w:val="000000" w:themeColor="text1"/>
                <w:sz w:val="20"/>
                <w:szCs w:val="20"/>
                <w:shd w:val="clear" w:color="auto" w:fill="FFFFFF"/>
                <w:lang w:val="ro-RO"/>
              </w:rPr>
            </w:pPr>
          </w:p>
        </w:tc>
        <w:tc>
          <w:tcPr>
            <w:tcW w:w="1276" w:type="dxa"/>
            <w:shd w:val="clear" w:color="auto" w:fill="auto"/>
          </w:tcPr>
          <w:p w14:paraId="5B83C4E9" w14:textId="204C6D89" w:rsidR="00471502" w:rsidRPr="00C951E7" w:rsidRDefault="007A5423" w:rsidP="00365FCE">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BE74CA" w:rsidRPr="00C951E7">
              <w:rPr>
                <w:rFonts w:ascii="Times New Roman" w:hAnsi="Times New Roman"/>
                <w:sz w:val="20"/>
                <w:szCs w:val="20"/>
                <w:lang w:val="ro-RO"/>
              </w:rPr>
              <w:t>ompatibil</w:t>
            </w:r>
          </w:p>
        </w:tc>
        <w:tc>
          <w:tcPr>
            <w:tcW w:w="1275" w:type="dxa"/>
            <w:shd w:val="clear" w:color="auto" w:fill="auto"/>
          </w:tcPr>
          <w:p w14:paraId="692618A0"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58BA73C" w14:textId="4D8DE249" w:rsidR="00471502" w:rsidRPr="00C951E7" w:rsidRDefault="007E64AF" w:rsidP="00C21F61">
            <w:pPr>
              <w:spacing w:line="240" w:lineRule="auto"/>
              <w:jc w:val="both"/>
              <w:rPr>
                <w:rFonts w:ascii="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sistem</w:t>
            </w:r>
            <w:proofErr w:type="spellEnd"/>
            <w:r w:rsidRPr="007A690D">
              <w:rPr>
                <w:rFonts w:ascii="Times New Roman" w:hAnsi="Times New Roman"/>
                <w:sz w:val="20"/>
                <w:szCs w:val="20"/>
                <w:lang w:eastAsia="ru-RU"/>
              </w:rPr>
              <w:t xml:space="preserve"> </w:t>
            </w:r>
            <w:proofErr w:type="spellStart"/>
            <w:r w:rsidRPr="007A690D">
              <w:rPr>
                <w:rFonts w:ascii="Times New Roman" w:hAnsi="Times New Roman"/>
                <w:sz w:val="20"/>
                <w:szCs w:val="20"/>
                <w:lang w:eastAsia="ru-RU"/>
              </w:rPr>
              <w:t>național</w:t>
            </w:r>
            <w:proofErr w:type="spellEnd"/>
            <w:r w:rsidRPr="007A690D">
              <w:rPr>
                <w:rFonts w:ascii="Times New Roman" w:hAnsi="Times New Roman"/>
                <w:sz w:val="20"/>
                <w:szCs w:val="20"/>
                <w:lang w:eastAsia="ru-RU"/>
              </w:rPr>
              <w:t xml:space="preserve"> de </w:t>
            </w:r>
            <w:proofErr w:type="spellStart"/>
            <w:r w:rsidRPr="007A690D">
              <w:rPr>
                <w:rFonts w:ascii="Times New Roman" w:hAnsi="Times New Roman"/>
                <w:sz w:val="20"/>
                <w:szCs w:val="20"/>
                <w:lang w:eastAsia="ru-RU"/>
              </w:rPr>
              <w:t>inventariere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w:t>
            </w:r>
            <w:r w:rsidRPr="007E64AF">
              <w:rPr>
                <w:rFonts w:ascii="Times New Roman" w:hAnsi="Times New Roman"/>
                <w:color w:val="000000" w:themeColor="text1"/>
                <w:sz w:val="20"/>
                <w:szCs w:val="20"/>
                <w:shd w:val="clear" w:color="auto" w:fill="FFFFFF"/>
              </w:rPr>
              <w:lastRenderedPageBreak/>
              <w:t xml:space="preserve">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29C50E09" w14:textId="151027D7" w:rsidR="004E4CC3" w:rsidRPr="003F755D" w:rsidRDefault="004E4CC3" w:rsidP="004E4CC3">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099BA555" w14:textId="72117E70" w:rsidR="00471502" w:rsidRPr="00C951E7" w:rsidRDefault="00471502" w:rsidP="004E4CC3">
            <w:pPr>
              <w:autoSpaceDE w:val="0"/>
              <w:spacing w:after="0" w:line="240" w:lineRule="auto"/>
              <w:rPr>
                <w:rFonts w:ascii="Times New Roman" w:eastAsia="Times New Roman" w:hAnsi="Times New Roman"/>
                <w:sz w:val="20"/>
                <w:szCs w:val="20"/>
                <w:lang w:val="ro-RO"/>
              </w:rPr>
            </w:pPr>
          </w:p>
        </w:tc>
      </w:tr>
      <w:tr w:rsidR="00471502" w:rsidRPr="007A690D" w14:paraId="2F6D47A5" w14:textId="77777777" w:rsidTr="009F5405">
        <w:trPr>
          <w:trHeight w:val="776"/>
        </w:trPr>
        <w:tc>
          <w:tcPr>
            <w:tcW w:w="4810" w:type="dxa"/>
            <w:shd w:val="clear" w:color="auto" w:fill="auto"/>
          </w:tcPr>
          <w:p w14:paraId="12E18E9C" w14:textId="578E30E3" w:rsidR="00471502" w:rsidRPr="002F1D4F" w:rsidRDefault="00E040C1" w:rsidP="00471502">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eastAsia="ru-RU"/>
              </w:rPr>
              <w:t>(</w:t>
            </w:r>
            <w:proofErr w:type="gramStart"/>
            <w:r w:rsidRPr="009D0E2C">
              <w:rPr>
                <w:rFonts w:ascii="Times New Roman" w:hAnsi="Times New Roman"/>
                <w:color w:val="000000" w:themeColor="text1"/>
                <w:sz w:val="20"/>
                <w:szCs w:val="20"/>
                <w:lang w:eastAsia="ru-RU"/>
              </w:rPr>
              <w:t>13)</w:t>
            </w:r>
            <w:r w:rsidR="002F1D4F" w:rsidRPr="009D0E2C">
              <w:rPr>
                <w:rFonts w:ascii="Times New Roman" w:hAnsi="Times New Roman"/>
                <w:color w:val="000000" w:themeColor="text1"/>
                <w:sz w:val="20"/>
                <w:szCs w:val="20"/>
                <w:lang w:eastAsia="ru-RU"/>
              </w:rPr>
              <w:t>„</w:t>
            </w:r>
            <w:proofErr w:type="gramEnd"/>
            <w:r w:rsidR="002F1D4F" w:rsidRPr="009D0E2C">
              <w:rPr>
                <w:rFonts w:ascii="Times New Roman" w:hAnsi="Times New Roman"/>
                <w:color w:val="000000" w:themeColor="text1"/>
                <w:sz w:val="20"/>
                <w:szCs w:val="20"/>
                <w:lang w:val="en-US" w:eastAsia="ru-RU"/>
              </w:rPr>
              <w:t>indicator</w:t>
            </w:r>
            <w:r w:rsidR="002F1D4F" w:rsidRPr="009D0E2C">
              <w:rPr>
                <w:rFonts w:ascii="Times New Roman" w:hAnsi="Times New Roman"/>
                <w:color w:val="000000" w:themeColor="text1"/>
                <w:sz w:val="20"/>
                <w:szCs w:val="20"/>
                <w:lang w:eastAsia="ru-RU"/>
              </w:rPr>
              <w:t>” î</w:t>
            </w:r>
            <w:proofErr w:type="spellStart"/>
            <w:r w:rsidR="002F1D4F" w:rsidRPr="009D0E2C">
              <w:rPr>
                <w:rFonts w:ascii="Times New Roman" w:hAnsi="Times New Roman"/>
                <w:color w:val="000000" w:themeColor="text1"/>
                <w:sz w:val="20"/>
                <w:szCs w:val="20"/>
                <w:lang w:val="en-US" w:eastAsia="ru-RU"/>
              </w:rPr>
              <w:t>nseamn</w:t>
            </w:r>
            <w:proofErr w:type="spellEnd"/>
            <w:r w:rsidR="002F1D4F" w:rsidRPr="009D0E2C">
              <w:rPr>
                <w:rFonts w:ascii="Times New Roman" w:hAnsi="Times New Roman"/>
                <w:color w:val="000000" w:themeColor="text1"/>
                <w:sz w:val="20"/>
                <w:szCs w:val="20"/>
                <w:lang w:eastAsia="ru-RU"/>
              </w:rPr>
              <w:t xml:space="preserve">ă </w:t>
            </w:r>
            <w:r w:rsidR="002F1D4F" w:rsidRPr="009D0E2C">
              <w:rPr>
                <w:rFonts w:ascii="Times New Roman" w:hAnsi="Times New Roman"/>
                <w:color w:val="000000" w:themeColor="text1"/>
                <w:sz w:val="20"/>
                <w:szCs w:val="20"/>
                <w:lang w:val="en-US" w:eastAsia="ru-RU"/>
              </w:rPr>
              <w:t>un</w:t>
            </w:r>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factor</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sau</w:t>
            </w:r>
            <w:proofErr w:type="spellEnd"/>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o</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variabil</w:t>
            </w:r>
            <w:proofErr w:type="spellEnd"/>
            <w:r w:rsidR="002F1D4F" w:rsidRPr="009D0E2C">
              <w:rPr>
                <w:rFonts w:ascii="Times New Roman" w:hAnsi="Times New Roman"/>
                <w:color w:val="000000" w:themeColor="text1"/>
                <w:sz w:val="20"/>
                <w:szCs w:val="20"/>
                <w:lang w:eastAsia="ru-RU"/>
              </w:rPr>
              <w:t xml:space="preserve">ă </w:t>
            </w:r>
            <w:proofErr w:type="spellStart"/>
            <w:r w:rsidR="002F1D4F" w:rsidRPr="009D0E2C">
              <w:rPr>
                <w:rFonts w:ascii="Times New Roman" w:hAnsi="Times New Roman"/>
                <w:color w:val="000000" w:themeColor="text1"/>
                <w:sz w:val="20"/>
                <w:szCs w:val="20"/>
                <w:lang w:val="en-US" w:eastAsia="ru-RU"/>
              </w:rPr>
              <w:t>cantitativ</w:t>
            </w:r>
            <w:proofErr w:type="spellEnd"/>
            <w:r w:rsidR="002F1D4F" w:rsidRPr="009D0E2C">
              <w:rPr>
                <w:rFonts w:ascii="Times New Roman" w:hAnsi="Times New Roman"/>
                <w:color w:val="000000" w:themeColor="text1"/>
                <w:sz w:val="20"/>
                <w:szCs w:val="20"/>
                <w:lang w:eastAsia="ru-RU"/>
              </w:rPr>
              <w:t xml:space="preserve">(ă) </w:t>
            </w:r>
            <w:proofErr w:type="spellStart"/>
            <w:r w:rsidR="002F1D4F" w:rsidRPr="009D0E2C">
              <w:rPr>
                <w:rFonts w:ascii="Times New Roman" w:hAnsi="Times New Roman"/>
                <w:color w:val="000000" w:themeColor="text1"/>
                <w:sz w:val="20"/>
                <w:szCs w:val="20"/>
                <w:lang w:val="en-US" w:eastAsia="ru-RU"/>
              </w:rPr>
              <w:t>sau</w:t>
            </w:r>
            <w:proofErr w:type="spellEnd"/>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calitativ</w:t>
            </w:r>
            <w:proofErr w:type="spellEnd"/>
            <w:r w:rsidR="002F1D4F" w:rsidRPr="009D0E2C">
              <w:rPr>
                <w:rFonts w:ascii="Times New Roman" w:hAnsi="Times New Roman"/>
                <w:color w:val="000000" w:themeColor="text1"/>
                <w:sz w:val="20"/>
                <w:szCs w:val="20"/>
                <w:lang w:eastAsia="ru-RU"/>
              </w:rPr>
              <w:t xml:space="preserve">(ă) </w:t>
            </w:r>
            <w:r w:rsidR="002F1D4F" w:rsidRPr="009D0E2C">
              <w:rPr>
                <w:rFonts w:ascii="Times New Roman" w:hAnsi="Times New Roman"/>
                <w:color w:val="000000" w:themeColor="text1"/>
                <w:sz w:val="20"/>
                <w:szCs w:val="20"/>
                <w:lang w:val="en-US" w:eastAsia="ru-RU"/>
              </w:rPr>
              <w:t>care</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contribuie</w:t>
            </w:r>
            <w:proofErr w:type="spellEnd"/>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la</w:t>
            </w:r>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o</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mai</w:t>
            </w:r>
            <w:proofErr w:type="spellEnd"/>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bun</w:t>
            </w:r>
            <w:r w:rsidR="002F1D4F" w:rsidRPr="009D0E2C">
              <w:rPr>
                <w:rFonts w:ascii="Times New Roman" w:hAnsi="Times New Roman"/>
                <w:color w:val="000000" w:themeColor="text1"/>
                <w:sz w:val="20"/>
                <w:szCs w:val="20"/>
                <w:lang w:eastAsia="ru-RU"/>
              </w:rPr>
              <w:t>ă î</w:t>
            </w:r>
            <w:r w:rsidR="002F1D4F" w:rsidRPr="009D0E2C">
              <w:rPr>
                <w:rFonts w:ascii="Times New Roman" w:hAnsi="Times New Roman"/>
                <w:color w:val="000000" w:themeColor="text1"/>
                <w:sz w:val="20"/>
                <w:szCs w:val="20"/>
                <w:lang w:val="en-US" w:eastAsia="ru-RU"/>
              </w:rPr>
              <w:t>n</w:t>
            </w:r>
            <w:r w:rsidR="002F1D4F" w:rsidRPr="009D0E2C">
              <w:rPr>
                <w:rFonts w:ascii="Times New Roman" w:hAnsi="Times New Roman"/>
                <w:color w:val="000000" w:themeColor="text1"/>
                <w:sz w:val="20"/>
                <w:szCs w:val="20"/>
                <w:lang w:eastAsia="ru-RU"/>
              </w:rPr>
              <w:t>ț</w:t>
            </w:r>
            <w:proofErr w:type="spellStart"/>
            <w:r w:rsidR="002F1D4F" w:rsidRPr="009D0E2C">
              <w:rPr>
                <w:rFonts w:ascii="Times New Roman" w:hAnsi="Times New Roman"/>
                <w:color w:val="000000" w:themeColor="text1"/>
                <w:sz w:val="20"/>
                <w:szCs w:val="20"/>
                <w:lang w:val="en-US" w:eastAsia="ru-RU"/>
              </w:rPr>
              <w:t>elegere</w:t>
            </w:r>
            <w:proofErr w:type="spellEnd"/>
            <w:r w:rsidR="002F1D4F" w:rsidRPr="009D0E2C">
              <w:rPr>
                <w:rFonts w:ascii="Times New Roman" w:hAnsi="Times New Roman"/>
                <w:color w:val="000000" w:themeColor="text1"/>
                <w:sz w:val="20"/>
                <w:szCs w:val="20"/>
                <w:lang w:eastAsia="ru-RU"/>
              </w:rPr>
              <w:t xml:space="preserve"> </w:t>
            </w:r>
            <w:r w:rsidR="002F1D4F" w:rsidRPr="009D0E2C">
              <w:rPr>
                <w:rFonts w:ascii="Times New Roman" w:hAnsi="Times New Roman"/>
                <w:color w:val="000000" w:themeColor="text1"/>
                <w:sz w:val="20"/>
                <w:szCs w:val="20"/>
                <w:lang w:val="en-US" w:eastAsia="ru-RU"/>
              </w:rPr>
              <w:t>a</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evolu</w:t>
            </w:r>
            <w:proofErr w:type="spellEnd"/>
            <w:r w:rsidR="002F1D4F" w:rsidRPr="009D0E2C">
              <w:rPr>
                <w:rFonts w:ascii="Times New Roman" w:hAnsi="Times New Roman"/>
                <w:color w:val="000000" w:themeColor="text1"/>
                <w:sz w:val="20"/>
                <w:szCs w:val="20"/>
                <w:lang w:eastAsia="ru-RU"/>
              </w:rPr>
              <w:t>ț</w:t>
            </w:r>
            <w:proofErr w:type="spellStart"/>
            <w:r w:rsidR="002F1D4F" w:rsidRPr="009D0E2C">
              <w:rPr>
                <w:rFonts w:ascii="Times New Roman" w:hAnsi="Times New Roman"/>
                <w:color w:val="000000" w:themeColor="text1"/>
                <w:sz w:val="20"/>
                <w:szCs w:val="20"/>
                <w:lang w:val="en-US" w:eastAsia="ru-RU"/>
              </w:rPr>
              <w:t>iei</w:t>
            </w:r>
            <w:proofErr w:type="spellEnd"/>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punerii</w:t>
            </w:r>
            <w:proofErr w:type="spellEnd"/>
            <w:r w:rsidR="002F1D4F" w:rsidRPr="009D0E2C">
              <w:rPr>
                <w:rFonts w:ascii="Times New Roman" w:hAnsi="Times New Roman"/>
                <w:color w:val="000000" w:themeColor="text1"/>
                <w:sz w:val="20"/>
                <w:szCs w:val="20"/>
                <w:lang w:eastAsia="ru-RU"/>
              </w:rPr>
              <w:t xml:space="preserve"> î</w:t>
            </w:r>
            <w:r w:rsidR="002F1D4F" w:rsidRPr="009D0E2C">
              <w:rPr>
                <w:rFonts w:ascii="Times New Roman" w:hAnsi="Times New Roman"/>
                <w:color w:val="000000" w:themeColor="text1"/>
                <w:sz w:val="20"/>
                <w:szCs w:val="20"/>
                <w:lang w:val="en-US" w:eastAsia="ru-RU"/>
              </w:rPr>
              <w:t>n</w:t>
            </w:r>
            <w:r w:rsidR="002F1D4F" w:rsidRPr="009D0E2C">
              <w:rPr>
                <w:rFonts w:ascii="Times New Roman" w:hAnsi="Times New Roman"/>
                <w:color w:val="000000" w:themeColor="text1"/>
                <w:sz w:val="20"/>
                <w:szCs w:val="20"/>
                <w:lang w:eastAsia="ru-RU"/>
              </w:rPr>
              <w:t xml:space="preserve"> </w:t>
            </w:r>
            <w:proofErr w:type="spellStart"/>
            <w:r w:rsidR="002F1D4F" w:rsidRPr="009D0E2C">
              <w:rPr>
                <w:rFonts w:ascii="Times New Roman" w:hAnsi="Times New Roman"/>
                <w:color w:val="000000" w:themeColor="text1"/>
                <w:sz w:val="20"/>
                <w:szCs w:val="20"/>
                <w:lang w:val="en-US" w:eastAsia="ru-RU"/>
              </w:rPr>
              <w:t>aplicare</w:t>
            </w:r>
            <w:proofErr w:type="spellEnd"/>
            <w:r w:rsidR="002F1D4F" w:rsidRPr="009D0E2C">
              <w:rPr>
                <w:rFonts w:ascii="Times New Roman" w:hAnsi="Times New Roman"/>
                <w:color w:val="000000" w:themeColor="text1"/>
                <w:sz w:val="20"/>
                <w:szCs w:val="20"/>
                <w:lang w:eastAsia="ru-RU"/>
              </w:rPr>
              <w:t>;</w:t>
            </w:r>
          </w:p>
        </w:tc>
        <w:tc>
          <w:tcPr>
            <w:tcW w:w="4541" w:type="dxa"/>
            <w:shd w:val="clear" w:color="auto" w:fill="auto"/>
          </w:tcPr>
          <w:p w14:paraId="40FC89D2" w14:textId="77777777" w:rsidR="004E4CC3" w:rsidRPr="004E4CC3" w:rsidRDefault="004E4CC3" w:rsidP="00B3451D">
            <w:pPr>
              <w:shd w:val="clear" w:color="auto" w:fill="FFFFFF"/>
              <w:tabs>
                <w:tab w:val="left" w:pos="993"/>
              </w:tabs>
              <w:adjustRightInd w:val="0"/>
              <w:spacing w:after="0" w:line="240" w:lineRule="auto"/>
              <w:jc w:val="both"/>
              <w:textAlignment w:val="top"/>
              <w:rPr>
                <w:rFonts w:ascii="Times New Roman" w:eastAsia="Times New Roman" w:hAnsi="Times New Roman"/>
                <w:i/>
                <w:sz w:val="20"/>
                <w:szCs w:val="20"/>
                <w:lang w:val="pt-PT" w:eastAsia="ro-RO" w:bidi="or-IN"/>
              </w:rPr>
            </w:pPr>
          </w:p>
          <w:p w14:paraId="7228BFB9" w14:textId="74339D3F" w:rsidR="00471502" w:rsidRPr="00B3451D" w:rsidRDefault="00471502" w:rsidP="00B3451D">
            <w:pPr>
              <w:shd w:val="clear" w:color="auto" w:fill="FFFFFF"/>
              <w:tabs>
                <w:tab w:val="left" w:pos="993"/>
              </w:tabs>
              <w:adjustRightInd w:val="0"/>
              <w:spacing w:after="0" w:line="240" w:lineRule="auto"/>
              <w:jc w:val="both"/>
              <w:textAlignment w:val="top"/>
              <w:rPr>
                <w:rFonts w:ascii="Times New Roman" w:eastAsia="Times New Roman" w:hAnsi="Times New Roman"/>
                <w:i/>
                <w:sz w:val="20"/>
                <w:szCs w:val="20"/>
                <w:lang w:val="ro-MD" w:eastAsia="ro-RO" w:bidi="or-IN"/>
              </w:rPr>
            </w:pPr>
          </w:p>
        </w:tc>
        <w:tc>
          <w:tcPr>
            <w:tcW w:w="1276" w:type="dxa"/>
            <w:shd w:val="clear" w:color="auto" w:fill="auto"/>
          </w:tcPr>
          <w:p w14:paraId="2050203C" w14:textId="7B0755D9" w:rsidR="00471502" w:rsidRPr="00C951E7" w:rsidRDefault="007A5423" w:rsidP="007F05D9">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7F05D9" w:rsidRPr="00C951E7">
              <w:rPr>
                <w:rFonts w:ascii="Times New Roman" w:hAnsi="Times New Roman"/>
                <w:sz w:val="20"/>
                <w:szCs w:val="20"/>
                <w:lang w:val="ro-RO"/>
              </w:rPr>
              <w:t>ompatibil</w:t>
            </w:r>
          </w:p>
        </w:tc>
        <w:tc>
          <w:tcPr>
            <w:tcW w:w="1275" w:type="dxa"/>
            <w:shd w:val="clear" w:color="auto" w:fill="auto"/>
          </w:tcPr>
          <w:p w14:paraId="3CF1535F"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118387C" w14:textId="0DA7AA0E" w:rsidR="00471502" w:rsidRPr="00C951E7" w:rsidRDefault="004E4CC3" w:rsidP="007F05D9">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Pr="00D70655">
              <w:rPr>
                <w:rFonts w:ascii="Times New Roman" w:hAnsi="Times New Roman"/>
                <w:sz w:val="20"/>
                <w:szCs w:val="20"/>
                <w:lang w:val="ro-RO" w:eastAsia="ru-RU"/>
              </w:rPr>
              <w:t>„</w:t>
            </w:r>
            <w:r>
              <w:rPr>
                <w:rFonts w:ascii="Times New Roman" w:hAnsi="Times New Roman"/>
                <w:sz w:val="20"/>
                <w:szCs w:val="20"/>
                <w:lang w:val="ro-RO" w:eastAsia="ru-RU"/>
              </w:rPr>
              <w:t>indicator</w:t>
            </w:r>
            <w:r w:rsidRPr="00D70655">
              <w:rPr>
                <w:rFonts w:ascii="Times New Roman" w:hAnsi="Times New Roman"/>
                <w:sz w:val="20"/>
                <w:szCs w:val="20"/>
                <w:lang w:val="ro-RO" w:eastAsia="ru-RU"/>
              </w:rPr>
              <w:t xml:space="preserve">” </w:t>
            </w:r>
            <w:r>
              <w:rPr>
                <w:rFonts w:ascii="Times New Roman" w:eastAsia="Times New Roman" w:hAnsi="Times New Roman"/>
                <w:sz w:val="20"/>
                <w:szCs w:val="20"/>
                <w:lang w:val="ro-RO"/>
              </w:rPr>
              <w:t xml:space="preserve">este </w:t>
            </w:r>
            <w:r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Pr="00D70655">
              <w:rPr>
                <w:rFonts w:ascii="Times New Roman" w:eastAsia="Times New Roman" w:hAnsi="Times New Roman"/>
                <w:sz w:val="20"/>
                <w:szCs w:val="20"/>
                <w:lang w:val="ro-RO"/>
              </w:rPr>
              <w:t xml:space="preserve"> în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 xml:space="preserve">1277/2018 </w:t>
            </w:r>
          </w:p>
        </w:tc>
        <w:tc>
          <w:tcPr>
            <w:tcW w:w="1464" w:type="dxa"/>
            <w:shd w:val="clear" w:color="auto" w:fill="auto"/>
          </w:tcPr>
          <w:p w14:paraId="2DFEB593" w14:textId="77777777" w:rsidR="008C3C24" w:rsidRPr="003F755D" w:rsidRDefault="008C3C24" w:rsidP="008C3C24">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5D4F3DE" w14:textId="77777777" w:rsidR="000252B4" w:rsidRDefault="000252B4" w:rsidP="000252B4">
            <w:pPr>
              <w:autoSpaceDE w:val="0"/>
              <w:spacing w:after="0" w:line="240" w:lineRule="auto"/>
              <w:rPr>
                <w:rFonts w:ascii="Times New Roman" w:hAnsi="Times New Roman"/>
                <w:sz w:val="20"/>
                <w:szCs w:val="20"/>
                <w:lang w:val="ro-RO"/>
              </w:rPr>
            </w:pPr>
          </w:p>
          <w:p w14:paraId="693B9FC5" w14:textId="7B2462A2" w:rsidR="00471502" w:rsidRPr="00BE3A55" w:rsidRDefault="000252B4" w:rsidP="008C3C24">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 de Mediu</w:t>
            </w:r>
          </w:p>
        </w:tc>
      </w:tr>
      <w:tr w:rsidR="00471502" w:rsidRPr="007A690D" w14:paraId="68165D26" w14:textId="77777777" w:rsidTr="009F5405">
        <w:trPr>
          <w:trHeight w:val="776"/>
        </w:trPr>
        <w:tc>
          <w:tcPr>
            <w:tcW w:w="4810" w:type="dxa"/>
            <w:shd w:val="clear" w:color="auto" w:fill="auto"/>
          </w:tcPr>
          <w:p w14:paraId="20FE98C4" w14:textId="244974BB" w:rsidR="00471502" w:rsidRPr="00C83FAD" w:rsidRDefault="00E040C1" w:rsidP="00471502">
            <w:pPr>
              <w:shd w:val="clear" w:color="auto" w:fill="FFFFFF"/>
              <w:spacing w:after="0" w:line="240" w:lineRule="auto"/>
              <w:jc w:val="both"/>
              <w:rPr>
                <w:rFonts w:ascii="Times New Roman" w:hAnsi="Times New Roman"/>
                <w:sz w:val="20"/>
                <w:szCs w:val="20"/>
                <w:lang w:val="ro-MD"/>
              </w:rPr>
            </w:pPr>
            <w:r w:rsidRPr="009D0E2C">
              <w:rPr>
                <w:rFonts w:ascii="Times New Roman" w:hAnsi="Times New Roman"/>
                <w:color w:val="000000" w:themeColor="text1"/>
                <w:sz w:val="20"/>
                <w:szCs w:val="20"/>
                <w:lang w:val="ro-MD"/>
              </w:rPr>
              <w:t>(14)</w:t>
            </w:r>
            <w:r w:rsidR="00C83FAD" w:rsidRPr="009D0E2C">
              <w:rPr>
                <w:rFonts w:ascii="Times New Roman" w:hAnsi="Times New Roman"/>
                <w:color w:val="000000" w:themeColor="text1"/>
                <w:sz w:val="20"/>
                <w:szCs w:val="20"/>
                <w:lang w:val="fr-FR" w:eastAsia="ru-RU"/>
              </w:rPr>
              <w:t>„</w:t>
            </w:r>
            <w:proofErr w:type="spellStart"/>
            <w:r w:rsidR="00C83FAD" w:rsidRPr="009D0E2C">
              <w:rPr>
                <w:rFonts w:ascii="Times New Roman" w:hAnsi="Times New Roman"/>
                <w:color w:val="000000" w:themeColor="text1"/>
                <w:sz w:val="20"/>
                <w:szCs w:val="20"/>
                <w:lang w:val="fr-FR" w:eastAsia="ru-RU"/>
              </w:rPr>
              <w:t>indicatori-cheie</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înseamnă</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indicatorii</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progreselor</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înregistrate</w:t>
            </w:r>
            <w:proofErr w:type="spellEnd"/>
            <w:r w:rsidR="00C83FAD" w:rsidRPr="009D0E2C">
              <w:rPr>
                <w:rFonts w:ascii="Times New Roman" w:hAnsi="Times New Roman"/>
                <w:color w:val="000000" w:themeColor="text1"/>
                <w:sz w:val="20"/>
                <w:szCs w:val="20"/>
                <w:lang w:val="fr-FR" w:eastAsia="ru-RU"/>
              </w:rPr>
              <w:t xml:space="preserve"> în </w:t>
            </w:r>
            <w:proofErr w:type="spellStart"/>
            <w:r w:rsidR="00C83FAD" w:rsidRPr="009D0E2C">
              <w:rPr>
                <w:rFonts w:ascii="Times New Roman" w:hAnsi="Times New Roman"/>
                <w:color w:val="000000" w:themeColor="text1"/>
                <w:sz w:val="20"/>
                <w:szCs w:val="20"/>
                <w:lang w:val="fr-FR" w:eastAsia="ru-RU"/>
              </w:rPr>
              <w:t>ceea</w:t>
            </w:r>
            <w:proofErr w:type="spellEnd"/>
            <w:r w:rsidR="00C83FAD" w:rsidRPr="009D0E2C">
              <w:rPr>
                <w:rFonts w:ascii="Times New Roman" w:hAnsi="Times New Roman"/>
                <w:color w:val="000000" w:themeColor="text1"/>
                <w:sz w:val="20"/>
                <w:szCs w:val="20"/>
                <w:lang w:val="fr-FR" w:eastAsia="ru-RU"/>
              </w:rPr>
              <w:t xml:space="preserve"> ce </w:t>
            </w:r>
            <w:proofErr w:type="spellStart"/>
            <w:r w:rsidR="00C83FAD" w:rsidRPr="009D0E2C">
              <w:rPr>
                <w:rFonts w:ascii="Times New Roman" w:hAnsi="Times New Roman"/>
                <w:color w:val="000000" w:themeColor="text1"/>
                <w:sz w:val="20"/>
                <w:szCs w:val="20"/>
                <w:lang w:val="fr-FR" w:eastAsia="ru-RU"/>
              </w:rPr>
              <w:t>privește</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cele</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cinci</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dimensiuni</w:t>
            </w:r>
            <w:proofErr w:type="spellEnd"/>
            <w:r w:rsidR="00C83FAD" w:rsidRPr="009D0E2C">
              <w:rPr>
                <w:rFonts w:ascii="Times New Roman" w:hAnsi="Times New Roman"/>
                <w:color w:val="000000" w:themeColor="text1"/>
                <w:sz w:val="20"/>
                <w:szCs w:val="20"/>
                <w:lang w:val="fr-FR" w:eastAsia="ru-RU"/>
              </w:rPr>
              <w:t xml:space="preserve"> ale </w:t>
            </w:r>
            <w:proofErr w:type="spellStart"/>
            <w:r w:rsidR="00C83FAD" w:rsidRPr="009D0E2C">
              <w:rPr>
                <w:rFonts w:ascii="Times New Roman" w:hAnsi="Times New Roman"/>
                <w:color w:val="000000" w:themeColor="text1"/>
                <w:sz w:val="20"/>
                <w:szCs w:val="20"/>
                <w:lang w:val="fr-FR" w:eastAsia="ru-RU"/>
              </w:rPr>
              <w:t>uniunii</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energetice</w:t>
            </w:r>
            <w:proofErr w:type="spellEnd"/>
            <w:r w:rsidR="00C83FAD" w:rsidRPr="009D0E2C">
              <w:rPr>
                <w:rFonts w:ascii="Times New Roman" w:hAnsi="Times New Roman"/>
                <w:color w:val="000000" w:themeColor="text1"/>
                <w:sz w:val="20"/>
                <w:szCs w:val="20"/>
                <w:lang w:val="fr-FR" w:eastAsia="ru-RU"/>
              </w:rPr>
              <w:t xml:space="preserve">, </w:t>
            </w:r>
            <w:proofErr w:type="spellStart"/>
            <w:r w:rsidR="00C83FAD" w:rsidRPr="009D0E2C">
              <w:rPr>
                <w:rFonts w:ascii="Times New Roman" w:hAnsi="Times New Roman"/>
                <w:color w:val="000000" w:themeColor="text1"/>
                <w:sz w:val="20"/>
                <w:szCs w:val="20"/>
                <w:lang w:val="fr-FR" w:eastAsia="ru-RU"/>
              </w:rPr>
              <w:t>propuși</w:t>
            </w:r>
            <w:proofErr w:type="spellEnd"/>
            <w:r w:rsidR="00C83FAD" w:rsidRPr="009D0E2C">
              <w:rPr>
                <w:rFonts w:ascii="Times New Roman" w:hAnsi="Times New Roman"/>
                <w:color w:val="000000" w:themeColor="text1"/>
                <w:sz w:val="20"/>
                <w:szCs w:val="20"/>
                <w:lang w:val="fr-FR" w:eastAsia="ru-RU"/>
              </w:rPr>
              <w:t xml:space="preserve"> de </w:t>
            </w:r>
            <w:proofErr w:type="spellStart"/>
            <w:r w:rsidR="00C83FAD" w:rsidRPr="009D0E2C">
              <w:rPr>
                <w:rFonts w:ascii="Times New Roman" w:hAnsi="Times New Roman"/>
                <w:color w:val="000000" w:themeColor="text1"/>
                <w:sz w:val="20"/>
                <w:szCs w:val="20"/>
                <w:lang w:val="fr-FR" w:eastAsia="ru-RU"/>
              </w:rPr>
              <w:t>Comisie</w:t>
            </w:r>
            <w:proofErr w:type="spellEnd"/>
            <w:r w:rsidR="00C83FAD" w:rsidRPr="009D0E2C">
              <w:rPr>
                <w:rFonts w:ascii="Times New Roman" w:hAnsi="Times New Roman"/>
                <w:color w:val="000000" w:themeColor="text1"/>
                <w:sz w:val="20"/>
                <w:szCs w:val="20"/>
                <w:lang w:val="fr-FR" w:eastAsia="ru-RU"/>
              </w:rPr>
              <w:t>;</w:t>
            </w:r>
          </w:p>
        </w:tc>
        <w:tc>
          <w:tcPr>
            <w:tcW w:w="4541" w:type="dxa"/>
            <w:shd w:val="clear" w:color="auto" w:fill="auto"/>
          </w:tcPr>
          <w:p w14:paraId="62376880" w14:textId="7E1C2094" w:rsidR="00471502" w:rsidRPr="006C59DA" w:rsidRDefault="00471502" w:rsidP="006C59DA">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02B0D36A" w14:textId="4C3E3902" w:rsidR="00471502" w:rsidRPr="00C951E7" w:rsidRDefault="007A5423" w:rsidP="000566DB">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C83FAD" w:rsidRPr="00C951E7">
              <w:rPr>
                <w:rFonts w:ascii="Times New Roman" w:hAnsi="Times New Roman"/>
                <w:sz w:val="20"/>
                <w:szCs w:val="20"/>
                <w:lang w:val="ro-RO"/>
              </w:rPr>
              <w:t>ompatibil</w:t>
            </w:r>
          </w:p>
        </w:tc>
        <w:tc>
          <w:tcPr>
            <w:tcW w:w="1275" w:type="dxa"/>
            <w:shd w:val="clear" w:color="auto" w:fill="auto"/>
          </w:tcPr>
          <w:p w14:paraId="54AB45F9" w14:textId="3CDC87E9"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9A851B4" w14:textId="3C6228FE" w:rsidR="00471502" w:rsidRPr="00C951E7" w:rsidRDefault="000034FA" w:rsidP="00C83FAD">
            <w:pPr>
              <w:tabs>
                <w:tab w:val="left" w:pos="851"/>
              </w:tabs>
              <w:spacing w:after="0" w:line="240" w:lineRule="auto"/>
              <w:jc w:val="both"/>
              <w:rPr>
                <w:rFonts w:ascii="Times New Roman" w:hAnsi="Times New Roman"/>
                <w:i/>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9F2339">
              <w:rPr>
                <w:rFonts w:ascii="Times New Roman" w:hAnsi="Times New Roman"/>
                <w:sz w:val="20"/>
                <w:szCs w:val="20"/>
                <w:lang w:val="fr-FR" w:eastAsia="ru-RU"/>
              </w:rPr>
              <w:t xml:space="preserve"> </w:t>
            </w:r>
            <w:proofErr w:type="spellStart"/>
            <w:r w:rsidRPr="009F2339">
              <w:rPr>
                <w:rFonts w:ascii="Times New Roman" w:hAnsi="Times New Roman"/>
                <w:sz w:val="20"/>
                <w:szCs w:val="20"/>
                <w:lang w:val="fr-FR" w:eastAsia="ru-RU"/>
              </w:rPr>
              <w:t>indicatori-cheie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220045F0" w14:textId="3BA27E9D" w:rsidR="006C59DA" w:rsidRPr="003F755D" w:rsidRDefault="006C59DA" w:rsidP="006C59DA">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5953349D" w14:textId="3B81B8C9" w:rsidR="00471502" w:rsidRPr="00A13EB8" w:rsidRDefault="00471502" w:rsidP="008E5448">
            <w:pPr>
              <w:autoSpaceDE w:val="0"/>
              <w:spacing w:after="0" w:line="240" w:lineRule="auto"/>
              <w:rPr>
                <w:rFonts w:ascii="Times New Roman" w:hAnsi="Times New Roman"/>
                <w:sz w:val="20"/>
                <w:szCs w:val="20"/>
                <w:shd w:val="clear" w:color="auto" w:fill="FFFFFF"/>
                <w:lang w:val="ro-RO"/>
              </w:rPr>
            </w:pPr>
          </w:p>
        </w:tc>
      </w:tr>
      <w:tr w:rsidR="00471502" w:rsidRPr="007A5423" w14:paraId="1601EB7E" w14:textId="77777777" w:rsidTr="009F5405">
        <w:trPr>
          <w:trHeight w:val="776"/>
        </w:trPr>
        <w:tc>
          <w:tcPr>
            <w:tcW w:w="4810" w:type="dxa"/>
            <w:shd w:val="clear" w:color="auto" w:fill="auto"/>
          </w:tcPr>
          <w:p w14:paraId="322C99B2" w14:textId="1B420678" w:rsidR="00471502" w:rsidRPr="003D20CB" w:rsidRDefault="00E040C1" w:rsidP="00471502">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val="ro-MD"/>
              </w:rPr>
              <w:t>(15)</w:t>
            </w:r>
            <w:r w:rsidR="00727FFC" w:rsidRPr="009D0E2C">
              <w:rPr>
                <w:rFonts w:ascii="Times New Roman" w:hAnsi="Times New Roman"/>
                <w:color w:val="000000" w:themeColor="text1"/>
                <w:sz w:val="20"/>
                <w:szCs w:val="20"/>
                <w:lang w:eastAsia="ru-RU"/>
              </w:rPr>
              <w:t>„</w:t>
            </w:r>
            <w:proofErr w:type="spellStart"/>
            <w:r w:rsidR="00727FFC" w:rsidRPr="009D0E2C">
              <w:rPr>
                <w:rFonts w:ascii="Times New Roman" w:hAnsi="Times New Roman"/>
                <w:color w:val="000000" w:themeColor="text1"/>
                <w:sz w:val="20"/>
                <w:szCs w:val="20"/>
                <w:lang w:eastAsia="ru-RU"/>
              </w:rPr>
              <w:t>corecții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tehnice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înseamnă</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ajustările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aduse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estimărilor</w:t>
            </w:r>
            <w:proofErr w:type="spellEnd"/>
            <w:r w:rsidR="00727FFC" w:rsidRPr="009D0E2C">
              <w:rPr>
                <w:rFonts w:ascii="Times New Roman" w:hAnsi="Times New Roman"/>
                <w:color w:val="000000" w:themeColor="text1"/>
                <w:sz w:val="20"/>
                <w:szCs w:val="20"/>
                <w:lang w:eastAsia="ru-RU"/>
              </w:rPr>
              <w:t xml:space="preserve"> din </w:t>
            </w:r>
            <w:proofErr w:type="spellStart"/>
            <w:r w:rsidR="00727FFC" w:rsidRPr="009D0E2C">
              <w:rPr>
                <w:rFonts w:ascii="Times New Roman" w:hAnsi="Times New Roman"/>
                <w:color w:val="000000" w:themeColor="text1"/>
                <w:sz w:val="20"/>
                <w:szCs w:val="20"/>
                <w:lang w:eastAsia="ru-RU"/>
              </w:rPr>
              <w:t>cadrul</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inventarului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național</w:t>
            </w:r>
            <w:proofErr w:type="spellEnd"/>
            <w:r w:rsidR="00727FFC" w:rsidRPr="009D0E2C">
              <w:rPr>
                <w:rFonts w:ascii="Times New Roman" w:hAnsi="Times New Roman"/>
                <w:color w:val="000000" w:themeColor="text1"/>
                <w:sz w:val="20"/>
                <w:szCs w:val="20"/>
                <w:lang w:eastAsia="ru-RU"/>
              </w:rPr>
              <w:t xml:space="preserve"> al </w:t>
            </w:r>
            <w:proofErr w:type="spellStart"/>
            <w:r w:rsidR="00727FFC" w:rsidRPr="009D0E2C">
              <w:rPr>
                <w:rFonts w:ascii="Times New Roman" w:hAnsi="Times New Roman"/>
                <w:color w:val="000000" w:themeColor="text1"/>
                <w:sz w:val="20"/>
                <w:szCs w:val="20"/>
                <w:lang w:eastAsia="ru-RU"/>
              </w:rPr>
              <w:t>gazelor</w:t>
            </w:r>
            <w:proofErr w:type="spellEnd"/>
            <w:r w:rsidR="00727FFC" w:rsidRPr="009D0E2C">
              <w:rPr>
                <w:rFonts w:ascii="Times New Roman" w:hAnsi="Times New Roman"/>
                <w:color w:val="000000" w:themeColor="text1"/>
                <w:sz w:val="20"/>
                <w:szCs w:val="20"/>
                <w:lang w:eastAsia="ru-RU"/>
              </w:rPr>
              <w:t xml:space="preserve"> cu </w:t>
            </w:r>
            <w:proofErr w:type="spellStart"/>
            <w:r w:rsidR="00727FFC" w:rsidRPr="009D0E2C">
              <w:rPr>
                <w:rFonts w:ascii="Times New Roman" w:hAnsi="Times New Roman"/>
                <w:color w:val="000000" w:themeColor="text1"/>
                <w:sz w:val="20"/>
                <w:szCs w:val="20"/>
                <w:lang w:eastAsia="ru-RU"/>
              </w:rPr>
              <w:t>efect</w:t>
            </w:r>
            <w:proofErr w:type="spellEnd"/>
            <w:r w:rsidR="00727FFC" w:rsidRPr="009D0E2C">
              <w:rPr>
                <w:rFonts w:ascii="Times New Roman" w:hAnsi="Times New Roman"/>
                <w:color w:val="000000" w:themeColor="text1"/>
                <w:sz w:val="20"/>
                <w:szCs w:val="20"/>
                <w:lang w:eastAsia="ru-RU"/>
              </w:rPr>
              <w:t xml:space="preserve"> de </w:t>
            </w:r>
            <w:proofErr w:type="spellStart"/>
            <w:r w:rsidR="00727FFC" w:rsidRPr="009D0E2C">
              <w:rPr>
                <w:rFonts w:ascii="Times New Roman" w:hAnsi="Times New Roman"/>
                <w:color w:val="000000" w:themeColor="text1"/>
                <w:sz w:val="20"/>
                <w:szCs w:val="20"/>
                <w:lang w:eastAsia="ru-RU"/>
              </w:rPr>
              <w:t>seră</w:t>
            </w:r>
            <w:proofErr w:type="spellEnd"/>
            <w:r w:rsidR="00727FFC" w:rsidRPr="009D0E2C">
              <w:rPr>
                <w:rFonts w:ascii="Times New Roman" w:hAnsi="Times New Roman"/>
                <w:color w:val="000000" w:themeColor="text1"/>
                <w:sz w:val="20"/>
                <w:szCs w:val="20"/>
                <w:lang w:eastAsia="ru-RU"/>
              </w:rPr>
              <w:t xml:space="preserve">, care sunt </w:t>
            </w:r>
            <w:proofErr w:type="spellStart"/>
            <w:r w:rsidR="00727FFC" w:rsidRPr="009D0E2C">
              <w:rPr>
                <w:rFonts w:ascii="Times New Roman" w:hAnsi="Times New Roman"/>
                <w:color w:val="000000" w:themeColor="text1"/>
                <w:sz w:val="20"/>
                <w:szCs w:val="20"/>
                <w:lang w:eastAsia="ru-RU"/>
              </w:rPr>
              <w:t>efectuate</w:t>
            </w:r>
            <w:proofErr w:type="spellEnd"/>
            <w:r w:rsidR="00727FFC" w:rsidRPr="009D0E2C">
              <w:rPr>
                <w:rFonts w:ascii="Times New Roman" w:hAnsi="Times New Roman"/>
                <w:color w:val="000000" w:themeColor="text1"/>
                <w:sz w:val="20"/>
                <w:szCs w:val="20"/>
                <w:lang w:eastAsia="ru-RU"/>
              </w:rPr>
              <w:t xml:space="preserve"> în </w:t>
            </w:r>
            <w:proofErr w:type="spellStart"/>
            <w:r w:rsidR="00727FFC" w:rsidRPr="009D0E2C">
              <w:rPr>
                <w:rFonts w:ascii="Times New Roman" w:hAnsi="Times New Roman"/>
                <w:color w:val="000000" w:themeColor="text1"/>
                <w:sz w:val="20"/>
                <w:szCs w:val="20"/>
                <w:lang w:eastAsia="ru-RU"/>
              </w:rPr>
              <w:t>contextul</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revizuirii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desfășurate</w:t>
            </w:r>
            <w:proofErr w:type="spellEnd"/>
            <w:r w:rsidR="00727FFC" w:rsidRPr="009D0E2C">
              <w:rPr>
                <w:rFonts w:ascii="Times New Roman" w:hAnsi="Times New Roman"/>
                <w:color w:val="000000" w:themeColor="text1"/>
                <w:sz w:val="20"/>
                <w:szCs w:val="20"/>
                <w:lang w:eastAsia="ru-RU"/>
              </w:rPr>
              <w:t xml:space="preserve"> în </w:t>
            </w:r>
            <w:proofErr w:type="spellStart"/>
            <w:r w:rsidR="00727FFC" w:rsidRPr="009D0E2C">
              <w:rPr>
                <w:rFonts w:ascii="Times New Roman" w:hAnsi="Times New Roman"/>
                <w:color w:val="000000" w:themeColor="text1"/>
                <w:sz w:val="20"/>
                <w:szCs w:val="20"/>
                <w:lang w:eastAsia="ru-RU"/>
              </w:rPr>
              <w:t>temeiul</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articolului</w:t>
            </w:r>
            <w:proofErr w:type="spellEnd"/>
            <w:r w:rsidR="00727FFC" w:rsidRPr="009D0E2C">
              <w:rPr>
                <w:rFonts w:ascii="Times New Roman" w:hAnsi="Times New Roman"/>
                <w:color w:val="000000" w:themeColor="text1"/>
                <w:sz w:val="20"/>
                <w:szCs w:val="20"/>
                <w:lang w:eastAsia="ru-RU"/>
              </w:rPr>
              <w:t xml:space="preserve"> 38, </w:t>
            </w:r>
            <w:proofErr w:type="spellStart"/>
            <w:r w:rsidR="00727FFC" w:rsidRPr="009D0E2C">
              <w:rPr>
                <w:rFonts w:ascii="Times New Roman" w:hAnsi="Times New Roman"/>
                <w:color w:val="000000" w:themeColor="text1"/>
                <w:sz w:val="20"/>
                <w:szCs w:val="20"/>
                <w:lang w:eastAsia="ru-RU"/>
              </w:rPr>
              <w:t>atunci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când</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datele</w:t>
            </w:r>
            <w:proofErr w:type="spellEnd"/>
            <w:r w:rsidR="00727FFC" w:rsidRPr="009D0E2C">
              <w:rPr>
                <w:rFonts w:ascii="Times New Roman" w:hAnsi="Times New Roman"/>
                <w:color w:val="000000" w:themeColor="text1"/>
                <w:sz w:val="20"/>
                <w:szCs w:val="20"/>
                <w:lang w:eastAsia="ru-RU"/>
              </w:rPr>
              <w:t xml:space="preserve"> de </w:t>
            </w:r>
            <w:proofErr w:type="spellStart"/>
            <w:r w:rsidR="00727FFC" w:rsidRPr="009D0E2C">
              <w:rPr>
                <w:rFonts w:ascii="Times New Roman" w:hAnsi="Times New Roman"/>
                <w:color w:val="000000" w:themeColor="text1"/>
                <w:sz w:val="20"/>
                <w:szCs w:val="20"/>
                <w:lang w:eastAsia="ru-RU"/>
              </w:rPr>
              <w:t>inventar</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transmise</w:t>
            </w:r>
            <w:proofErr w:type="spellEnd"/>
            <w:r w:rsidR="00727FFC" w:rsidRPr="009D0E2C">
              <w:rPr>
                <w:rFonts w:ascii="Times New Roman" w:hAnsi="Times New Roman"/>
                <w:color w:val="000000" w:themeColor="text1"/>
                <w:sz w:val="20"/>
                <w:szCs w:val="20"/>
                <w:lang w:eastAsia="ru-RU"/>
              </w:rPr>
              <w:t xml:space="preserve"> sunt incomplete </w:t>
            </w:r>
            <w:proofErr w:type="spellStart"/>
            <w:r w:rsidR="00727FFC" w:rsidRPr="009D0E2C">
              <w:rPr>
                <w:rFonts w:ascii="Times New Roman" w:hAnsi="Times New Roman"/>
                <w:color w:val="000000" w:themeColor="text1"/>
                <w:sz w:val="20"/>
                <w:szCs w:val="20"/>
                <w:lang w:eastAsia="ru-RU"/>
              </w:rPr>
              <w:t>sau</w:t>
            </w:r>
            <w:proofErr w:type="spellEnd"/>
            <w:r w:rsidR="00727FFC" w:rsidRPr="009D0E2C">
              <w:rPr>
                <w:rFonts w:ascii="Times New Roman" w:hAnsi="Times New Roman"/>
                <w:color w:val="000000" w:themeColor="text1"/>
                <w:sz w:val="20"/>
                <w:szCs w:val="20"/>
                <w:lang w:eastAsia="ru-RU"/>
              </w:rPr>
              <w:t xml:space="preserve"> sunt elaborate </w:t>
            </w:r>
            <w:proofErr w:type="spellStart"/>
            <w:r w:rsidR="00727FFC" w:rsidRPr="009D0E2C">
              <w:rPr>
                <w:rFonts w:ascii="Times New Roman" w:hAnsi="Times New Roman"/>
                <w:color w:val="000000" w:themeColor="text1"/>
                <w:sz w:val="20"/>
                <w:szCs w:val="20"/>
                <w:lang w:eastAsia="ru-RU"/>
              </w:rPr>
              <w:t>într</w:t>
            </w:r>
            <w:proofErr w:type="spellEnd"/>
            <w:r w:rsidR="00727FFC" w:rsidRPr="009D0E2C">
              <w:rPr>
                <w:rFonts w:ascii="Times New Roman" w:hAnsi="Times New Roman"/>
                <w:color w:val="000000" w:themeColor="text1"/>
                <w:sz w:val="20"/>
                <w:szCs w:val="20"/>
                <w:lang w:eastAsia="ru-RU"/>
              </w:rPr>
              <w:t xml:space="preserve">-un mod </w:t>
            </w:r>
            <w:proofErr w:type="spellStart"/>
            <w:r w:rsidR="00727FFC" w:rsidRPr="009D0E2C">
              <w:rPr>
                <w:rFonts w:ascii="Times New Roman" w:hAnsi="Times New Roman"/>
                <w:color w:val="000000" w:themeColor="text1"/>
                <w:sz w:val="20"/>
                <w:szCs w:val="20"/>
                <w:lang w:eastAsia="ru-RU"/>
              </w:rPr>
              <w:t>neconform</w:t>
            </w:r>
            <w:proofErr w:type="spellEnd"/>
            <w:r w:rsidR="00727FFC" w:rsidRPr="009D0E2C">
              <w:rPr>
                <w:rFonts w:ascii="Times New Roman" w:hAnsi="Times New Roman"/>
                <w:color w:val="000000" w:themeColor="text1"/>
                <w:sz w:val="20"/>
                <w:szCs w:val="20"/>
                <w:lang w:eastAsia="ru-RU"/>
              </w:rPr>
              <w:t xml:space="preserve"> cu </w:t>
            </w:r>
            <w:proofErr w:type="spellStart"/>
            <w:r w:rsidR="00727FFC" w:rsidRPr="009D0E2C">
              <w:rPr>
                <w:rFonts w:ascii="Times New Roman" w:hAnsi="Times New Roman"/>
                <w:color w:val="000000" w:themeColor="text1"/>
                <w:sz w:val="20"/>
                <w:szCs w:val="20"/>
                <w:lang w:eastAsia="ru-RU"/>
              </w:rPr>
              <w:t>normele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sau</w:t>
            </w:r>
            <w:proofErr w:type="spellEnd"/>
            <w:r w:rsidR="00727FFC" w:rsidRPr="009D0E2C">
              <w:rPr>
                <w:rFonts w:ascii="Times New Roman" w:hAnsi="Times New Roman"/>
                <w:color w:val="000000" w:themeColor="text1"/>
                <w:sz w:val="20"/>
                <w:szCs w:val="20"/>
                <w:lang w:eastAsia="ru-RU"/>
              </w:rPr>
              <w:t xml:space="preserve"> cu </w:t>
            </w:r>
            <w:proofErr w:type="spellStart"/>
            <w:r w:rsidR="00727FFC" w:rsidRPr="009D0E2C">
              <w:rPr>
                <w:rFonts w:ascii="Times New Roman" w:hAnsi="Times New Roman"/>
                <w:color w:val="000000" w:themeColor="text1"/>
                <w:sz w:val="20"/>
                <w:szCs w:val="20"/>
                <w:lang w:eastAsia="ru-RU"/>
              </w:rPr>
              <w:t>orientările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internaționale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sau</w:t>
            </w:r>
            <w:proofErr w:type="spellEnd"/>
            <w:r w:rsidR="00727FFC" w:rsidRPr="009D0E2C">
              <w:rPr>
                <w:rFonts w:ascii="Times New Roman" w:hAnsi="Times New Roman"/>
                <w:color w:val="000000" w:themeColor="text1"/>
                <w:sz w:val="20"/>
                <w:szCs w:val="20"/>
                <w:lang w:eastAsia="ru-RU"/>
              </w:rPr>
              <w:t xml:space="preserve"> ale </w:t>
            </w:r>
            <w:proofErr w:type="spellStart"/>
            <w:r w:rsidR="00727FFC" w:rsidRPr="009D0E2C">
              <w:rPr>
                <w:rFonts w:ascii="Times New Roman" w:hAnsi="Times New Roman"/>
                <w:color w:val="000000" w:themeColor="text1"/>
                <w:sz w:val="20"/>
                <w:szCs w:val="20"/>
                <w:lang w:eastAsia="ru-RU"/>
              </w:rPr>
              <w:t>Uniunii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relevante</w:t>
            </w:r>
            <w:proofErr w:type="spellEnd"/>
            <w:r w:rsidR="00727FFC" w:rsidRPr="009D0E2C">
              <w:rPr>
                <w:rFonts w:ascii="Times New Roman" w:hAnsi="Times New Roman"/>
                <w:color w:val="000000" w:themeColor="text1"/>
                <w:sz w:val="20"/>
                <w:szCs w:val="20"/>
                <w:lang w:eastAsia="ru-RU"/>
              </w:rPr>
              <w:t xml:space="preserve">, și care sunt destinate a </w:t>
            </w:r>
            <w:proofErr w:type="spellStart"/>
            <w:r w:rsidR="00727FFC" w:rsidRPr="009D0E2C">
              <w:rPr>
                <w:rFonts w:ascii="Times New Roman" w:hAnsi="Times New Roman"/>
                <w:color w:val="000000" w:themeColor="text1"/>
                <w:sz w:val="20"/>
                <w:szCs w:val="20"/>
                <w:lang w:eastAsia="ru-RU"/>
              </w:rPr>
              <w:t>înlocui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estimări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transmise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eastAsia="ru-RU"/>
              </w:rPr>
              <w:t>inițial</w:t>
            </w:r>
            <w:proofErr w:type="spellEnd"/>
            <w:r w:rsidR="00727FFC" w:rsidRPr="009D0E2C">
              <w:rPr>
                <w:rFonts w:ascii="Times New Roman" w:hAnsi="Times New Roman"/>
                <w:color w:val="000000" w:themeColor="text1"/>
                <w:sz w:val="20"/>
                <w:szCs w:val="20"/>
                <w:lang w:eastAsia="ru-RU"/>
              </w:rPr>
              <w:t>;</w:t>
            </w:r>
          </w:p>
        </w:tc>
        <w:tc>
          <w:tcPr>
            <w:tcW w:w="4541" w:type="dxa"/>
            <w:shd w:val="clear" w:color="auto" w:fill="auto"/>
          </w:tcPr>
          <w:p w14:paraId="7411089E" w14:textId="22998336" w:rsidR="00471502" w:rsidRPr="009A3CE2" w:rsidRDefault="00471502" w:rsidP="009A3CE2">
            <w:pPr>
              <w:shd w:val="clear" w:color="auto" w:fill="FFFFFF"/>
              <w:tabs>
                <w:tab w:val="left" w:pos="993"/>
              </w:tabs>
              <w:adjustRightInd w:val="0"/>
              <w:jc w:val="both"/>
              <w:textAlignment w:val="top"/>
              <w:rPr>
                <w:rFonts w:ascii="Times New Roman" w:hAnsi="Times New Roman"/>
                <w:sz w:val="20"/>
                <w:szCs w:val="20"/>
                <w:lang w:val="ro-RO" w:eastAsia="ro-RO" w:bidi="or-IN"/>
              </w:rPr>
            </w:pPr>
          </w:p>
        </w:tc>
        <w:tc>
          <w:tcPr>
            <w:tcW w:w="1276" w:type="dxa"/>
            <w:shd w:val="clear" w:color="auto" w:fill="auto"/>
          </w:tcPr>
          <w:p w14:paraId="4C849620" w14:textId="6F1ACDCB" w:rsidR="00471502" w:rsidRPr="00C951E7" w:rsidRDefault="007A5423" w:rsidP="00727FFC">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727FFC" w:rsidRPr="00C951E7">
              <w:rPr>
                <w:rFonts w:ascii="Times New Roman" w:hAnsi="Times New Roman"/>
                <w:sz w:val="20"/>
                <w:szCs w:val="20"/>
                <w:lang w:val="ro-RO"/>
              </w:rPr>
              <w:t>ompatibil</w:t>
            </w:r>
          </w:p>
        </w:tc>
        <w:tc>
          <w:tcPr>
            <w:tcW w:w="1275" w:type="dxa"/>
            <w:shd w:val="clear" w:color="auto" w:fill="auto"/>
          </w:tcPr>
          <w:p w14:paraId="158025DD" w14:textId="77777777" w:rsidR="00471502" w:rsidRPr="00C951E7" w:rsidRDefault="00471502" w:rsidP="00727FFC">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03959C3" w14:textId="24671B92" w:rsidR="00471502" w:rsidRPr="00C951E7" w:rsidRDefault="00C06AB8" w:rsidP="00727FFC">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Pr="00D70655">
              <w:rPr>
                <w:rFonts w:ascii="Times New Roman" w:hAnsi="Times New Roman"/>
                <w:sz w:val="20"/>
                <w:szCs w:val="20"/>
                <w:lang w:val="ro-RO" w:eastAsia="ru-RU"/>
              </w:rPr>
              <w:t>„</w:t>
            </w:r>
            <w:r>
              <w:rPr>
                <w:rFonts w:ascii="Times New Roman" w:hAnsi="Times New Roman"/>
                <w:sz w:val="20"/>
                <w:szCs w:val="20"/>
                <w:lang w:val="ro-RO" w:eastAsia="ru-RU"/>
              </w:rPr>
              <w:t>corecții tehnice</w:t>
            </w:r>
            <w:r w:rsidRPr="00D70655">
              <w:rPr>
                <w:rFonts w:ascii="Times New Roman" w:hAnsi="Times New Roman"/>
                <w:sz w:val="20"/>
                <w:szCs w:val="20"/>
                <w:lang w:val="ro-RO" w:eastAsia="ru-RU"/>
              </w:rPr>
              <w:t xml:space="preserve">” </w:t>
            </w:r>
            <w:r>
              <w:rPr>
                <w:rFonts w:ascii="Times New Roman" w:eastAsia="Times New Roman" w:hAnsi="Times New Roman"/>
                <w:sz w:val="20"/>
                <w:szCs w:val="20"/>
                <w:lang w:val="ro-RO"/>
              </w:rPr>
              <w:t xml:space="preserve">este </w:t>
            </w:r>
            <w:r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Pr="00D70655">
              <w:rPr>
                <w:rFonts w:ascii="Times New Roman" w:eastAsia="Times New Roman" w:hAnsi="Times New Roman"/>
                <w:sz w:val="20"/>
                <w:szCs w:val="20"/>
                <w:lang w:val="ro-RO"/>
              </w:rPr>
              <w:t xml:space="preserve"> în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1277/2018</w:t>
            </w:r>
          </w:p>
        </w:tc>
        <w:tc>
          <w:tcPr>
            <w:tcW w:w="1464" w:type="dxa"/>
            <w:shd w:val="clear" w:color="auto" w:fill="auto"/>
          </w:tcPr>
          <w:p w14:paraId="7203E874" w14:textId="77777777" w:rsidR="00B022DC" w:rsidRPr="003F755D" w:rsidRDefault="00B022DC" w:rsidP="00B022DC">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18142645" w14:textId="77777777" w:rsidR="000252B4" w:rsidRDefault="000252B4" w:rsidP="000252B4">
            <w:pPr>
              <w:autoSpaceDE w:val="0"/>
              <w:spacing w:after="0" w:line="240" w:lineRule="auto"/>
              <w:rPr>
                <w:rFonts w:ascii="Times New Roman" w:hAnsi="Times New Roman"/>
                <w:sz w:val="20"/>
                <w:szCs w:val="20"/>
                <w:lang w:val="ro-RO"/>
              </w:rPr>
            </w:pPr>
          </w:p>
          <w:p w14:paraId="559C5082" w14:textId="10CCB3A3" w:rsidR="000252B4" w:rsidRPr="00C951E7" w:rsidRDefault="000252B4" w:rsidP="000252B4">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 de Mediu</w:t>
            </w:r>
          </w:p>
          <w:p w14:paraId="1ACE28E7" w14:textId="77777777" w:rsidR="00B022DC" w:rsidRPr="003F755D" w:rsidRDefault="00B022DC" w:rsidP="00B13DCB">
            <w:pPr>
              <w:autoSpaceDE w:val="0"/>
              <w:spacing w:after="0" w:line="240" w:lineRule="auto"/>
              <w:rPr>
                <w:rFonts w:ascii="Times New Roman" w:hAnsi="Times New Roman"/>
                <w:sz w:val="20"/>
                <w:szCs w:val="20"/>
                <w:shd w:val="clear" w:color="auto" w:fill="FFFFFF"/>
                <w:lang w:val="ro-RO"/>
              </w:rPr>
            </w:pPr>
          </w:p>
          <w:p w14:paraId="63357CCF" w14:textId="3405A3C0" w:rsidR="00471502" w:rsidRPr="00983E1A" w:rsidRDefault="00471502" w:rsidP="00B13DCB">
            <w:pPr>
              <w:autoSpaceDE w:val="0"/>
              <w:spacing w:after="0" w:line="240" w:lineRule="auto"/>
              <w:rPr>
                <w:rFonts w:ascii="Times New Roman" w:hAnsi="Times New Roman"/>
                <w:sz w:val="20"/>
                <w:szCs w:val="20"/>
                <w:shd w:val="clear" w:color="auto" w:fill="FFFFFF"/>
                <w:lang w:val="ro-RO"/>
              </w:rPr>
            </w:pPr>
          </w:p>
        </w:tc>
      </w:tr>
      <w:tr w:rsidR="00471502" w:rsidRPr="00C951E7" w14:paraId="3BC563B6" w14:textId="77777777" w:rsidTr="009F5405">
        <w:trPr>
          <w:trHeight w:val="776"/>
        </w:trPr>
        <w:tc>
          <w:tcPr>
            <w:tcW w:w="4810" w:type="dxa"/>
            <w:shd w:val="clear" w:color="auto" w:fill="auto"/>
          </w:tcPr>
          <w:p w14:paraId="5AB4F24D" w14:textId="01CF3BE9" w:rsidR="00471502" w:rsidRPr="00727FFC" w:rsidRDefault="00B022DC" w:rsidP="00471502">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eastAsia="ru-RU"/>
              </w:rPr>
              <w:t>(</w:t>
            </w:r>
            <w:proofErr w:type="gramStart"/>
            <w:r w:rsidRPr="009D0E2C">
              <w:rPr>
                <w:rFonts w:ascii="Times New Roman" w:hAnsi="Times New Roman"/>
                <w:color w:val="000000" w:themeColor="text1"/>
                <w:sz w:val="20"/>
                <w:szCs w:val="20"/>
                <w:lang w:eastAsia="ru-RU"/>
              </w:rPr>
              <w:t>16)</w:t>
            </w:r>
            <w:r w:rsidR="00727FFC" w:rsidRPr="009D0E2C">
              <w:rPr>
                <w:rFonts w:ascii="Times New Roman" w:hAnsi="Times New Roman"/>
                <w:color w:val="000000" w:themeColor="text1"/>
                <w:sz w:val="20"/>
                <w:szCs w:val="20"/>
                <w:lang w:eastAsia="ru-RU"/>
              </w:rPr>
              <w:t>„</w:t>
            </w:r>
            <w:proofErr w:type="spellStart"/>
            <w:proofErr w:type="gramEnd"/>
            <w:r w:rsidR="00727FFC" w:rsidRPr="009D0E2C">
              <w:rPr>
                <w:rFonts w:ascii="Times New Roman" w:hAnsi="Times New Roman"/>
                <w:color w:val="000000" w:themeColor="text1"/>
                <w:sz w:val="20"/>
                <w:szCs w:val="20"/>
                <w:lang w:val="en-US" w:eastAsia="ru-RU"/>
              </w:rPr>
              <w:t>asigurarea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calit</w:t>
            </w:r>
            <w:r w:rsidR="00727FFC" w:rsidRPr="009D0E2C">
              <w:rPr>
                <w:rFonts w:ascii="Times New Roman" w:hAnsi="Times New Roman"/>
                <w:color w:val="000000" w:themeColor="text1"/>
                <w:sz w:val="20"/>
                <w:szCs w:val="20"/>
                <w:lang w:eastAsia="ru-RU"/>
              </w:rPr>
              <w:t>ăț</w:t>
            </w:r>
            <w:proofErr w:type="spellEnd"/>
            <w:r w:rsidR="00727FFC" w:rsidRPr="009D0E2C">
              <w:rPr>
                <w:rFonts w:ascii="Times New Roman" w:hAnsi="Times New Roman"/>
                <w:color w:val="000000" w:themeColor="text1"/>
                <w:sz w:val="20"/>
                <w:szCs w:val="20"/>
                <w:lang w:val="en-US" w:eastAsia="ru-RU"/>
              </w:rPr>
              <w:t>ii</w:t>
            </w:r>
            <w:r w:rsidR="00727FFC" w:rsidRPr="009D0E2C">
              <w:rPr>
                <w:rFonts w:ascii="Times New Roman" w:hAnsi="Times New Roman"/>
                <w:color w:val="000000" w:themeColor="text1"/>
                <w:sz w:val="20"/>
                <w:szCs w:val="20"/>
                <w:lang w:eastAsia="ru-RU"/>
              </w:rPr>
              <w:t>” î</w:t>
            </w:r>
            <w:proofErr w:type="spellStart"/>
            <w:r w:rsidR="00727FFC" w:rsidRPr="009D0E2C">
              <w:rPr>
                <w:rFonts w:ascii="Times New Roman" w:hAnsi="Times New Roman"/>
                <w:color w:val="000000" w:themeColor="text1"/>
                <w:sz w:val="20"/>
                <w:szCs w:val="20"/>
                <w:lang w:val="en-US" w:eastAsia="ru-RU"/>
              </w:rPr>
              <w:t>nseamn</w:t>
            </w:r>
            <w:proofErr w:type="spellEnd"/>
            <w:r w:rsidR="00727FFC" w:rsidRPr="009D0E2C">
              <w:rPr>
                <w:rFonts w:ascii="Times New Roman" w:hAnsi="Times New Roman"/>
                <w:color w:val="000000" w:themeColor="text1"/>
                <w:sz w:val="20"/>
                <w:szCs w:val="20"/>
                <w:lang w:eastAsia="ru-RU"/>
              </w:rPr>
              <w:t xml:space="preserve">ă </w:t>
            </w:r>
            <w:r w:rsidR="00727FFC" w:rsidRPr="009D0E2C">
              <w:rPr>
                <w:rFonts w:ascii="Times New Roman" w:hAnsi="Times New Roman"/>
                <w:color w:val="000000" w:themeColor="text1"/>
                <w:sz w:val="20"/>
                <w:szCs w:val="20"/>
                <w:lang w:val="en-US" w:eastAsia="ru-RU"/>
              </w:rPr>
              <w:t>un</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sistem</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planificat</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de</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proceduri</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de</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revizuire</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care</w:t>
            </w:r>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s</w:t>
            </w:r>
            <w:r w:rsidR="00727FFC" w:rsidRPr="009D0E2C">
              <w:rPr>
                <w:rFonts w:ascii="Times New Roman" w:hAnsi="Times New Roman"/>
                <w:color w:val="000000" w:themeColor="text1"/>
                <w:sz w:val="20"/>
                <w:szCs w:val="20"/>
                <w:lang w:eastAsia="ru-RU"/>
              </w:rPr>
              <w:t xml:space="preserve">ă </w:t>
            </w:r>
            <w:proofErr w:type="spellStart"/>
            <w:r w:rsidR="00727FFC" w:rsidRPr="009D0E2C">
              <w:rPr>
                <w:rFonts w:ascii="Times New Roman" w:hAnsi="Times New Roman"/>
                <w:color w:val="000000" w:themeColor="text1"/>
                <w:sz w:val="20"/>
                <w:szCs w:val="20"/>
                <w:lang w:val="en-US" w:eastAsia="ru-RU"/>
              </w:rPr>
              <w:t>garanteze</w:t>
            </w:r>
            <w:proofErr w:type="spellEnd"/>
            <w:r w:rsidR="00727FFC" w:rsidRPr="009D0E2C">
              <w:rPr>
                <w:rFonts w:ascii="Times New Roman" w:hAnsi="Times New Roman"/>
                <w:color w:val="000000" w:themeColor="text1"/>
                <w:sz w:val="20"/>
                <w:szCs w:val="20"/>
                <w:lang w:eastAsia="ru-RU"/>
              </w:rPr>
              <w:t xml:space="preserve"> î</w:t>
            </w:r>
            <w:proofErr w:type="spellStart"/>
            <w:r w:rsidR="00727FFC" w:rsidRPr="009D0E2C">
              <w:rPr>
                <w:rFonts w:ascii="Times New Roman" w:hAnsi="Times New Roman"/>
                <w:color w:val="000000" w:themeColor="text1"/>
                <w:sz w:val="20"/>
                <w:szCs w:val="20"/>
                <w:lang w:val="en-US" w:eastAsia="ru-RU"/>
              </w:rPr>
              <w:t>ndeplinirea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obiectivelor</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privind</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calitatea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datelor</w:t>
            </w:r>
            <w:proofErr w:type="spellEnd"/>
            <w:r w:rsidR="00727FFC" w:rsidRPr="009D0E2C">
              <w:rPr>
                <w:rFonts w:ascii="Times New Roman" w:hAnsi="Times New Roman"/>
                <w:color w:val="000000" w:themeColor="text1"/>
                <w:sz w:val="20"/>
                <w:szCs w:val="20"/>
                <w:lang w:eastAsia="ru-RU"/>
              </w:rPr>
              <w:t xml:space="preserve"> ș</w:t>
            </w:r>
            <w:proofErr w:type="spellStart"/>
            <w:r w:rsidR="00727FFC" w:rsidRPr="009D0E2C">
              <w:rPr>
                <w:rFonts w:ascii="Times New Roman" w:hAnsi="Times New Roman"/>
                <w:color w:val="000000" w:themeColor="text1"/>
                <w:sz w:val="20"/>
                <w:szCs w:val="20"/>
                <w:lang w:val="en-US" w:eastAsia="ru-RU"/>
              </w:rPr>
              <w:t>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raportarea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celor</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mai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bune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estim</w:t>
            </w:r>
            <w:proofErr w:type="spellEnd"/>
            <w:r w:rsidR="00727FFC" w:rsidRPr="009D0E2C">
              <w:rPr>
                <w:rFonts w:ascii="Times New Roman" w:hAnsi="Times New Roman"/>
                <w:color w:val="000000" w:themeColor="text1"/>
                <w:sz w:val="20"/>
                <w:szCs w:val="20"/>
                <w:lang w:eastAsia="ru-RU"/>
              </w:rPr>
              <w:t>ă</w:t>
            </w:r>
            <w:proofErr w:type="spellStart"/>
            <w:r w:rsidR="00727FFC" w:rsidRPr="009D0E2C">
              <w:rPr>
                <w:rFonts w:ascii="Times New Roman" w:hAnsi="Times New Roman"/>
                <w:color w:val="000000" w:themeColor="text1"/>
                <w:sz w:val="20"/>
                <w:szCs w:val="20"/>
                <w:lang w:val="en-US" w:eastAsia="ru-RU"/>
              </w:rPr>
              <w:t>ri</w:t>
            </w:r>
            <w:proofErr w:type="spellEnd"/>
            <w:r w:rsidR="00727FFC" w:rsidRPr="009D0E2C">
              <w:rPr>
                <w:rFonts w:ascii="Times New Roman" w:hAnsi="Times New Roman"/>
                <w:color w:val="000000" w:themeColor="text1"/>
                <w:sz w:val="20"/>
                <w:szCs w:val="20"/>
                <w:lang w:eastAsia="ru-RU"/>
              </w:rPr>
              <w:t xml:space="preserve"> ș</w:t>
            </w:r>
            <w:proofErr w:type="spellStart"/>
            <w:r w:rsidR="00727FFC" w:rsidRPr="009D0E2C">
              <w:rPr>
                <w:rFonts w:ascii="Times New Roman" w:hAnsi="Times New Roman"/>
                <w:color w:val="000000" w:themeColor="text1"/>
                <w:sz w:val="20"/>
                <w:szCs w:val="20"/>
                <w:lang w:val="en-US" w:eastAsia="ru-RU"/>
              </w:rPr>
              <w:t>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informa</w:t>
            </w:r>
            <w:proofErr w:type="spellEnd"/>
            <w:r w:rsidR="00727FFC" w:rsidRPr="009D0E2C">
              <w:rPr>
                <w:rFonts w:ascii="Times New Roman" w:hAnsi="Times New Roman"/>
                <w:color w:val="000000" w:themeColor="text1"/>
                <w:sz w:val="20"/>
                <w:szCs w:val="20"/>
                <w:lang w:eastAsia="ru-RU"/>
              </w:rPr>
              <w:t>ț</w:t>
            </w:r>
            <w:r w:rsidR="00727FFC" w:rsidRPr="009D0E2C">
              <w:rPr>
                <w:rFonts w:ascii="Times New Roman" w:hAnsi="Times New Roman"/>
                <w:color w:val="000000" w:themeColor="text1"/>
                <w:sz w:val="20"/>
                <w:szCs w:val="20"/>
                <w:lang w:val="en-US" w:eastAsia="ru-RU"/>
              </w:rPr>
              <w:t>ii</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posibile</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pentru</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a</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sprijini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eficacitatea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programului</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de</w:t>
            </w:r>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control</w:t>
            </w:r>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al</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calit</w:t>
            </w:r>
            <w:r w:rsidR="00727FFC" w:rsidRPr="009D0E2C">
              <w:rPr>
                <w:rFonts w:ascii="Times New Roman" w:hAnsi="Times New Roman"/>
                <w:color w:val="000000" w:themeColor="text1"/>
                <w:sz w:val="20"/>
                <w:szCs w:val="20"/>
                <w:lang w:eastAsia="ru-RU"/>
              </w:rPr>
              <w:t>ăț</w:t>
            </w:r>
            <w:proofErr w:type="spellEnd"/>
            <w:r w:rsidR="00727FFC" w:rsidRPr="009D0E2C">
              <w:rPr>
                <w:rFonts w:ascii="Times New Roman" w:hAnsi="Times New Roman"/>
                <w:color w:val="000000" w:themeColor="text1"/>
                <w:sz w:val="20"/>
                <w:szCs w:val="20"/>
                <w:lang w:val="en-US" w:eastAsia="ru-RU"/>
              </w:rPr>
              <w:t>ii</w:t>
            </w:r>
            <w:r w:rsidR="00727FFC" w:rsidRPr="009D0E2C">
              <w:rPr>
                <w:rFonts w:ascii="Times New Roman" w:hAnsi="Times New Roman"/>
                <w:color w:val="000000" w:themeColor="text1"/>
                <w:sz w:val="20"/>
                <w:szCs w:val="20"/>
                <w:lang w:eastAsia="ru-RU"/>
              </w:rPr>
              <w:t xml:space="preserve"> ș</w:t>
            </w:r>
            <w:proofErr w:type="spellStart"/>
            <w:r w:rsidR="00727FFC" w:rsidRPr="009D0E2C">
              <w:rPr>
                <w:rFonts w:ascii="Times New Roman" w:hAnsi="Times New Roman"/>
                <w:color w:val="000000" w:themeColor="text1"/>
                <w:sz w:val="20"/>
                <w:szCs w:val="20"/>
                <w:lang w:val="en-US" w:eastAsia="ru-RU"/>
              </w:rPr>
              <w:t>i</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pentru</w:t>
            </w:r>
            <w:proofErr w:type="spellEnd"/>
            <w:r w:rsidR="00727FFC" w:rsidRPr="009D0E2C">
              <w:rPr>
                <w:rFonts w:ascii="Times New Roman" w:hAnsi="Times New Roman"/>
                <w:color w:val="000000" w:themeColor="text1"/>
                <w:sz w:val="20"/>
                <w:szCs w:val="20"/>
                <w:lang w:eastAsia="ru-RU"/>
              </w:rPr>
              <w:t xml:space="preserve"> </w:t>
            </w:r>
            <w:r w:rsidR="00727FFC" w:rsidRPr="009D0E2C">
              <w:rPr>
                <w:rFonts w:ascii="Times New Roman" w:hAnsi="Times New Roman"/>
                <w:color w:val="000000" w:themeColor="text1"/>
                <w:sz w:val="20"/>
                <w:szCs w:val="20"/>
                <w:lang w:val="en-US" w:eastAsia="ru-RU"/>
              </w:rPr>
              <w:t>a</w:t>
            </w:r>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asista</w:t>
            </w:r>
            <w:proofErr w:type="spellEnd"/>
            <w:r w:rsidR="00727FFC" w:rsidRPr="009D0E2C">
              <w:rPr>
                <w:rFonts w:ascii="Times New Roman" w:hAnsi="Times New Roman"/>
                <w:color w:val="000000" w:themeColor="text1"/>
                <w:sz w:val="20"/>
                <w:szCs w:val="20"/>
                <w:lang w:eastAsia="ru-RU"/>
              </w:rPr>
              <w:t xml:space="preserve"> </w:t>
            </w:r>
            <w:proofErr w:type="spellStart"/>
            <w:r w:rsidR="00727FFC" w:rsidRPr="009D0E2C">
              <w:rPr>
                <w:rFonts w:ascii="Times New Roman" w:hAnsi="Times New Roman"/>
                <w:color w:val="000000" w:themeColor="text1"/>
                <w:sz w:val="20"/>
                <w:szCs w:val="20"/>
                <w:lang w:val="en-US" w:eastAsia="ru-RU"/>
              </w:rPr>
              <w:t>statele</w:t>
            </w:r>
            <w:proofErr w:type="spellEnd"/>
            <w:r w:rsidR="00727FFC" w:rsidRPr="009D0E2C">
              <w:rPr>
                <w:rFonts w:ascii="Times New Roman" w:hAnsi="Times New Roman"/>
                <w:color w:val="000000" w:themeColor="text1"/>
                <w:sz w:val="20"/>
                <w:szCs w:val="20"/>
                <w:lang w:val="en-US" w:eastAsia="ru-RU"/>
              </w:rPr>
              <w:t xml:space="preserve"> </w:t>
            </w:r>
            <w:proofErr w:type="spellStart"/>
            <w:r w:rsidR="00727FFC" w:rsidRPr="009D0E2C">
              <w:rPr>
                <w:rFonts w:ascii="Times New Roman" w:hAnsi="Times New Roman"/>
                <w:color w:val="000000" w:themeColor="text1"/>
                <w:sz w:val="20"/>
                <w:szCs w:val="20"/>
                <w:lang w:val="en-US" w:eastAsia="ru-RU"/>
              </w:rPr>
              <w:t>membre</w:t>
            </w:r>
            <w:proofErr w:type="spellEnd"/>
          </w:p>
        </w:tc>
        <w:tc>
          <w:tcPr>
            <w:tcW w:w="4541" w:type="dxa"/>
            <w:shd w:val="clear" w:color="auto" w:fill="auto"/>
          </w:tcPr>
          <w:p w14:paraId="6AC060EB" w14:textId="299B1ABD" w:rsidR="00471502" w:rsidRPr="00C951E7" w:rsidRDefault="00471502" w:rsidP="00C06AB8">
            <w:pPr>
              <w:pStyle w:val="af0"/>
              <w:shd w:val="clear" w:color="auto" w:fill="FFFFFF"/>
              <w:tabs>
                <w:tab w:val="left" w:pos="993"/>
              </w:tabs>
              <w:adjustRightInd w:val="0"/>
              <w:spacing w:before="0" w:beforeAutospacing="0" w:after="0" w:afterAutospacing="0"/>
              <w:jc w:val="both"/>
              <w:textAlignment w:val="top"/>
              <w:rPr>
                <w:sz w:val="20"/>
                <w:szCs w:val="20"/>
                <w:shd w:val="clear" w:color="auto" w:fill="FFFFFF"/>
              </w:rPr>
            </w:pPr>
          </w:p>
        </w:tc>
        <w:tc>
          <w:tcPr>
            <w:tcW w:w="1276" w:type="dxa"/>
            <w:shd w:val="clear" w:color="auto" w:fill="auto"/>
          </w:tcPr>
          <w:p w14:paraId="6BC1DC7F" w14:textId="77777777" w:rsidR="00727FFC" w:rsidRPr="00C951E7" w:rsidRDefault="00727FFC" w:rsidP="00727FFC">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7152F541" w14:textId="5621DA55" w:rsidR="00471502" w:rsidRPr="00C951E7" w:rsidRDefault="00471502" w:rsidP="00727FFC">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1697AF4F"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542D245E" w14:textId="5E4B62E3" w:rsidR="00471502" w:rsidRPr="00C951E7" w:rsidRDefault="00727FFC" w:rsidP="00471502">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00DF5D61" w:rsidRPr="00DF5D61">
              <w:rPr>
                <w:rFonts w:ascii="Times New Roman" w:hAnsi="Times New Roman"/>
                <w:sz w:val="20"/>
                <w:szCs w:val="20"/>
                <w:lang w:val="ro-RO" w:eastAsia="ru-RU"/>
              </w:rPr>
              <w:t xml:space="preserve">„asigurarea calității” </w:t>
            </w:r>
            <w:r>
              <w:rPr>
                <w:rFonts w:ascii="Times New Roman" w:eastAsia="Times New Roman" w:hAnsi="Times New Roman"/>
                <w:sz w:val="20"/>
                <w:szCs w:val="20"/>
                <w:lang w:val="ro-RO"/>
              </w:rPr>
              <w:t xml:space="preserve">este </w:t>
            </w:r>
            <w:r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Pr="00D70655">
              <w:rPr>
                <w:rFonts w:ascii="Times New Roman" w:eastAsia="Times New Roman" w:hAnsi="Times New Roman"/>
                <w:sz w:val="20"/>
                <w:szCs w:val="20"/>
                <w:lang w:val="ro-RO"/>
              </w:rPr>
              <w:t xml:space="preserve"> în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 xml:space="preserve">1277/2018 </w:t>
            </w:r>
          </w:p>
        </w:tc>
        <w:tc>
          <w:tcPr>
            <w:tcW w:w="1464" w:type="dxa"/>
            <w:shd w:val="clear" w:color="auto" w:fill="auto"/>
          </w:tcPr>
          <w:p w14:paraId="4ABD4603" w14:textId="77777777" w:rsidR="00727FFC" w:rsidRPr="003F755D" w:rsidRDefault="00727FFC" w:rsidP="00727FFC">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0714F9BC" w14:textId="77777777" w:rsidR="00727FFC" w:rsidRDefault="00727FFC" w:rsidP="000D03E8">
            <w:pPr>
              <w:autoSpaceDE w:val="0"/>
              <w:spacing w:after="0" w:line="240" w:lineRule="auto"/>
              <w:rPr>
                <w:rFonts w:ascii="Times New Roman" w:hAnsi="Times New Roman"/>
                <w:sz w:val="20"/>
                <w:szCs w:val="20"/>
                <w:lang w:val="ro-RO"/>
              </w:rPr>
            </w:pPr>
          </w:p>
          <w:p w14:paraId="686D53DD" w14:textId="4447870E" w:rsidR="000D03E8" w:rsidRPr="00C951E7" w:rsidRDefault="008677F2" w:rsidP="000D03E8">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w:t>
            </w:r>
            <w:r w:rsidR="000D03E8" w:rsidRPr="00C951E7">
              <w:rPr>
                <w:rFonts w:ascii="Times New Roman" w:hAnsi="Times New Roman"/>
                <w:sz w:val="20"/>
                <w:szCs w:val="20"/>
                <w:lang w:val="ro-RO"/>
              </w:rPr>
              <w:t xml:space="preserve"> de Mediu</w:t>
            </w:r>
          </w:p>
          <w:p w14:paraId="62D90C9A" w14:textId="178331AD" w:rsidR="00471502" w:rsidRPr="00C951E7" w:rsidRDefault="00471502" w:rsidP="00471502">
            <w:pPr>
              <w:autoSpaceDE w:val="0"/>
              <w:spacing w:after="0" w:line="240" w:lineRule="auto"/>
              <w:rPr>
                <w:rFonts w:ascii="Times New Roman" w:eastAsia="Times New Roman" w:hAnsi="Times New Roman"/>
                <w:sz w:val="20"/>
                <w:szCs w:val="20"/>
                <w:lang w:val="ro-RO"/>
              </w:rPr>
            </w:pPr>
          </w:p>
        </w:tc>
      </w:tr>
      <w:tr w:rsidR="00471502" w:rsidRPr="00C951E7" w14:paraId="25261B45" w14:textId="77777777" w:rsidTr="009F5405">
        <w:trPr>
          <w:trHeight w:val="615"/>
        </w:trPr>
        <w:tc>
          <w:tcPr>
            <w:tcW w:w="4810" w:type="dxa"/>
            <w:shd w:val="clear" w:color="auto" w:fill="auto"/>
          </w:tcPr>
          <w:p w14:paraId="3869A0BE" w14:textId="4C102553" w:rsidR="00471502" w:rsidRPr="00DF5D61" w:rsidRDefault="00D71AA7" w:rsidP="00471502">
            <w:pPr>
              <w:shd w:val="clear" w:color="auto" w:fill="FFFFFF"/>
              <w:spacing w:after="0" w:line="240" w:lineRule="auto"/>
              <w:jc w:val="both"/>
              <w:rPr>
                <w:rFonts w:ascii="Times New Roman" w:hAnsi="Times New Roman"/>
                <w:sz w:val="20"/>
                <w:szCs w:val="20"/>
              </w:rPr>
            </w:pPr>
            <w:r w:rsidRPr="009D0E2C">
              <w:rPr>
                <w:rFonts w:ascii="Times New Roman" w:hAnsi="Times New Roman"/>
                <w:color w:val="000000" w:themeColor="text1"/>
                <w:sz w:val="20"/>
                <w:szCs w:val="20"/>
                <w:lang w:eastAsia="ru-RU"/>
              </w:rPr>
              <w:t xml:space="preserve">(17) </w:t>
            </w:r>
            <w:r w:rsidR="00DF5D61" w:rsidRPr="009D0E2C">
              <w:rPr>
                <w:rFonts w:ascii="Times New Roman" w:hAnsi="Times New Roman"/>
                <w:color w:val="000000" w:themeColor="text1"/>
                <w:sz w:val="20"/>
                <w:szCs w:val="20"/>
                <w:lang w:eastAsia="ru-RU"/>
              </w:rPr>
              <w:t>„</w:t>
            </w:r>
            <w:proofErr w:type="spellStart"/>
            <w:r w:rsidR="00DF5D61" w:rsidRPr="009D0E2C">
              <w:rPr>
                <w:rFonts w:ascii="Times New Roman" w:hAnsi="Times New Roman"/>
                <w:color w:val="000000" w:themeColor="text1"/>
                <w:sz w:val="20"/>
                <w:szCs w:val="20"/>
                <w:lang w:val="en-US" w:eastAsia="ru-RU"/>
              </w:rPr>
              <w:t>controlul</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calit</w:t>
            </w:r>
            <w:r w:rsidR="00DF5D61" w:rsidRPr="009D0E2C">
              <w:rPr>
                <w:rFonts w:ascii="Times New Roman" w:hAnsi="Times New Roman"/>
                <w:color w:val="000000" w:themeColor="text1"/>
                <w:sz w:val="20"/>
                <w:szCs w:val="20"/>
                <w:lang w:eastAsia="ru-RU"/>
              </w:rPr>
              <w:t>ăț</w:t>
            </w:r>
            <w:proofErr w:type="spellEnd"/>
            <w:r w:rsidR="00DF5D61" w:rsidRPr="009D0E2C">
              <w:rPr>
                <w:rFonts w:ascii="Times New Roman" w:hAnsi="Times New Roman"/>
                <w:color w:val="000000" w:themeColor="text1"/>
                <w:sz w:val="20"/>
                <w:szCs w:val="20"/>
                <w:lang w:val="en-US" w:eastAsia="ru-RU"/>
              </w:rPr>
              <w:t>ii</w:t>
            </w:r>
            <w:r w:rsidR="00DF5D61" w:rsidRPr="009D0E2C">
              <w:rPr>
                <w:rFonts w:ascii="Times New Roman" w:hAnsi="Times New Roman"/>
                <w:color w:val="000000" w:themeColor="text1"/>
                <w:sz w:val="20"/>
                <w:szCs w:val="20"/>
                <w:lang w:eastAsia="ru-RU"/>
              </w:rPr>
              <w:t>” î</w:t>
            </w:r>
            <w:proofErr w:type="spellStart"/>
            <w:r w:rsidR="00DF5D61" w:rsidRPr="009D0E2C">
              <w:rPr>
                <w:rFonts w:ascii="Times New Roman" w:hAnsi="Times New Roman"/>
                <w:color w:val="000000" w:themeColor="text1"/>
                <w:sz w:val="20"/>
                <w:szCs w:val="20"/>
                <w:lang w:val="en-US" w:eastAsia="ru-RU"/>
              </w:rPr>
              <w:t>nseamn</w:t>
            </w:r>
            <w:proofErr w:type="spellEnd"/>
            <w:r w:rsidR="00DF5D61" w:rsidRPr="009D0E2C">
              <w:rPr>
                <w:rFonts w:ascii="Times New Roman" w:hAnsi="Times New Roman"/>
                <w:color w:val="000000" w:themeColor="text1"/>
                <w:sz w:val="20"/>
                <w:szCs w:val="20"/>
                <w:lang w:eastAsia="ru-RU"/>
              </w:rPr>
              <w:t xml:space="preserve">ă </w:t>
            </w:r>
            <w:r w:rsidR="00DF5D61" w:rsidRPr="009D0E2C">
              <w:rPr>
                <w:rFonts w:ascii="Times New Roman" w:hAnsi="Times New Roman"/>
                <w:color w:val="000000" w:themeColor="text1"/>
                <w:sz w:val="20"/>
                <w:szCs w:val="20"/>
                <w:lang w:val="en-US" w:eastAsia="ru-RU"/>
              </w:rPr>
              <w:t>un</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sistem</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activit</w:t>
            </w:r>
            <w:r w:rsidR="00DF5D61" w:rsidRPr="009D0E2C">
              <w:rPr>
                <w:rFonts w:ascii="Times New Roman" w:hAnsi="Times New Roman"/>
                <w:color w:val="000000" w:themeColor="text1"/>
                <w:sz w:val="20"/>
                <w:szCs w:val="20"/>
                <w:lang w:eastAsia="ru-RU"/>
              </w:rPr>
              <w:t>ăț</w:t>
            </w:r>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tehnice</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rutin</w:t>
            </w:r>
            <w:proofErr w:type="spellEnd"/>
            <w:r w:rsidR="00DF5D61" w:rsidRPr="009D0E2C">
              <w:rPr>
                <w:rFonts w:ascii="Times New Roman" w:hAnsi="Times New Roman"/>
                <w:color w:val="000000" w:themeColor="text1"/>
                <w:sz w:val="20"/>
                <w:szCs w:val="20"/>
                <w:lang w:eastAsia="ru-RU"/>
              </w:rPr>
              <w:t xml:space="preserve">ă </w:t>
            </w:r>
            <w:proofErr w:type="spellStart"/>
            <w:r w:rsidR="00DF5D61" w:rsidRPr="009D0E2C">
              <w:rPr>
                <w:rFonts w:ascii="Times New Roman" w:hAnsi="Times New Roman"/>
                <w:color w:val="000000" w:themeColor="text1"/>
                <w:sz w:val="20"/>
                <w:szCs w:val="20"/>
                <w:lang w:val="en-US" w:eastAsia="ru-RU"/>
              </w:rPr>
              <w:t>pentru</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m</w:t>
            </w:r>
            <w:r w:rsidR="00DF5D61" w:rsidRPr="009D0E2C">
              <w:rPr>
                <w:rFonts w:ascii="Times New Roman" w:hAnsi="Times New Roman"/>
                <w:color w:val="000000" w:themeColor="text1"/>
                <w:sz w:val="20"/>
                <w:szCs w:val="20"/>
                <w:lang w:eastAsia="ru-RU"/>
              </w:rPr>
              <w:t>ă</w:t>
            </w:r>
            <w:proofErr w:type="spellStart"/>
            <w:r w:rsidR="00DF5D61" w:rsidRPr="009D0E2C">
              <w:rPr>
                <w:rFonts w:ascii="Times New Roman" w:hAnsi="Times New Roman"/>
                <w:color w:val="000000" w:themeColor="text1"/>
                <w:sz w:val="20"/>
                <w:szCs w:val="20"/>
                <w:lang w:val="en-US" w:eastAsia="ru-RU"/>
              </w:rPr>
              <w:t>surarea</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controlul</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calit</w:t>
            </w:r>
            <w:r w:rsidR="00DF5D61" w:rsidRPr="009D0E2C">
              <w:rPr>
                <w:rFonts w:ascii="Times New Roman" w:hAnsi="Times New Roman"/>
                <w:color w:val="000000" w:themeColor="text1"/>
                <w:sz w:val="20"/>
                <w:szCs w:val="20"/>
                <w:lang w:eastAsia="ru-RU"/>
              </w:rPr>
              <w:t>ăț</w:t>
            </w:r>
            <w:proofErr w:type="spellEnd"/>
            <w:r w:rsidR="00DF5D61" w:rsidRPr="009D0E2C">
              <w:rPr>
                <w:rFonts w:ascii="Times New Roman" w:hAnsi="Times New Roman"/>
                <w:color w:val="000000" w:themeColor="text1"/>
                <w:sz w:val="20"/>
                <w:szCs w:val="20"/>
                <w:lang w:val="en-US" w:eastAsia="ru-RU"/>
              </w:rPr>
              <w:t>ii</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informa</w:t>
            </w:r>
            <w:proofErr w:type="spellEnd"/>
            <w:r w:rsidR="00DF5D61" w:rsidRPr="009D0E2C">
              <w:rPr>
                <w:rFonts w:ascii="Times New Roman" w:hAnsi="Times New Roman"/>
                <w:color w:val="000000" w:themeColor="text1"/>
                <w:sz w:val="20"/>
                <w:szCs w:val="20"/>
                <w:lang w:eastAsia="ru-RU"/>
              </w:rPr>
              <w:t>ț</w:t>
            </w:r>
            <w:proofErr w:type="spellStart"/>
            <w:r w:rsidR="00DF5D61" w:rsidRPr="009D0E2C">
              <w:rPr>
                <w:rFonts w:ascii="Times New Roman" w:hAnsi="Times New Roman"/>
                <w:color w:val="000000" w:themeColor="text1"/>
                <w:sz w:val="20"/>
                <w:szCs w:val="20"/>
                <w:lang w:val="en-US" w:eastAsia="ru-RU"/>
              </w:rPr>
              <w:t>iilor</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gramStart"/>
            <w:r w:rsidR="00DF5D61" w:rsidRPr="009D0E2C">
              <w:rPr>
                <w:rFonts w:ascii="Times New Roman" w:hAnsi="Times New Roman"/>
                <w:color w:val="000000" w:themeColor="text1"/>
                <w:sz w:val="20"/>
                <w:szCs w:val="20"/>
                <w:lang w:val="en-US" w:eastAsia="ru-RU"/>
              </w:rPr>
              <w:t>a</w:t>
            </w:r>
            <w:proofErr w:type="gram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estim</w:t>
            </w:r>
            <w:proofErr w:type="spellEnd"/>
            <w:r w:rsidR="00DF5D61" w:rsidRPr="009D0E2C">
              <w:rPr>
                <w:rFonts w:ascii="Times New Roman" w:hAnsi="Times New Roman"/>
                <w:color w:val="000000" w:themeColor="text1"/>
                <w:sz w:val="20"/>
                <w:szCs w:val="20"/>
                <w:lang w:eastAsia="ru-RU"/>
              </w:rPr>
              <w:t>ă</w:t>
            </w:r>
            <w:proofErr w:type="spellStart"/>
            <w:r w:rsidR="00DF5D61" w:rsidRPr="009D0E2C">
              <w:rPr>
                <w:rFonts w:ascii="Times New Roman" w:hAnsi="Times New Roman"/>
                <w:color w:val="000000" w:themeColor="text1"/>
                <w:sz w:val="20"/>
                <w:szCs w:val="20"/>
                <w:lang w:val="en-US" w:eastAsia="ru-RU"/>
              </w:rPr>
              <w:t>rilor</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compilate</w:t>
            </w:r>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cu</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scopul</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asigura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integritatea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corectitudinea</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integralitatea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datelor</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identifica</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rezolva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ero</w:t>
            </w:r>
            <w:proofErr w:type="spellEnd"/>
            <w:r w:rsidR="00DF5D61" w:rsidRPr="009D0E2C">
              <w:rPr>
                <w:rFonts w:ascii="Times New Roman" w:hAnsi="Times New Roman"/>
                <w:color w:val="000000" w:themeColor="text1"/>
                <w:sz w:val="20"/>
                <w:szCs w:val="20"/>
                <w:lang w:eastAsia="ru-RU"/>
              </w:rPr>
              <w:t>r</w:t>
            </w:r>
            <w:proofErr w:type="spellStart"/>
            <w:r w:rsidR="00DF5D61" w:rsidRPr="009D0E2C">
              <w:rPr>
                <w:rFonts w:ascii="Times New Roman" w:hAnsi="Times New Roman"/>
                <w:color w:val="000000" w:themeColor="text1"/>
                <w:sz w:val="20"/>
                <w:szCs w:val="20"/>
                <w:lang w:val="en-US" w:eastAsia="ru-RU"/>
              </w:rPr>
              <w:t>ile</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omisiunile</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documenta</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arhiva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datele</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alte</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materiale</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folosite</w:t>
            </w:r>
            <w:proofErr w:type="spellEnd"/>
            <w:r w:rsidR="00DF5D61" w:rsidRPr="009D0E2C">
              <w:rPr>
                <w:rFonts w:ascii="Times New Roman" w:hAnsi="Times New Roman"/>
                <w:color w:val="000000" w:themeColor="text1"/>
                <w:sz w:val="20"/>
                <w:szCs w:val="20"/>
                <w:lang w:eastAsia="ru-RU"/>
              </w:rPr>
              <w:t xml:space="preserve"> ș</w:t>
            </w:r>
            <w:proofErr w:type="spellStart"/>
            <w:r w:rsidR="00DF5D61" w:rsidRPr="009D0E2C">
              <w:rPr>
                <w:rFonts w:ascii="Times New Roman" w:hAnsi="Times New Roman"/>
                <w:color w:val="000000" w:themeColor="text1"/>
                <w:sz w:val="20"/>
                <w:szCs w:val="20"/>
                <w:lang w:val="en-US" w:eastAsia="ru-RU"/>
              </w:rPr>
              <w:t>i</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î</w:t>
            </w:r>
            <w:proofErr w:type="spellStart"/>
            <w:r w:rsidR="00DF5D61" w:rsidRPr="009D0E2C">
              <w:rPr>
                <w:rFonts w:ascii="Times New Roman" w:hAnsi="Times New Roman"/>
                <w:color w:val="000000" w:themeColor="text1"/>
                <w:sz w:val="20"/>
                <w:szCs w:val="20"/>
                <w:lang w:val="en-US" w:eastAsia="ru-RU"/>
              </w:rPr>
              <w:t>nregistra</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toate</w:t>
            </w:r>
            <w:proofErr w:type="spellEnd"/>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activit</w:t>
            </w:r>
            <w:r w:rsidR="00DF5D61" w:rsidRPr="009D0E2C">
              <w:rPr>
                <w:rFonts w:ascii="Times New Roman" w:hAnsi="Times New Roman"/>
                <w:color w:val="000000" w:themeColor="text1"/>
                <w:sz w:val="20"/>
                <w:szCs w:val="20"/>
                <w:lang w:eastAsia="ru-RU"/>
              </w:rPr>
              <w:t>ăț</w:t>
            </w:r>
            <w:r w:rsidR="00DF5D61" w:rsidRPr="009D0E2C">
              <w:rPr>
                <w:rFonts w:ascii="Times New Roman" w:hAnsi="Times New Roman"/>
                <w:color w:val="000000" w:themeColor="text1"/>
                <w:sz w:val="20"/>
                <w:szCs w:val="20"/>
                <w:lang w:val="en-US" w:eastAsia="ru-RU"/>
              </w:rPr>
              <w:t>ile</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de</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asigurare</w:t>
            </w:r>
            <w:proofErr w:type="spellEnd"/>
            <w:r w:rsidR="00DF5D61" w:rsidRPr="009D0E2C">
              <w:rPr>
                <w:rFonts w:ascii="Times New Roman" w:hAnsi="Times New Roman"/>
                <w:color w:val="000000" w:themeColor="text1"/>
                <w:sz w:val="20"/>
                <w:szCs w:val="20"/>
                <w:lang w:eastAsia="ru-RU"/>
              </w:rPr>
              <w:t xml:space="preserve"> </w:t>
            </w:r>
            <w:r w:rsidR="00DF5D61" w:rsidRPr="009D0E2C">
              <w:rPr>
                <w:rFonts w:ascii="Times New Roman" w:hAnsi="Times New Roman"/>
                <w:color w:val="000000" w:themeColor="text1"/>
                <w:sz w:val="20"/>
                <w:szCs w:val="20"/>
                <w:lang w:val="en-US" w:eastAsia="ru-RU"/>
              </w:rPr>
              <w:t>a</w:t>
            </w:r>
            <w:r w:rsidR="00DF5D61" w:rsidRPr="009D0E2C">
              <w:rPr>
                <w:rFonts w:ascii="Times New Roman" w:hAnsi="Times New Roman"/>
                <w:color w:val="000000" w:themeColor="text1"/>
                <w:sz w:val="20"/>
                <w:szCs w:val="20"/>
                <w:lang w:eastAsia="ru-RU"/>
              </w:rPr>
              <w:t xml:space="preserve"> </w:t>
            </w:r>
            <w:proofErr w:type="spellStart"/>
            <w:r w:rsidR="00DF5D61" w:rsidRPr="009D0E2C">
              <w:rPr>
                <w:rFonts w:ascii="Times New Roman" w:hAnsi="Times New Roman"/>
                <w:color w:val="000000" w:themeColor="text1"/>
                <w:sz w:val="20"/>
                <w:szCs w:val="20"/>
                <w:lang w:val="en-US" w:eastAsia="ru-RU"/>
              </w:rPr>
              <w:t>calit</w:t>
            </w:r>
            <w:r w:rsidR="00DF5D61" w:rsidRPr="009D0E2C">
              <w:rPr>
                <w:rFonts w:ascii="Times New Roman" w:hAnsi="Times New Roman"/>
                <w:color w:val="000000" w:themeColor="text1"/>
                <w:sz w:val="20"/>
                <w:szCs w:val="20"/>
                <w:lang w:eastAsia="ru-RU"/>
              </w:rPr>
              <w:t>ăț</w:t>
            </w:r>
            <w:proofErr w:type="spellEnd"/>
            <w:r w:rsidR="00DF5D61" w:rsidRPr="009D0E2C">
              <w:rPr>
                <w:rFonts w:ascii="Times New Roman" w:hAnsi="Times New Roman"/>
                <w:color w:val="000000" w:themeColor="text1"/>
                <w:sz w:val="20"/>
                <w:szCs w:val="20"/>
                <w:lang w:val="en-US" w:eastAsia="ru-RU"/>
              </w:rPr>
              <w:t>ii</w:t>
            </w:r>
            <w:r w:rsidR="00DF5D61" w:rsidRPr="009D0E2C">
              <w:rPr>
                <w:rFonts w:ascii="Times New Roman" w:hAnsi="Times New Roman"/>
                <w:color w:val="000000" w:themeColor="text1"/>
                <w:sz w:val="20"/>
                <w:szCs w:val="20"/>
                <w:lang w:eastAsia="ru-RU"/>
              </w:rPr>
              <w:t>;</w:t>
            </w:r>
          </w:p>
        </w:tc>
        <w:tc>
          <w:tcPr>
            <w:tcW w:w="4541" w:type="dxa"/>
            <w:shd w:val="clear" w:color="auto" w:fill="auto"/>
          </w:tcPr>
          <w:p w14:paraId="47485D82" w14:textId="1307D102" w:rsidR="00471502" w:rsidRPr="00B13DCB" w:rsidRDefault="00471502" w:rsidP="00B13DCB">
            <w:pPr>
              <w:pStyle w:val="af3"/>
              <w:spacing w:after="0" w:line="240" w:lineRule="auto"/>
              <w:ind w:left="0"/>
              <w:jc w:val="both"/>
              <w:rPr>
                <w:rFonts w:ascii="Times New Roman" w:hAnsi="Times New Roman"/>
                <w:b/>
                <w:bCs/>
                <w:sz w:val="20"/>
                <w:szCs w:val="20"/>
                <w:lang w:val="ro-RO"/>
              </w:rPr>
            </w:pPr>
          </w:p>
        </w:tc>
        <w:tc>
          <w:tcPr>
            <w:tcW w:w="1276" w:type="dxa"/>
            <w:shd w:val="clear" w:color="auto" w:fill="auto"/>
          </w:tcPr>
          <w:p w14:paraId="76459152" w14:textId="77777777" w:rsidR="00471502" w:rsidRPr="00C951E7" w:rsidRDefault="00471502" w:rsidP="00471502">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3E381ED1" w14:textId="77777777" w:rsidR="00471502" w:rsidRPr="00C951E7" w:rsidRDefault="00471502" w:rsidP="00471502">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0A03028F" w14:textId="5EBB7A9E"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3085D821" w14:textId="30D91503" w:rsidR="00471502" w:rsidRPr="00C951E7" w:rsidRDefault="00DF5D61" w:rsidP="00471502">
            <w:pPr>
              <w:autoSpaceDE w:val="0"/>
              <w:spacing w:after="0" w:line="240" w:lineRule="auto"/>
              <w:rPr>
                <w:rFonts w:ascii="Times New Roman" w:eastAsia="Times New Roman" w:hAnsi="Times New Roman"/>
                <w:sz w:val="20"/>
                <w:szCs w:val="20"/>
                <w:lang w:val="ro-RO"/>
              </w:rPr>
            </w:pPr>
            <w:r w:rsidRPr="00D70655">
              <w:rPr>
                <w:rFonts w:ascii="Times New Roman" w:hAnsi="Times New Roman"/>
                <w:sz w:val="20"/>
                <w:szCs w:val="20"/>
                <w:lang w:val="ro-RO"/>
              </w:rPr>
              <w:t xml:space="preserve">Noțiunea </w:t>
            </w:r>
            <w:r w:rsidR="00C12BB0" w:rsidRPr="00C12BB0">
              <w:rPr>
                <w:rFonts w:ascii="Times New Roman" w:hAnsi="Times New Roman"/>
                <w:sz w:val="20"/>
                <w:szCs w:val="20"/>
                <w:lang w:val="ro-RO" w:eastAsia="ru-RU"/>
              </w:rPr>
              <w:t xml:space="preserve">„controlul </w:t>
            </w:r>
            <w:proofErr w:type="spellStart"/>
            <w:r w:rsidR="00C12BB0" w:rsidRPr="00C12BB0">
              <w:rPr>
                <w:rFonts w:ascii="Times New Roman" w:hAnsi="Times New Roman"/>
                <w:sz w:val="20"/>
                <w:szCs w:val="20"/>
                <w:lang w:val="ro-RO" w:eastAsia="ru-RU"/>
              </w:rPr>
              <w:t>calității”</w:t>
            </w:r>
            <w:r>
              <w:rPr>
                <w:rFonts w:ascii="Times New Roman" w:eastAsia="Times New Roman" w:hAnsi="Times New Roman"/>
                <w:sz w:val="20"/>
                <w:szCs w:val="20"/>
                <w:lang w:val="ro-RO"/>
              </w:rPr>
              <w:t>este</w:t>
            </w:r>
            <w:proofErr w:type="spellEnd"/>
            <w:r>
              <w:rPr>
                <w:rFonts w:ascii="Times New Roman" w:eastAsia="Times New Roman" w:hAnsi="Times New Roman"/>
                <w:sz w:val="20"/>
                <w:szCs w:val="20"/>
                <w:lang w:val="ro-RO"/>
              </w:rPr>
              <w:t xml:space="preserve"> </w:t>
            </w:r>
            <w:r w:rsidRPr="00D70655">
              <w:rPr>
                <w:rFonts w:ascii="Times New Roman" w:eastAsia="Times New Roman" w:hAnsi="Times New Roman"/>
                <w:sz w:val="20"/>
                <w:szCs w:val="20"/>
                <w:lang w:val="ro-RO"/>
              </w:rPr>
              <w:t>transpus</w:t>
            </w:r>
            <w:r>
              <w:rPr>
                <w:rFonts w:ascii="Times New Roman" w:eastAsia="Times New Roman" w:hAnsi="Times New Roman"/>
                <w:sz w:val="20"/>
                <w:szCs w:val="20"/>
                <w:lang w:val="ro-RO"/>
              </w:rPr>
              <w:t>ă</w:t>
            </w:r>
            <w:r w:rsidRPr="00D70655">
              <w:rPr>
                <w:rFonts w:ascii="Times New Roman" w:eastAsia="Times New Roman" w:hAnsi="Times New Roman"/>
                <w:sz w:val="20"/>
                <w:szCs w:val="20"/>
                <w:lang w:val="ro-RO"/>
              </w:rPr>
              <w:t xml:space="preserve"> în </w:t>
            </w:r>
            <w:r w:rsidRPr="00D70655">
              <w:rPr>
                <w:rStyle w:val="apple-converted-space"/>
                <w:rFonts w:ascii="Times New Roman" w:hAnsi="Times New Roman"/>
                <w:sz w:val="20"/>
                <w:szCs w:val="20"/>
                <w:shd w:val="clear" w:color="auto" w:fill="FFFFFF"/>
                <w:lang w:val="ro-RO"/>
              </w:rPr>
              <w:t>HG</w:t>
            </w:r>
            <w:r>
              <w:rPr>
                <w:rStyle w:val="apple-converted-space"/>
                <w:rFonts w:ascii="Times New Roman" w:hAnsi="Times New Roman"/>
                <w:sz w:val="20"/>
                <w:szCs w:val="20"/>
                <w:shd w:val="clear" w:color="auto" w:fill="FFFFFF"/>
                <w:lang w:val="ro-RO"/>
              </w:rPr>
              <w:t xml:space="preserve"> </w:t>
            </w:r>
            <w:r w:rsidRPr="00D70655">
              <w:rPr>
                <w:rStyle w:val="apple-converted-space"/>
                <w:rFonts w:ascii="Times New Roman" w:hAnsi="Times New Roman"/>
                <w:sz w:val="20"/>
                <w:szCs w:val="20"/>
                <w:shd w:val="clear" w:color="auto" w:fill="FFFFFF"/>
                <w:lang w:val="ro-RO"/>
              </w:rPr>
              <w:t>nr.</w:t>
            </w:r>
            <w:r w:rsidRPr="00D70655">
              <w:rPr>
                <w:rFonts w:ascii="Times New Roman" w:hAnsi="Times New Roman"/>
                <w:sz w:val="20"/>
                <w:szCs w:val="20"/>
                <w:lang w:val="ro-RO"/>
              </w:rPr>
              <w:t xml:space="preserve">1277/2018 </w:t>
            </w:r>
          </w:p>
        </w:tc>
        <w:tc>
          <w:tcPr>
            <w:tcW w:w="1464" w:type="dxa"/>
            <w:shd w:val="clear" w:color="auto" w:fill="auto"/>
          </w:tcPr>
          <w:p w14:paraId="1297A5AC" w14:textId="77777777" w:rsidR="00DF5D61" w:rsidRPr="003F755D" w:rsidRDefault="00DF5D61" w:rsidP="00DF5D61">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49385EBF" w14:textId="77777777" w:rsidR="00DF5D61" w:rsidRDefault="00DF5D61" w:rsidP="000D03E8">
            <w:pPr>
              <w:autoSpaceDE w:val="0"/>
              <w:spacing w:after="0" w:line="240" w:lineRule="auto"/>
              <w:rPr>
                <w:rFonts w:ascii="Times New Roman" w:hAnsi="Times New Roman"/>
                <w:sz w:val="20"/>
                <w:szCs w:val="20"/>
                <w:lang w:val="ro-RO"/>
              </w:rPr>
            </w:pPr>
          </w:p>
          <w:p w14:paraId="5FC255C0" w14:textId="6F130F21" w:rsidR="000D03E8" w:rsidRPr="00C951E7" w:rsidRDefault="008677F2" w:rsidP="000D03E8">
            <w:pPr>
              <w:autoSpaceDE w:val="0"/>
              <w:spacing w:after="0" w:line="240" w:lineRule="auto"/>
              <w:rPr>
                <w:rFonts w:ascii="Times New Roman" w:hAnsi="Times New Roman"/>
                <w:sz w:val="20"/>
                <w:szCs w:val="20"/>
                <w:shd w:val="clear" w:color="auto" w:fill="FFFFFF"/>
                <w:lang w:val="ro-RO"/>
              </w:rPr>
            </w:pPr>
            <w:r w:rsidRPr="00C951E7">
              <w:rPr>
                <w:rFonts w:ascii="Times New Roman" w:hAnsi="Times New Roman"/>
                <w:sz w:val="20"/>
                <w:szCs w:val="20"/>
                <w:lang w:val="ro-RO"/>
              </w:rPr>
              <w:t>Agenția</w:t>
            </w:r>
            <w:r w:rsidR="000D03E8" w:rsidRPr="00C951E7">
              <w:rPr>
                <w:rFonts w:ascii="Times New Roman" w:hAnsi="Times New Roman"/>
                <w:sz w:val="20"/>
                <w:szCs w:val="20"/>
                <w:lang w:val="ro-RO"/>
              </w:rPr>
              <w:t xml:space="preserve"> de Mediu</w:t>
            </w:r>
          </w:p>
          <w:p w14:paraId="19C13BF6" w14:textId="1B6DC8EC" w:rsidR="00471502" w:rsidRPr="00C951E7" w:rsidRDefault="00471502" w:rsidP="00471502">
            <w:pPr>
              <w:autoSpaceDE w:val="0"/>
              <w:spacing w:after="0" w:line="240" w:lineRule="auto"/>
              <w:rPr>
                <w:rFonts w:ascii="Times New Roman" w:eastAsia="Times New Roman" w:hAnsi="Times New Roman"/>
                <w:sz w:val="20"/>
                <w:szCs w:val="20"/>
                <w:lang w:val="ro-RO"/>
              </w:rPr>
            </w:pPr>
          </w:p>
        </w:tc>
      </w:tr>
      <w:tr w:rsidR="00471502" w:rsidRPr="007A5423" w14:paraId="45658502" w14:textId="77777777" w:rsidTr="009F5405">
        <w:trPr>
          <w:trHeight w:val="776"/>
        </w:trPr>
        <w:tc>
          <w:tcPr>
            <w:tcW w:w="4810" w:type="dxa"/>
            <w:shd w:val="clear" w:color="auto" w:fill="auto"/>
          </w:tcPr>
          <w:p w14:paraId="0A31EE93" w14:textId="21AE09AE" w:rsidR="00471502" w:rsidRPr="00045B61" w:rsidRDefault="00D71AA7" w:rsidP="00045B61">
            <w:pPr>
              <w:jc w:val="both"/>
              <w:rPr>
                <w:rFonts w:ascii="Times New Roman" w:hAnsi="Times New Roman"/>
                <w:sz w:val="20"/>
                <w:szCs w:val="20"/>
              </w:rPr>
            </w:pPr>
            <w:r>
              <w:rPr>
                <w:rFonts w:ascii="Times New Roman" w:hAnsi="Times New Roman"/>
                <w:sz w:val="20"/>
                <w:szCs w:val="20"/>
                <w:lang w:eastAsia="ru-RU"/>
              </w:rPr>
              <w:t>(18)</w:t>
            </w:r>
            <w:r w:rsidR="00045B61" w:rsidRPr="00045B61">
              <w:rPr>
                <w:rFonts w:ascii="Times New Roman" w:hAnsi="Times New Roman"/>
                <w:sz w:val="20"/>
                <w:szCs w:val="20"/>
                <w:lang w:eastAsia="ru-RU"/>
              </w:rPr>
              <w:t>„</w:t>
            </w:r>
            <w:proofErr w:type="spellStart"/>
            <w:r w:rsidR="00045B61" w:rsidRPr="00045B61">
              <w:rPr>
                <w:rFonts w:ascii="Times New Roman" w:hAnsi="Times New Roman"/>
                <w:sz w:val="20"/>
                <w:szCs w:val="20"/>
                <w:lang w:val="en-US" w:eastAsia="ru-RU"/>
              </w:rPr>
              <w:t>principiul</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eficien</w:t>
            </w:r>
            <w:proofErr w:type="spellEnd"/>
            <w:r w:rsidR="00045B61" w:rsidRPr="00045B61">
              <w:rPr>
                <w:rFonts w:ascii="Times New Roman" w:hAnsi="Times New Roman"/>
                <w:sz w:val="20"/>
                <w:szCs w:val="20"/>
                <w:lang w:eastAsia="ru-RU"/>
              </w:rPr>
              <w:t>ț</w:t>
            </w:r>
            <w:proofErr w:type="spellStart"/>
            <w:r w:rsidR="00045B61" w:rsidRPr="00045B61">
              <w:rPr>
                <w:rFonts w:ascii="Times New Roman" w:hAnsi="Times New Roman"/>
                <w:sz w:val="20"/>
                <w:szCs w:val="20"/>
                <w:lang w:val="en-US" w:eastAsia="ru-RU"/>
              </w:rPr>
              <w:t>a</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energetic</w:t>
            </w:r>
            <w:r w:rsidR="00045B61" w:rsidRPr="00045B61">
              <w:rPr>
                <w:rFonts w:ascii="Times New Roman" w:hAnsi="Times New Roman"/>
                <w:sz w:val="20"/>
                <w:szCs w:val="20"/>
                <w:lang w:eastAsia="ru-RU"/>
              </w:rPr>
              <w:t>ă î</w:t>
            </w:r>
            <w:proofErr w:type="spellStart"/>
            <w:r w:rsidR="00045B61" w:rsidRPr="00045B61">
              <w:rPr>
                <w:rFonts w:ascii="Times New Roman" w:hAnsi="Times New Roman"/>
                <w:sz w:val="20"/>
                <w:szCs w:val="20"/>
                <w:lang w:val="en-US" w:eastAsia="ru-RU"/>
              </w:rPr>
              <w:t>nainte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toate</w:t>
            </w:r>
            <w:proofErr w:type="spellEnd"/>
            <w:r w:rsidR="00045B61" w:rsidRPr="00045B61">
              <w:rPr>
                <w:rFonts w:ascii="Times New Roman" w:hAnsi="Times New Roman"/>
                <w:sz w:val="20"/>
                <w:szCs w:val="20"/>
                <w:lang w:eastAsia="ru-RU"/>
              </w:rPr>
              <w:t>„” î</w:t>
            </w:r>
            <w:proofErr w:type="spellStart"/>
            <w:r w:rsidR="00045B61" w:rsidRPr="00045B61">
              <w:rPr>
                <w:rFonts w:ascii="Times New Roman" w:hAnsi="Times New Roman"/>
                <w:sz w:val="20"/>
                <w:szCs w:val="20"/>
                <w:lang w:val="en-US" w:eastAsia="ru-RU"/>
              </w:rPr>
              <w:t>nseamn</w:t>
            </w:r>
            <w:proofErr w:type="spellEnd"/>
            <w:r w:rsidR="00045B61" w:rsidRPr="00045B61">
              <w:rPr>
                <w:rFonts w:ascii="Times New Roman" w:hAnsi="Times New Roman"/>
                <w:sz w:val="20"/>
                <w:szCs w:val="20"/>
                <w:lang w:eastAsia="ru-RU"/>
              </w:rPr>
              <w:t xml:space="preserve">ă </w:t>
            </w:r>
            <w:r w:rsidR="00045B61" w:rsidRPr="00045B61">
              <w:rPr>
                <w:rFonts w:ascii="Times New Roman" w:hAnsi="Times New Roman"/>
                <w:sz w:val="20"/>
                <w:szCs w:val="20"/>
                <w:lang w:val="en-US" w:eastAsia="ru-RU"/>
              </w:rPr>
              <w:t>c</w:t>
            </w:r>
            <w:r w:rsidR="00045B61" w:rsidRPr="00045B61">
              <w:rPr>
                <w:rFonts w:ascii="Times New Roman" w:hAnsi="Times New Roman"/>
                <w:sz w:val="20"/>
                <w:szCs w:val="20"/>
                <w:lang w:eastAsia="ru-RU"/>
              </w:rPr>
              <w:t>ă î</w:t>
            </w:r>
            <w:r w:rsidR="00045B61" w:rsidRPr="00045B61">
              <w:rPr>
                <w:rFonts w:ascii="Times New Roman" w:hAnsi="Times New Roman"/>
                <w:sz w:val="20"/>
                <w:szCs w:val="20"/>
                <w:lang w:val="en-US" w:eastAsia="ru-RU"/>
              </w:rPr>
              <w:t>n</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planificarea</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energetic</w:t>
            </w:r>
            <w:r w:rsidR="00045B61" w:rsidRPr="00045B61">
              <w:rPr>
                <w:rFonts w:ascii="Times New Roman" w:hAnsi="Times New Roman"/>
                <w:sz w:val="20"/>
                <w:szCs w:val="20"/>
                <w:lang w:eastAsia="ru-RU"/>
              </w:rPr>
              <w:t>ă ș</w:t>
            </w:r>
            <w:proofErr w:type="spellStart"/>
            <w:r w:rsidR="00045B61" w:rsidRPr="00045B61">
              <w:rPr>
                <w:rFonts w:ascii="Times New Roman" w:hAnsi="Times New Roman"/>
                <w:sz w:val="20"/>
                <w:szCs w:val="20"/>
                <w:lang w:val="en-US" w:eastAsia="ru-RU"/>
              </w:rPr>
              <w:t>i</w:t>
            </w:r>
            <w:proofErr w:type="spellEnd"/>
            <w:r w:rsidR="00045B61" w:rsidRPr="00045B61">
              <w:rPr>
                <w:rFonts w:ascii="Times New Roman" w:hAnsi="Times New Roman"/>
                <w:sz w:val="20"/>
                <w:szCs w:val="20"/>
                <w:lang w:eastAsia="ru-RU"/>
              </w:rPr>
              <w:t xml:space="preserve"> î</w:t>
            </w:r>
            <w:r w:rsidR="00045B61" w:rsidRPr="00045B61">
              <w:rPr>
                <w:rFonts w:ascii="Times New Roman" w:hAnsi="Times New Roman"/>
                <w:sz w:val="20"/>
                <w:szCs w:val="20"/>
                <w:lang w:val="en-US" w:eastAsia="ru-RU"/>
              </w:rPr>
              <w:t>n</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deciziile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politici</w:t>
            </w:r>
            <w:proofErr w:type="spellEnd"/>
            <w:r w:rsidR="00045B61" w:rsidRPr="00045B61">
              <w:rPr>
                <w:rFonts w:ascii="Times New Roman" w:hAnsi="Times New Roman"/>
                <w:sz w:val="20"/>
                <w:szCs w:val="20"/>
                <w:lang w:eastAsia="ru-RU"/>
              </w:rPr>
              <w:t xml:space="preserve"> ș</w:t>
            </w:r>
            <w:proofErr w:type="spellStart"/>
            <w:r w:rsidR="00045B61" w:rsidRPr="00045B61">
              <w:rPr>
                <w:rFonts w:ascii="Times New Roman" w:hAnsi="Times New Roman"/>
                <w:sz w:val="20"/>
                <w:szCs w:val="20"/>
                <w:lang w:val="en-US" w:eastAsia="ru-RU"/>
              </w:rPr>
              <w:t>i</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investi</w:t>
            </w:r>
            <w:proofErr w:type="spellEnd"/>
            <w:r w:rsidR="00045B61" w:rsidRPr="00045B61">
              <w:rPr>
                <w:rFonts w:ascii="Times New Roman" w:hAnsi="Times New Roman"/>
                <w:sz w:val="20"/>
                <w:szCs w:val="20"/>
                <w:lang w:eastAsia="ru-RU"/>
              </w:rPr>
              <w:t>ț</w:t>
            </w:r>
            <w:r w:rsidR="00045B61" w:rsidRPr="00045B61">
              <w:rPr>
                <w:rFonts w:ascii="Times New Roman" w:hAnsi="Times New Roman"/>
                <w:sz w:val="20"/>
                <w:szCs w:val="20"/>
                <w:lang w:val="en-US" w:eastAsia="ru-RU"/>
              </w:rPr>
              <w:t>ii</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se</w:t>
            </w:r>
            <w:r w:rsidR="00045B61" w:rsidRPr="00045B61">
              <w:rPr>
                <w:rFonts w:ascii="Times New Roman" w:hAnsi="Times New Roman"/>
                <w:sz w:val="20"/>
                <w:szCs w:val="20"/>
                <w:lang w:eastAsia="ru-RU"/>
              </w:rPr>
              <w:t xml:space="preserve"> ț</w:t>
            </w:r>
            <w:proofErr w:type="spellStart"/>
            <w:r w:rsidR="00045B61" w:rsidRPr="00045B61">
              <w:rPr>
                <w:rFonts w:ascii="Times New Roman" w:hAnsi="Times New Roman"/>
                <w:sz w:val="20"/>
                <w:szCs w:val="20"/>
                <w:lang w:val="en-US" w:eastAsia="ru-RU"/>
              </w:rPr>
              <w:t>ine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seama</w:t>
            </w:r>
            <w:proofErr w:type="spellEnd"/>
            <w:r w:rsidR="00045B61" w:rsidRPr="00045B61">
              <w:rPr>
                <w:rFonts w:ascii="Times New Roman" w:hAnsi="Times New Roman"/>
                <w:sz w:val="20"/>
                <w:szCs w:val="20"/>
                <w:lang w:eastAsia="ru-RU"/>
              </w:rPr>
              <w:t xml:space="preserve"> î</w:t>
            </w:r>
            <w:r w:rsidR="00045B61" w:rsidRPr="00045B61">
              <w:rPr>
                <w:rFonts w:ascii="Times New Roman" w:hAnsi="Times New Roman"/>
                <w:sz w:val="20"/>
                <w:szCs w:val="20"/>
                <w:lang w:val="en-US" w:eastAsia="ru-RU"/>
              </w:rPr>
              <w:t>n</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mod</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strict</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m</w:t>
            </w:r>
            <w:r w:rsidR="00045B61" w:rsidRPr="00045B61">
              <w:rPr>
                <w:rFonts w:ascii="Times New Roman" w:hAnsi="Times New Roman"/>
                <w:sz w:val="20"/>
                <w:szCs w:val="20"/>
                <w:lang w:eastAsia="ru-RU"/>
              </w:rPr>
              <w:t>ă</w:t>
            </w:r>
            <w:proofErr w:type="spellStart"/>
            <w:r w:rsidR="00045B61" w:rsidRPr="00045B61">
              <w:rPr>
                <w:rFonts w:ascii="Times New Roman" w:hAnsi="Times New Roman"/>
                <w:sz w:val="20"/>
                <w:szCs w:val="20"/>
                <w:lang w:val="en-US" w:eastAsia="ru-RU"/>
              </w:rPr>
              <w:t>surile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alternative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rentabile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privind</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eficien</w:t>
            </w:r>
            <w:proofErr w:type="spellEnd"/>
            <w:r w:rsidR="00045B61" w:rsidRPr="00045B61">
              <w:rPr>
                <w:rFonts w:ascii="Times New Roman" w:hAnsi="Times New Roman"/>
                <w:sz w:val="20"/>
                <w:szCs w:val="20"/>
                <w:lang w:eastAsia="ru-RU"/>
              </w:rPr>
              <w:t>ț</w:t>
            </w:r>
            <w:proofErr w:type="spellStart"/>
            <w:r w:rsidR="00045B61" w:rsidRPr="00045B61">
              <w:rPr>
                <w:rFonts w:ascii="Times New Roman" w:hAnsi="Times New Roman"/>
                <w:sz w:val="20"/>
                <w:szCs w:val="20"/>
                <w:lang w:val="en-US" w:eastAsia="ru-RU"/>
              </w:rPr>
              <w:t>a</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energetic</w:t>
            </w:r>
            <w:r w:rsidR="00045B61" w:rsidRPr="00045B61">
              <w:rPr>
                <w:rFonts w:ascii="Times New Roman" w:hAnsi="Times New Roman"/>
                <w:sz w:val="20"/>
                <w:szCs w:val="20"/>
                <w:lang w:eastAsia="ru-RU"/>
              </w:rPr>
              <w:t xml:space="preserve">ă, </w:t>
            </w:r>
            <w:r w:rsidR="00045B61" w:rsidRPr="00045B61">
              <w:rPr>
                <w:rFonts w:ascii="Times New Roman" w:hAnsi="Times New Roman"/>
                <w:sz w:val="20"/>
                <w:szCs w:val="20"/>
                <w:lang w:val="en-US" w:eastAsia="ru-RU"/>
              </w:rPr>
              <w:t>care</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s</w:t>
            </w:r>
            <w:r w:rsidR="00045B61" w:rsidRPr="00045B61">
              <w:rPr>
                <w:rFonts w:ascii="Times New Roman" w:hAnsi="Times New Roman"/>
                <w:sz w:val="20"/>
                <w:szCs w:val="20"/>
                <w:lang w:eastAsia="ru-RU"/>
              </w:rPr>
              <w:t xml:space="preserve">ă </w:t>
            </w:r>
            <w:proofErr w:type="spellStart"/>
            <w:r w:rsidR="00045B61" w:rsidRPr="00045B61">
              <w:rPr>
                <w:rFonts w:ascii="Times New Roman" w:hAnsi="Times New Roman"/>
                <w:sz w:val="20"/>
                <w:szCs w:val="20"/>
                <w:lang w:val="en-US" w:eastAsia="ru-RU"/>
              </w:rPr>
              <w:t>eficientizeze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cererea</w:t>
            </w:r>
            <w:proofErr w:type="spellEnd"/>
            <w:r w:rsidR="00045B61" w:rsidRPr="00045B61">
              <w:rPr>
                <w:rFonts w:ascii="Times New Roman" w:hAnsi="Times New Roman"/>
                <w:sz w:val="20"/>
                <w:szCs w:val="20"/>
                <w:lang w:eastAsia="ru-RU"/>
              </w:rPr>
              <w:t xml:space="preserve"> ș</w:t>
            </w:r>
            <w:proofErr w:type="spellStart"/>
            <w:r w:rsidR="00045B61" w:rsidRPr="00045B61">
              <w:rPr>
                <w:rFonts w:ascii="Times New Roman" w:hAnsi="Times New Roman"/>
                <w:sz w:val="20"/>
                <w:szCs w:val="20"/>
                <w:lang w:val="en-US" w:eastAsia="ru-RU"/>
              </w:rPr>
              <w:t>i</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oferta</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energie</w:t>
            </w:r>
            <w:proofErr w:type="spellEnd"/>
            <w:r w:rsidR="00045B61" w:rsidRPr="00045B61">
              <w:rPr>
                <w:rFonts w:ascii="Times New Roman" w:hAnsi="Times New Roman"/>
                <w:sz w:val="20"/>
                <w:szCs w:val="20"/>
                <w:lang w:eastAsia="ru-RU"/>
              </w:rPr>
              <w:t>, î</w:t>
            </w:r>
            <w:r w:rsidR="00045B61" w:rsidRPr="00045B61">
              <w:rPr>
                <w:rFonts w:ascii="Times New Roman" w:hAnsi="Times New Roman"/>
                <w:sz w:val="20"/>
                <w:szCs w:val="20"/>
                <w:lang w:val="en-US" w:eastAsia="ru-RU"/>
              </w:rPr>
              <w:t>n</w:t>
            </w:r>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special</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prin</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economiile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energie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la</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nivelul</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utiliz</w:t>
            </w:r>
            <w:proofErr w:type="spellEnd"/>
            <w:r w:rsidR="00045B61" w:rsidRPr="00045B61">
              <w:rPr>
                <w:rFonts w:ascii="Times New Roman" w:hAnsi="Times New Roman"/>
                <w:sz w:val="20"/>
                <w:szCs w:val="20"/>
                <w:lang w:eastAsia="ru-RU"/>
              </w:rPr>
              <w:t>ă</w:t>
            </w:r>
            <w:proofErr w:type="spellStart"/>
            <w:r w:rsidR="00045B61" w:rsidRPr="00045B61">
              <w:rPr>
                <w:rFonts w:ascii="Times New Roman" w:hAnsi="Times New Roman"/>
                <w:sz w:val="20"/>
                <w:szCs w:val="20"/>
                <w:lang w:val="en-US" w:eastAsia="ru-RU"/>
              </w:rPr>
              <w:t>rii</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finale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rentabile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din</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punct</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vedere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al</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costurilor</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prin</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ini</w:t>
            </w:r>
            <w:proofErr w:type="spellEnd"/>
            <w:r w:rsidR="00045B61" w:rsidRPr="00045B61">
              <w:rPr>
                <w:rFonts w:ascii="Times New Roman" w:hAnsi="Times New Roman"/>
                <w:sz w:val="20"/>
                <w:szCs w:val="20"/>
                <w:lang w:eastAsia="ru-RU"/>
              </w:rPr>
              <w:t>ț</w:t>
            </w:r>
            <w:proofErr w:type="spellStart"/>
            <w:r w:rsidR="00045B61" w:rsidRPr="00045B61">
              <w:rPr>
                <w:rFonts w:ascii="Times New Roman" w:hAnsi="Times New Roman"/>
                <w:sz w:val="20"/>
                <w:szCs w:val="20"/>
                <w:lang w:val="en-US" w:eastAsia="ru-RU"/>
              </w:rPr>
              <w:t>iative</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lastRenderedPageBreak/>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participare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activ</w:t>
            </w:r>
            <w:proofErr w:type="spellEnd"/>
            <w:r w:rsidR="00045B61" w:rsidRPr="00045B61">
              <w:rPr>
                <w:rFonts w:ascii="Times New Roman" w:hAnsi="Times New Roman"/>
                <w:sz w:val="20"/>
                <w:szCs w:val="20"/>
                <w:lang w:eastAsia="ru-RU"/>
              </w:rPr>
              <w:t xml:space="preserve">ă </w:t>
            </w:r>
            <w:r w:rsidR="00045B61" w:rsidRPr="00045B61">
              <w:rPr>
                <w:rFonts w:ascii="Times New Roman" w:hAnsi="Times New Roman"/>
                <w:sz w:val="20"/>
                <w:szCs w:val="20"/>
                <w:lang w:val="en-US" w:eastAsia="ru-RU"/>
              </w:rPr>
              <w:t>a</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cererii</w:t>
            </w:r>
            <w:proofErr w:type="spellEnd"/>
            <w:r w:rsidR="00045B61" w:rsidRPr="00045B61">
              <w:rPr>
                <w:rFonts w:ascii="Times New Roman" w:hAnsi="Times New Roman"/>
                <w:sz w:val="20"/>
                <w:szCs w:val="20"/>
                <w:lang w:eastAsia="ru-RU"/>
              </w:rPr>
              <w:t xml:space="preserve"> ș</w:t>
            </w:r>
            <w:proofErr w:type="spellStart"/>
            <w:r w:rsidR="00045B61" w:rsidRPr="00045B61">
              <w:rPr>
                <w:rFonts w:ascii="Times New Roman" w:hAnsi="Times New Roman"/>
                <w:sz w:val="20"/>
                <w:szCs w:val="20"/>
                <w:lang w:val="en-US" w:eastAsia="ru-RU"/>
              </w:rPr>
              <w:t>i</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prin</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eficientizarea</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conversiei</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transportului</w:t>
            </w:r>
            <w:proofErr w:type="spellEnd"/>
            <w:r w:rsidR="00045B61" w:rsidRPr="00045B61">
              <w:rPr>
                <w:rFonts w:ascii="Times New Roman" w:hAnsi="Times New Roman"/>
                <w:sz w:val="20"/>
                <w:szCs w:val="20"/>
                <w:lang w:eastAsia="ru-RU"/>
              </w:rPr>
              <w:t xml:space="preserve"> ș</w:t>
            </w:r>
            <w:proofErr w:type="spellStart"/>
            <w:r w:rsidR="00045B61" w:rsidRPr="00045B61">
              <w:rPr>
                <w:rFonts w:ascii="Times New Roman" w:hAnsi="Times New Roman"/>
                <w:sz w:val="20"/>
                <w:szCs w:val="20"/>
                <w:lang w:val="en-US" w:eastAsia="ru-RU"/>
              </w:rPr>
              <w:t>i</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a</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distribu</w:t>
            </w:r>
            <w:proofErr w:type="spellEnd"/>
            <w:r w:rsidR="00045B61" w:rsidRPr="00045B61">
              <w:rPr>
                <w:rFonts w:ascii="Times New Roman" w:hAnsi="Times New Roman"/>
                <w:sz w:val="20"/>
                <w:szCs w:val="20"/>
                <w:lang w:eastAsia="ru-RU"/>
              </w:rPr>
              <w:t>ț</w:t>
            </w:r>
            <w:proofErr w:type="spellStart"/>
            <w:r w:rsidR="00045B61" w:rsidRPr="00045B61">
              <w:rPr>
                <w:rFonts w:ascii="Times New Roman" w:hAnsi="Times New Roman"/>
                <w:sz w:val="20"/>
                <w:szCs w:val="20"/>
                <w:lang w:val="en-US" w:eastAsia="ru-RU"/>
              </w:rPr>
              <w:t>iei</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de</w:t>
            </w:r>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energie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fiind</w:t>
            </w:r>
            <w:proofErr w:type="spellEnd"/>
            <w:r w:rsidR="00045B61" w:rsidRPr="00045B61">
              <w:rPr>
                <w:rFonts w:ascii="Times New Roman" w:hAnsi="Times New Roman"/>
                <w:sz w:val="20"/>
                <w:szCs w:val="20"/>
                <w:lang w:eastAsia="ru-RU"/>
              </w:rPr>
              <w:t xml:space="preserve"> î</w:t>
            </w:r>
            <w:proofErr w:type="spellStart"/>
            <w:r w:rsidR="00045B61" w:rsidRPr="00045B61">
              <w:rPr>
                <w:rFonts w:ascii="Times New Roman" w:hAnsi="Times New Roman"/>
                <w:sz w:val="20"/>
                <w:szCs w:val="20"/>
                <w:lang w:val="en-US" w:eastAsia="ru-RU"/>
              </w:rPr>
              <w:t>ndeplinite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totodat</w:t>
            </w:r>
            <w:proofErr w:type="spellEnd"/>
            <w:r w:rsidR="00045B61" w:rsidRPr="00045B61">
              <w:rPr>
                <w:rFonts w:ascii="Times New Roman" w:hAnsi="Times New Roman"/>
                <w:sz w:val="20"/>
                <w:szCs w:val="20"/>
                <w:lang w:eastAsia="ru-RU"/>
              </w:rPr>
              <w:t xml:space="preserve">ă </w:t>
            </w:r>
            <w:proofErr w:type="spellStart"/>
            <w:r w:rsidR="00045B61" w:rsidRPr="00045B61">
              <w:rPr>
                <w:rFonts w:ascii="Times New Roman" w:hAnsi="Times New Roman"/>
                <w:sz w:val="20"/>
                <w:szCs w:val="20"/>
                <w:lang w:val="en-US" w:eastAsia="ru-RU"/>
              </w:rPr>
              <w:t>obiectivele</w:t>
            </w:r>
            <w:proofErr w:type="spellEnd"/>
            <w:r w:rsidR="00045B61" w:rsidRPr="00045B61">
              <w:rPr>
                <w:rFonts w:ascii="Times New Roman" w:hAnsi="Times New Roman"/>
                <w:sz w:val="20"/>
                <w:szCs w:val="20"/>
                <w:lang w:eastAsia="ru-RU"/>
              </w:rPr>
              <w:t xml:space="preserve"> </w:t>
            </w:r>
            <w:proofErr w:type="spellStart"/>
            <w:r w:rsidR="00045B61" w:rsidRPr="00045B61">
              <w:rPr>
                <w:rFonts w:ascii="Times New Roman" w:hAnsi="Times New Roman"/>
                <w:sz w:val="20"/>
                <w:szCs w:val="20"/>
                <w:lang w:val="en-US" w:eastAsia="ru-RU"/>
              </w:rPr>
              <w:t>deciziilor</w:t>
            </w:r>
            <w:proofErr w:type="spellEnd"/>
            <w:r w:rsidR="00045B61" w:rsidRPr="00045B61">
              <w:rPr>
                <w:rFonts w:ascii="Times New Roman" w:hAnsi="Times New Roman"/>
                <w:sz w:val="20"/>
                <w:szCs w:val="20"/>
                <w:lang w:eastAsia="ru-RU"/>
              </w:rPr>
              <w:t xml:space="preserve"> </w:t>
            </w:r>
            <w:r w:rsidR="00045B61" w:rsidRPr="00045B61">
              <w:rPr>
                <w:rFonts w:ascii="Times New Roman" w:hAnsi="Times New Roman"/>
                <w:sz w:val="20"/>
                <w:szCs w:val="20"/>
                <w:lang w:val="en-US" w:eastAsia="ru-RU"/>
              </w:rPr>
              <w:t>respective</w:t>
            </w:r>
            <w:r w:rsidR="00045B61" w:rsidRPr="00045B61">
              <w:rPr>
                <w:rFonts w:ascii="Times New Roman" w:hAnsi="Times New Roman"/>
                <w:sz w:val="20"/>
                <w:szCs w:val="20"/>
                <w:lang w:eastAsia="ru-RU"/>
              </w:rPr>
              <w:t>;</w:t>
            </w:r>
          </w:p>
        </w:tc>
        <w:tc>
          <w:tcPr>
            <w:tcW w:w="4541" w:type="dxa"/>
            <w:shd w:val="clear" w:color="auto" w:fill="auto"/>
          </w:tcPr>
          <w:p w14:paraId="389A4389" w14:textId="4488B2FF" w:rsidR="00471502" w:rsidRPr="007A5423" w:rsidRDefault="00471502" w:rsidP="007A5423">
            <w:pPr>
              <w:shd w:val="clear" w:color="auto" w:fill="FFFFFF"/>
              <w:spacing w:after="0" w:line="240" w:lineRule="auto"/>
              <w:jc w:val="both"/>
              <w:rPr>
                <w:rFonts w:ascii="Times New Roman" w:hAnsi="Times New Roman"/>
                <w:sz w:val="20"/>
                <w:szCs w:val="20"/>
                <w:shd w:val="clear" w:color="auto" w:fill="FFFFFF"/>
                <w:lang w:val="ro-MD"/>
              </w:rPr>
            </w:pPr>
          </w:p>
        </w:tc>
        <w:tc>
          <w:tcPr>
            <w:tcW w:w="1276" w:type="dxa"/>
            <w:shd w:val="clear" w:color="auto" w:fill="auto"/>
          </w:tcPr>
          <w:p w14:paraId="111DB936" w14:textId="6912F651" w:rsidR="00471502" w:rsidRPr="00C951E7" w:rsidRDefault="007A5423" w:rsidP="00CB6F2C">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045B61" w:rsidRPr="00C951E7">
              <w:rPr>
                <w:rFonts w:ascii="Times New Roman" w:hAnsi="Times New Roman"/>
                <w:sz w:val="20"/>
                <w:szCs w:val="20"/>
                <w:lang w:val="ro-RO"/>
              </w:rPr>
              <w:t>ompatibil</w:t>
            </w:r>
          </w:p>
        </w:tc>
        <w:tc>
          <w:tcPr>
            <w:tcW w:w="1275" w:type="dxa"/>
            <w:shd w:val="clear" w:color="auto" w:fill="auto"/>
          </w:tcPr>
          <w:p w14:paraId="3C57094F" w14:textId="6503704B"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720CFA7B" w14:textId="4588683A" w:rsidR="00471502" w:rsidRPr="00C951E7" w:rsidRDefault="009D0E2C" w:rsidP="00045B61">
            <w:pPr>
              <w:autoSpaceDE w:val="0"/>
              <w:spacing w:after="0" w:line="240" w:lineRule="auto"/>
              <w:rPr>
                <w:rFonts w:ascii="Times New Roman" w:eastAsia="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045B61">
              <w:rPr>
                <w:rFonts w:ascii="Times New Roman" w:hAnsi="Times New Roman"/>
                <w:sz w:val="20"/>
                <w:szCs w:val="20"/>
                <w:lang w:val="en-US" w:eastAsia="ru-RU"/>
              </w:rPr>
              <w:t xml:space="preserve"> </w:t>
            </w:r>
            <w:proofErr w:type="spellStart"/>
            <w:r w:rsidRPr="00045B61">
              <w:rPr>
                <w:rFonts w:ascii="Times New Roman" w:hAnsi="Times New Roman"/>
                <w:sz w:val="20"/>
                <w:szCs w:val="20"/>
                <w:lang w:val="en-US" w:eastAsia="ru-RU"/>
              </w:rPr>
              <w:t>principiul</w:t>
            </w:r>
            <w:proofErr w:type="spellEnd"/>
            <w:r w:rsidRPr="00045B61">
              <w:rPr>
                <w:rFonts w:ascii="Times New Roman" w:hAnsi="Times New Roman"/>
                <w:sz w:val="20"/>
                <w:szCs w:val="20"/>
                <w:lang w:eastAsia="ru-RU"/>
              </w:rPr>
              <w:t xml:space="preserve">” </w:t>
            </w:r>
            <w:proofErr w:type="spellStart"/>
            <w:r w:rsidRPr="00045B61">
              <w:rPr>
                <w:rFonts w:ascii="Times New Roman" w:hAnsi="Times New Roman"/>
                <w:sz w:val="20"/>
                <w:szCs w:val="20"/>
                <w:lang w:val="en-US" w:eastAsia="ru-RU"/>
              </w:rPr>
              <w:t>eficien</w:t>
            </w:r>
            <w:proofErr w:type="spellEnd"/>
            <w:r w:rsidRPr="00045B61">
              <w:rPr>
                <w:rFonts w:ascii="Times New Roman" w:hAnsi="Times New Roman"/>
                <w:sz w:val="20"/>
                <w:szCs w:val="20"/>
                <w:lang w:eastAsia="ru-RU"/>
              </w:rPr>
              <w:t>ț</w:t>
            </w:r>
            <w:proofErr w:type="spellStart"/>
            <w:r w:rsidRPr="00045B61">
              <w:rPr>
                <w:rFonts w:ascii="Times New Roman" w:hAnsi="Times New Roman"/>
                <w:sz w:val="20"/>
                <w:szCs w:val="20"/>
                <w:lang w:val="en-US" w:eastAsia="ru-RU"/>
              </w:rPr>
              <w:t>a</w:t>
            </w:r>
            <w:proofErr w:type="spellEnd"/>
            <w:r w:rsidRPr="00045B61">
              <w:rPr>
                <w:rFonts w:ascii="Times New Roman" w:hAnsi="Times New Roman"/>
                <w:sz w:val="20"/>
                <w:szCs w:val="20"/>
                <w:lang w:eastAsia="ru-RU"/>
              </w:rPr>
              <w:t xml:space="preserve"> </w:t>
            </w:r>
            <w:r w:rsidRPr="00045B61">
              <w:rPr>
                <w:rFonts w:ascii="Times New Roman" w:hAnsi="Times New Roman"/>
                <w:sz w:val="20"/>
                <w:szCs w:val="20"/>
                <w:lang w:val="en-US" w:eastAsia="ru-RU"/>
              </w:rPr>
              <w:t>energetic</w:t>
            </w:r>
            <w:r w:rsidRPr="00045B61">
              <w:rPr>
                <w:rFonts w:ascii="Times New Roman" w:hAnsi="Times New Roman"/>
                <w:sz w:val="20"/>
                <w:szCs w:val="20"/>
                <w:lang w:eastAsia="ru-RU"/>
              </w:rPr>
              <w:t>ă î</w:t>
            </w:r>
            <w:proofErr w:type="spellStart"/>
            <w:r w:rsidRPr="00045B61">
              <w:rPr>
                <w:rFonts w:ascii="Times New Roman" w:hAnsi="Times New Roman"/>
                <w:sz w:val="20"/>
                <w:szCs w:val="20"/>
                <w:lang w:val="en-US" w:eastAsia="ru-RU"/>
              </w:rPr>
              <w:t>nainte</w:t>
            </w:r>
            <w:proofErr w:type="spellEnd"/>
            <w:r w:rsidRPr="00045B61">
              <w:rPr>
                <w:rFonts w:ascii="Times New Roman" w:hAnsi="Times New Roman"/>
                <w:sz w:val="20"/>
                <w:szCs w:val="20"/>
                <w:lang w:eastAsia="ru-RU"/>
              </w:rPr>
              <w:t xml:space="preserve"> </w:t>
            </w:r>
            <w:r w:rsidRPr="00045B61">
              <w:rPr>
                <w:rFonts w:ascii="Times New Roman" w:hAnsi="Times New Roman"/>
                <w:sz w:val="20"/>
                <w:szCs w:val="20"/>
                <w:lang w:val="en-US" w:eastAsia="ru-RU"/>
              </w:rPr>
              <w:t>de</w:t>
            </w:r>
            <w:r w:rsidRPr="00045B61">
              <w:rPr>
                <w:rFonts w:ascii="Times New Roman" w:hAnsi="Times New Roman"/>
                <w:sz w:val="20"/>
                <w:szCs w:val="20"/>
                <w:lang w:eastAsia="ru-RU"/>
              </w:rPr>
              <w:t xml:space="preserve"> </w:t>
            </w:r>
            <w:proofErr w:type="spellStart"/>
            <w:r w:rsidRPr="00045B61">
              <w:rPr>
                <w:rFonts w:ascii="Times New Roman" w:hAnsi="Times New Roman"/>
                <w:sz w:val="20"/>
                <w:szCs w:val="20"/>
                <w:lang w:val="en-US" w:eastAsia="ru-RU"/>
              </w:rPr>
              <w:t>toate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lastRenderedPageBreak/>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1FAF831A" w14:textId="16956EBF" w:rsidR="00E9488A" w:rsidRPr="003F755D" w:rsidRDefault="00E9488A" w:rsidP="00E9488A">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76F23844" w14:textId="58EBEF18" w:rsidR="00471502" w:rsidRPr="00C951E7" w:rsidRDefault="00471502" w:rsidP="00E9488A">
            <w:pPr>
              <w:autoSpaceDE w:val="0"/>
              <w:spacing w:after="0" w:line="240" w:lineRule="auto"/>
              <w:rPr>
                <w:rFonts w:ascii="Times New Roman" w:eastAsia="Times New Roman" w:hAnsi="Times New Roman"/>
                <w:sz w:val="20"/>
                <w:szCs w:val="20"/>
                <w:lang w:val="ro-RO"/>
              </w:rPr>
            </w:pPr>
          </w:p>
        </w:tc>
      </w:tr>
      <w:tr w:rsidR="00471502" w:rsidRPr="00263A32" w14:paraId="0CA7D6A0" w14:textId="77777777" w:rsidTr="009F5405">
        <w:trPr>
          <w:trHeight w:val="776"/>
        </w:trPr>
        <w:tc>
          <w:tcPr>
            <w:tcW w:w="4810" w:type="dxa"/>
            <w:shd w:val="clear" w:color="auto" w:fill="auto"/>
          </w:tcPr>
          <w:p w14:paraId="63CBAAA2" w14:textId="532BA559" w:rsidR="0047394B" w:rsidRPr="0047394B" w:rsidRDefault="0047394B" w:rsidP="0047394B">
            <w:pPr>
              <w:shd w:val="clear" w:color="auto" w:fill="FFFFFF"/>
              <w:spacing w:after="0" w:line="240" w:lineRule="auto"/>
              <w:jc w:val="both"/>
              <w:rPr>
                <w:rFonts w:ascii="Times New Roman" w:hAnsi="Times New Roman"/>
                <w:sz w:val="20"/>
                <w:szCs w:val="20"/>
                <w:lang w:val="ro-MD"/>
              </w:rPr>
            </w:pPr>
            <w:r>
              <w:rPr>
                <w:rFonts w:ascii="Times New Roman" w:hAnsi="Times New Roman"/>
                <w:sz w:val="20"/>
                <w:szCs w:val="20"/>
                <w:lang w:val="ro-MD"/>
              </w:rPr>
              <w:t>19</w:t>
            </w:r>
            <w:r w:rsidRPr="0047394B">
              <w:rPr>
                <w:rFonts w:ascii="Times New Roman" w:hAnsi="Times New Roman"/>
                <w:sz w:val="20"/>
                <w:szCs w:val="20"/>
                <w:lang w:val="ro-MD"/>
              </w:rPr>
              <w:t>.</w:t>
            </w:r>
            <w:r w:rsidRPr="0047394B">
              <w:rPr>
                <w:rFonts w:ascii="Times New Roman" w:hAnsi="Times New Roman"/>
                <w:sz w:val="20"/>
                <w:szCs w:val="20"/>
                <w:lang w:val="ro-MD" w:eastAsia="ru-RU"/>
              </w:rPr>
              <w:t>„Planul SET” înseamnă Planul strategic privind tehnologiile energetice, astfel cum este stabilit în Comunicarea Comisiei din</w:t>
            </w:r>
            <w:r>
              <w:rPr>
                <w:rFonts w:ascii="Times New Roman" w:hAnsi="Times New Roman"/>
                <w:sz w:val="20"/>
                <w:szCs w:val="20"/>
                <w:lang w:val="ro-MD" w:eastAsia="ru-RU"/>
              </w:rPr>
              <w:t xml:space="preserve"> </w:t>
            </w:r>
            <w:r w:rsidRPr="0047394B">
              <w:rPr>
                <w:rFonts w:ascii="Times New Roman" w:hAnsi="Times New Roman"/>
                <w:sz w:val="20"/>
                <w:szCs w:val="20"/>
                <w:lang w:val="ro-MD" w:eastAsia="ru-RU"/>
              </w:rPr>
              <w:t>15</w:t>
            </w:r>
            <w:r>
              <w:rPr>
                <w:rFonts w:ascii="Times New Roman" w:hAnsi="Times New Roman"/>
                <w:sz w:val="20"/>
                <w:szCs w:val="20"/>
                <w:lang w:val="ro-MD" w:eastAsia="ru-RU"/>
              </w:rPr>
              <w:t xml:space="preserve"> </w:t>
            </w:r>
            <w:r w:rsidRPr="0047394B">
              <w:rPr>
                <w:rFonts w:ascii="Times New Roman" w:hAnsi="Times New Roman"/>
                <w:sz w:val="20"/>
                <w:szCs w:val="20"/>
                <w:lang w:val="ro-MD" w:eastAsia="ru-RU"/>
              </w:rPr>
              <w:t>septembrie 2015 intitulată „Către un Plan strategic integrat privind tehnologiile energetice (SET): Accelerarea transformării sistemului energetic european”;</w:t>
            </w:r>
          </w:p>
          <w:p w14:paraId="27C8429B" w14:textId="584C3E71" w:rsidR="00471502" w:rsidRPr="0047394B" w:rsidRDefault="00471502" w:rsidP="00471502">
            <w:pPr>
              <w:shd w:val="clear" w:color="auto" w:fill="FFFFFF"/>
              <w:spacing w:after="0" w:line="240" w:lineRule="auto"/>
              <w:jc w:val="both"/>
              <w:rPr>
                <w:rFonts w:ascii="Times New Roman" w:hAnsi="Times New Roman"/>
                <w:sz w:val="20"/>
                <w:szCs w:val="20"/>
                <w:lang w:val="ro-MD"/>
              </w:rPr>
            </w:pPr>
          </w:p>
        </w:tc>
        <w:tc>
          <w:tcPr>
            <w:tcW w:w="4541" w:type="dxa"/>
            <w:shd w:val="clear" w:color="auto" w:fill="auto"/>
          </w:tcPr>
          <w:p w14:paraId="48B001C9" w14:textId="1F62014A" w:rsidR="00471502" w:rsidRPr="00C951E7" w:rsidRDefault="00471502" w:rsidP="00471502">
            <w:pPr>
              <w:jc w:val="both"/>
              <w:rPr>
                <w:rFonts w:ascii="Times New Roman" w:hAnsi="Times New Roman"/>
                <w:sz w:val="20"/>
                <w:szCs w:val="20"/>
                <w:shd w:val="clear" w:color="auto" w:fill="FFFFFF"/>
                <w:lang w:val="ro-RO"/>
              </w:rPr>
            </w:pPr>
          </w:p>
        </w:tc>
        <w:tc>
          <w:tcPr>
            <w:tcW w:w="1276" w:type="dxa"/>
            <w:shd w:val="clear" w:color="auto" w:fill="auto"/>
          </w:tcPr>
          <w:p w14:paraId="23414ED1" w14:textId="4F6A9408" w:rsidR="00471502" w:rsidRPr="00C951E7" w:rsidRDefault="0047394B" w:rsidP="00E14CC6">
            <w:pPr>
              <w:spacing w:after="0" w:line="240" w:lineRule="auto"/>
              <w:rPr>
                <w:rFonts w:ascii="Times New Roman" w:hAnsi="Times New Roman"/>
                <w:bCs/>
                <w:color w:val="000000" w:themeColor="text1"/>
                <w:sz w:val="20"/>
                <w:szCs w:val="20"/>
                <w:lang w:val="ro-RO"/>
              </w:rPr>
            </w:pPr>
            <w:r w:rsidRPr="00C951E7">
              <w:rPr>
                <w:rFonts w:ascii="Times New Roman" w:hAnsi="Times New Roman"/>
                <w:sz w:val="20"/>
                <w:szCs w:val="20"/>
                <w:lang w:val="ro-RO"/>
              </w:rPr>
              <w:t>Prevederi UE neaplicabile</w:t>
            </w:r>
          </w:p>
        </w:tc>
        <w:tc>
          <w:tcPr>
            <w:tcW w:w="1275" w:type="dxa"/>
            <w:shd w:val="clear" w:color="auto" w:fill="auto"/>
          </w:tcPr>
          <w:p w14:paraId="1B7976C1" w14:textId="084BA1E8"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689D5D15" w14:textId="77777777" w:rsidR="00471502" w:rsidRPr="00D71AA7" w:rsidRDefault="0047394B" w:rsidP="0047394B">
            <w:pPr>
              <w:autoSpaceDE w:val="0"/>
              <w:spacing w:after="0" w:line="240" w:lineRule="auto"/>
              <w:rPr>
                <w:rFonts w:ascii="Times New Roman" w:hAnsi="Times New Roman"/>
                <w:sz w:val="20"/>
                <w:szCs w:val="20"/>
                <w:lang w:val="ro-RO" w:eastAsia="zh-CN"/>
              </w:rPr>
            </w:pPr>
            <w:r w:rsidRPr="00D71AA7">
              <w:rPr>
                <w:rFonts w:ascii="Times New Roman" w:hAnsi="Times New Roman"/>
                <w:sz w:val="20"/>
                <w:szCs w:val="20"/>
                <w:lang w:val="ro-RO" w:eastAsia="zh-CN"/>
              </w:rPr>
              <w:t>Prevederile în cauză nu pot fi transpuse deoarece RM nu este  membrul UE şi nu există legături directe de subordonare între Comisia şi autoritatea de reglementare din RM</w:t>
            </w:r>
            <w:r w:rsidR="00FF68F3" w:rsidRPr="00D71AA7">
              <w:rPr>
                <w:rFonts w:ascii="Times New Roman" w:hAnsi="Times New Roman"/>
                <w:sz w:val="20"/>
                <w:szCs w:val="20"/>
                <w:lang w:val="ro-RO" w:eastAsia="zh-CN"/>
              </w:rPr>
              <w:t>.</w:t>
            </w:r>
          </w:p>
          <w:p w14:paraId="0968F6EF" w14:textId="038EF001" w:rsidR="00FF68F3" w:rsidRPr="00D71AA7" w:rsidRDefault="00FF68F3" w:rsidP="0047394B">
            <w:pPr>
              <w:autoSpaceDE w:val="0"/>
              <w:spacing w:after="0" w:line="240" w:lineRule="auto"/>
              <w:rPr>
                <w:rFonts w:ascii="Times New Roman" w:hAnsi="Times New Roman"/>
                <w:sz w:val="20"/>
                <w:szCs w:val="20"/>
                <w:lang w:val="ro-RO" w:eastAsia="zh-CN"/>
              </w:rPr>
            </w:pPr>
            <w:r w:rsidRPr="00D71AA7">
              <w:rPr>
                <w:rFonts w:ascii="Times New Roman" w:hAnsi="Times New Roman"/>
                <w:sz w:val="20"/>
                <w:szCs w:val="20"/>
                <w:lang w:val="ro-RO"/>
              </w:rPr>
              <w:t xml:space="preserve">Noțiunea </w:t>
            </w:r>
            <w:r w:rsidRPr="00D71AA7">
              <w:rPr>
                <w:rFonts w:ascii="Times New Roman" w:hAnsi="Times New Roman"/>
                <w:sz w:val="20"/>
                <w:szCs w:val="20"/>
                <w:lang w:val="ro-RO" w:eastAsia="ru-RU"/>
              </w:rPr>
              <w:t>„</w:t>
            </w:r>
            <w:r w:rsidRPr="00D71AA7">
              <w:rPr>
                <w:rFonts w:ascii="Times New Roman" w:hAnsi="Times New Roman"/>
                <w:sz w:val="20"/>
                <w:szCs w:val="20"/>
                <w:lang w:val="ro-MD" w:eastAsia="ru-RU"/>
              </w:rPr>
              <w:t xml:space="preserve"> Planul SET</w:t>
            </w:r>
            <w:r w:rsidRPr="00D71AA7">
              <w:rPr>
                <w:rFonts w:ascii="Times New Roman" w:hAnsi="Times New Roman"/>
                <w:sz w:val="20"/>
                <w:szCs w:val="20"/>
                <w:lang w:val="ro-RO" w:eastAsia="ru-RU"/>
              </w:rPr>
              <w:t xml:space="preserve">” nu este prevăzută în </w:t>
            </w:r>
            <w:proofErr w:type="spellStart"/>
            <w:r w:rsidRPr="00D71AA7">
              <w:rPr>
                <w:rFonts w:ascii="Times New Roman" w:hAnsi="Times New Roman"/>
                <w:sz w:val="20"/>
                <w:szCs w:val="20"/>
              </w:rPr>
              <w:t>Regulamentul</w:t>
            </w:r>
            <w:proofErr w:type="spellEnd"/>
            <w:r w:rsidRPr="00D71AA7">
              <w:rPr>
                <w:rFonts w:ascii="Times New Roman" w:hAnsi="Times New Roman"/>
                <w:sz w:val="20"/>
                <w:szCs w:val="20"/>
              </w:rPr>
              <w:t xml:space="preserve"> (UE)</w:t>
            </w:r>
            <w:r w:rsidRPr="00D71AA7">
              <w:rPr>
                <w:rFonts w:ascii="Roboto" w:hAnsi="Roboto"/>
                <w:b/>
                <w:bCs/>
                <w:sz w:val="20"/>
                <w:szCs w:val="20"/>
                <w:shd w:val="clear" w:color="auto" w:fill="FFFFFF"/>
              </w:rPr>
              <w:t xml:space="preserve"> </w:t>
            </w:r>
            <w:r w:rsidRPr="00D71AA7">
              <w:rPr>
                <w:rFonts w:ascii="Times New Roman" w:hAnsi="Times New Roman"/>
                <w:sz w:val="20"/>
                <w:szCs w:val="20"/>
                <w:shd w:val="clear" w:color="auto" w:fill="FFFFFF"/>
              </w:rPr>
              <w:t>2018/1999</w:t>
            </w:r>
          </w:p>
          <w:p w14:paraId="1DCD80E3" w14:textId="4811F663" w:rsidR="00FF68F3" w:rsidRPr="0047394B" w:rsidRDefault="00FF68F3" w:rsidP="0047394B">
            <w:pPr>
              <w:autoSpaceDE w:val="0"/>
              <w:spacing w:after="0" w:line="240" w:lineRule="auto"/>
              <w:rPr>
                <w:rFonts w:ascii="Times New Roman" w:eastAsia="Times New Roman" w:hAnsi="Times New Roman"/>
                <w:sz w:val="20"/>
                <w:szCs w:val="20"/>
                <w:lang w:val="ro-RO"/>
              </w:rPr>
            </w:pPr>
            <w:r w:rsidRPr="00774576">
              <w:rPr>
                <w:rFonts w:ascii="Times New Roman" w:hAnsi="Times New Roman"/>
                <w:sz w:val="20"/>
                <w:szCs w:val="20"/>
                <w:lang w:val="ro-RO"/>
              </w:rPr>
              <w:t>în varianta adaptată și aprobată prin Decizia Consiliului Ministerial al Comunității Energetice nr. 2021/14/MC-</w:t>
            </w:r>
            <w:proofErr w:type="spellStart"/>
            <w:r w:rsidRPr="00774576">
              <w:rPr>
                <w:rFonts w:ascii="Times New Roman" w:hAnsi="Times New Roman"/>
                <w:sz w:val="20"/>
                <w:szCs w:val="20"/>
                <w:lang w:val="ro-RO"/>
              </w:rPr>
              <w:t>EnC</w:t>
            </w:r>
            <w:proofErr w:type="spellEnd"/>
            <w:r w:rsidR="00774576" w:rsidRPr="00774576">
              <w:rPr>
                <w:rFonts w:ascii="Times New Roman" w:hAnsi="Times New Roman"/>
                <w:sz w:val="20"/>
                <w:szCs w:val="20"/>
                <w:lang w:val="ro-RO"/>
              </w:rPr>
              <w:t xml:space="preserve"> și </w:t>
            </w:r>
            <w:r w:rsidR="00774576" w:rsidRPr="00F13819">
              <w:rPr>
                <w:rFonts w:ascii="Times New Roman" w:eastAsia="Times New Roman" w:hAnsi="Times New Roman"/>
                <w:sz w:val="20"/>
                <w:szCs w:val="20"/>
                <w:lang w:val="ro-RO"/>
              </w:rPr>
              <w:t>202</w:t>
            </w:r>
            <w:r w:rsidR="00774576">
              <w:rPr>
                <w:rFonts w:ascii="Times New Roman" w:eastAsia="Times New Roman" w:hAnsi="Times New Roman"/>
                <w:sz w:val="20"/>
                <w:szCs w:val="20"/>
                <w:lang w:val="ro-RO"/>
              </w:rPr>
              <w:t>2</w:t>
            </w:r>
            <w:r w:rsidR="00774576" w:rsidRPr="00F13819">
              <w:rPr>
                <w:rFonts w:ascii="Times New Roman" w:eastAsia="Times New Roman" w:hAnsi="Times New Roman"/>
                <w:sz w:val="20"/>
                <w:szCs w:val="20"/>
                <w:lang w:val="ro-RO"/>
              </w:rPr>
              <w:t>/</w:t>
            </w:r>
            <w:r w:rsidR="00774576">
              <w:rPr>
                <w:rFonts w:ascii="Times New Roman" w:eastAsia="Times New Roman" w:hAnsi="Times New Roman"/>
                <w:sz w:val="20"/>
                <w:szCs w:val="20"/>
                <w:lang w:val="ro-RO"/>
              </w:rPr>
              <w:t>02</w:t>
            </w:r>
            <w:r w:rsidR="00774576" w:rsidRPr="00F13819">
              <w:rPr>
                <w:rFonts w:ascii="Times New Roman" w:eastAsia="Times New Roman" w:hAnsi="Times New Roman"/>
                <w:sz w:val="20"/>
                <w:szCs w:val="20"/>
                <w:lang w:val="ro-RO"/>
              </w:rPr>
              <w:t>/MC-</w:t>
            </w:r>
            <w:proofErr w:type="spellStart"/>
            <w:r w:rsidR="00774576" w:rsidRPr="00F13819">
              <w:rPr>
                <w:rFonts w:ascii="Times New Roman" w:eastAsia="Times New Roman" w:hAnsi="Times New Roman"/>
                <w:sz w:val="20"/>
                <w:szCs w:val="20"/>
                <w:lang w:val="ro-RO"/>
              </w:rPr>
              <w:t>EnC</w:t>
            </w:r>
            <w:proofErr w:type="spellEnd"/>
            <w:r w:rsidR="00774576" w:rsidRPr="00F13819">
              <w:rPr>
                <w:rFonts w:ascii="Times New Roman" w:eastAsia="Times New Roman" w:hAnsi="Times New Roman"/>
                <w:sz w:val="20"/>
                <w:szCs w:val="20"/>
                <w:lang w:val="ro-RO"/>
              </w:rPr>
              <w:t xml:space="preserve"> din </w:t>
            </w:r>
            <w:r w:rsidR="00774576">
              <w:rPr>
                <w:rFonts w:ascii="Times New Roman" w:eastAsia="Times New Roman" w:hAnsi="Times New Roman"/>
                <w:sz w:val="20"/>
                <w:szCs w:val="20"/>
                <w:lang w:val="ro-RO"/>
              </w:rPr>
              <w:t>15</w:t>
            </w:r>
            <w:r w:rsidR="00774576" w:rsidRPr="00F13819">
              <w:rPr>
                <w:rFonts w:ascii="Times New Roman" w:eastAsia="Times New Roman" w:hAnsi="Times New Roman"/>
                <w:sz w:val="20"/>
                <w:szCs w:val="20"/>
                <w:lang w:val="ro-RO"/>
              </w:rPr>
              <w:t>.1</w:t>
            </w:r>
            <w:r w:rsidR="00774576">
              <w:rPr>
                <w:rFonts w:ascii="Times New Roman" w:eastAsia="Times New Roman" w:hAnsi="Times New Roman"/>
                <w:sz w:val="20"/>
                <w:szCs w:val="20"/>
                <w:lang w:val="ro-RO"/>
              </w:rPr>
              <w:t>2</w:t>
            </w:r>
            <w:r w:rsidR="00774576" w:rsidRPr="00F13819">
              <w:rPr>
                <w:rFonts w:ascii="Times New Roman" w:eastAsia="Times New Roman" w:hAnsi="Times New Roman"/>
                <w:sz w:val="20"/>
                <w:szCs w:val="20"/>
                <w:lang w:val="ro-RO"/>
              </w:rPr>
              <w:t>.202</w:t>
            </w:r>
            <w:r w:rsidR="00774576">
              <w:rPr>
                <w:rFonts w:ascii="Times New Roman" w:eastAsia="Times New Roman" w:hAnsi="Times New Roman"/>
                <w:sz w:val="20"/>
                <w:szCs w:val="20"/>
                <w:lang w:val="ro-RO"/>
              </w:rPr>
              <w:t>2</w:t>
            </w:r>
          </w:p>
        </w:tc>
        <w:tc>
          <w:tcPr>
            <w:tcW w:w="1464" w:type="dxa"/>
            <w:shd w:val="clear" w:color="auto" w:fill="auto"/>
          </w:tcPr>
          <w:p w14:paraId="6FD655D6" w14:textId="7D8D3C73" w:rsidR="00471502" w:rsidRPr="00983E1A" w:rsidRDefault="00471502" w:rsidP="0047394B">
            <w:pPr>
              <w:autoSpaceDE w:val="0"/>
              <w:spacing w:after="0" w:line="240" w:lineRule="auto"/>
              <w:rPr>
                <w:rFonts w:ascii="Times New Roman" w:hAnsi="Times New Roman"/>
                <w:sz w:val="20"/>
                <w:szCs w:val="20"/>
                <w:shd w:val="clear" w:color="auto" w:fill="FFFFFF"/>
                <w:lang w:val="ro-RO"/>
              </w:rPr>
            </w:pPr>
          </w:p>
        </w:tc>
      </w:tr>
      <w:tr w:rsidR="00471502" w:rsidRPr="008C5AE2" w14:paraId="0F098924" w14:textId="77777777" w:rsidTr="009F5405">
        <w:trPr>
          <w:trHeight w:val="776"/>
        </w:trPr>
        <w:tc>
          <w:tcPr>
            <w:tcW w:w="4810" w:type="dxa"/>
            <w:shd w:val="clear" w:color="auto" w:fill="auto"/>
          </w:tcPr>
          <w:p w14:paraId="16B5CADB" w14:textId="5533DAD2" w:rsidR="00471502" w:rsidRDefault="00D71AA7" w:rsidP="00471502">
            <w:pPr>
              <w:shd w:val="clear" w:color="auto" w:fill="FFFFFF"/>
              <w:spacing w:after="0" w:line="240" w:lineRule="auto"/>
              <w:jc w:val="both"/>
              <w:rPr>
                <w:rFonts w:ascii="Times New Roman" w:hAnsi="Times New Roman"/>
                <w:sz w:val="20"/>
                <w:szCs w:val="20"/>
                <w:lang w:val="ru-RU" w:eastAsia="ru-RU"/>
              </w:rPr>
            </w:pPr>
            <w:r>
              <w:rPr>
                <w:rFonts w:ascii="Times New Roman" w:hAnsi="Times New Roman"/>
                <w:sz w:val="20"/>
                <w:szCs w:val="20"/>
                <w:lang w:val="ro-MD" w:eastAsia="ru-RU"/>
              </w:rPr>
              <w:t>(20)</w:t>
            </w:r>
            <w:r w:rsidR="00230D6E" w:rsidRPr="009F2339">
              <w:rPr>
                <w:rFonts w:ascii="Times New Roman" w:hAnsi="Times New Roman"/>
                <w:sz w:val="20"/>
                <w:szCs w:val="20"/>
                <w:lang w:val="ru-RU" w:eastAsia="ru-RU"/>
              </w:rPr>
              <w:t>„</w:t>
            </w:r>
            <w:proofErr w:type="spellStart"/>
            <w:r w:rsidR="00230D6E" w:rsidRPr="009F2339">
              <w:rPr>
                <w:rFonts w:ascii="Times New Roman" w:hAnsi="Times New Roman"/>
                <w:sz w:val="20"/>
                <w:szCs w:val="20"/>
                <w:lang w:val="ru-RU" w:eastAsia="ru-RU"/>
              </w:rPr>
              <w:t>eforturi</w:t>
            </w:r>
            <w:proofErr w:type="spellEnd"/>
            <w:r w:rsidR="00230D6E" w:rsidRPr="009F2339">
              <w:rPr>
                <w:rFonts w:ascii="Times New Roman" w:hAnsi="Times New Roman"/>
                <w:sz w:val="20"/>
                <w:szCs w:val="20"/>
                <w:lang w:val="ru-RU" w:eastAsia="ru-RU"/>
              </w:rPr>
              <w:t xml:space="preserve"> </w:t>
            </w:r>
            <w:proofErr w:type="spellStart"/>
            <w:r w:rsidR="00230D6E" w:rsidRPr="009F2339">
              <w:rPr>
                <w:rFonts w:ascii="Times New Roman" w:hAnsi="Times New Roman"/>
                <w:sz w:val="20"/>
                <w:szCs w:val="20"/>
                <w:lang w:val="ru-RU" w:eastAsia="ru-RU"/>
              </w:rPr>
              <w:t>timpurii</w:t>
            </w:r>
            <w:proofErr w:type="spellEnd"/>
            <w:r w:rsidR="00230D6E" w:rsidRPr="009F2339">
              <w:rPr>
                <w:rFonts w:ascii="Times New Roman" w:hAnsi="Times New Roman"/>
                <w:sz w:val="20"/>
                <w:szCs w:val="20"/>
                <w:lang w:val="ru-RU" w:eastAsia="ru-RU"/>
              </w:rPr>
              <w:t xml:space="preserve">” </w:t>
            </w:r>
            <w:proofErr w:type="spellStart"/>
            <w:r w:rsidR="00230D6E" w:rsidRPr="009F2339">
              <w:rPr>
                <w:rFonts w:ascii="Times New Roman" w:hAnsi="Times New Roman"/>
                <w:sz w:val="20"/>
                <w:szCs w:val="20"/>
                <w:lang w:val="ru-RU" w:eastAsia="ru-RU"/>
              </w:rPr>
              <w:t>înseamnă</w:t>
            </w:r>
            <w:proofErr w:type="spellEnd"/>
            <w:r w:rsidR="00230D6E" w:rsidRPr="009F2339">
              <w:rPr>
                <w:rFonts w:ascii="Times New Roman" w:hAnsi="Times New Roman"/>
                <w:sz w:val="20"/>
                <w:szCs w:val="20"/>
                <w:lang w:val="ru-RU" w:eastAsia="ru-RU"/>
              </w:rPr>
              <w:t>:</w:t>
            </w:r>
          </w:p>
          <w:p w14:paraId="3986E42C" w14:textId="77777777" w:rsidR="00230D6E" w:rsidRPr="007A2B9D" w:rsidRDefault="00230D6E" w:rsidP="000C5A3B">
            <w:pPr>
              <w:pStyle w:val="af3"/>
              <w:numPr>
                <w:ilvl w:val="0"/>
                <w:numId w:val="84"/>
              </w:numPr>
              <w:shd w:val="clear" w:color="auto" w:fill="FFFFFF"/>
              <w:spacing w:after="0" w:line="240" w:lineRule="auto"/>
              <w:jc w:val="both"/>
              <w:rPr>
                <w:rFonts w:ascii="Times New Roman" w:hAnsi="Times New Roman"/>
                <w:sz w:val="20"/>
                <w:szCs w:val="20"/>
                <w:lang w:val="en-US"/>
              </w:rPr>
            </w:pPr>
            <w:r w:rsidRPr="007A2B9D">
              <w:rPr>
                <w:rFonts w:ascii="Times New Roman" w:hAnsi="Times New Roman"/>
                <w:sz w:val="20"/>
                <w:szCs w:val="20"/>
                <w:shd w:val="clear" w:color="auto" w:fill="FFFFFF"/>
                <w:lang w:val="en-US"/>
              </w:rPr>
              <w:t>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contextul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determin</w:t>
            </w:r>
            <w:proofErr w:type="spellEnd"/>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rii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unui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posibil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decalaj</w:t>
            </w:r>
            <w:proofErr w:type="spellEnd"/>
            <w:r w:rsidRPr="007A2B9D">
              <w:rPr>
                <w:rFonts w:ascii="Times New Roman" w:hAnsi="Times New Roman"/>
                <w:sz w:val="20"/>
                <w:szCs w:val="20"/>
                <w:shd w:val="clear" w:color="auto" w:fill="FFFFFF"/>
                <w:lang w:val="en-US"/>
              </w:rPr>
              <w:t xml:space="preserve"> î</w:t>
            </w:r>
            <w:proofErr w:type="spellStart"/>
            <w:r w:rsidRPr="00230D6E">
              <w:rPr>
                <w:rFonts w:ascii="Times New Roman" w:hAnsi="Times New Roman"/>
                <w:sz w:val="20"/>
                <w:szCs w:val="20"/>
                <w:shd w:val="clear" w:color="auto" w:fill="FFFFFF"/>
              </w:rPr>
              <w:t>ntre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obiectivul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Uniunii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pe</w:t>
            </w:r>
            <w:r w:rsidRPr="007A2B9D">
              <w:rPr>
                <w:rFonts w:ascii="Times New Roman" w:hAnsi="Times New Roman"/>
                <w:sz w:val="20"/>
                <w:szCs w:val="20"/>
                <w:shd w:val="clear" w:color="auto" w:fill="FFFFFF"/>
                <w:lang w:val="en-US"/>
              </w:rPr>
              <w:t xml:space="preserve"> 2030 </w:t>
            </w:r>
            <w:proofErr w:type="spellStart"/>
            <w:r w:rsidRPr="00230D6E">
              <w:rPr>
                <w:rFonts w:ascii="Times New Roman" w:hAnsi="Times New Roman"/>
                <w:sz w:val="20"/>
                <w:szCs w:val="20"/>
                <w:shd w:val="clear" w:color="auto" w:fill="FFFFFF"/>
              </w:rPr>
              <w:t>privind</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energia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surse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regenerabile</w:t>
            </w:r>
            <w:proofErr w:type="spellEnd"/>
            <w:r w:rsidRPr="007A2B9D">
              <w:rPr>
                <w:rFonts w:ascii="Times New Roman" w:hAnsi="Times New Roman"/>
                <w:sz w:val="20"/>
                <w:szCs w:val="20"/>
                <w:shd w:val="clear" w:color="auto" w:fill="FFFFFF"/>
                <w:lang w:val="en-US"/>
              </w:rPr>
              <w:t xml:space="preserve"> ș</w:t>
            </w:r>
            <w:proofErr w:type="spellStart"/>
            <w:r w:rsidRPr="00230D6E">
              <w:rPr>
                <w:rFonts w:ascii="Times New Roman" w:hAnsi="Times New Roman"/>
                <w:sz w:val="20"/>
                <w:szCs w:val="20"/>
                <w:shd w:val="clear" w:color="auto" w:fill="FFFFFF"/>
              </w:rPr>
              <w:t>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contribu</w:t>
            </w:r>
            <w:proofErr w:type="spellEnd"/>
            <w:r w:rsidRPr="007A2B9D">
              <w:rPr>
                <w:rFonts w:ascii="Times New Roman" w:hAnsi="Times New Roman"/>
                <w:sz w:val="20"/>
                <w:szCs w:val="20"/>
                <w:shd w:val="clear" w:color="auto" w:fill="FFFFFF"/>
                <w:lang w:val="en-US"/>
              </w:rPr>
              <w:t>ț</w:t>
            </w:r>
            <w:proofErr w:type="spellStart"/>
            <w:r w:rsidRPr="00230D6E">
              <w:rPr>
                <w:rFonts w:ascii="Times New Roman" w:hAnsi="Times New Roman"/>
                <w:sz w:val="20"/>
                <w:szCs w:val="20"/>
                <w:shd w:val="clear" w:color="auto" w:fill="FFFFFF"/>
              </w:rPr>
              <w:t>iile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colective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ale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statelor</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membre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realizarea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w:t>
            </w:r>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tre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un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stat</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membru</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unei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ponderi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energiei</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surse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regenerabile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peste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nivelul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obiectivului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w:t>
            </w:r>
            <w:r w:rsidRPr="007A2B9D">
              <w:rPr>
                <w:rFonts w:ascii="Times New Roman" w:hAnsi="Times New Roman"/>
                <w:sz w:val="20"/>
                <w:szCs w:val="20"/>
                <w:shd w:val="clear" w:color="auto" w:fill="FFFFFF"/>
                <w:lang w:val="en-US"/>
              </w:rPr>
              <w:t>ă</w:t>
            </w:r>
            <w:r w:rsidRPr="00230D6E">
              <w:rPr>
                <w:rFonts w:ascii="Times New Roman" w:hAnsi="Times New Roman"/>
                <w:sz w:val="20"/>
                <w:szCs w:val="20"/>
                <w:shd w:val="clear" w:color="auto" w:fill="FFFFFF"/>
              </w:rPr>
              <w:t>u</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na</w:t>
            </w:r>
            <w:proofErr w:type="spellEnd"/>
            <w:r w:rsidRPr="007A2B9D">
              <w:rPr>
                <w:rFonts w:ascii="Times New Roman" w:hAnsi="Times New Roman"/>
                <w:sz w:val="20"/>
                <w:szCs w:val="20"/>
                <w:shd w:val="clear" w:color="auto" w:fill="FFFFFF"/>
                <w:lang w:val="en-US"/>
              </w:rPr>
              <w:t>ț</w:t>
            </w:r>
            <w:proofErr w:type="spellStart"/>
            <w:r w:rsidRPr="00230D6E">
              <w:rPr>
                <w:rFonts w:ascii="Times New Roman" w:hAnsi="Times New Roman"/>
                <w:sz w:val="20"/>
                <w:szCs w:val="20"/>
                <w:shd w:val="clear" w:color="auto" w:fill="FFFFFF"/>
              </w:rPr>
              <w:t>ional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obligatoriu</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pentru</w:t>
            </w:r>
            <w:proofErr w:type="spellEnd"/>
            <w:r w:rsidRPr="007A2B9D">
              <w:rPr>
                <w:rFonts w:ascii="Times New Roman" w:hAnsi="Times New Roman"/>
                <w:sz w:val="20"/>
                <w:szCs w:val="20"/>
                <w:shd w:val="clear" w:color="auto" w:fill="FFFFFF"/>
                <w:lang w:val="en-US"/>
              </w:rPr>
              <w:t xml:space="preserve"> 2020, </w:t>
            </w:r>
            <w:proofErr w:type="spellStart"/>
            <w:r w:rsidRPr="00230D6E">
              <w:rPr>
                <w:rFonts w:ascii="Times New Roman" w:hAnsi="Times New Roman"/>
                <w:sz w:val="20"/>
                <w:szCs w:val="20"/>
                <w:shd w:val="clear" w:color="auto" w:fill="FFFFFF"/>
              </w:rPr>
              <w:t>astfel</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cum</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prevede</w:t>
            </w:r>
            <w:proofErr w:type="spellEnd"/>
            <w:r w:rsidRPr="007A2B9D">
              <w:rPr>
                <w:rFonts w:ascii="Times New Roman" w:hAnsi="Times New Roman"/>
                <w:sz w:val="20"/>
                <w:szCs w:val="20"/>
                <w:shd w:val="clear" w:color="auto" w:fill="FFFFFF"/>
                <w:lang w:val="en-US"/>
              </w:rPr>
              <w:t xml:space="preserve"> 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anexa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I</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la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Directiva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UE</w:t>
            </w:r>
            <w:r w:rsidRPr="007A2B9D">
              <w:rPr>
                <w:rFonts w:ascii="Times New Roman" w:hAnsi="Times New Roman"/>
                <w:sz w:val="20"/>
                <w:szCs w:val="20"/>
                <w:shd w:val="clear" w:color="auto" w:fill="FFFFFF"/>
                <w:lang w:val="en-US"/>
              </w:rPr>
              <w:t xml:space="preserve">) 2018/2001 </w:t>
            </w:r>
            <w:proofErr w:type="spellStart"/>
            <w:r w:rsidRPr="00230D6E">
              <w:rPr>
                <w:rFonts w:ascii="Times New Roman" w:hAnsi="Times New Roman"/>
                <w:sz w:val="20"/>
                <w:szCs w:val="20"/>
                <w:shd w:val="clear" w:color="auto" w:fill="FFFFFF"/>
              </w:rPr>
              <w:t>sau</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realizarea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timp</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w:t>
            </w:r>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tre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un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stat</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membru</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unor</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progrese</w:t>
            </w:r>
            <w:proofErr w:type="spellEnd"/>
            <w:r w:rsidRPr="007A2B9D">
              <w:rPr>
                <w:rFonts w:ascii="Times New Roman" w:hAnsi="Times New Roman"/>
                <w:sz w:val="20"/>
                <w:szCs w:val="20"/>
                <w:shd w:val="clear" w:color="auto" w:fill="FFFFFF"/>
                <w:lang w:val="en-US"/>
              </w:rPr>
              <w:t xml:space="preserve"> 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vederea</w:t>
            </w:r>
            <w:proofErr w:type="spellEnd"/>
            <w:r w:rsidRPr="007A2B9D">
              <w:rPr>
                <w:rFonts w:ascii="Times New Roman" w:hAnsi="Times New Roman"/>
                <w:sz w:val="20"/>
                <w:szCs w:val="20"/>
                <w:shd w:val="clear" w:color="auto" w:fill="FFFFFF"/>
                <w:lang w:val="en-US"/>
              </w:rPr>
              <w:t xml:space="preserve"> î</w:t>
            </w:r>
            <w:proofErr w:type="spellStart"/>
            <w:r w:rsidRPr="00230D6E">
              <w:rPr>
                <w:rFonts w:ascii="Times New Roman" w:hAnsi="Times New Roman"/>
                <w:sz w:val="20"/>
                <w:szCs w:val="20"/>
                <w:shd w:val="clear" w:color="auto" w:fill="FFFFFF"/>
              </w:rPr>
              <w:t>ndeplinirii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lastRenderedPageBreak/>
              <w:t>obiectivului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w:t>
            </w:r>
            <w:r w:rsidRPr="007A2B9D">
              <w:rPr>
                <w:rFonts w:ascii="Times New Roman" w:hAnsi="Times New Roman"/>
                <w:sz w:val="20"/>
                <w:szCs w:val="20"/>
                <w:shd w:val="clear" w:color="auto" w:fill="FFFFFF"/>
                <w:lang w:val="en-US"/>
              </w:rPr>
              <w:t>ă</w:t>
            </w:r>
            <w:r w:rsidRPr="00230D6E">
              <w:rPr>
                <w:rFonts w:ascii="Times New Roman" w:hAnsi="Times New Roman"/>
                <w:sz w:val="20"/>
                <w:szCs w:val="20"/>
                <w:shd w:val="clear" w:color="auto" w:fill="FFFFFF"/>
              </w:rPr>
              <w:t>u</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na</w:t>
            </w:r>
            <w:proofErr w:type="spellEnd"/>
            <w:r w:rsidRPr="007A2B9D">
              <w:rPr>
                <w:rFonts w:ascii="Times New Roman" w:hAnsi="Times New Roman"/>
                <w:sz w:val="20"/>
                <w:szCs w:val="20"/>
                <w:shd w:val="clear" w:color="auto" w:fill="FFFFFF"/>
                <w:lang w:val="en-US"/>
              </w:rPr>
              <w:t>ț</w:t>
            </w:r>
            <w:proofErr w:type="spellStart"/>
            <w:r w:rsidRPr="00230D6E">
              <w:rPr>
                <w:rFonts w:ascii="Times New Roman" w:hAnsi="Times New Roman"/>
                <w:sz w:val="20"/>
                <w:szCs w:val="20"/>
                <w:shd w:val="clear" w:color="auto" w:fill="FFFFFF"/>
              </w:rPr>
              <w:t>ional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obligatoriu</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pentru</w:t>
            </w:r>
            <w:proofErr w:type="spellEnd"/>
            <w:r w:rsidRPr="007A2B9D">
              <w:rPr>
                <w:rFonts w:ascii="Times New Roman" w:hAnsi="Times New Roman"/>
                <w:sz w:val="20"/>
                <w:szCs w:val="20"/>
                <w:shd w:val="clear" w:color="auto" w:fill="FFFFFF"/>
                <w:lang w:val="en-US"/>
              </w:rPr>
              <w:t xml:space="preserve"> 2020;</w:t>
            </w:r>
          </w:p>
          <w:p w14:paraId="0908C21F" w14:textId="09B08A06" w:rsidR="00230D6E" w:rsidRPr="007A2B9D" w:rsidRDefault="00230D6E" w:rsidP="000C5A3B">
            <w:pPr>
              <w:pStyle w:val="af3"/>
              <w:numPr>
                <w:ilvl w:val="0"/>
                <w:numId w:val="84"/>
              </w:numPr>
              <w:shd w:val="clear" w:color="auto" w:fill="FFFFFF"/>
              <w:spacing w:after="0" w:line="240" w:lineRule="auto"/>
              <w:jc w:val="both"/>
              <w:rPr>
                <w:rFonts w:ascii="Times New Roman" w:hAnsi="Times New Roman"/>
                <w:sz w:val="20"/>
                <w:szCs w:val="20"/>
                <w:lang w:val="en-US"/>
              </w:rPr>
            </w:pPr>
            <w:r w:rsidRPr="007A2B9D">
              <w:rPr>
                <w:rFonts w:ascii="Times New Roman" w:hAnsi="Times New Roman"/>
                <w:sz w:val="20"/>
                <w:szCs w:val="20"/>
                <w:shd w:val="clear" w:color="auto" w:fill="FFFFFF"/>
                <w:lang w:val="en-US"/>
              </w:rPr>
              <w:t>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contextul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recomand</w:t>
            </w:r>
            <w:proofErr w:type="spellEnd"/>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rilor</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Comisiei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bazate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pe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evaluarea</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efectuat</w:t>
            </w:r>
            <w:proofErr w:type="spellEnd"/>
            <w:r w:rsidRPr="007A2B9D">
              <w:rPr>
                <w:rFonts w:ascii="Times New Roman" w:hAnsi="Times New Roman"/>
                <w:sz w:val="20"/>
                <w:szCs w:val="20"/>
                <w:shd w:val="clear" w:color="auto" w:fill="FFFFFF"/>
                <w:lang w:val="en-US"/>
              </w:rPr>
              <w:t>ă 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temeiul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articolului</w:t>
            </w:r>
            <w:proofErr w:type="spellEnd"/>
            <w:r w:rsidRPr="007A2B9D">
              <w:rPr>
                <w:rFonts w:ascii="Times New Roman" w:hAnsi="Times New Roman"/>
                <w:sz w:val="20"/>
                <w:szCs w:val="20"/>
                <w:shd w:val="clear" w:color="auto" w:fill="FFFFFF"/>
                <w:lang w:val="en-US"/>
              </w:rPr>
              <w:t xml:space="preserve"> 29 </w:t>
            </w:r>
            <w:proofErr w:type="spellStart"/>
            <w:r w:rsidRPr="00230D6E">
              <w:rPr>
                <w:rFonts w:ascii="Times New Roman" w:hAnsi="Times New Roman"/>
                <w:sz w:val="20"/>
                <w:szCs w:val="20"/>
                <w:shd w:val="clear" w:color="auto" w:fill="FFFFFF"/>
              </w:rPr>
              <w:t>alineatul</w:t>
            </w:r>
            <w:proofErr w:type="spellEnd"/>
            <w:r w:rsidRPr="007A2B9D">
              <w:rPr>
                <w:rFonts w:ascii="Times New Roman" w:hAnsi="Times New Roman"/>
                <w:sz w:val="20"/>
                <w:szCs w:val="20"/>
                <w:shd w:val="clear" w:color="auto" w:fill="FFFFFF"/>
                <w:lang w:val="en-US"/>
              </w:rPr>
              <w:t xml:space="preserve"> (1) </w:t>
            </w:r>
            <w:proofErr w:type="spellStart"/>
            <w:r w:rsidRPr="00230D6E">
              <w:rPr>
                <w:rFonts w:ascii="Times New Roman" w:hAnsi="Times New Roman"/>
                <w:sz w:val="20"/>
                <w:szCs w:val="20"/>
                <w:shd w:val="clear" w:color="auto" w:fill="FFFFFF"/>
              </w:rPr>
              <w:t>litera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b</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cu</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privire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la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energia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surse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regenerabile</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realizarea</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timpurie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w:t>
            </w:r>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tre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un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stat</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membru</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contribu</w:t>
            </w:r>
            <w:proofErr w:type="spellEnd"/>
            <w:r w:rsidRPr="007A2B9D">
              <w:rPr>
                <w:rFonts w:ascii="Times New Roman" w:hAnsi="Times New Roman"/>
                <w:sz w:val="20"/>
                <w:szCs w:val="20"/>
                <w:shd w:val="clear" w:color="auto" w:fill="FFFFFF"/>
                <w:lang w:val="en-US"/>
              </w:rPr>
              <w:t>ț</w:t>
            </w:r>
            <w:proofErr w:type="spellStart"/>
            <w:r w:rsidRPr="00230D6E">
              <w:rPr>
                <w:rFonts w:ascii="Times New Roman" w:hAnsi="Times New Roman"/>
                <w:sz w:val="20"/>
                <w:szCs w:val="20"/>
                <w:shd w:val="clear" w:color="auto" w:fill="FFFFFF"/>
              </w:rPr>
              <w:t>iei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sale</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la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obiectivul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obligatoriu</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al</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Uniunii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privind</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realizarea</w:t>
            </w:r>
            <w:proofErr w:type="spellEnd"/>
            <w:r w:rsidRPr="007A2B9D">
              <w:rPr>
                <w:rFonts w:ascii="Times New Roman" w:hAnsi="Times New Roman"/>
                <w:sz w:val="20"/>
                <w:szCs w:val="20"/>
                <w:shd w:val="clear" w:color="auto" w:fill="FFFFFF"/>
                <w:lang w:val="en-US"/>
              </w:rPr>
              <w:t xml:space="preserve"> 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2030 </w:t>
            </w:r>
            <w:r w:rsidRPr="00230D6E">
              <w:rPr>
                <w:rFonts w:ascii="Times New Roman" w:hAnsi="Times New Roman"/>
                <w:sz w:val="20"/>
                <w:szCs w:val="20"/>
                <w:shd w:val="clear" w:color="auto" w:fill="FFFFFF"/>
              </w:rPr>
              <w:t>a</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unei</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ponderi</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cel</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pu</w:t>
            </w:r>
            <w:proofErr w:type="spellEnd"/>
            <w:r w:rsidRPr="007A2B9D">
              <w:rPr>
                <w:rFonts w:ascii="Times New Roman" w:hAnsi="Times New Roman"/>
                <w:sz w:val="20"/>
                <w:szCs w:val="20"/>
                <w:shd w:val="clear" w:color="auto" w:fill="FFFFFF"/>
                <w:lang w:val="en-US"/>
              </w:rPr>
              <w:t>ț</w:t>
            </w:r>
            <w:r w:rsidRPr="00230D6E">
              <w:rPr>
                <w:rFonts w:ascii="Times New Roman" w:hAnsi="Times New Roman"/>
                <w:sz w:val="20"/>
                <w:szCs w:val="20"/>
                <w:shd w:val="clear" w:color="auto" w:fill="FFFFFF"/>
              </w:rPr>
              <w:t>in</w:t>
            </w:r>
            <w:r w:rsidRPr="007A2B9D">
              <w:rPr>
                <w:rFonts w:ascii="Times New Roman" w:hAnsi="Times New Roman"/>
                <w:sz w:val="20"/>
                <w:szCs w:val="20"/>
                <w:shd w:val="clear" w:color="auto" w:fill="FFFFFF"/>
                <w:lang w:val="en-US"/>
              </w:rPr>
              <w:t xml:space="preserve"> 32 %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energie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surse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regenerabile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m</w:t>
            </w:r>
            <w:r w:rsidRPr="007A2B9D">
              <w:rPr>
                <w:rFonts w:ascii="Times New Roman" w:hAnsi="Times New Roman"/>
                <w:sz w:val="20"/>
                <w:szCs w:val="20"/>
                <w:shd w:val="clear" w:color="auto" w:fill="FFFFFF"/>
                <w:lang w:val="en-US"/>
              </w:rPr>
              <w:t>ă</w:t>
            </w:r>
            <w:proofErr w:type="spellStart"/>
            <w:r w:rsidRPr="00230D6E">
              <w:rPr>
                <w:rFonts w:ascii="Times New Roman" w:hAnsi="Times New Roman"/>
                <w:sz w:val="20"/>
                <w:szCs w:val="20"/>
                <w:shd w:val="clear" w:color="auto" w:fill="FFFFFF"/>
              </w:rPr>
              <w:t>surat</w:t>
            </w:r>
            <w:proofErr w:type="spellEnd"/>
            <w:r w:rsidRPr="007A2B9D">
              <w:rPr>
                <w:rFonts w:ascii="Times New Roman" w:hAnsi="Times New Roman"/>
                <w:sz w:val="20"/>
                <w:szCs w:val="20"/>
                <w:shd w:val="clear" w:color="auto" w:fill="FFFFFF"/>
                <w:lang w:val="en-US"/>
              </w:rPr>
              <w:t>ă î</w:t>
            </w:r>
            <w:r w:rsidRPr="00230D6E">
              <w:rPr>
                <w:rFonts w:ascii="Times New Roman" w:hAnsi="Times New Roman"/>
                <w:sz w:val="20"/>
                <w:szCs w:val="20"/>
                <w:shd w:val="clear" w:color="auto" w:fill="FFFFFF"/>
              </w:rPr>
              <w:t>n</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raport</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cu</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punctele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sale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na</w:t>
            </w:r>
            <w:proofErr w:type="spellEnd"/>
            <w:r w:rsidRPr="007A2B9D">
              <w:rPr>
                <w:rFonts w:ascii="Times New Roman" w:hAnsi="Times New Roman"/>
                <w:sz w:val="20"/>
                <w:szCs w:val="20"/>
                <w:shd w:val="clear" w:color="auto" w:fill="FFFFFF"/>
                <w:lang w:val="en-US"/>
              </w:rPr>
              <w:t>ț</w:t>
            </w:r>
            <w:proofErr w:type="spellStart"/>
            <w:r w:rsidRPr="00230D6E">
              <w:rPr>
                <w:rFonts w:ascii="Times New Roman" w:hAnsi="Times New Roman"/>
                <w:sz w:val="20"/>
                <w:szCs w:val="20"/>
                <w:shd w:val="clear" w:color="auto" w:fill="FFFFFF"/>
              </w:rPr>
              <w:t>ionale</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referin</w:t>
            </w:r>
            <w:r w:rsidRPr="007A2B9D">
              <w:rPr>
                <w:rFonts w:ascii="Times New Roman" w:hAnsi="Times New Roman"/>
                <w:sz w:val="20"/>
                <w:szCs w:val="20"/>
                <w:shd w:val="clear" w:color="auto" w:fill="FFFFFF"/>
                <w:lang w:val="en-US"/>
              </w:rPr>
              <w:t>ță</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privind</w:t>
            </w:r>
            <w:proofErr w:type="spellEnd"/>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energia</w:t>
            </w:r>
            <w:proofErr w:type="spellEnd"/>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din</w:t>
            </w:r>
            <w:r w:rsidRPr="007A2B9D">
              <w:rPr>
                <w:rFonts w:ascii="Times New Roman" w:hAnsi="Times New Roman"/>
                <w:sz w:val="20"/>
                <w:szCs w:val="20"/>
                <w:shd w:val="clear" w:color="auto" w:fill="FFFFFF"/>
                <w:lang w:val="en-US"/>
              </w:rPr>
              <w:t xml:space="preserve"> </w:t>
            </w:r>
            <w:r w:rsidRPr="00230D6E">
              <w:rPr>
                <w:rFonts w:ascii="Times New Roman" w:hAnsi="Times New Roman"/>
                <w:sz w:val="20"/>
                <w:szCs w:val="20"/>
                <w:shd w:val="clear" w:color="auto" w:fill="FFFFFF"/>
              </w:rPr>
              <w:t>surse</w:t>
            </w:r>
            <w:r w:rsidRPr="007A2B9D">
              <w:rPr>
                <w:rFonts w:ascii="Times New Roman" w:hAnsi="Times New Roman"/>
                <w:sz w:val="20"/>
                <w:szCs w:val="20"/>
                <w:shd w:val="clear" w:color="auto" w:fill="FFFFFF"/>
                <w:lang w:val="en-US"/>
              </w:rPr>
              <w:t xml:space="preserve"> </w:t>
            </w:r>
            <w:proofErr w:type="spellStart"/>
            <w:r w:rsidRPr="00230D6E">
              <w:rPr>
                <w:rFonts w:ascii="Times New Roman" w:hAnsi="Times New Roman"/>
                <w:sz w:val="20"/>
                <w:szCs w:val="20"/>
                <w:shd w:val="clear" w:color="auto" w:fill="FFFFFF"/>
              </w:rPr>
              <w:t>regenerabile</w:t>
            </w:r>
            <w:proofErr w:type="spellEnd"/>
            <w:r w:rsidRPr="007A2B9D">
              <w:rPr>
                <w:rFonts w:ascii="Times New Roman" w:hAnsi="Times New Roman"/>
                <w:sz w:val="20"/>
                <w:szCs w:val="20"/>
                <w:shd w:val="clear" w:color="auto" w:fill="FFFFFF"/>
                <w:lang w:val="en-US"/>
              </w:rPr>
              <w:t>;</w:t>
            </w:r>
          </w:p>
        </w:tc>
        <w:tc>
          <w:tcPr>
            <w:tcW w:w="4541" w:type="dxa"/>
            <w:shd w:val="clear" w:color="auto" w:fill="auto"/>
          </w:tcPr>
          <w:p w14:paraId="300BC374" w14:textId="43AA24B0" w:rsidR="00471502" w:rsidRPr="00DB202B" w:rsidRDefault="00471502" w:rsidP="00A90105">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tc>
        <w:tc>
          <w:tcPr>
            <w:tcW w:w="1276" w:type="dxa"/>
            <w:shd w:val="clear" w:color="auto" w:fill="auto"/>
          </w:tcPr>
          <w:p w14:paraId="4E5608B7" w14:textId="37CAE76D" w:rsidR="00471502" w:rsidRPr="00C951E7" w:rsidRDefault="008C5AE2" w:rsidP="00230D6E">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230D6E" w:rsidRPr="00C951E7">
              <w:rPr>
                <w:rFonts w:ascii="Times New Roman" w:hAnsi="Times New Roman"/>
                <w:sz w:val="20"/>
                <w:szCs w:val="20"/>
                <w:lang w:val="ro-RO"/>
              </w:rPr>
              <w:t>ompatibil</w:t>
            </w:r>
          </w:p>
        </w:tc>
        <w:tc>
          <w:tcPr>
            <w:tcW w:w="1275" w:type="dxa"/>
            <w:shd w:val="clear" w:color="auto" w:fill="auto"/>
          </w:tcPr>
          <w:p w14:paraId="55992A92"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206A657A" w14:textId="77777777" w:rsidR="00471502" w:rsidRDefault="009F1EBB" w:rsidP="00230D6E">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Noțiunea a fost inclusă în conformitatea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Pr>
                <w:rFonts w:ascii="Times New Roman" w:eastAsia="Times New Roman" w:hAnsi="Times New Roman"/>
                <w:sz w:val="20"/>
                <w:szCs w:val="20"/>
                <w:lang w:val="ro-RO"/>
              </w:rPr>
              <w:t xml:space="preserve">  și </w:t>
            </w:r>
            <w:r w:rsidRPr="00F13819">
              <w:rPr>
                <w:rFonts w:ascii="Times New Roman" w:eastAsia="Times New Roman" w:hAnsi="Times New Roman"/>
                <w:sz w:val="20"/>
                <w:szCs w:val="20"/>
                <w:lang w:val="ro-RO"/>
              </w:rPr>
              <w:lastRenderedPageBreak/>
              <w:t>D/202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r>
              <w:rPr>
                <w:rFonts w:ascii="Times New Roman" w:hAnsi="Times New Roman"/>
                <w:sz w:val="20"/>
                <w:szCs w:val="20"/>
                <w:shd w:val="clear" w:color="auto" w:fill="FFFFFF"/>
                <w:lang w:val="ro-RO"/>
              </w:rPr>
              <w:t>.</w:t>
            </w:r>
          </w:p>
          <w:p w14:paraId="700317ED" w14:textId="56E3E687" w:rsidR="00E42790" w:rsidRPr="00C951E7" w:rsidRDefault="00E42790" w:rsidP="00230D6E">
            <w:pPr>
              <w:autoSpaceDE w:val="0"/>
              <w:spacing w:after="0" w:line="240" w:lineRule="auto"/>
              <w:rPr>
                <w:rFonts w:ascii="Times New Roman" w:eastAsia="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E42790">
              <w:rPr>
                <w:rFonts w:ascii="Times New Roman" w:hAnsi="Times New Roman"/>
                <w:sz w:val="20"/>
                <w:szCs w:val="20"/>
                <w:lang w:val="en-US" w:eastAsia="ru-RU"/>
              </w:rPr>
              <w:t xml:space="preserve"> </w:t>
            </w:r>
            <w:proofErr w:type="spellStart"/>
            <w:r w:rsidRPr="00E42790">
              <w:rPr>
                <w:rFonts w:ascii="Times New Roman" w:hAnsi="Times New Roman"/>
                <w:sz w:val="20"/>
                <w:szCs w:val="20"/>
                <w:lang w:val="en-US" w:eastAsia="ru-RU"/>
              </w:rPr>
              <w:t>eforturi</w:t>
            </w:r>
            <w:proofErr w:type="spellEnd"/>
            <w:r w:rsidRPr="00E42790">
              <w:rPr>
                <w:rFonts w:ascii="Times New Roman" w:hAnsi="Times New Roman"/>
                <w:sz w:val="20"/>
                <w:szCs w:val="20"/>
                <w:lang w:val="en-US" w:eastAsia="ru-RU"/>
              </w:rPr>
              <w:t xml:space="preserve"> </w:t>
            </w:r>
            <w:proofErr w:type="spellStart"/>
            <w:r w:rsidRPr="00E42790">
              <w:rPr>
                <w:rFonts w:ascii="Times New Roman" w:hAnsi="Times New Roman"/>
                <w:sz w:val="20"/>
                <w:szCs w:val="20"/>
                <w:lang w:val="en-US" w:eastAsia="ru-RU"/>
              </w:rPr>
              <w:t>timpurii</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2B454581" w14:textId="1D99FFCD" w:rsidR="00E9488A" w:rsidRPr="003F755D" w:rsidRDefault="00E9488A" w:rsidP="00E9488A">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41B9C6B9" w14:textId="260EE37F" w:rsidR="00471502" w:rsidRPr="00C951E7" w:rsidRDefault="00471502" w:rsidP="00E9488A">
            <w:pPr>
              <w:autoSpaceDE w:val="0"/>
              <w:spacing w:after="0" w:line="240" w:lineRule="auto"/>
              <w:rPr>
                <w:rFonts w:ascii="Times New Roman" w:eastAsia="Times New Roman" w:hAnsi="Times New Roman"/>
                <w:sz w:val="20"/>
                <w:szCs w:val="20"/>
                <w:lang w:val="ro-RO"/>
              </w:rPr>
            </w:pPr>
          </w:p>
        </w:tc>
      </w:tr>
      <w:tr w:rsidR="00471502" w:rsidRPr="008C5AE2" w14:paraId="0CE6A35F" w14:textId="77777777" w:rsidTr="009F5405">
        <w:trPr>
          <w:trHeight w:val="776"/>
        </w:trPr>
        <w:tc>
          <w:tcPr>
            <w:tcW w:w="4810" w:type="dxa"/>
            <w:shd w:val="clear" w:color="auto" w:fill="auto"/>
          </w:tcPr>
          <w:p w14:paraId="78CFF670" w14:textId="66EBC68E" w:rsidR="00471502" w:rsidRPr="00B75981" w:rsidRDefault="00D71AA7" w:rsidP="00471502">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21)</w:t>
            </w:r>
            <w:r w:rsidR="00B75981" w:rsidRPr="009F2339">
              <w:rPr>
                <w:rFonts w:ascii="Times New Roman" w:hAnsi="Times New Roman"/>
                <w:sz w:val="20"/>
                <w:szCs w:val="20"/>
                <w:lang w:val="fr-FR" w:eastAsia="ru-RU"/>
              </w:rPr>
              <w:t>„</w:t>
            </w:r>
            <w:proofErr w:type="spellStart"/>
            <w:proofErr w:type="gramEnd"/>
            <w:r w:rsidR="00B75981" w:rsidRPr="009F2339">
              <w:rPr>
                <w:rFonts w:ascii="Times New Roman" w:hAnsi="Times New Roman"/>
                <w:sz w:val="20"/>
                <w:szCs w:val="20"/>
                <w:lang w:val="fr-FR" w:eastAsia="ru-RU"/>
              </w:rPr>
              <w:t>cooperare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regională</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înseamnă</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cooperarea</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între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două</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sau</w:t>
            </w:r>
            <w:proofErr w:type="spellEnd"/>
            <w:r w:rsidR="00B75981" w:rsidRPr="009F2339">
              <w:rPr>
                <w:rFonts w:ascii="Times New Roman" w:hAnsi="Times New Roman"/>
                <w:sz w:val="20"/>
                <w:szCs w:val="20"/>
                <w:lang w:val="fr-FR" w:eastAsia="ru-RU"/>
              </w:rPr>
              <w:t xml:space="preserve"> mai </w:t>
            </w:r>
            <w:proofErr w:type="spellStart"/>
            <w:r w:rsidR="00B75981" w:rsidRPr="009F2339">
              <w:rPr>
                <w:rFonts w:ascii="Times New Roman" w:hAnsi="Times New Roman"/>
                <w:sz w:val="20"/>
                <w:szCs w:val="20"/>
                <w:lang w:val="fr-FR" w:eastAsia="ru-RU"/>
              </w:rPr>
              <w:t>multe</w:t>
            </w:r>
            <w:proofErr w:type="spellEnd"/>
            <w:r w:rsidR="00B75981" w:rsidRPr="009F2339">
              <w:rPr>
                <w:rFonts w:ascii="Times New Roman" w:hAnsi="Times New Roman"/>
                <w:sz w:val="20"/>
                <w:szCs w:val="20"/>
                <w:lang w:val="fr-FR" w:eastAsia="ru-RU"/>
              </w:rPr>
              <w:t xml:space="preserve"> state</w:t>
            </w:r>
            <w:r w:rsidR="00B75981">
              <w:rPr>
                <w:rFonts w:ascii="Times New Roman" w:hAnsi="Times New Roman"/>
                <w:sz w:val="20"/>
                <w:szCs w:val="20"/>
                <w:lang w:val="fr-FR" w:eastAsia="ru-RU"/>
              </w:rPr>
              <w:t xml:space="preserve"> </w:t>
            </w:r>
            <w:r w:rsidR="00B75981" w:rsidRPr="009F2339">
              <w:rPr>
                <w:rFonts w:ascii="Times New Roman" w:hAnsi="Times New Roman"/>
                <w:sz w:val="20"/>
                <w:szCs w:val="20"/>
                <w:lang w:val="fr-FR" w:eastAsia="ru-RU"/>
              </w:rPr>
              <w:t xml:space="preserve">membre </w:t>
            </w:r>
            <w:proofErr w:type="spellStart"/>
            <w:r w:rsidR="00B75981" w:rsidRPr="009F2339">
              <w:rPr>
                <w:rFonts w:ascii="Times New Roman" w:hAnsi="Times New Roman"/>
                <w:sz w:val="20"/>
                <w:szCs w:val="20"/>
                <w:lang w:val="fr-FR" w:eastAsia="ru-RU"/>
              </w:rPr>
              <w:t>angajate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într</w:t>
            </w:r>
            <w:proofErr w:type="spellEnd"/>
            <w:r w:rsidR="00B75981" w:rsidRPr="009F2339">
              <w:rPr>
                <w:rFonts w:ascii="Times New Roman" w:hAnsi="Times New Roman"/>
                <w:sz w:val="20"/>
                <w:szCs w:val="20"/>
                <w:lang w:val="fr-FR" w:eastAsia="ru-RU"/>
              </w:rPr>
              <w:t xml:space="preserve">-un </w:t>
            </w:r>
            <w:proofErr w:type="spellStart"/>
            <w:r w:rsidR="00B75981" w:rsidRPr="009F2339">
              <w:rPr>
                <w:rFonts w:ascii="Times New Roman" w:hAnsi="Times New Roman"/>
                <w:sz w:val="20"/>
                <w:szCs w:val="20"/>
                <w:lang w:val="fr-FR" w:eastAsia="ru-RU"/>
              </w:rPr>
              <w:t>parteneriat</w:t>
            </w:r>
            <w:proofErr w:type="spellEnd"/>
            <w:r w:rsidR="00B75981" w:rsidRPr="009F2339">
              <w:rPr>
                <w:rFonts w:ascii="Times New Roman" w:hAnsi="Times New Roman"/>
                <w:sz w:val="20"/>
                <w:szCs w:val="20"/>
                <w:lang w:val="fr-FR" w:eastAsia="ru-RU"/>
              </w:rPr>
              <w:t xml:space="preserve"> care </w:t>
            </w:r>
            <w:proofErr w:type="spellStart"/>
            <w:r w:rsidR="00B75981" w:rsidRPr="009F2339">
              <w:rPr>
                <w:rFonts w:ascii="Times New Roman" w:hAnsi="Times New Roman"/>
                <w:sz w:val="20"/>
                <w:szCs w:val="20"/>
                <w:lang w:val="fr-FR" w:eastAsia="ru-RU"/>
              </w:rPr>
              <w:t>acoperă</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una</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sau</w:t>
            </w:r>
            <w:proofErr w:type="spellEnd"/>
            <w:r w:rsidR="00B75981" w:rsidRPr="009F2339">
              <w:rPr>
                <w:rFonts w:ascii="Times New Roman" w:hAnsi="Times New Roman"/>
                <w:sz w:val="20"/>
                <w:szCs w:val="20"/>
                <w:lang w:val="fr-FR" w:eastAsia="ru-RU"/>
              </w:rPr>
              <w:t xml:space="preserve"> mai </w:t>
            </w:r>
            <w:proofErr w:type="spellStart"/>
            <w:r w:rsidR="00B75981" w:rsidRPr="009F2339">
              <w:rPr>
                <w:rFonts w:ascii="Times New Roman" w:hAnsi="Times New Roman"/>
                <w:sz w:val="20"/>
                <w:szCs w:val="20"/>
                <w:lang w:val="fr-FR" w:eastAsia="ru-RU"/>
              </w:rPr>
              <w:t>multe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dintre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cele</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cinci</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dimensiuni</w:t>
            </w:r>
            <w:proofErr w:type="spellEnd"/>
            <w:r w:rsidR="00B75981" w:rsidRPr="009F2339">
              <w:rPr>
                <w:rFonts w:ascii="Times New Roman" w:hAnsi="Times New Roman"/>
                <w:sz w:val="20"/>
                <w:szCs w:val="20"/>
                <w:lang w:val="fr-FR" w:eastAsia="ru-RU"/>
              </w:rPr>
              <w:t xml:space="preserve"> ale </w:t>
            </w:r>
            <w:proofErr w:type="spellStart"/>
            <w:r w:rsidR="00B75981" w:rsidRPr="009F2339">
              <w:rPr>
                <w:rFonts w:ascii="Times New Roman" w:hAnsi="Times New Roman"/>
                <w:sz w:val="20"/>
                <w:szCs w:val="20"/>
                <w:lang w:val="fr-FR" w:eastAsia="ru-RU"/>
              </w:rPr>
              <w:t>uniunii</w:t>
            </w:r>
            <w:proofErr w:type="spellEnd"/>
            <w:r w:rsidR="00B75981" w:rsidRPr="009F2339">
              <w:rPr>
                <w:rFonts w:ascii="Times New Roman" w:hAnsi="Times New Roman"/>
                <w:sz w:val="20"/>
                <w:szCs w:val="20"/>
                <w:lang w:val="fr-FR" w:eastAsia="ru-RU"/>
              </w:rPr>
              <w:t xml:space="preserve"> </w:t>
            </w:r>
            <w:proofErr w:type="spellStart"/>
            <w:r w:rsidR="00B75981" w:rsidRPr="009F2339">
              <w:rPr>
                <w:rFonts w:ascii="Times New Roman" w:hAnsi="Times New Roman"/>
                <w:sz w:val="20"/>
                <w:szCs w:val="20"/>
                <w:lang w:val="fr-FR" w:eastAsia="ru-RU"/>
              </w:rPr>
              <w:t>energetice</w:t>
            </w:r>
            <w:proofErr w:type="spellEnd"/>
            <w:r w:rsidR="00B75981" w:rsidRPr="009F2339">
              <w:rPr>
                <w:rFonts w:ascii="Times New Roman" w:hAnsi="Times New Roman"/>
                <w:sz w:val="20"/>
                <w:szCs w:val="20"/>
                <w:lang w:val="fr-FR" w:eastAsia="ru-RU"/>
              </w:rPr>
              <w:t>;</w:t>
            </w:r>
          </w:p>
        </w:tc>
        <w:tc>
          <w:tcPr>
            <w:tcW w:w="4541" w:type="dxa"/>
            <w:shd w:val="clear" w:color="auto" w:fill="auto"/>
          </w:tcPr>
          <w:p w14:paraId="5D2E2072" w14:textId="68C2F742" w:rsidR="00471502" w:rsidRPr="009D0A9F" w:rsidRDefault="00471502" w:rsidP="00D71AA7">
            <w:pPr>
              <w:shd w:val="clear" w:color="auto" w:fill="FFFFFF"/>
              <w:spacing w:after="0" w:line="240" w:lineRule="auto"/>
              <w:jc w:val="both"/>
              <w:rPr>
                <w:rFonts w:ascii="Times New Roman" w:hAnsi="Times New Roman"/>
                <w:sz w:val="20"/>
                <w:szCs w:val="20"/>
                <w:shd w:val="clear" w:color="auto" w:fill="FFFFFF"/>
                <w:lang w:val="ro-RO"/>
              </w:rPr>
            </w:pPr>
          </w:p>
        </w:tc>
        <w:tc>
          <w:tcPr>
            <w:tcW w:w="1276" w:type="dxa"/>
            <w:shd w:val="clear" w:color="auto" w:fill="auto"/>
          </w:tcPr>
          <w:p w14:paraId="4D9F95B2" w14:textId="757FCFD2" w:rsidR="00471502" w:rsidRPr="00C951E7" w:rsidRDefault="008C5AE2" w:rsidP="00B75981">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00B75981" w:rsidRPr="00C951E7">
              <w:rPr>
                <w:rFonts w:ascii="Times New Roman" w:hAnsi="Times New Roman"/>
                <w:sz w:val="20"/>
                <w:szCs w:val="20"/>
                <w:lang w:val="ro-RO"/>
              </w:rPr>
              <w:t>ompatibil</w:t>
            </w:r>
          </w:p>
        </w:tc>
        <w:tc>
          <w:tcPr>
            <w:tcW w:w="1275" w:type="dxa"/>
            <w:shd w:val="clear" w:color="auto" w:fill="auto"/>
          </w:tcPr>
          <w:p w14:paraId="7E3EB729" w14:textId="4CE7D915"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47059682" w14:textId="3EA8B20A" w:rsidR="00471502" w:rsidRPr="00C951E7" w:rsidRDefault="00A90105" w:rsidP="00B75981">
            <w:pPr>
              <w:autoSpaceDE w:val="0"/>
              <w:spacing w:after="0" w:line="240" w:lineRule="auto"/>
              <w:rPr>
                <w:rFonts w:ascii="Times New Roman" w:eastAsia="Times New Roman" w:hAnsi="Times New Roman"/>
                <w:sz w:val="20"/>
                <w:szCs w:val="20"/>
                <w:lang w:val="ro-RO"/>
              </w:rPr>
            </w:pPr>
            <w:r w:rsidRPr="007E64AF">
              <w:rPr>
                <w:rFonts w:ascii="Times New Roman" w:eastAsia="Times New Roman" w:hAnsi="Times New Roman"/>
                <w:color w:val="000000" w:themeColor="text1"/>
                <w:sz w:val="20"/>
                <w:szCs w:val="20"/>
                <w:lang w:val="ro-RO" w:eastAsia="ru-RU"/>
              </w:rPr>
              <w:t>Noțiunea</w:t>
            </w:r>
            <w:r w:rsidRPr="007E64AF">
              <w:rPr>
                <w:rFonts w:ascii="Times New Roman" w:hAnsi="Times New Roman"/>
                <w:color w:val="000000" w:themeColor="text1"/>
                <w:sz w:val="20"/>
                <w:szCs w:val="20"/>
              </w:rPr>
              <w:t xml:space="preserve"> “</w:t>
            </w:r>
            <w:r w:rsidRPr="009F2339">
              <w:rPr>
                <w:rFonts w:ascii="Times New Roman" w:hAnsi="Times New Roman"/>
                <w:sz w:val="20"/>
                <w:szCs w:val="20"/>
                <w:lang w:val="fr-FR" w:eastAsia="ru-RU"/>
              </w:rPr>
              <w:t xml:space="preserve"> </w:t>
            </w:r>
            <w:proofErr w:type="spellStart"/>
            <w:r w:rsidRPr="009F2339">
              <w:rPr>
                <w:rFonts w:ascii="Times New Roman" w:hAnsi="Times New Roman"/>
                <w:sz w:val="20"/>
                <w:szCs w:val="20"/>
                <w:lang w:val="fr-FR" w:eastAsia="ru-RU"/>
              </w:rPr>
              <w:t>cooperare</w:t>
            </w:r>
            <w:proofErr w:type="spellEnd"/>
            <w:r w:rsidRPr="009F2339">
              <w:rPr>
                <w:rFonts w:ascii="Times New Roman" w:hAnsi="Times New Roman"/>
                <w:sz w:val="20"/>
                <w:szCs w:val="20"/>
                <w:lang w:val="fr-FR" w:eastAsia="ru-RU"/>
              </w:rPr>
              <w:t xml:space="preserve"> </w:t>
            </w:r>
            <w:proofErr w:type="spellStart"/>
            <w:r w:rsidRPr="009F2339">
              <w:rPr>
                <w:rFonts w:ascii="Times New Roman" w:hAnsi="Times New Roman"/>
                <w:sz w:val="20"/>
                <w:szCs w:val="20"/>
                <w:lang w:val="fr-FR" w:eastAsia="ru-RU"/>
              </w:rPr>
              <w:t>regională</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este</w:t>
            </w:r>
            <w:proofErr w:type="spellEnd"/>
            <w:r w:rsidRPr="007E64AF">
              <w:rPr>
                <w:rFonts w:ascii="Times New Roman" w:hAnsi="Times New Roman"/>
                <w:color w:val="000000" w:themeColor="text1"/>
                <w:sz w:val="20"/>
                <w:szCs w:val="20"/>
              </w:rPr>
              <w:t xml:space="preserve"> </w:t>
            </w:r>
            <w:proofErr w:type="spellStart"/>
            <w:r w:rsidRPr="007E64AF">
              <w:rPr>
                <w:rFonts w:ascii="Times New Roman" w:hAnsi="Times New Roman"/>
                <w:color w:val="000000" w:themeColor="text1"/>
                <w:sz w:val="20"/>
                <w:szCs w:val="20"/>
              </w:rPr>
              <w:t>transpusă</w:t>
            </w:r>
            <w:proofErr w:type="spellEnd"/>
            <w:r w:rsidRPr="007E64AF">
              <w:rPr>
                <w:rFonts w:ascii="Times New Roman" w:hAnsi="Times New Roman"/>
                <w:color w:val="000000" w:themeColor="text1"/>
                <w:sz w:val="20"/>
                <w:szCs w:val="20"/>
              </w:rPr>
              <w:t xml:space="preserve"> în</w:t>
            </w:r>
            <w:r w:rsidRPr="007E64AF">
              <w:rPr>
                <w:rStyle w:val="docheader"/>
                <w:rFonts w:ascii="Times New Roman" w:hAnsi="Times New Roman"/>
                <w:color w:val="000000" w:themeColor="text1"/>
                <w:sz w:val="20"/>
                <w:szCs w:val="20"/>
                <w:lang w:val="pt-PT"/>
              </w:rPr>
              <w:t xml:space="preserve"> </w:t>
            </w: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a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4" w:type="dxa"/>
            <w:shd w:val="clear" w:color="auto" w:fill="auto"/>
          </w:tcPr>
          <w:p w14:paraId="471870BC" w14:textId="000FBFCF" w:rsidR="00CD1E9C" w:rsidRPr="003F755D" w:rsidRDefault="00CD1E9C" w:rsidP="00CD1E9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3C6BC162" w14:textId="319DC33E" w:rsidR="00471502" w:rsidRPr="00C951E7" w:rsidRDefault="00471502" w:rsidP="00CD1E9C">
            <w:pPr>
              <w:autoSpaceDE w:val="0"/>
              <w:spacing w:after="0" w:line="240" w:lineRule="auto"/>
              <w:rPr>
                <w:rFonts w:ascii="Times New Roman" w:eastAsia="Times New Roman" w:hAnsi="Times New Roman"/>
                <w:sz w:val="20"/>
                <w:szCs w:val="20"/>
                <w:lang w:val="ro-RO"/>
              </w:rPr>
            </w:pPr>
          </w:p>
        </w:tc>
      </w:tr>
      <w:tr w:rsidR="00471502" w:rsidRPr="00707002" w14:paraId="2150C92A" w14:textId="77777777" w:rsidTr="009F5405">
        <w:trPr>
          <w:trHeight w:val="776"/>
        </w:trPr>
        <w:tc>
          <w:tcPr>
            <w:tcW w:w="4810" w:type="dxa"/>
            <w:shd w:val="clear" w:color="auto" w:fill="auto"/>
          </w:tcPr>
          <w:p w14:paraId="1E31B960" w14:textId="38C79E68" w:rsidR="00832B20" w:rsidRDefault="00D71AA7" w:rsidP="00832B20">
            <w:pPr>
              <w:jc w:val="both"/>
              <w:rPr>
                <w:rFonts w:ascii="Times New Roman" w:hAnsi="Times New Roman"/>
                <w:sz w:val="20"/>
                <w:szCs w:val="20"/>
                <w:lang w:val="fr-FR" w:eastAsia="ru-RU"/>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22)</w:t>
            </w:r>
            <w:r w:rsidR="00832B20" w:rsidRPr="009F2339">
              <w:rPr>
                <w:rFonts w:ascii="Times New Roman" w:hAnsi="Times New Roman"/>
                <w:sz w:val="20"/>
                <w:szCs w:val="20"/>
                <w:lang w:val="fr-FR" w:eastAsia="ru-RU"/>
              </w:rPr>
              <w:t>„</w:t>
            </w:r>
            <w:proofErr w:type="spellStart"/>
            <w:proofErr w:type="gramEnd"/>
            <w:r w:rsidR="00832B20" w:rsidRPr="009F2339">
              <w:rPr>
                <w:rFonts w:ascii="Times New Roman" w:hAnsi="Times New Roman"/>
                <w:sz w:val="20"/>
                <w:szCs w:val="20"/>
                <w:lang w:val="fr-FR" w:eastAsia="ru-RU"/>
              </w:rPr>
              <w:t>energie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din</w:t>
            </w:r>
            <w:proofErr w:type="spellEnd"/>
            <w:r w:rsidR="00832B20" w:rsidRPr="009F2339">
              <w:rPr>
                <w:rFonts w:ascii="Times New Roman" w:hAnsi="Times New Roman"/>
                <w:sz w:val="20"/>
                <w:szCs w:val="20"/>
                <w:lang w:val="fr-FR" w:eastAsia="ru-RU"/>
              </w:rPr>
              <w:t xml:space="preserve"> surse </w:t>
            </w:r>
            <w:proofErr w:type="spellStart"/>
            <w:r w:rsidR="00832B20" w:rsidRPr="009F2339">
              <w:rPr>
                <w:rFonts w:ascii="Times New Roman" w:hAnsi="Times New Roman"/>
                <w:sz w:val="20"/>
                <w:szCs w:val="20"/>
                <w:lang w:val="fr-FR" w:eastAsia="ru-RU"/>
              </w:rPr>
              <w:t>regenerabile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sau</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energie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regenerabilă</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înseamnă</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energie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din</w:t>
            </w:r>
            <w:proofErr w:type="spellEnd"/>
            <w:r w:rsidR="00832B20" w:rsidRPr="009F2339">
              <w:rPr>
                <w:rFonts w:ascii="Times New Roman" w:hAnsi="Times New Roman"/>
                <w:sz w:val="20"/>
                <w:szCs w:val="20"/>
                <w:lang w:val="fr-FR" w:eastAsia="ru-RU"/>
              </w:rPr>
              <w:t xml:space="preserve"> surse </w:t>
            </w:r>
            <w:proofErr w:type="spellStart"/>
            <w:r w:rsidR="00832B20" w:rsidRPr="009F2339">
              <w:rPr>
                <w:rFonts w:ascii="Times New Roman" w:hAnsi="Times New Roman"/>
                <w:sz w:val="20"/>
                <w:szCs w:val="20"/>
                <w:lang w:val="fr-FR" w:eastAsia="ru-RU"/>
              </w:rPr>
              <w:t>regenerabile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sau</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energie</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regenerabilă</w:t>
            </w:r>
            <w:proofErr w:type="spellEnd"/>
            <w:r w:rsidR="00832B20" w:rsidRPr="009F2339">
              <w:rPr>
                <w:rFonts w:ascii="Times New Roman" w:hAnsi="Times New Roman"/>
                <w:sz w:val="20"/>
                <w:szCs w:val="20"/>
                <w:lang w:val="fr-FR" w:eastAsia="ru-RU"/>
              </w:rPr>
              <w:t xml:space="preserve"> în </w:t>
            </w:r>
            <w:proofErr w:type="spellStart"/>
            <w:r w:rsidR="00832B20" w:rsidRPr="009F2339">
              <w:rPr>
                <w:rFonts w:ascii="Times New Roman" w:hAnsi="Times New Roman"/>
                <w:sz w:val="20"/>
                <w:szCs w:val="20"/>
                <w:lang w:val="fr-FR" w:eastAsia="ru-RU"/>
              </w:rPr>
              <w:t>sensul</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definiției</w:t>
            </w:r>
            <w:proofErr w:type="spellEnd"/>
            <w:r w:rsidR="00832B20" w:rsidRPr="009F2339">
              <w:rPr>
                <w:rFonts w:ascii="Times New Roman" w:hAnsi="Times New Roman"/>
                <w:sz w:val="20"/>
                <w:szCs w:val="20"/>
                <w:lang w:val="fr-FR" w:eastAsia="ru-RU"/>
              </w:rPr>
              <w:t xml:space="preserve"> de la </w:t>
            </w:r>
            <w:proofErr w:type="spellStart"/>
            <w:r w:rsidR="00832B20" w:rsidRPr="009F2339">
              <w:rPr>
                <w:rFonts w:ascii="Times New Roman" w:hAnsi="Times New Roman"/>
                <w:sz w:val="20"/>
                <w:szCs w:val="20"/>
                <w:lang w:val="fr-FR" w:eastAsia="ru-RU"/>
              </w:rPr>
              <w:t>articolul</w:t>
            </w:r>
            <w:proofErr w:type="spellEnd"/>
            <w:r w:rsidR="00832B20">
              <w:rPr>
                <w:rFonts w:ascii="Times New Roman" w:hAnsi="Times New Roman"/>
                <w:sz w:val="20"/>
                <w:szCs w:val="20"/>
                <w:lang w:val="fr-FR" w:eastAsia="ru-RU"/>
              </w:rPr>
              <w:t xml:space="preserve"> </w:t>
            </w:r>
            <w:r w:rsidR="00832B20" w:rsidRPr="009F2339">
              <w:rPr>
                <w:rFonts w:ascii="Times New Roman" w:hAnsi="Times New Roman"/>
                <w:sz w:val="20"/>
                <w:szCs w:val="20"/>
                <w:lang w:val="fr-FR" w:eastAsia="ru-RU"/>
              </w:rPr>
              <w:t xml:space="preserve">2 </w:t>
            </w:r>
            <w:proofErr w:type="spellStart"/>
            <w:r w:rsidR="00832B20" w:rsidRPr="009F2339">
              <w:rPr>
                <w:rFonts w:ascii="Times New Roman" w:hAnsi="Times New Roman"/>
                <w:sz w:val="20"/>
                <w:szCs w:val="20"/>
                <w:lang w:val="fr-FR" w:eastAsia="ru-RU"/>
              </w:rPr>
              <w:t>punctul</w:t>
            </w:r>
            <w:proofErr w:type="spellEnd"/>
            <w:r w:rsidR="00832B20">
              <w:rPr>
                <w:rFonts w:ascii="Times New Roman" w:hAnsi="Times New Roman"/>
                <w:sz w:val="20"/>
                <w:szCs w:val="20"/>
                <w:lang w:val="fr-FR" w:eastAsia="ru-RU"/>
              </w:rPr>
              <w:t xml:space="preserve"> </w:t>
            </w:r>
            <w:r w:rsidR="00832B20" w:rsidRPr="009F2339">
              <w:rPr>
                <w:rFonts w:ascii="Times New Roman" w:hAnsi="Times New Roman"/>
                <w:sz w:val="20"/>
                <w:szCs w:val="20"/>
                <w:lang w:val="fr-FR" w:eastAsia="ru-RU"/>
              </w:rPr>
              <w:t xml:space="preserve">1 </w:t>
            </w:r>
            <w:proofErr w:type="spellStart"/>
            <w:r w:rsidR="00832B20" w:rsidRPr="009F2339">
              <w:rPr>
                <w:rFonts w:ascii="Times New Roman" w:hAnsi="Times New Roman"/>
                <w:sz w:val="20"/>
                <w:szCs w:val="20"/>
                <w:lang w:val="fr-FR" w:eastAsia="ru-RU"/>
              </w:rPr>
              <w:t>din</w:t>
            </w:r>
            <w:proofErr w:type="spellEnd"/>
            <w:r w:rsidR="00832B20" w:rsidRPr="009F2339">
              <w:rPr>
                <w:rFonts w:ascii="Times New Roman" w:hAnsi="Times New Roman"/>
                <w:sz w:val="20"/>
                <w:szCs w:val="20"/>
                <w:lang w:val="fr-FR" w:eastAsia="ru-RU"/>
              </w:rPr>
              <w:t xml:space="preserve"> </w:t>
            </w:r>
            <w:proofErr w:type="spellStart"/>
            <w:r w:rsidR="00832B20" w:rsidRPr="009F2339">
              <w:rPr>
                <w:rFonts w:ascii="Times New Roman" w:hAnsi="Times New Roman"/>
                <w:sz w:val="20"/>
                <w:szCs w:val="20"/>
                <w:lang w:val="fr-FR" w:eastAsia="ru-RU"/>
              </w:rPr>
              <w:t>Directiva</w:t>
            </w:r>
            <w:proofErr w:type="spellEnd"/>
            <w:r w:rsidR="00832B20" w:rsidRPr="009F2339">
              <w:rPr>
                <w:rFonts w:ascii="Times New Roman" w:hAnsi="Times New Roman"/>
                <w:sz w:val="20"/>
                <w:szCs w:val="20"/>
                <w:lang w:val="fr-FR" w:eastAsia="ru-RU"/>
              </w:rPr>
              <w:t xml:space="preserve"> (UE)</w:t>
            </w:r>
            <w:r w:rsidR="00832B20">
              <w:rPr>
                <w:rFonts w:ascii="Times New Roman" w:hAnsi="Times New Roman"/>
                <w:sz w:val="20"/>
                <w:szCs w:val="20"/>
                <w:lang w:val="fr-FR" w:eastAsia="ru-RU"/>
              </w:rPr>
              <w:t xml:space="preserve"> </w:t>
            </w:r>
            <w:r w:rsidR="00832B20" w:rsidRPr="009F2339">
              <w:rPr>
                <w:rFonts w:ascii="Times New Roman" w:hAnsi="Times New Roman"/>
                <w:sz w:val="20"/>
                <w:szCs w:val="20"/>
                <w:lang w:val="fr-FR" w:eastAsia="ru-RU"/>
              </w:rPr>
              <w:t>2018/2001;</w:t>
            </w:r>
          </w:p>
          <w:p w14:paraId="0BC7B8FE" w14:textId="4896475E" w:rsidR="00471502" w:rsidRPr="009F2339" w:rsidRDefault="00471502" w:rsidP="00471502">
            <w:pPr>
              <w:shd w:val="clear" w:color="auto" w:fill="FFFFFF"/>
              <w:spacing w:after="0" w:line="240" w:lineRule="auto"/>
              <w:jc w:val="both"/>
              <w:rPr>
                <w:rFonts w:ascii="Times New Roman" w:hAnsi="Times New Roman"/>
                <w:sz w:val="20"/>
                <w:szCs w:val="20"/>
                <w:lang w:val="fr-FR"/>
              </w:rPr>
            </w:pPr>
          </w:p>
        </w:tc>
        <w:tc>
          <w:tcPr>
            <w:tcW w:w="4541" w:type="dxa"/>
            <w:shd w:val="clear" w:color="auto" w:fill="auto"/>
          </w:tcPr>
          <w:p w14:paraId="08109E00" w14:textId="5AE4C7B2" w:rsidR="00471502" w:rsidRPr="00C951E7" w:rsidRDefault="00471502" w:rsidP="00471502">
            <w:pPr>
              <w:pStyle w:val="af3"/>
              <w:ind w:left="0"/>
              <w:jc w:val="both"/>
              <w:rPr>
                <w:rFonts w:ascii="Times New Roman" w:hAnsi="Times New Roman"/>
                <w:sz w:val="20"/>
                <w:szCs w:val="20"/>
                <w:shd w:val="clear" w:color="auto" w:fill="FFFFFF"/>
                <w:lang w:val="ro-RO"/>
              </w:rPr>
            </w:pPr>
          </w:p>
        </w:tc>
        <w:tc>
          <w:tcPr>
            <w:tcW w:w="1276" w:type="dxa"/>
            <w:shd w:val="clear" w:color="auto" w:fill="auto"/>
          </w:tcPr>
          <w:p w14:paraId="112177F4" w14:textId="77777777" w:rsidR="003A75FB" w:rsidRPr="00C951E7" w:rsidRDefault="003A75FB" w:rsidP="003A75FB">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08A228C" w14:textId="4055E6C7" w:rsidR="00471502" w:rsidRPr="00C951E7" w:rsidRDefault="00471502" w:rsidP="00CB6F2C">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E5BFF58" w14:textId="4C037BBF"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6D57A3C1" w14:textId="45905E46" w:rsidR="0099049F" w:rsidRPr="0099049F" w:rsidRDefault="0099049F" w:rsidP="00CB6F2C">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 xml:space="preserve">Noțiunea </w:t>
            </w:r>
            <w:r w:rsidRPr="0099049F">
              <w:rPr>
                <w:rFonts w:ascii="Times New Roman" w:hAnsi="Times New Roman"/>
                <w:sz w:val="20"/>
                <w:szCs w:val="20"/>
                <w:lang w:val="fr-FR" w:eastAsia="ru-RU"/>
              </w:rPr>
              <w:t>„</w:t>
            </w:r>
            <w:proofErr w:type="spellStart"/>
            <w:r w:rsidRPr="0099049F">
              <w:rPr>
                <w:rFonts w:ascii="Times New Roman" w:hAnsi="Times New Roman"/>
                <w:sz w:val="20"/>
                <w:szCs w:val="20"/>
                <w:lang w:val="fr-FR" w:eastAsia="ru-RU"/>
              </w:rPr>
              <w:t>energie</w:t>
            </w:r>
            <w:proofErr w:type="spellEnd"/>
            <w:r w:rsidRPr="0099049F">
              <w:rPr>
                <w:rFonts w:ascii="Times New Roman" w:hAnsi="Times New Roman"/>
                <w:sz w:val="20"/>
                <w:szCs w:val="20"/>
                <w:lang w:val="fr-FR" w:eastAsia="ru-RU"/>
              </w:rPr>
              <w:t xml:space="preserve"> </w:t>
            </w:r>
            <w:proofErr w:type="spellStart"/>
            <w:r w:rsidRPr="0099049F">
              <w:rPr>
                <w:rFonts w:ascii="Times New Roman" w:hAnsi="Times New Roman"/>
                <w:sz w:val="20"/>
                <w:szCs w:val="20"/>
                <w:lang w:val="fr-FR" w:eastAsia="ru-RU"/>
              </w:rPr>
              <w:t>din</w:t>
            </w:r>
            <w:proofErr w:type="spellEnd"/>
            <w:r w:rsidRPr="0099049F">
              <w:rPr>
                <w:rFonts w:ascii="Times New Roman" w:hAnsi="Times New Roman"/>
                <w:sz w:val="20"/>
                <w:szCs w:val="20"/>
                <w:lang w:val="fr-FR" w:eastAsia="ru-RU"/>
              </w:rPr>
              <w:t xml:space="preserve"> surse </w:t>
            </w:r>
            <w:proofErr w:type="spellStart"/>
            <w:r w:rsidRPr="0099049F">
              <w:rPr>
                <w:rFonts w:ascii="Times New Roman" w:hAnsi="Times New Roman"/>
                <w:sz w:val="20"/>
                <w:szCs w:val="20"/>
                <w:lang w:val="fr-FR" w:eastAsia="ru-RU"/>
              </w:rPr>
              <w:t>regenerabile</w:t>
            </w:r>
            <w:proofErr w:type="spellEnd"/>
            <w:r w:rsidRPr="0099049F">
              <w:rPr>
                <w:rFonts w:ascii="Times New Roman" w:hAnsi="Times New Roman"/>
                <w:sz w:val="20"/>
                <w:szCs w:val="20"/>
                <w:lang w:val="fr-FR" w:eastAsia="ru-RU"/>
              </w:rPr>
              <w:t>”</w:t>
            </w:r>
            <w:r w:rsidRPr="0099049F">
              <w:rPr>
                <w:rFonts w:ascii="Times New Roman" w:eastAsia="Times New Roman" w:hAnsi="Times New Roman"/>
                <w:sz w:val="20"/>
                <w:szCs w:val="20"/>
                <w:lang w:val="ro-RO"/>
              </w:rPr>
              <w:t xml:space="preserve"> este transpusă în</w:t>
            </w:r>
          </w:p>
          <w:p w14:paraId="3A5FAC6F" w14:textId="74D3685D" w:rsidR="00471502" w:rsidRPr="0099049F" w:rsidRDefault="0099049F" w:rsidP="00CB6F2C">
            <w:pPr>
              <w:autoSpaceDE w:val="0"/>
              <w:spacing w:after="0" w:line="240" w:lineRule="auto"/>
              <w:rPr>
                <w:rFonts w:ascii="Times New Roman" w:eastAsia="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51B10097" w14:textId="43247665" w:rsidR="00E41D66" w:rsidRPr="003F755D" w:rsidRDefault="00E41D66" w:rsidP="00E41D6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0366FEFC" w14:textId="1776DA8C" w:rsidR="00471502" w:rsidRPr="00C951E7" w:rsidRDefault="00471502" w:rsidP="00CD1E9C">
            <w:pPr>
              <w:autoSpaceDE w:val="0"/>
              <w:spacing w:after="0" w:line="240" w:lineRule="auto"/>
              <w:rPr>
                <w:rFonts w:ascii="Times New Roman" w:eastAsia="Times New Roman" w:hAnsi="Times New Roman"/>
                <w:color w:val="000000" w:themeColor="text1"/>
                <w:sz w:val="20"/>
                <w:szCs w:val="20"/>
                <w:lang w:val="ro-RO"/>
              </w:rPr>
            </w:pPr>
          </w:p>
        </w:tc>
      </w:tr>
      <w:tr w:rsidR="00471502" w:rsidRPr="00C951E7" w14:paraId="58299763" w14:textId="77777777" w:rsidTr="009F5405">
        <w:trPr>
          <w:trHeight w:val="2464"/>
        </w:trPr>
        <w:tc>
          <w:tcPr>
            <w:tcW w:w="4810" w:type="dxa"/>
            <w:shd w:val="clear" w:color="auto" w:fill="auto"/>
          </w:tcPr>
          <w:p w14:paraId="6099E4DA" w14:textId="75B04142" w:rsidR="00471502" w:rsidRPr="009F2339" w:rsidRDefault="00E41D66" w:rsidP="00471502">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23)</w:t>
            </w:r>
            <w:r w:rsidR="00EC6226" w:rsidRPr="009F2339">
              <w:rPr>
                <w:rFonts w:ascii="Times New Roman" w:hAnsi="Times New Roman"/>
                <w:sz w:val="20"/>
                <w:szCs w:val="20"/>
                <w:lang w:val="fr-FR" w:eastAsia="ru-RU"/>
              </w:rPr>
              <w:t>„</w:t>
            </w:r>
            <w:proofErr w:type="spellStart"/>
            <w:proofErr w:type="gramEnd"/>
            <w:r w:rsidR="00EC6226" w:rsidRPr="009F2339">
              <w:rPr>
                <w:rFonts w:ascii="Times New Roman" w:hAnsi="Times New Roman"/>
                <w:sz w:val="20"/>
                <w:szCs w:val="20"/>
                <w:lang w:val="fr-FR" w:eastAsia="ru-RU"/>
              </w:rPr>
              <w:t>consum</w:t>
            </w:r>
            <w:proofErr w:type="spellEnd"/>
            <w:r w:rsidR="00EC6226" w:rsidRPr="009F2339">
              <w:rPr>
                <w:rFonts w:ascii="Times New Roman" w:hAnsi="Times New Roman"/>
                <w:sz w:val="20"/>
                <w:szCs w:val="20"/>
                <w:lang w:val="fr-FR" w:eastAsia="ru-RU"/>
              </w:rPr>
              <w:t xml:space="preserve"> final brut de </w:t>
            </w:r>
            <w:proofErr w:type="spellStart"/>
            <w:r w:rsidR="00EC6226" w:rsidRPr="009F2339">
              <w:rPr>
                <w:rFonts w:ascii="Times New Roman" w:hAnsi="Times New Roman"/>
                <w:sz w:val="20"/>
                <w:szCs w:val="20"/>
                <w:lang w:val="fr-FR" w:eastAsia="ru-RU"/>
              </w:rPr>
              <w:t>energie</w:t>
            </w:r>
            <w:proofErr w:type="spellEnd"/>
            <w:r w:rsidR="00EC6226" w:rsidRPr="009F2339">
              <w:rPr>
                <w:rFonts w:ascii="Times New Roman" w:hAnsi="Times New Roman"/>
                <w:sz w:val="20"/>
                <w:szCs w:val="20"/>
                <w:lang w:val="fr-FR" w:eastAsia="ru-RU"/>
              </w:rPr>
              <w:t xml:space="preserve">” </w:t>
            </w:r>
            <w:proofErr w:type="spellStart"/>
            <w:r w:rsidR="00EC6226" w:rsidRPr="009F2339">
              <w:rPr>
                <w:rFonts w:ascii="Times New Roman" w:hAnsi="Times New Roman"/>
                <w:sz w:val="20"/>
                <w:szCs w:val="20"/>
                <w:lang w:val="fr-FR" w:eastAsia="ru-RU"/>
              </w:rPr>
              <w:t>înseamnă</w:t>
            </w:r>
            <w:proofErr w:type="spellEnd"/>
            <w:r w:rsidR="00EC6226" w:rsidRPr="009F2339">
              <w:rPr>
                <w:rFonts w:ascii="Times New Roman" w:hAnsi="Times New Roman"/>
                <w:sz w:val="20"/>
                <w:szCs w:val="20"/>
                <w:lang w:val="fr-FR" w:eastAsia="ru-RU"/>
              </w:rPr>
              <w:t xml:space="preserve"> </w:t>
            </w:r>
            <w:proofErr w:type="spellStart"/>
            <w:r w:rsidR="00EC6226" w:rsidRPr="009F2339">
              <w:rPr>
                <w:rFonts w:ascii="Times New Roman" w:hAnsi="Times New Roman"/>
                <w:sz w:val="20"/>
                <w:szCs w:val="20"/>
                <w:lang w:val="fr-FR" w:eastAsia="ru-RU"/>
              </w:rPr>
              <w:t>consum</w:t>
            </w:r>
            <w:proofErr w:type="spellEnd"/>
            <w:r w:rsidR="00EC6226" w:rsidRPr="009F2339">
              <w:rPr>
                <w:rFonts w:ascii="Times New Roman" w:hAnsi="Times New Roman"/>
                <w:sz w:val="20"/>
                <w:szCs w:val="20"/>
                <w:lang w:val="fr-FR" w:eastAsia="ru-RU"/>
              </w:rPr>
              <w:t xml:space="preserve"> final brut de </w:t>
            </w:r>
            <w:proofErr w:type="spellStart"/>
            <w:r w:rsidR="00EC6226" w:rsidRPr="009F2339">
              <w:rPr>
                <w:rFonts w:ascii="Times New Roman" w:hAnsi="Times New Roman"/>
                <w:sz w:val="20"/>
                <w:szCs w:val="20"/>
                <w:lang w:val="fr-FR" w:eastAsia="ru-RU"/>
              </w:rPr>
              <w:t>energie</w:t>
            </w:r>
            <w:proofErr w:type="spellEnd"/>
            <w:r w:rsidR="00EC6226" w:rsidRPr="009F2339">
              <w:rPr>
                <w:rFonts w:ascii="Times New Roman" w:hAnsi="Times New Roman"/>
                <w:sz w:val="20"/>
                <w:szCs w:val="20"/>
                <w:lang w:val="fr-FR" w:eastAsia="ru-RU"/>
              </w:rPr>
              <w:t xml:space="preserve"> în </w:t>
            </w:r>
            <w:proofErr w:type="spellStart"/>
            <w:r w:rsidR="00EC6226" w:rsidRPr="009F2339">
              <w:rPr>
                <w:rFonts w:ascii="Times New Roman" w:hAnsi="Times New Roman"/>
                <w:sz w:val="20"/>
                <w:szCs w:val="20"/>
                <w:lang w:val="fr-FR" w:eastAsia="ru-RU"/>
              </w:rPr>
              <w:t>sensul</w:t>
            </w:r>
            <w:proofErr w:type="spellEnd"/>
            <w:r w:rsidR="00EC6226" w:rsidRPr="009F2339">
              <w:rPr>
                <w:rFonts w:ascii="Times New Roman" w:hAnsi="Times New Roman"/>
                <w:sz w:val="20"/>
                <w:szCs w:val="20"/>
                <w:lang w:val="fr-FR" w:eastAsia="ru-RU"/>
              </w:rPr>
              <w:t xml:space="preserve"> </w:t>
            </w:r>
            <w:proofErr w:type="spellStart"/>
            <w:r w:rsidR="00EC6226" w:rsidRPr="009F2339">
              <w:rPr>
                <w:rFonts w:ascii="Times New Roman" w:hAnsi="Times New Roman"/>
                <w:sz w:val="20"/>
                <w:szCs w:val="20"/>
                <w:lang w:val="fr-FR" w:eastAsia="ru-RU"/>
              </w:rPr>
              <w:t>definiției</w:t>
            </w:r>
            <w:proofErr w:type="spellEnd"/>
            <w:r w:rsidR="00EC6226" w:rsidRPr="009F2339">
              <w:rPr>
                <w:rFonts w:ascii="Times New Roman" w:hAnsi="Times New Roman"/>
                <w:sz w:val="20"/>
                <w:szCs w:val="20"/>
                <w:lang w:val="fr-FR" w:eastAsia="ru-RU"/>
              </w:rPr>
              <w:t xml:space="preserve"> de la </w:t>
            </w:r>
            <w:proofErr w:type="spellStart"/>
            <w:r w:rsidR="00EC6226" w:rsidRPr="009F2339">
              <w:rPr>
                <w:rFonts w:ascii="Times New Roman" w:hAnsi="Times New Roman"/>
                <w:sz w:val="20"/>
                <w:szCs w:val="20"/>
                <w:lang w:val="fr-FR" w:eastAsia="ru-RU"/>
              </w:rPr>
              <w:t>articolul</w:t>
            </w:r>
            <w:proofErr w:type="spellEnd"/>
            <w:r w:rsidR="00EC6226">
              <w:rPr>
                <w:rFonts w:ascii="Times New Roman" w:hAnsi="Times New Roman"/>
                <w:sz w:val="20"/>
                <w:szCs w:val="20"/>
                <w:lang w:val="fr-FR" w:eastAsia="ru-RU"/>
              </w:rPr>
              <w:t xml:space="preserve"> </w:t>
            </w:r>
            <w:r w:rsidR="00EC6226" w:rsidRPr="009F2339">
              <w:rPr>
                <w:rFonts w:ascii="Times New Roman" w:hAnsi="Times New Roman"/>
                <w:sz w:val="20"/>
                <w:szCs w:val="20"/>
                <w:lang w:val="fr-FR" w:eastAsia="ru-RU"/>
              </w:rPr>
              <w:t xml:space="preserve">2 </w:t>
            </w:r>
            <w:proofErr w:type="spellStart"/>
            <w:r w:rsidR="00EC6226" w:rsidRPr="009F2339">
              <w:rPr>
                <w:rFonts w:ascii="Times New Roman" w:hAnsi="Times New Roman"/>
                <w:sz w:val="20"/>
                <w:szCs w:val="20"/>
                <w:lang w:val="fr-FR" w:eastAsia="ru-RU"/>
              </w:rPr>
              <w:t>punctul</w:t>
            </w:r>
            <w:proofErr w:type="spellEnd"/>
            <w:r w:rsidR="00EC6226">
              <w:rPr>
                <w:rFonts w:ascii="Times New Roman" w:hAnsi="Times New Roman"/>
                <w:sz w:val="20"/>
                <w:szCs w:val="20"/>
                <w:lang w:val="fr-FR" w:eastAsia="ru-RU"/>
              </w:rPr>
              <w:t xml:space="preserve"> </w:t>
            </w:r>
            <w:r w:rsidR="00EC6226" w:rsidRPr="009F2339">
              <w:rPr>
                <w:rFonts w:ascii="Times New Roman" w:hAnsi="Times New Roman"/>
                <w:sz w:val="20"/>
                <w:szCs w:val="20"/>
                <w:lang w:val="fr-FR" w:eastAsia="ru-RU"/>
              </w:rPr>
              <w:t xml:space="preserve">4 </w:t>
            </w:r>
            <w:proofErr w:type="spellStart"/>
            <w:r w:rsidR="00EC6226" w:rsidRPr="009F2339">
              <w:rPr>
                <w:rFonts w:ascii="Times New Roman" w:hAnsi="Times New Roman"/>
                <w:sz w:val="20"/>
                <w:szCs w:val="20"/>
                <w:lang w:val="fr-FR" w:eastAsia="ru-RU"/>
              </w:rPr>
              <w:t>din</w:t>
            </w:r>
            <w:proofErr w:type="spellEnd"/>
            <w:r w:rsidR="00EC6226" w:rsidRPr="009F2339">
              <w:rPr>
                <w:rFonts w:ascii="Times New Roman" w:hAnsi="Times New Roman"/>
                <w:sz w:val="20"/>
                <w:szCs w:val="20"/>
                <w:lang w:val="fr-FR" w:eastAsia="ru-RU"/>
              </w:rPr>
              <w:t xml:space="preserve"> </w:t>
            </w:r>
            <w:proofErr w:type="spellStart"/>
            <w:r w:rsidR="00EC6226" w:rsidRPr="009F2339">
              <w:rPr>
                <w:rFonts w:ascii="Times New Roman" w:hAnsi="Times New Roman"/>
                <w:sz w:val="20"/>
                <w:szCs w:val="20"/>
                <w:lang w:val="fr-FR" w:eastAsia="ru-RU"/>
              </w:rPr>
              <w:t>Directiva</w:t>
            </w:r>
            <w:proofErr w:type="spellEnd"/>
            <w:r w:rsidR="00EC6226" w:rsidRPr="009F2339">
              <w:rPr>
                <w:rFonts w:ascii="Times New Roman" w:hAnsi="Times New Roman"/>
                <w:sz w:val="20"/>
                <w:szCs w:val="20"/>
                <w:lang w:val="fr-FR" w:eastAsia="ru-RU"/>
              </w:rPr>
              <w:t xml:space="preserve"> (UE)</w:t>
            </w:r>
            <w:r w:rsidR="00EC6226">
              <w:rPr>
                <w:rFonts w:ascii="Times New Roman" w:hAnsi="Times New Roman"/>
                <w:sz w:val="20"/>
                <w:szCs w:val="20"/>
                <w:lang w:val="fr-FR" w:eastAsia="ru-RU"/>
              </w:rPr>
              <w:t xml:space="preserve"> </w:t>
            </w:r>
            <w:r w:rsidR="00EC6226" w:rsidRPr="009F2339">
              <w:rPr>
                <w:rFonts w:ascii="Times New Roman" w:hAnsi="Times New Roman"/>
                <w:sz w:val="20"/>
                <w:szCs w:val="20"/>
                <w:lang w:val="fr-FR" w:eastAsia="ru-RU"/>
              </w:rPr>
              <w:t>2018/2001;</w:t>
            </w:r>
          </w:p>
        </w:tc>
        <w:tc>
          <w:tcPr>
            <w:tcW w:w="4541" w:type="dxa"/>
            <w:shd w:val="clear" w:color="auto" w:fill="auto"/>
          </w:tcPr>
          <w:p w14:paraId="0AED7908" w14:textId="15CDD4CE" w:rsidR="00471502" w:rsidRPr="001C1E74" w:rsidRDefault="00471502" w:rsidP="00F72103">
            <w:pPr>
              <w:pStyle w:val="af3"/>
              <w:ind w:left="0"/>
              <w:jc w:val="both"/>
              <w:rPr>
                <w:rFonts w:ascii="Times New Roman" w:hAnsi="Times New Roman"/>
                <w:color w:val="000000" w:themeColor="text1"/>
                <w:sz w:val="20"/>
                <w:szCs w:val="20"/>
                <w:lang w:val="fr-FR"/>
              </w:rPr>
            </w:pPr>
          </w:p>
        </w:tc>
        <w:tc>
          <w:tcPr>
            <w:tcW w:w="1276" w:type="dxa"/>
            <w:shd w:val="clear" w:color="auto" w:fill="auto"/>
          </w:tcPr>
          <w:p w14:paraId="13653C71" w14:textId="77777777" w:rsidR="001C1E74" w:rsidRPr="00C951E7" w:rsidRDefault="001C1E74" w:rsidP="001C1E74">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5348E8B8" w14:textId="77777777" w:rsidR="00471502" w:rsidRPr="00C951E7" w:rsidRDefault="00471502" w:rsidP="003A75FB">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F14B941"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47533520" w14:textId="08335824" w:rsidR="001C1E74" w:rsidRPr="0099049F" w:rsidRDefault="001C1E74" w:rsidP="001C1E74">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9F2339">
              <w:rPr>
                <w:rFonts w:ascii="Times New Roman" w:hAnsi="Times New Roman"/>
                <w:sz w:val="20"/>
                <w:szCs w:val="20"/>
                <w:lang w:val="fr-FR" w:eastAsia="ru-RU"/>
              </w:rPr>
              <w:t>„</w:t>
            </w:r>
            <w:proofErr w:type="spellStart"/>
            <w:r w:rsidRPr="009F2339">
              <w:rPr>
                <w:rFonts w:ascii="Times New Roman" w:hAnsi="Times New Roman"/>
                <w:sz w:val="20"/>
                <w:szCs w:val="20"/>
                <w:lang w:val="fr-FR" w:eastAsia="ru-RU"/>
              </w:rPr>
              <w:t>consum</w:t>
            </w:r>
            <w:proofErr w:type="spellEnd"/>
            <w:r w:rsidRPr="009F2339">
              <w:rPr>
                <w:rFonts w:ascii="Times New Roman" w:hAnsi="Times New Roman"/>
                <w:sz w:val="20"/>
                <w:szCs w:val="20"/>
                <w:lang w:val="fr-FR" w:eastAsia="ru-RU"/>
              </w:rPr>
              <w:t xml:space="preserve"> final brut de </w:t>
            </w:r>
            <w:proofErr w:type="spellStart"/>
            <w:r w:rsidRPr="009F2339">
              <w:rPr>
                <w:rFonts w:ascii="Times New Roman" w:hAnsi="Times New Roman"/>
                <w:sz w:val="20"/>
                <w:szCs w:val="20"/>
                <w:lang w:val="fr-FR" w:eastAsia="ru-RU"/>
              </w:rPr>
              <w:t>energie</w:t>
            </w:r>
            <w:proofErr w:type="spellEnd"/>
            <w:r w:rsidRPr="009F2339">
              <w:rPr>
                <w:rFonts w:ascii="Times New Roman" w:hAnsi="Times New Roman"/>
                <w:sz w:val="20"/>
                <w:szCs w:val="20"/>
                <w:lang w:val="fr-FR" w:eastAsia="ru-RU"/>
              </w:rPr>
              <w:t>”</w:t>
            </w:r>
            <w:r w:rsidRPr="0099049F">
              <w:rPr>
                <w:rFonts w:ascii="Times New Roman" w:eastAsia="Times New Roman" w:hAnsi="Times New Roman"/>
                <w:sz w:val="20"/>
                <w:szCs w:val="20"/>
                <w:lang w:val="ro-RO"/>
              </w:rPr>
              <w:t xml:space="preserve"> este transpusă în</w:t>
            </w:r>
          </w:p>
          <w:p w14:paraId="4913C75B" w14:textId="5E29E497" w:rsidR="00471502" w:rsidRPr="00C951E7" w:rsidRDefault="001C1E74" w:rsidP="001C1E74">
            <w:pPr>
              <w:autoSpaceDE w:val="0"/>
              <w:spacing w:after="0" w:line="240" w:lineRule="auto"/>
              <w:rPr>
                <w:rFonts w:ascii="Times New Roman" w:eastAsia="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05C4793E" w14:textId="1E972D22" w:rsidR="00E41D66" w:rsidRPr="003F755D" w:rsidRDefault="00E41D66" w:rsidP="00E41D6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16D3D89C" w14:textId="49F80A42" w:rsidR="00471502" w:rsidRPr="00C951E7" w:rsidRDefault="00471502" w:rsidP="00CD1E9C">
            <w:pPr>
              <w:autoSpaceDE w:val="0"/>
              <w:spacing w:after="0" w:line="240" w:lineRule="auto"/>
              <w:rPr>
                <w:rFonts w:ascii="Times New Roman" w:eastAsia="Times New Roman" w:hAnsi="Times New Roman"/>
                <w:color w:val="000000" w:themeColor="text1"/>
                <w:sz w:val="20"/>
                <w:szCs w:val="20"/>
                <w:lang w:val="ro-RO"/>
              </w:rPr>
            </w:pPr>
          </w:p>
        </w:tc>
      </w:tr>
      <w:tr w:rsidR="00471502" w:rsidRPr="00C951E7" w14:paraId="26740807" w14:textId="77777777" w:rsidTr="009F5405">
        <w:trPr>
          <w:trHeight w:val="776"/>
        </w:trPr>
        <w:tc>
          <w:tcPr>
            <w:tcW w:w="4810" w:type="dxa"/>
            <w:shd w:val="clear" w:color="auto" w:fill="auto"/>
          </w:tcPr>
          <w:p w14:paraId="55DDC582" w14:textId="0AB277E1" w:rsidR="00471502" w:rsidRPr="009F2339" w:rsidRDefault="00E41D66" w:rsidP="00471502">
            <w:pPr>
              <w:shd w:val="clear" w:color="auto" w:fill="FFFFFF"/>
              <w:tabs>
                <w:tab w:val="left" w:pos="1485"/>
              </w:tabs>
              <w:spacing w:after="0" w:line="240" w:lineRule="auto"/>
              <w:jc w:val="both"/>
              <w:rPr>
                <w:rFonts w:ascii="Times New Roman" w:hAnsi="Times New Roman"/>
                <w:sz w:val="20"/>
                <w:szCs w:val="20"/>
                <w:lang w:val="fr-FR"/>
              </w:rPr>
            </w:pPr>
            <w:r>
              <w:rPr>
                <w:rFonts w:ascii="Times New Roman" w:hAnsi="Times New Roman"/>
                <w:sz w:val="20"/>
                <w:szCs w:val="20"/>
                <w:lang w:val="fr-FR" w:eastAsia="ru-RU"/>
              </w:rPr>
              <w:lastRenderedPageBreak/>
              <w:t>(</w:t>
            </w:r>
            <w:proofErr w:type="gramStart"/>
            <w:r>
              <w:rPr>
                <w:rFonts w:ascii="Times New Roman" w:hAnsi="Times New Roman"/>
                <w:sz w:val="20"/>
                <w:szCs w:val="20"/>
                <w:lang w:val="fr-FR" w:eastAsia="ru-RU"/>
              </w:rPr>
              <w:t>24)</w:t>
            </w:r>
            <w:r w:rsidR="001C1E74" w:rsidRPr="009F2339">
              <w:rPr>
                <w:rFonts w:ascii="Times New Roman" w:hAnsi="Times New Roman"/>
                <w:sz w:val="20"/>
                <w:szCs w:val="20"/>
                <w:lang w:val="fr-FR" w:eastAsia="ru-RU"/>
              </w:rPr>
              <w:t>„</w:t>
            </w:r>
            <w:proofErr w:type="spellStart"/>
            <w:proofErr w:type="gramEnd"/>
            <w:r w:rsidR="001C1E74" w:rsidRPr="009F2339">
              <w:rPr>
                <w:rFonts w:ascii="Times New Roman" w:hAnsi="Times New Roman"/>
                <w:sz w:val="20"/>
                <w:szCs w:val="20"/>
                <w:lang w:val="fr-FR" w:eastAsia="ru-RU"/>
              </w:rPr>
              <w:t>schemă</w:t>
            </w:r>
            <w:proofErr w:type="spellEnd"/>
            <w:r w:rsidR="001C1E74" w:rsidRPr="009F2339">
              <w:rPr>
                <w:rFonts w:ascii="Times New Roman" w:hAnsi="Times New Roman"/>
                <w:sz w:val="20"/>
                <w:szCs w:val="20"/>
                <w:lang w:val="fr-FR" w:eastAsia="ru-RU"/>
              </w:rPr>
              <w:t xml:space="preserve"> de </w:t>
            </w:r>
            <w:proofErr w:type="spellStart"/>
            <w:r w:rsidR="001C1E74" w:rsidRPr="009F2339">
              <w:rPr>
                <w:rFonts w:ascii="Times New Roman" w:hAnsi="Times New Roman"/>
                <w:sz w:val="20"/>
                <w:szCs w:val="20"/>
                <w:lang w:val="fr-FR" w:eastAsia="ru-RU"/>
              </w:rPr>
              <w:t>sprijin</w:t>
            </w:r>
            <w:proofErr w:type="spellEnd"/>
            <w:r w:rsidR="001C1E74" w:rsidRPr="009F2339">
              <w:rPr>
                <w:rFonts w:ascii="Times New Roman" w:hAnsi="Times New Roman"/>
                <w:sz w:val="20"/>
                <w:szCs w:val="20"/>
                <w:lang w:val="fr-FR" w:eastAsia="ru-RU"/>
              </w:rPr>
              <w:t xml:space="preserve">” </w:t>
            </w:r>
            <w:proofErr w:type="spellStart"/>
            <w:r w:rsidR="001C1E74" w:rsidRPr="009F2339">
              <w:rPr>
                <w:rFonts w:ascii="Times New Roman" w:hAnsi="Times New Roman"/>
                <w:sz w:val="20"/>
                <w:szCs w:val="20"/>
                <w:lang w:val="fr-FR" w:eastAsia="ru-RU"/>
              </w:rPr>
              <w:t>înseamnă</w:t>
            </w:r>
            <w:proofErr w:type="spellEnd"/>
            <w:r w:rsidR="001C1E74" w:rsidRPr="009F2339">
              <w:rPr>
                <w:rFonts w:ascii="Times New Roman" w:hAnsi="Times New Roman"/>
                <w:sz w:val="20"/>
                <w:szCs w:val="20"/>
                <w:lang w:val="fr-FR" w:eastAsia="ru-RU"/>
              </w:rPr>
              <w:t xml:space="preserve"> </w:t>
            </w:r>
            <w:proofErr w:type="spellStart"/>
            <w:r w:rsidR="001C1E74" w:rsidRPr="009F2339">
              <w:rPr>
                <w:rFonts w:ascii="Times New Roman" w:hAnsi="Times New Roman"/>
                <w:sz w:val="20"/>
                <w:szCs w:val="20"/>
                <w:lang w:val="fr-FR" w:eastAsia="ru-RU"/>
              </w:rPr>
              <w:t>schemă</w:t>
            </w:r>
            <w:proofErr w:type="spellEnd"/>
            <w:r w:rsidR="001C1E74" w:rsidRPr="009F2339">
              <w:rPr>
                <w:rFonts w:ascii="Times New Roman" w:hAnsi="Times New Roman"/>
                <w:sz w:val="20"/>
                <w:szCs w:val="20"/>
                <w:lang w:val="fr-FR" w:eastAsia="ru-RU"/>
              </w:rPr>
              <w:t xml:space="preserve"> de </w:t>
            </w:r>
            <w:proofErr w:type="spellStart"/>
            <w:r w:rsidR="001C1E74" w:rsidRPr="009F2339">
              <w:rPr>
                <w:rFonts w:ascii="Times New Roman" w:hAnsi="Times New Roman"/>
                <w:sz w:val="20"/>
                <w:szCs w:val="20"/>
                <w:lang w:val="fr-FR" w:eastAsia="ru-RU"/>
              </w:rPr>
              <w:t>sprijin</w:t>
            </w:r>
            <w:proofErr w:type="spellEnd"/>
            <w:r w:rsidR="001C1E74" w:rsidRPr="009F2339">
              <w:rPr>
                <w:rFonts w:ascii="Times New Roman" w:hAnsi="Times New Roman"/>
                <w:sz w:val="20"/>
                <w:szCs w:val="20"/>
                <w:lang w:val="fr-FR" w:eastAsia="ru-RU"/>
              </w:rPr>
              <w:t xml:space="preserve"> în </w:t>
            </w:r>
            <w:proofErr w:type="spellStart"/>
            <w:r w:rsidR="001C1E74" w:rsidRPr="009F2339">
              <w:rPr>
                <w:rFonts w:ascii="Times New Roman" w:hAnsi="Times New Roman"/>
                <w:sz w:val="20"/>
                <w:szCs w:val="20"/>
                <w:lang w:val="fr-FR" w:eastAsia="ru-RU"/>
              </w:rPr>
              <w:t>sensul</w:t>
            </w:r>
            <w:proofErr w:type="spellEnd"/>
            <w:r w:rsidR="001C1E74" w:rsidRPr="009F2339">
              <w:rPr>
                <w:rFonts w:ascii="Times New Roman" w:hAnsi="Times New Roman"/>
                <w:sz w:val="20"/>
                <w:szCs w:val="20"/>
                <w:lang w:val="fr-FR" w:eastAsia="ru-RU"/>
              </w:rPr>
              <w:t xml:space="preserve"> </w:t>
            </w:r>
            <w:proofErr w:type="spellStart"/>
            <w:r w:rsidR="001C1E74" w:rsidRPr="009F2339">
              <w:rPr>
                <w:rFonts w:ascii="Times New Roman" w:hAnsi="Times New Roman"/>
                <w:sz w:val="20"/>
                <w:szCs w:val="20"/>
                <w:lang w:val="fr-FR" w:eastAsia="ru-RU"/>
              </w:rPr>
              <w:t>definiției</w:t>
            </w:r>
            <w:proofErr w:type="spellEnd"/>
            <w:r w:rsidR="001C1E74" w:rsidRPr="009F2339">
              <w:rPr>
                <w:rFonts w:ascii="Times New Roman" w:hAnsi="Times New Roman"/>
                <w:sz w:val="20"/>
                <w:szCs w:val="20"/>
                <w:lang w:val="fr-FR" w:eastAsia="ru-RU"/>
              </w:rPr>
              <w:t xml:space="preserve"> de la </w:t>
            </w:r>
            <w:proofErr w:type="spellStart"/>
            <w:r w:rsidR="001C1E74" w:rsidRPr="009F2339">
              <w:rPr>
                <w:rFonts w:ascii="Times New Roman" w:hAnsi="Times New Roman"/>
                <w:sz w:val="20"/>
                <w:szCs w:val="20"/>
                <w:lang w:val="fr-FR" w:eastAsia="ru-RU"/>
              </w:rPr>
              <w:t>articolul</w:t>
            </w:r>
            <w:proofErr w:type="spellEnd"/>
            <w:r w:rsidR="001C1E74">
              <w:rPr>
                <w:rFonts w:ascii="Times New Roman" w:hAnsi="Times New Roman"/>
                <w:sz w:val="20"/>
                <w:szCs w:val="20"/>
                <w:lang w:val="fr-FR" w:eastAsia="ru-RU"/>
              </w:rPr>
              <w:t xml:space="preserve"> </w:t>
            </w:r>
            <w:r w:rsidR="001C1E74" w:rsidRPr="009F2339">
              <w:rPr>
                <w:rFonts w:ascii="Times New Roman" w:hAnsi="Times New Roman"/>
                <w:sz w:val="20"/>
                <w:szCs w:val="20"/>
                <w:lang w:val="fr-FR" w:eastAsia="ru-RU"/>
              </w:rPr>
              <w:t xml:space="preserve">2 </w:t>
            </w:r>
            <w:proofErr w:type="spellStart"/>
            <w:r w:rsidR="001C1E74" w:rsidRPr="009F2339">
              <w:rPr>
                <w:rFonts w:ascii="Times New Roman" w:hAnsi="Times New Roman"/>
                <w:sz w:val="20"/>
                <w:szCs w:val="20"/>
                <w:lang w:val="fr-FR" w:eastAsia="ru-RU"/>
              </w:rPr>
              <w:t>punctul</w:t>
            </w:r>
            <w:proofErr w:type="spellEnd"/>
            <w:r w:rsidR="001C1E74">
              <w:rPr>
                <w:rFonts w:ascii="Times New Roman" w:hAnsi="Times New Roman"/>
                <w:sz w:val="20"/>
                <w:szCs w:val="20"/>
                <w:lang w:val="fr-FR" w:eastAsia="ru-RU"/>
              </w:rPr>
              <w:t xml:space="preserve"> </w:t>
            </w:r>
            <w:r w:rsidR="001C1E74" w:rsidRPr="009F2339">
              <w:rPr>
                <w:rFonts w:ascii="Times New Roman" w:hAnsi="Times New Roman"/>
                <w:sz w:val="20"/>
                <w:szCs w:val="20"/>
                <w:lang w:val="fr-FR" w:eastAsia="ru-RU"/>
              </w:rPr>
              <w:t xml:space="preserve">5 </w:t>
            </w:r>
            <w:proofErr w:type="spellStart"/>
            <w:r w:rsidR="001C1E74" w:rsidRPr="009F2339">
              <w:rPr>
                <w:rFonts w:ascii="Times New Roman" w:hAnsi="Times New Roman"/>
                <w:sz w:val="20"/>
                <w:szCs w:val="20"/>
                <w:lang w:val="fr-FR" w:eastAsia="ru-RU"/>
              </w:rPr>
              <w:t>din</w:t>
            </w:r>
            <w:proofErr w:type="spellEnd"/>
            <w:r w:rsidR="001C1E74" w:rsidRPr="009F2339">
              <w:rPr>
                <w:rFonts w:ascii="Times New Roman" w:hAnsi="Times New Roman"/>
                <w:sz w:val="20"/>
                <w:szCs w:val="20"/>
                <w:lang w:val="fr-FR" w:eastAsia="ru-RU"/>
              </w:rPr>
              <w:t xml:space="preserve"> </w:t>
            </w:r>
            <w:proofErr w:type="spellStart"/>
            <w:r w:rsidR="001C1E74" w:rsidRPr="009F2339">
              <w:rPr>
                <w:rFonts w:ascii="Times New Roman" w:hAnsi="Times New Roman"/>
                <w:sz w:val="20"/>
                <w:szCs w:val="20"/>
                <w:lang w:val="fr-FR" w:eastAsia="ru-RU"/>
              </w:rPr>
              <w:t>Directiva</w:t>
            </w:r>
            <w:proofErr w:type="spellEnd"/>
            <w:r w:rsidR="001C1E74" w:rsidRPr="009F2339">
              <w:rPr>
                <w:rFonts w:ascii="Times New Roman" w:hAnsi="Times New Roman"/>
                <w:sz w:val="20"/>
                <w:szCs w:val="20"/>
                <w:lang w:val="fr-FR" w:eastAsia="ru-RU"/>
              </w:rPr>
              <w:t xml:space="preserve"> (UE)</w:t>
            </w:r>
            <w:r w:rsidR="001C1E74">
              <w:rPr>
                <w:rFonts w:ascii="Times New Roman" w:hAnsi="Times New Roman"/>
                <w:sz w:val="20"/>
                <w:szCs w:val="20"/>
                <w:lang w:val="fr-FR" w:eastAsia="ru-RU"/>
              </w:rPr>
              <w:t xml:space="preserve"> </w:t>
            </w:r>
            <w:r w:rsidR="001C1E74" w:rsidRPr="009F2339">
              <w:rPr>
                <w:rFonts w:ascii="Times New Roman" w:hAnsi="Times New Roman"/>
                <w:sz w:val="20"/>
                <w:szCs w:val="20"/>
                <w:lang w:val="fr-FR" w:eastAsia="ru-RU"/>
              </w:rPr>
              <w:t>2018/2001;</w:t>
            </w:r>
          </w:p>
        </w:tc>
        <w:tc>
          <w:tcPr>
            <w:tcW w:w="4541" w:type="dxa"/>
            <w:shd w:val="clear" w:color="auto" w:fill="auto"/>
          </w:tcPr>
          <w:p w14:paraId="37EEFF78" w14:textId="49A50591" w:rsidR="00471502" w:rsidRPr="003D20CB" w:rsidRDefault="00471502" w:rsidP="00CD1E9C">
            <w:pPr>
              <w:spacing w:after="0" w:line="240" w:lineRule="auto"/>
              <w:jc w:val="both"/>
              <w:rPr>
                <w:rFonts w:ascii="Times New Roman" w:hAnsi="Times New Roman"/>
                <w:color w:val="000000" w:themeColor="text1"/>
                <w:sz w:val="20"/>
                <w:szCs w:val="20"/>
                <w:lang w:val="en-US"/>
              </w:rPr>
            </w:pPr>
          </w:p>
        </w:tc>
        <w:tc>
          <w:tcPr>
            <w:tcW w:w="1276" w:type="dxa"/>
            <w:shd w:val="clear" w:color="auto" w:fill="auto"/>
          </w:tcPr>
          <w:p w14:paraId="597588C7" w14:textId="77777777" w:rsidR="001C1E74" w:rsidRPr="00C951E7" w:rsidRDefault="001C1E74" w:rsidP="001C1E74">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66CB6001" w14:textId="79E13516" w:rsidR="00471502" w:rsidRPr="00C951E7" w:rsidRDefault="00471502" w:rsidP="00E14CC6">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32EF629" w14:textId="0D0D2824"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6D0D5291" w14:textId="0CA6FC70" w:rsidR="001C1E74" w:rsidRPr="0099049F" w:rsidRDefault="001C1E74" w:rsidP="001C1E74">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 xml:space="preserve">Noțiunea </w:t>
            </w:r>
            <w:r w:rsidRPr="009F2339">
              <w:rPr>
                <w:rFonts w:ascii="Times New Roman" w:hAnsi="Times New Roman"/>
                <w:sz w:val="20"/>
                <w:szCs w:val="20"/>
                <w:lang w:val="fr-FR" w:eastAsia="ru-RU"/>
              </w:rPr>
              <w:t>„</w:t>
            </w:r>
            <w:proofErr w:type="spellStart"/>
            <w:r w:rsidRPr="009F2339">
              <w:rPr>
                <w:rFonts w:ascii="Times New Roman" w:hAnsi="Times New Roman"/>
                <w:sz w:val="20"/>
                <w:szCs w:val="20"/>
                <w:lang w:val="fr-FR" w:eastAsia="ru-RU"/>
              </w:rPr>
              <w:t>schemă</w:t>
            </w:r>
            <w:proofErr w:type="spellEnd"/>
            <w:r w:rsidRPr="009F2339">
              <w:rPr>
                <w:rFonts w:ascii="Times New Roman" w:hAnsi="Times New Roman"/>
                <w:sz w:val="20"/>
                <w:szCs w:val="20"/>
                <w:lang w:val="fr-FR" w:eastAsia="ru-RU"/>
              </w:rPr>
              <w:t xml:space="preserve"> de </w:t>
            </w:r>
            <w:proofErr w:type="spellStart"/>
            <w:r w:rsidRPr="009F2339">
              <w:rPr>
                <w:rFonts w:ascii="Times New Roman" w:hAnsi="Times New Roman"/>
                <w:sz w:val="20"/>
                <w:szCs w:val="20"/>
                <w:lang w:val="fr-FR" w:eastAsia="ru-RU"/>
              </w:rPr>
              <w:t>sprijin</w:t>
            </w:r>
            <w:proofErr w:type="spellEnd"/>
            <w:r w:rsidRPr="009F2339">
              <w:rPr>
                <w:rFonts w:ascii="Times New Roman" w:hAnsi="Times New Roman"/>
                <w:sz w:val="20"/>
                <w:szCs w:val="20"/>
                <w:lang w:val="fr-FR" w:eastAsia="ru-RU"/>
              </w:rPr>
              <w:t xml:space="preserve">” </w:t>
            </w:r>
            <w:r w:rsidRPr="0099049F">
              <w:rPr>
                <w:rFonts w:ascii="Times New Roman" w:eastAsia="Times New Roman" w:hAnsi="Times New Roman"/>
                <w:sz w:val="20"/>
                <w:szCs w:val="20"/>
                <w:lang w:val="ro-RO"/>
              </w:rPr>
              <w:t>este transpusă în</w:t>
            </w:r>
          </w:p>
          <w:p w14:paraId="5BA636AB" w14:textId="332566C2" w:rsidR="00471502" w:rsidRPr="00C951E7" w:rsidRDefault="001C1E74" w:rsidP="001C1E74">
            <w:pPr>
              <w:tabs>
                <w:tab w:val="left" w:pos="851"/>
              </w:tabs>
              <w:jc w:val="both"/>
              <w:rPr>
                <w:rFonts w:ascii="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5D6BE12A" w14:textId="28AB43C6" w:rsidR="00E41D66" w:rsidRPr="003F755D" w:rsidRDefault="00E41D66" w:rsidP="00E41D6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128C2BAB" w14:textId="639965FD" w:rsidR="00471502" w:rsidRPr="00C951E7" w:rsidRDefault="00471502" w:rsidP="00CD1E9C">
            <w:pPr>
              <w:autoSpaceDE w:val="0"/>
              <w:spacing w:after="0" w:line="240" w:lineRule="auto"/>
              <w:rPr>
                <w:rFonts w:ascii="Times New Roman" w:eastAsia="Times New Roman" w:hAnsi="Times New Roman"/>
                <w:color w:val="000000" w:themeColor="text1"/>
                <w:sz w:val="20"/>
                <w:szCs w:val="20"/>
                <w:lang w:val="ro-RO"/>
              </w:rPr>
            </w:pPr>
          </w:p>
        </w:tc>
      </w:tr>
      <w:tr w:rsidR="00471502" w:rsidRPr="00C951E7" w14:paraId="78C372F8" w14:textId="77777777" w:rsidTr="009F5405">
        <w:trPr>
          <w:trHeight w:val="776"/>
        </w:trPr>
        <w:tc>
          <w:tcPr>
            <w:tcW w:w="4810" w:type="dxa"/>
            <w:shd w:val="clear" w:color="auto" w:fill="auto"/>
          </w:tcPr>
          <w:p w14:paraId="76412DBC" w14:textId="189BD36A" w:rsidR="001C1E74" w:rsidRPr="001C1E74" w:rsidRDefault="00E41D66" w:rsidP="001C1E74">
            <w:pPr>
              <w:pStyle w:val="Normal4"/>
              <w:spacing w:before="0" w:beforeAutospacing="0" w:after="0" w:afterAutospacing="0"/>
              <w:jc w:val="both"/>
              <w:rPr>
                <w:sz w:val="20"/>
                <w:szCs w:val="20"/>
              </w:rPr>
            </w:pPr>
            <w:r>
              <w:rPr>
                <w:sz w:val="20"/>
                <w:szCs w:val="20"/>
              </w:rPr>
              <w:t>(25)</w:t>
            </w:r>
            <w:r w:rsidR="001C1E74" w:rsidRPr="009F2339">
              <w:rPr>
                <w:sz w:val="20"/>
                <w:szCs w:val="20"/>
                <w:lang w:val="fr-FR"/>
              </w:rPr>
              <w:t>„</w:t>
            </w:r>
            <w:proofErr w:type="spellStart"/>
            <w:r w:rsidR="001C1E74" w:rsidRPr="009F2339">
              <w:rPr>
                <w:sz w:val="20"/>
                <w:szCs w:val="20"/>
                <w:lang w:val="fr-FR"/>
              </w:rPr>
              <w:t>retehnologizare</w:t>
            </w:r>
            <w:proofErr w:type="spellEnd"/>
            <w:r w:rsidR="001C1E74" w:rsidRPr="009F2339">
              <w:rPr>
                <w:sz w:val="20"/>
                <w:szCs w:val="20"/>
                <w:lang w:val="fr-FR"/>
              </w:rPr>
              <w:t xml:space="preserve">” </w:t>
            </w:r>
            <w:proofErr w:type="spellStart"/>
            <w:r w:rsidR="001C1E74" w:rsidRPr="009F2339">
              <w:rPr>
                <w:sz w:val="20"/>
                <w:szCs w:val="20"/>
                <w:lang w:val="fr-FR"/>
              </w:rPr>
              <w:t>înseamnă</w:t>
            </w:r>
            <w:proofErr w:type="spellEnd"/>
            <w:r w:rsidR="001C1E74" w:rsidRPr="009F2339">
              <w:rPr>
                <w:sz w:val="20"/>
                <w:szCs w:val="20"/>
                <w:lang w:val="fr-FR"/>
              </w:rPr>
              <w:t xml:space="preserve"> </w:t>
            </w:r>
            <w:proofErr w:type="spellStart"/>
            <w:r w:rsidR="001C1E74" w:rsidRPr="009F2339">
              <w:rPr>
                <w:sz w:val="20"/>
                <w:szCs w:val="20"/>
                <w:lang w:val="fr-FR"/>
              </w:rPr>
              <w:t>retehnologizare</w:t>
            </w:r>
            <w:proofErr w:type="spellEnd"/>
            <w:r w:rsidR="001C1E74" w:rsidRPr="009F2339">
              <w:rPr>
                <w:sz w:val="20"/>
                <w:szCs w:val="20"/>
                <w:lang w:val="fr-FR"/>
              </w:rPr>
              <w:t xml:space="preserve"> în </w:t>
            </w:r>
            <w:proofErr w:type="spellStart"/>
            <w:r w:rsidR="001C1E74" w:rsidRPr="009F2339">
              <w:rPr>
                <w:sz w:val="20"/>
                <w:szCs w:val="20"/>
                <w:lang w:val="fr-FR"/>
              </w:rPr>
              <w:t>sensul</w:t>
            </w:r>
            <w:proofErr w:type="spellEnd"/>
            <w:r w:rsidR="001C1E74" w:rsidRPr="009F2339">
              <w:rPr>
                <w:sz w:val="20"/>
                <w:szCs w:val="20"/>
                <w:lang w:val="fr-FR"/>
              </w:rPr>
              <w:t xml:space="preserve"> </w:t>
            </w:r>
            <w:proofErr w:type="spellStart"/>
            <w:r w:rsidR="001C1E74" w:rsidRPr="009F2339">
              <w:rPr>
                <w:sz w:val="20"/>
                <w:szCs w:val="20"/>
                <w:lang w:val="fr-FR"/>
              </w:rPr>
              <w:t>definiției</w:t>
            </w:r>
            <w:proofErr w:type="spellEnd"/>
            <w:r w:rsidR="001C1E74" w:rsidRPr="009F2339">
              <w:rPr>
                <w:sz w:val="20"/>
                <w:szCs w:val="20"/>
                <w:lang w:val="fr-FR"/>
              </w:rPr>
              <w:t xml:space="preserve"> de la </w:t>
            </w:r>
            <w:proofErr w:type="spellStart"/>
            <w:r w:rsidR="001C1E74" w:rsidRPr="009F2339">
              <w:rPr>
                <w:sz w:val="20"/>
                <w:szCs w:val="20"/>
                <w:lang w:val="fr-FR"/>
              </w:rPr>
              <w:t>articolul</w:t>
            </w:r>
            <w:proofErr w:type="spellEnd"/>
            <w:r w:rsidR="001C1E74">
              <w:rPr>
                <w:sz w:val="20"/>
                <w:szCs w:val="20"/>
                <w:lang w:val="fr-FR"/>
              </w:rPr>
              <w:t xml:space="preserve"> </w:t>
            </w:r>
            <w:r w:rsidR="001C1E74" w:rsidRPr="009F2339">
              <w:rPr>
                <w:sz w:val="20"/>
                <w:szCs w:val="20"/>
                <w:lang w:val="fr-FR"/>
              </w:rPr>
              <w:t xml:space="preserve">2 </w:t>
            </w:r>
            <w:proofErr w:type="spellStart"/>
            <w:r w:rsidR="001C1E74" w:rsidRPr="009F2339">
              <w:rPr>
                <w:sz w:val="20"/>
                <w:szCs w:val="20"/>
                <w:lang w:val="fr-FR"/>
              </w:rPr>
              <w:t>punctul</w:t>
            </w:r>
            <w:proofErr w:type="spellEnd"/>
            <w:r w:rsidR="001C1E74">
              <w:rPr>
                <w:sz w:val="20"/>
                <w:szCs w:val="20"/>
                <w:lang w:val="fr-FR"/>
              </w:rPr>
              <w:t xml:space="preserve"> </w:t>
            </w:r>
            <w:r w:rsidR="001C1E74" w:rsidRPr="009F2339">
              <w:rPr>
                <w:sz w:val="20"/>
                <w:szCs w:val="20"/>
                <w:lang w:val="fr-FR"/>
              </w:rPr>
              <w:t xml:space="preserve">10 </w:t>
            </w:r>
            <w:proofErr w:type="spellStart"/>
            <w:r w:rsidR="001C1E74" w:rsidRPr="009F2339">
              <w:rPr>
                <w:sz w:val="20"/>
                <w:szCs w:val="20"/>
                <w:lang w:val="fr-FR"/>
              </w:rPr>
              <w:t>din</w:t>
            </w:r>
            <w:proofErr w:type="spellEnd"/>
            <w:r w:rsidR="001C1E74" w:rsidRPr="009F2339">
              <w:rPr>
                <w:sz w:val="20"/>
                <w:szCs w:val="20"/>
                <w:lang w:val="fr-FR"/>
              </w:rPr>
              <w:t xml:space="preserve"> </w:t>
            </w:r>
            <w:proofErr w:type="spellStart"/>
            <w:r w:rsidR="001C1E74" w:rsidRPr="009F2339">
              <w:rPr>
                <w:sz w:val="20"/>
                <w:szCs w:val="20"/>
                <w:lang w:val="fr-FR"/>
              </w:rPr>
              <w:t>Directiva</w:t>
            </w:r>
            <w:proofErr w:type="spellEnd"/>
            <w:r w:rsidR="001C1E74" w:rsidRPr="009F2339">
              <w:rPr>
                <w:sz w:val="20"/>
                <w:szCs w:val="20"/>
                <w:lang w:val="fr-FR"/>
              </w:rPr>
              <w:t xml:space="preserve"> (UE)</w:t>
            </w:r>
            <w:r w:rsidR="001C1E74">
              <w:rPr>
                <w:sz w:val="20"/>
                <w:szCs w:val="20"/>
                <w:lang w:val="fr-FR"/>
              </w:rPr>
              <w:t xml:space="preserve"> </w:t>
            </w:r>
            <w:r w:rsidR="001C1E74" w:rsidRPr="009F2339">
              <w:rPr>
                <w:sz w:val="20"/>
                <w:szCs w:val="20"/>
                <w:lang w:val="fr-FR"/>
              </w:rPr>
              <w:t>2018/2001;</w:t>
            </w:r>
          </w:p>
          <w:p w14:paraId="731D0DD6" w14:textId="64B828D0" w:rsidR="00471502" w:rsidRPr="001C1E74" w:rsidRDefault="00471502" w:rsidP="001C1E74">
            <w:pPr>
              <w:pStyle w:val="Normal4"/>
              <w:spacing w:before="120" w:after="0" w:line="312" w:lineRule="atLeast"/>
              <w:jc w:val="both"/>
              <w:rPr>
                <w:sz w:val="20"/>
                <w:szCs w:val="20"/>
                <w:lang w:val="fr-FR"/>
              </w:rPr>
            </w:pPr>
          </w:p>
        </w:tc>
        <w:tc>
          <w:tcPr>
            <w:tcW w:w="4541" w:type="dxa"/>
            <w:shd w:val="clear" w:color="auto" w:fill="auto"/>
          </w:tcPr>
          <w:p w14:paraId="3CA8B0DF" w14:textId="23BD8E9A" w:rsidR="00277412" w:rsidRPr="00277412" w:rsidRDefault="00277412" w:rsidP="00F72103">
            <w:pPr>
              <w:spacing w:after="0" w:line="240" w:lineRule="auto"/>
              <w:jc w:val="both"/>
              <w:rPr>
                <w:rFonts w:ascii="Times New Roman" w:hAnsi="Times New Roman"/>
                <w:color w:val="000000" w:themeColor="text1"/>
                <w:sz w:val="20"/>
                <w:szCs w:val="20"/>
                <w:lang w:val="fr-FR"/>
              </w:rPr>
            </w:pPr>
          </w:p>
        </w:tc>
        <w:tc>
          <w:tcPr>
            <w:tcW w:w="1276" w:type="dxa"/>
            <w:shd w:val="clear" w:color="auto" w:fill="auto"/>
          </w:tcPr>
          <w:p w14:paraId="2E9624AB" w14:textId="27890E1F" w:rsidR="00471502" w:rsidRPr="00C951E7" w:rsidRDefault="00BC57B2" w:rsidP="009A017E">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51097CCD"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660EFC2E" w14:textId="04A51D4B" w:rsidR="00BC57B2" w:rsidRPr="00CD1E9C" w:rsidRDefault="009A017E" w:rsidP="00237F95">
            <w:pPr>
              <w:autoSpaceDE w:val="0"/>
              <w:spacing w:after="0" w:line="240" w:lineRule="auto"/>
              <w:jc w:val="both"/>
              <w:rPr>
                <w:rFonts w:ascii="Times New Roman" w:hAnsi="Times New Roman"/>
                <w:b/>
                <w:sz w:val="20"/>
                <w:szCs w:val="20"/>
                <w:lang w:val="ro-RO"/>
              </w:rPr>
            </w:pPr>
            <w:r w:rsidRPr="00C951E7">
              <w:rPr>
                <w:rFonts w:ascii="Times New Roman" w:hAnsi="Times New Roman"/>
                <w:sz w:val="20"/>
                <w:szCs w:val="20"/>
                <w:lang w:val="ro-RO"/>
              </w:rPr>
              <w:t>Noțiunea</w:t>
            </w:r>
            <w:r>
              <w:rPr>
                <w:rFonts w:ascii="Times New Roman" w:hAnsi="Times New Roman"/>
                <w:sz w:val="20"/>
                <w:szCs w:val="20"/>
                <w:lang w:val="ro-RO"/>
              </w:rPr>
              <w:t xml:space="preserve"> </w:t>
            </w:r>
            <w:r w:rsidRPr="009F2339">
              <w:rPr>
                <w:rFonts w:ascii="Times New Roman" w:hAnsi="Times New Roman"/>
                <w:sz w:val="20"/>
                <w:szCs w:val="20"/>
                <w:lang w:val="fr-FR"/>
              </w:rPr>
              <w:t>„</w:t>
            </w:r>
            <w:proofErr w:type="spellStart"/>
            <w:r w:rsidRPr="009F2339">
              <w:rPr>
                <w:rFonts w:ascii="Times New Roman" w:hAnsi="Times New Roman"/>
                <w:sz w:val="20"/>
                <w:szCs w:val="20"/>
                <w:lang w:val="fr-FR"/>
              </w:rPr>
              <w:t>retehnologizare</w:t>
            </w:r>
            <w:proofErr w:type="spellEnd"/>
            <w:r w:rsidRPr="009F2339">
              <w:rPr>
                <w:rFonts w:ascii="Times New Roman" w:hAnsi="Times New Roman"/>
                <w:sz w:val="20"/>
                <w:szCs w:val="20"/>
                <w:lang w:val="fr-FR"/>
              </w:rPr>
              <w:t xml:space="preserve">” </w:t>
            </w:r>
            <w:r w:rsidRPr="007F05D9">
              <w:rPr>
                <w:rFonts w:ascii="Times New Roman" w:hAnsi="Times New Roman"/>
                <w:sz w:val="20"/>
                <w:szCs w:val="20"/>
                <w:lang w:val="ro-RO"/>
              </w:rPr>
              <w:t xml:space="preserve">va fi transpusă în </w:t>
            </w:r>
          </w:p>
          <w:p w14:paraId="7405A5A7" w14:textId="4D617C58" w:rsidR="00471502" w:rsidRPr="003D20CB" w:rsidRDefault="00BC57B2" w:rsidP="00237F95">
            <w:pPr>
              <w:spacing w:after="0" w:line="240" w:lineRule="auto"/>
              <w:jc w:val="both"/>
              <w:rPr>
                <w:rFonts w:ascii="Times New Roman" w:hAnsi="Times New Roman"/>
                <w:i/>
                <w:iCs/>
                <w:sz w:val="20"/>
                <w:szCs w:val="20"/>
                <w:shd w:val="clear" w:color="auto" w:fill="FFFFFF"/>
                <w:lang w:val="en-US"/>
              </w:rPr>
            </w:pPr>
            <w:r w:rsidRPr="00BC57B2">
              <w:rPr>
                <w:rFonts w:ascii="Times New Roman" w:hAnsi="Times New Roman"/>
                <w:sz w:val="20"/>
                <w:szCs w:val="20"/>
                <w:lang w:val="ro-RO"/>
              </w:rPr>
              <w:t>Legea nr.10/2016 privind promovarea utilizării energiei din surse regenerabile</w:t>
            </w:r>
          </w:p>
        </w:tc>
        <w:tc>
          <w:tcPr>
            <w:tcW w:w="1464" w:type="dxa"/>
            <w:shd w:val="clear" w:color="auto" w:fill="auto"/>
          </w:tcPr>
          <w:p w14:paraId="510B7177" w14:textId="4D53D547" w:rsidR="00CD1E9C" w:rsidRPr="003F755D" w:rsidRDefault="00CD1E9C" w:rsidP="00CD1E9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17B0E810" w14:textId="489FA58D" w:rsidR="00471502" w:rsidRPr="00C951E7" w:rsidRDefault="00471502" w:rsidP="00CD1E9C">
            <w:pPr>
              <w:autoSpaceDE w:val="0"/>
              <w:spacing w:after="0" w:line="240" w:lineRule="auto"/>
              <w:rPr>
                <w:rFonts w:ascii="Times New Roman" w:eastAsia="Times New Roman" w:hAnsi="Times New Roman"/>
                <w:color w:val="000000" w:themeColor="text1"/>
                <w:sz w:val="20"/>
                <w:szCs w:val="20"/>
                <w:lang w:val="ro-RO"/>
              </w:rPr>
            </w:pPr>
          </w:p>
        </w:tc>
      </w:tr>
      <w:tr w:rsidR="00471502" w:rsidRPr="00C951E7" w14:paraId="2DA05FDE" w14:textId="77777777" w:rsidTr="009F5405">
        <w:trPr>
          <w:trHeight w:val="776"/>
        </w:trPr>
        <w:tc>
          <w:tcPr>
            <w:tcW w:w="4810" w:type="dxa"/>
            <w:shd w:val="clear" w:color="auto" w:fill="auto"/>
          </w:tcPr>
          <w:p w14:paraId="5B82F982" w14:textId="7221D65D" w:rsidR="00471502" w:rsidRPr="009F2339" w:rsidRDefault="00E41D66" w:rsidP="00471502">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26)</w:t>
            </w:r>
            <w:r w:rsidR="00D40854" w:rsidRPr="00D40854">
              <w:rPr>
                <w:rFonts w:ascii="Times New Roman" w:hAnsi="Times New Roman"/>
                <w:sz w:val="20"/>
                <w:szCs w:val="20"/>
                <w:lang w:val="fr-FR" w:eastAsia="ru-RU"/>
              </w:rPr>
              <w:t>„</w:t>
            </w:r>
            <w:proofErr w:type="spellStart"/>
            <w:proofErr w:type="gramEnd"/>
            <w:r w:rsidR="00D40854" w:rsidRPr="00D40854">
              <w:rPr>
                <w:rFonts w:ascii="Times New Roman" w:hAnsi="Times New Roman"/>
                <w:sz w:val="20"/>
                <w:szCs w:val="20"/>
                <w:lang w:val="fr-FR" w:eastAsia="ru-RU"/>
              </w:rPr>
              <w:t>comunitate</w:t>
            </w:r>
            <w:proofErr w:type="spellEnd"/>
            <w:r w:rsidR="00D40854" w:rsidRPr="00D40854">
              <w:rPr>
                <w:rFonts w:ascii="Times New Roman" w:hAnsi="Times New Roman"/>
                <w:sz w:val="20"/>
                <w:szCs w:val="20"/>
                <w:lang w:val="fr-FR" w:eastAsia="ru-RU"/>
              </w:rPr>
              <w:t xml:space="preserve"> de </w:t>
            </w:r>
            <w:proofErr w:type="spellStart"/>
            <w:r w:rsidR="00D40854" w:rsidRPr="00D40854">
              <w:rPr>
                <w:rFonts w:ascii="Times New Roman" w:hAnsi="Times New Roman"/>
                <w:sz w:val="20"/>
                <w:szCs w:val="20"/>
                <w:lang w:val="fr-FR" w:eastAsia="ru-RU"/>
              </w:rPr>
              <w:t>energie</w:t>
            </w:r>
            <w:proofErr w:type="spellEnd"/>
            <w:r w:rsidR="00D40854" w:rsidRPr="00D40854">
              <w:rPr>
                <w:rFonts w:ascii="Times New Roman" w:hAnsi="Times New Roman"/>
                <w:sz w:val="20"/>
                <w:szCs w:val="20"/>
                <w:lang w:val="fr-FR" w:eastAsia="ru-RU"/>
              </w:rPr>
              <w:t xml:space="preserve"> </w:t>
            </w:r>
            <w:proofErr w:type="spellStart"/>
            <w:r w:rsidR="00D40854" w:rsidRPr="00D40854">
              <w:rPr>
                <w:rFonts w:ascii="Times New Roman" w:hAnsi="Times New Roman"/>
                <w:sz w:val="20"/>
                <w:szCs w:val="20"/>
                <w:lang w:val="fr-FR" w:eastAsia="ru-RU"/>
              </w:rPr>
              <w:t>din</w:t>
            </w:r>
            <w:proofErr w:type="spellEnd"/>
            <w:r w:rsidR="00D40854" w:rsidRPr="00D40854">
              <w:rPr>
                <w:rFonts w:ascii="Times New Roman" w:hAnsi="Times New Roman"/>
                <w:sz w:val="20"/>
                <w:szCs w:val="20"/>
                <w:lang w:val="fr-FR" w:eastAsia="ru-RU"/>
              </w:rPr>
              <w:t xml:space="preserve"> surse </w:t>
            </w:r>
            <w:proofErr w:type="spellStart"/>
            <w:r w:rsidR="00D40854" w:rsidRPr="00D40854">
              <w:rPr>
                <w:rFonts w:ascii="Times New Roman" w:hAnsi="Times New Roman"/>
                <w:sz w:val="20"/>
                <w:szCs w:val="20"/>
                <w:lang w:val="fr-FR" w:eastAsia="ru-RU"/>
              </w:rPr>
              <w:t>regenerabile</w:t>
            </w:r>
            <w:proofErr w:type="spellEnd"/>
            <w:r w:rsidR="00D40854" w:rsidRPr="00D40854">
              <w:rPr>
                <w:rFonts w:ascii="Times New Roman" w:hAnsi="Times New Roman"/>
                <w:sz w:val="20"/>
                <w:szCs w:val="20"/>
                <w:lang w:val="fr-FR" w:eastAsia="ru-RU"/>
              </w:rPr>
              <w:t xml:space="preserve">” </w:t>
            </w:r>
            <w:proofErr w:type="spellStart"/>
            <w:r w:rsidR="00D40854" w:rsidRPr="00D40854">
              <w:rPr>
                <w:rFonts w:ascii="Times New Roman" w:hAnsi="Times New Roman"/>
                <w:sz w:val="20"/>
                <w:szCs w:val="20"/>
                <w:lang w:val="fr-FR" w:eastAsia="ru-RU"/>
              </w:rPr>
              <w:t>înseamnă</w:t>
            </w:r>
            <w:proofErr w:type="spellEnd"/>
            <w:r w:rsidR="00D40854" w:rsidRPr="00D40854">
              <w:rPr>
                <w:rFonts w:ascii="Times New Roman" w:hAnsi="Times New Roman"/>
                <w:sz w:val="20"/>
                <w:szCs w:val="20"/>
                <w:lang w:val="fr-FR" w:eastAsia="ru-RU"/>
              </w:rPr>
              <w:t xml:space="preserve"> o </w:t>
            </w:r>
            <w:proofErr w:type="spellStart"/>
            <w:r w:rsidR="00D40854" w:rsidRPr="00D40854">
              <w:rPr>
                <w:rFonts w:ascii="Times New Roman" w:hAnsi="Times New Roman"/>
                <w:sz w:val="20"/>
                <w:szCs w:val="20"/>
                <w:lang w:val="fr-FR" w:eastAsia="ru-RU"/>
              </w:rPr>
              <w:t>comunitate</w:t>
            </w:r>
            <w:proofErr w:type="spellEnd"/>
            <w:r w:rsidR="00D40854" w:rsidRPr="00D40854">
              <w:rPr>
                <w:rFonts w:ascii="Times New Roman" w:hAnsi="Times New Roman"/>
                <w:sz w:val="20"/>
                <w:szCs w:val="20"/>
                <w:lang w:val="fr-FR" w:eastAsia="ru-RU"/>
              </w:rPr>
              <w:t xml:space="preserve"> de </w:t>
            </w:r>
            <w:proofErr w:type="spellStart"/>
            <w:r w:rsidR="00D40854" w:rsidRPr="00D40854">
              <w:rPr>
                <w:rFonts w:ascii="Times New Roman" w:hAnsi="Times New Roman"/>
                <w:sz w:val="20"/>
                <w:szCs w:val="20"/>
                <w:lang w:val="fr-FR" w:eastAsia="ru-RU"/>
              </w:rPr>
              <w:t>energie</w:t>
            </w:r>
            <w:proofErr w:type="spellEnd"/>
            <w:r w:rsidR="00D40854" w:rsidRPr="00D40854">
              <w:rPr>
                <w:rFonts w:ascii="Times New Roman" w:hAnsi="Times New Roman"/>
                <w:sz w:val="20"/>
                <w:szCs w:val="20"/>
                <w:lang w:val="fr-FR" w:eastAsia="ru-RU"/>
              </w:rPr>
              <w:t xml:space="preserve"> </w:t>
            </w:r>
            <w:proofErr w:type="spellStart"/>
            <w:r w:rsidR="00D40854" w:rsidRPr="00D40854">
              <w:rPr>
                <w:rFonts w:ascii="Times New Roman" w:hAnsi="Times New Roman"/>
                <w:sz w:val="20"/>
                <w:szCs w:val="20"/>
                <w:lang w:val="fr-FR" w:eastAsia="ru-RU"/>
              </w:rPr>
              <w:t>din</w:t>
            </w:r>
            <w:proofErr w:type="spellEnd"/>
            <w:r w:rsidR="00D40854" w:rsidRPr="00D40854">
              <w:rPr>
                <w:rFonts w:ascii="Times New Roman" w:hAnsi="Times New Roman"/>
                <w:sz w:val="20"/>
                <w:szCs w:val="20"/>
                <w:lang w:val="fr-FR" w:eastAsia="ru-RU"/>
              </w:rPr>
              <w:t xml:space="preserve"> surse </w:t>
            </w:r>
            <w:proofErr w:type="spellStart"/>
            <w:r w:rsidR="00D40854" w:rsidRPr="00D40854">
              <w:rPr>
                <w:rFonts w:ascii="Times New Roman" w:hAnsi="Times New Roman"/>
                <w:sz w:val="20"/>
                <w:szCs w:val="20"/>
                <w:lang w:val="fr-FR" w:eastAsia="ru-RU"/>
              </w:rPr>
              <w:t>regenerabile</w:t>
            </w:r>
            <w:proofErr w:type="spellEnd"/>
            <w:r w:rsidR="00D40854" w:rsidRPr="00D40854">
              <w:rPr>
                <w:rFonts w:ascii="Times New Roman" w:hAnsi="Times New Roman"/>
                <w:sz w:val="20"/>
                <w:szCs w:val="20"/>
                <w:lang w:val="fr-FR" w:eastAsia="ru-RU"/>
              </w:rPr>
              <w:t xml:space="preserve"> </w:t>
            </w:r>
            <w:proofErr w:type="spellStart"/>
            <w:r w:rsidR="00D40854" w:rsidRPr="00D40854">
              <w:rPr>
                <w:rFonts w:ascii="Times New Roman" w:hAnsi="Times New Roman"/>
                <w:sz w:val="20"/>
                <w:szCs w:val="20"/>
                <w:lang w:val="fr-FR" w:eastAsia="ru-RU"/>
              </w:rPr>
              <w:t>astfel</w:t>
            </w:r>
            <w:proofErr w:type="spellEnd"/>
            <w:r w:rsidR="00D40854" w:rsidRPr="00D40854">
              <w:rPr>
                <w:rFonts w:ascii="Times New Roman" w:hAnsi="Times New Roman"/>
                <w:sz w:val="20"/>
                <w:szCs w:val="20"/>
                <w:lang w:val="fr-FR" w:eastAsia="ru-RU"/>
              </w:rPr>
              <w:t xml:space="preserve"> cum este </w:t>
            </w:r>
            <w:proofErr w:type="spellStart"/>
            <w:r w:rsidR="00D40854" w:rsidRPr="00D40854">
              <w:rPr>
                <w:rFonts w:ascii="Times New Roman" w:hAnsi="Times New Roman"/>
                <w:sz w:val="20"/>
                <w:szCs w:val="20"/>
                <w:lang w:val="fr-FR" w:eastAsia="ru-RU"/>
              </w:rPr>
              <w:t>definită</w:t>
            </w:r>
            <w:proofErr w:type="spellEnd"/>
            <w:r w:rsidR="00D40854" w:rsidRPr="00D40854">
              <w:rPr>
                <w:rFonts w:ascii="Times New Roman" w:hAnsi="Times New Roman"/>
                <w:sz w:val="20"/>
                <w:szCs w:val="20"/>
                <w:lang w:val="fr-FR" w:eastAsia="ru-RU"/>
              </w:rPr>
              <w:t xml:space="preserve"> la </w:t>
            </w:r>
            <w:proofErr w:type="spellStart"/>
            <w:r w:rsidR="00D40854" w:rsidRPr="00D40854">
              <w:rPr>
                <w:rFonts w:ascii="Times New Roman" w:hAnsi="Times New Roman"/>
                <w:sz w:val="20"/>
                <w:szCs w:val="20"/>
                <w:lang w:val="fr-FR" w:eastAsia="ru-RU"/>
              </w:rPr>
              <w:t>articolul</w:t>
            </w:r>
            <w:proofErr w:type="spellEnd"/>
            <w:r w:rsidR="00D40854" w:rsidRPr="00D40854">
              <w:rPr>
                <w:rFonts w:ascii="Times New Roman" w:hAnsi="Times New Roman"/>
                <w:sz w:val="20"/>
                <w:szCs w:val="20"/>
                <w:lang w:val="fr-FR" w:eastAsia="ru-RU"/>
              </w:rPr>
              <w:t xml:space="preserve"> 2 </w:t>
            </w:r>
            <w:proofErr w:type="spellStart"/>
            <w:r w:rsidR="00D40854" w:rsidRPr="00D40854">
              <w:rPr>
                <w:rFonts w:ascii="Times New Roman" w:hAnsi="Times New Roman"/>
                <w:sz w:val="20"/>
                <w:szCs w:val="20"/>
                <w:lang w:val="fr-FR" w:eastAsia="ru-RU"/>
              </w:rPr>
              <w:t>punctul</w:t>
            </w:r>
            <w:proofErr w:type="spellEnd"/>
            <w:r w:rsidR="00D40854" w:rsidRPr="00D40854">
              <w:rPr>
                <w:rFonts w:ascii="Times New Roman" w:hAnsi="Times New Roman"/>
                <w:sz w:val="20"/>
                <w:szCs w:val="20"/>
                <w:lang w:val="fr-FR" w:eastAsia="ru-RU"/>
              </w:rPr>
              <w:t xml:space="preserve"> 16 </w:t>
            </w:r>
            <w:proofErr w:type="spellStart"/>
            <w:r w:rsidR="00D40854" w:rsidRPr="00D40854">
              <w:rPr>
                <w:rFonts w:ascii="Times New Roman" w:hAnsi="Times New Roman"/>
                <w:sz w:val="20"/>
                <w:szCs w:val="20"/>
                <w:lang w:val="fr-FR" w:eastAsia="ru-RU"/>
              </w:rPr>
              <w:t>din</w:t>
            </w:r>
            <w:proofErr w:type="spellEnd"/>
            <w:r w:rsidR="00D40854" w:rsidRPr="00D40854">
              <w:rPr>
                <w:rFonts w:ascii="Times New Roman" w:hAnsi="Times New Roman"/>
                <w:sz w:val="20"/>
                <w:szCs w:val="20"/>
                <w:lang w:val="fr-FR" w:eastAsia="ru-RU"/>
              </w:rPr>
              <w:t xml:space="preserve"> </w:t>
            </w:r>
            <w:proofErr w:type="spellStart"/>
            <w:r w:rsidR="00D40854" w:rsidRPr="00D40854">
              <w:rPr>
                <w:rFonts w:ascii="Times New Roman" w:hAnsi="Times New Roman"/>
                <w:sz w:val="20"/>
                <w:szCs w:val="20"/>
                <w:lang w:val="fr-FR" w:eastAsia="ru-RU"/>
              </w:rPr>
              <w:t>Directiva</w:t>
            </w:r>
            <w:proofErr w:type="spellEnd"/>
            <w:r w:rsidR="00D40854" w:rsidRPr="00D40854">
              <w:rPr>
                <w:rFonts w:ascii="Times New Roman" w:hAnsi="Times New Roman"/>
                <w:sz w:val="20"/>
                <w:szCs w:val="20"/>
                <w:lang w:val="fr-FR" w:eastAsia="ru-RU"/>
              </w:rPr>
              <w:t xml:space="preserve"> (UE) 2018/2001;</w:t>
            </w:r>
          </w:p>
        </w:tc>
        <w:tc>
          <w:tcPr>
            <w:tcW w:w="4541" w:type="dxa"/>
            <w:shd w:val="clear" w:color="auto" w:fill="auto"/>
          </w:tcPr>
          <w:p w14:paraId="4AAAC92B" w14:textId="3A875747" w:rsidR="00471502" w:rsidRPr="00C951E7" w:rsidRDefault="00471502" w:rsidP="00F72103">
            <w:pPr>
              <w:spacing w:after="0" w:line="240" w:lineRule="auto"/>
              <w:jc w:val="both"/>
              <w:rPr>
                <w:rFonts w:ascii="Times New Roman" w:hAnsi="Times New Roman"/>
                <w:color w:val="000000" w:themeColor="text1"/>
                <w:sz w:val="20"/>
                <w:szCs w:val="20"/>
                <w:lang w:val="ro-RO"/>
              </w:rPr>
            </w:pPr>
          </w:p>
        </w:tc>
        <w:tc>
          <w:tcPr>
            <w:tcW w:w="1276" w:type="dxa"/>
            <w:shd w:val="clear" w:color="auto" w:fill="auto"/>
          </w:tcPr>
          <w:p w14:paraId="14F44167" w14:textId="0AA93B8B" w:rsidR="00471502" w:rsidRPr="00C951E7" w:rsidRDefault="00BC57B2" w:rsidP="00D40854">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797DCA88"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2909122C" w14:textId="5FEDD3D0" w:rsidR="00BC57B2" w:rsidRPr="00C951E7" w:rsidRDefault="00D40854" w:rsidP="00BC57B2">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Noțiunea</w:t>
            </w:r>
            <w:r>
              <w:rPr>
                <w:rFonts w:ascii="Times New Roman" w:hAnsi="Times New Roman"/>
                <w:sz w:val="20"/>
                <w:szCs w:val="20"/>
                <w:lang w:val="ro-RO"/>
              </w:rPr>
              <w:t xml:space="preserve"> </w:t>
            </w:r>
            <w:r w:rsidRPr="00D40854">
              <w:rPr>
                <w:rFonts w:ascii="Times New Roman" w:hAnsi="Times New Roman"/>
                <w:sz w:val="20"/>
                <w:szCs w:val="20"/>
                <w:lang w:val="fr-FR" w:eastAsia="ru-RU"/>
              </w:rPr>
              <w:t>„</w:t>
            </w:r>
            <w:proofErr w:type="spellStart"/>
            <w:r w:rsidRPr="00D40854">
              <w:rPr>
                <w:rFonts w:ascii="Times New Roman" w:hAnsi="Times New Roman"/>
                <w:sz w:val="20"/>
                <w:szCs w:val="20"/>
                <w:lang w:val="fr-FR" w:eastAsia="ru-RU"/>
              </w:rPr>
              <w:t>comunitate</w:t>
            </w:r>
            <w:proofErr w:type="spellEnd"/>
            <w:r w:rsidRPr="00D40854">
              <w:rPr>
                <w:rFonts w:ascii="Times New Roman" w:hAnsi="Times New Roman"/>
                <w:sz w:val="20"/>
                <w:szCs w:val="20"/>
                <w:lang w:val="fr-FR" w:eastAsia="ru-RU"/>
              </w:rPr>
              <w:t xml:space="preserve"> de </w:t>
            </w:r>
            <w:proofErr w:type="spellStart"/>
            <w:r w:rsidRPr="00D40854">
              <w:rPr>
                <w:rFonts w:ascii="Times New Roman" w:hAnsi="Times New Roman"/>
                <w:sz w:val="20"/>
                <w:szCs w:val="20"/>
                <w:lang w:val="fr-FR" w:eastAsia="ru-RU"/>
              </w:rPr>
              <w:t>energie</w:t>
            </w:r>
            <w:proofErr w:type="spellEnd"/>
            <w:r w:rsidRPr="00D40854">
              <w:rPr>
                <w:rFonts w:ascii="Times New Roman" w:hAnsi="Times New Roman"/>
                <w:sz w:val="20"/>
                <w:szCs w:val="20"/>
                <w:lang w:val="fr-FR" w:eastAsia="ru-RU"/>
              </w:rPr>
              <w:t xml:space="preserve"> </w:t>
            </w:r>
            <w:proofErr w:type="spellStart"/>
            <w:r w:rsidRPr="00D40854">
              <w:rPr>
                <w:rFonts w:ascii="Times New Roman" w:hAnsi="Times New Roman"/>
                <w:sz w:val="20"/>
                <w:szCs w:val="20"/>
                <w:lang w:val="fr-FR" w:eastAsia="ru-RU"/>
              </w:rPr>
              <w:t>din</w:t>
            </w:r>
            <w:proofErr w:type="spellEnd"/>
            <w:r w:rsidRPr="00D40854">
              <w:rPr>
                <w:rFonts w:ascii="Times New Roman" w:hAnsi="Times New Roman"/>
                <w:sz w:val="20"/>
                <w:szCs w:val="20"/>
                <w:lang w:val="fr-FR" w:eastAsia="ru-RU"/>
              </w:rPr>
              <w:t xml:space="preserve"> surse </w:t>
            </w:r>
            <w:proofErr w:type="spellStart"/>
            <w:r w:rsidRPr="00D40854">
              <w:rPr>
                <w:rFonts w:ascii="Times New Roman" w:hAnsi="Times New Roman"/>
                <w:sz w:val="20"/>
                <w:szCs w:val="20"/>
                <w:lang w:val="fr-FR" w:eastAsia="ru-RU"/>
              </w:rPr>
              <w:t>regenerabile</w:t>
            </w:r>
            <w:proofErr w:type="spellEnd"/>
            <w:r w:rsidRPr="00D40854">
              <w:rPr>
                <w:rFonts w:ascii="Times New Roman" w:hAnsi="Times New Roman"/>
                <w:sz w:val="20"/>
                <w:szCs w:val="20"/>
                <w:lang w:val="fr-FR" w:eastAsia="ru-RU"/>
              </w:rPr>
              <w:t xml:space="preserve">” </w:t>
            </w:r>
            <w:r w:rsidRPr="007F05D9">
              <w:rPr>
                <w:rFonts w:ascii="Times New Roman" w:hAnsi="Times New Roman"/>
                <w:sz w:val="20"/>
                <w:szCs w:val="20"/>
                <w:lang w:val="ro-RO"/>
              </w:rPr>
              <w:t xml:space="preserve">va fi transpusă în </w:t>
            </w:r>
          </w:p>
          <w:p w14:paraId="69CFB37F" w14:textId="56AA3978" w:rsidR="00471502" w:rsidRPr="00C951E7" w:rsidRDefault="00BC57B2" w:rsidP="00D40854">
            <w:pPr>
              <w:autoSpaceDE w:val="0"/>
              <w:spacing w:after="0" w:line="240" w:lineRule="auto"/>
              <w:rPr>
                <w:rFonts w:ascii="Times New Roman" w:eastAsia="Times New Roman" w:hAnsi="Times New Roman"/>
                <w:sz w:val="20"/>
                <w:szCs w:val="20"/>
                <w:lang w:val="ro-RO"/>
              </w:rPr>
            </w:pPr>
            <w:r w:rsidRPr="00BC57B2">
              <w:rPr>
                <w:rFonts w:ascii="Times New Roman" w:hAnsi="Times New Roman"/>
                <w:sz w:val="20"/>
                <w:szCs w:val="20"/>
                <w:lang w:val="ro-RO"/>
              </w:rPr>
              <w:t>Legea nr.10/2016 privind promovarea utilizării energiei din surse regenerabile</w:t>
            </w:r>
          </w:p>
        </w:tc>
        <w:tc>
          <w:tcPr>
            <w:tcW w:w="1464" w:type="dxa"/>
            <w:shd w:val="clear" w:color="auto" w:fill="auto"/>
          </w:tcPr>
          <w:p w14:paraId="3F0CC390" w14:textId="2429D02C" w:rsidR="00CD1E9C" w:rsidRPr="003F755D" w:rsidRDefault="00CD1E9C" w:rsidP="00CD1E9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60260526" w14:textId="49C190F1" w:rsidR="00471502" w:rsidRPr="00C951E7" w:rsidRDefault="00471502" w:rsidP="00CD1E9C">
            <w:pPr>
              <w:autoSpaceDE w:val="0"/>
              <w:spacing w:after="0" w:line="240" w:lineRule="auto"/>
              <w:rPr>
                <w:rFonts w:ascii="Times New Roman" w:eastAsia="Times New Roman" w:hAnsi="Times New Roman"/>
                <w:color w:val="000000" w:themeColor="text1"/>
                <w:sz w:val="20"/>
                <w:szCs w:val="20"/>
                <w:lang w:val="ro-RO"/>
              </w:rPr>
            </w:pPr>
          </w:p>
        </w:tc>
      </w:tr>
      <w:tr w:rsidR="00471502" w:rsidRPr="00FD60FF" w14:paraId="42451F42" w14:textId="77777777" w:rsidTr="009F5405">
        <w:trPr>
          <w:trHeight w:val="776"/>
        </w:trPr>
        <w:tc>
          <w:tcPr>
            <w:tcW w:w="4810" w:type="dxa"/>
            <w:shd w:val="clear" w:color="auto" w:fill="auto"/>
          </w:tcPr>
          <w:p w14:paraId="058F4F24" w14:textId="7BD6EF9A" w:rsidR="003709BA" w:rsidRPr="00C214D0" w:rsidRDefault="00E41D66" w:rsidP="003709BA">
            <w:pPr>
              <w:shd w:val="clear" w:color="auto" w:fill="FFFFFF"/>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27)</w:t>
            </w:r>
            <w:r w:rsidR="003709BA" w:rsidRPr="00C214D0">
              <w:rPr>
                <w:rFonts w:ascii="Times New Roman" w:hAnsi="Times New Roman"/>
                <w:sz w:val="20"/>
                <w:szCs w:val="20"/>
                <w:lang w:eastAsia="ru-RU"/>
              </w:rPr>
              <w:t>„</w:t>
            </w:r>
            <w:proofErr w:type="spellStart"/>
            <w:proofErr w:type="gramEnd"/>
            <w:r w:rsidR="003709BA" w:rsidRPr="00C214D0">
              <w:rPr>
                <w:rFonts w:ascii="Times New Roman" w:hAnsi="Times New Roman"/>
                <w:sz w:val="20"/>
                <w:szCs w:val="20"/>
                <w:lang w:eastAsia="ru-RU"/>
              </w:rPr>
              <w:t>încălzire</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centralizată</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sau</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răcire</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centralizată</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înseamnă</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încălzire</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centralizată</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sau</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răcire</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centralizată</w:t>
            </w:r>
            <w:proofErr w:type="spellEnd"/>
            <w:r w:rsidR="003709BA" w:rsidRPr="00C214D0">
              <w:rPr>
                <w:rFonts w:ascii="Times New Roman" w:hAnsi="Times New Roman"/>
                <w:sz w:val="20"/>
                <w:szCs w:val="20"/>
                <w:lang w:eastAsia="ru-RU"/>
              </w:rPr>
              <w:t xml:space="preserve"> în </w:t>
            </w:r>
            <w:proofErr w:type="spellStart"/>
            <w:r w:rsidR="003709BA" w:rsidRPr="00C214D0">
              <w:rPr>
                <w:rFonts w:ascii="Times New Roman" w:hAnsi="Times New Roman"/>
                <w:sz w:val="20"/>
                <w:szCs w:val="20"/>
                <w:lang w:eastAsia="ru-RU"/>
              </w:rPr>
              <w:t>sensul</w:t>
            </w:r>
            <w:proofErr w:type="spellEnd"/>
            <w:r w:rsidR="003709BA" w:rsidRPr="00C214D0">
              <w:rPr>
                <w:rFonts w:ascii="Times New Roman" w:hAnsi="Times New Roman"/>
                <w:sz w:val="20"/>
                <w:szCs w:val="20"/>
                <w:lang w:eastAsia="ru-RU"/>
              </w:rPr>
              <w:t xml:space="preserve"> </w:t>
            </w:r>
            <w:proofErr w:type="spellStart"/>
            <w:r w:rsidR="003709BA" w:rsidRPr="00C214D0">
              <w:rPr>
                <w:rFonts w:ascii="Times New Roman" w:hAnsi="Times New Roman"/>
                <w:sz w:val="20"/>
                <w:szCs w:val="20"/>
                <w:lang w:eastAsia="ru-RU"/>
              </w:rPr>
              <w:t>definiției</w:t>
            </w:r>
            <w:proofErr w:type="spellEnd"/>
            <w:r w:rsidR="003709BA" w:rsidRPr="00C214D0">
              <w:rPr>
                <w:rFonts w:ascii="Times New Roman" w:hAnsi="Times New Roman"/>
                <w:sz w:val="20"/>
                <w:szCs w:val="20"/>
                <w:lang w:eastAsia="ru-RU"/>
              </w:rPr>
              <w:t xml:space="preserve"> de la </w:t>
            </w:r>
            <w:proofErr w:type="spellStart"/>
            <w:r w:rsidR="003709BA" w:rsidRPr="00C214D0">
              <w:rPr>
                <w:rFonts w:ascii="Times New Roman" w:hAnsi="Times New Roman"/>
                <w:sz w:val="20"/>
                <w:szCs w:val="20"/>
                <w:lang w:eastAsia="ru-RU"/>
              </w:rPr>
              <w:t>articolul</w:t>
            </w:r>
            <w:proofErr w:type="spellEnd"/>
            <w:r w:rsidR="00FD60FF">
              <w:rPr>
                <w:rFonts w:ascii="Times New Roman" w:hAnsi="Times New Roman"/>
                <w:sz w:val="20"/>
                <w:szCs w:val="20"/>
                <w:lang w:eastAsia="ru-RU"/>
              </w:rPr>
              <w:t xml:space="preserve"> </w:t>
            </w:r>
            <w:r w:rsidR="003709BA" w:rsidRPr="00C214D0">
              <w:rPr>
                <w:rFonts w:ascii="Times New Roman" w:hAnsi="Times New Roman"/>
                <w:sz w:val="20"/>
                <w:szCs w:val="20"/>
                <w:lang w:eastAsia="ru-RU"/>
              </w:rPr>
              <w:t xml:space="preserve">2 </w:t>
            </w:r>
            <w:proofErr w:type="spellStart"/>
            <w:r w:rsidR="003709BA" w:rsidRPr="00C214D0">
              <w:rPr>
                <w:rFonts w:ascii="Times New Roman" w:hAnsi="Times New Roman"/>
                <w:sz w:val="20"/>
                <w:szCs w:val="20"/>
                <w:lang w:eastAsia="ru-RU"/>
              </w:rPr>
              <w:t>punctul</w:t>
            </w:r>
            <w:proofErr w:type="spellEnd"/>
            <w:r w:rsidR="00FD60FF">
              <w:rPr>
                <w:rFonts w:ascii="Times New Roman" w:hAnsi="Times New Roman"/>
                <w:sz w:val="20"/>
                <w:szCs w:val="20"/>
                <w:lang w:eastAsia="ru-RU"/>
              </w:rPr>
              <w:t xml:space="preserve"> </w:t>
            </w:r>
            <w:r w:rsidR="003709BA" w:rsidRPr="00C214D0">
              <w:rPr>
                <w:rFonts w:ascii="Times New Roman" w:hAnsi="Times New Roman"/>
                <w:sz w:val="20"/>
                <w:szCs w:val="20"/>
                <w:lang w:eastAsia="ru-RU"/>
              </w:rPr>
              <w:t>19</w:t>
            </w:r>
            <w:r w:rsidR="003709BA" w:rsidRPr="00C214D0">
              <w:rPr>
                <w:rFonts w:ascii="Times New Roman" w:hAnsi="Times New Roman"/>
                <w:sz w:val="20"/>
                <w:szCs w:val="20"/>
                <w:lang w:eastAsia="ru-RU"/>
              </w:rPr>
              <w:cr/>
              <w:t xml:space="preserve">din </w:t>
            </w:r>
            <w:proofErr w:type="spellStart"/>
            <w:r w:rsidR="003709BA" w:rsidRPr="00C214D0">
              <w:rPr>
                <w:rFonts w:ascii="Times New Roman" w:hAnsi="Times New Roman"/>
                <w:sz w:val="20"/>
                <w:szCs w:val="20"/>
                <w:lang w:eastAsia="ru-RU"/>
              </w:rPr>
              <w:t>Directiva</w:t>
            </w:r>
            <w:proofErr w:type="spellEnd"/>
            <w:r w:rsidR="003709BA" w:rsidRPr="00C214D0">
              <w:rPr>
                <w:rFonts w:ascii="Times New Roman" w:hAnsi="Times New Roman"/>
                <w:sz w:val="20"/>
                <w:szCs w:val="20"/>
                <w:lang w:eastAsia="ru-RU"/>
              </w:rPr>
              <w:t xml:space="preserve"> (UE)</w:t>
            </w:r>
            <w:r w:rsidR="00FD60FF">
              <w:rPr>
                <w:rFonts w:ascii="Times New Roman" w:hAnsi="Times New Roman"/>
                <w:sz w:val="20"/>
                <w:szCs w:val="20"/>
                <w:lang w:eastAsia="ru-RU"/>
              </w:rPr>
              <w:t xml:space="preserve"> </w:t>
            </w:r>
            <w:proofErr w:type="gramStart"/>
            <w:r w:rsidR="003709BA" w:rsidRPr="00C214D0">
              <w:rPr>
                <w:rFonts w:ascii="Times New Roman" w:hAnsi="Times New Roman"/>
                <w:sz w:val="20"/>
                <w:szCs w:val="20"/>
                <w:lang w:eastAsia="ru-RU"/>
              </w:rPr>
              <w:t>2018/2001;</w:t>
            </w:r>
            <w:proofErr w:type="gramEnd"/>
          </w:p>
          <w:p w14:paraId="695F6E98" w14:textId="5FC3CD49" w:rsidR="00471502" w:rsidRPr="00C214D0" w:rsidRDefault="00471502" w:rsidP="00471502">
            <w:pPr>
              <w:shd w:val="clear" w:color="auto" w:fill="FFFFFF"/>
              <w:spacing w:after="0" w:line="240" w:lineRule="auto"/>
              <w:jc w:val="both"/>
              <w:rPr>
                <w:rFonts w:ascii="Times New Roman" w:hAnsi="Times New Roman"/>
                <w:sz w:val="20"/>
                <w:szCs w:val="20"/>
              </w:rPr>
            </w:pPr>
          </w:p>
        </w:tc>
        <w:tc>
          <w:tcPr>
            <w:tcW w:w="4541" w:type="dxa"/>
            <w:shd w:val="clear" w:color="auto" w:fill="auto"/>
          </w:tcPr>
          <w:p w14:paraId="0D22B867" w14:textId="5AD37386" w:rsidR="00471502" w:rsidRPr="00FD60FF" w:rsidRDefault="00471502" w:rsidP="00E14CC6">
            <w:pPr>
              <w:spacing w:after="0" w:line="240" w:lineRule="auto"/>
              <w:jc w:val="both"/>
              <w:rPr>
                <w:rFonts w:ascii="Times New Roman" w:hAnsi="Times New Roman"/>
                <w:color w:val="000000" w:themeColor="text1"/>
                <w:sz w:val="20"/>
                <w:szCs w:val="20"/>
              </w:rPr>
            </w:pPr>
          </w:p>
        </w:tc>
        <w:tc>
          <w:tcPr>
            <w:tcW w:w="1276" w:type="dxa"/>
            <w:shd w:val="clear" w:color="auto" w:fill="auto"/>
          </w:tcPr>
          <w:p w14:paraId="3D3E1675" w14:textId="77777777" w:rsidR="00FD60FF" w:rsidRPr="00C951E7" w:rsidRDefault="00FD60FF" w:rsidP="00FD60FF">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8091293" w14:textId="4CC28CCF" w:rsidR="00471502" w:rsidRPr="00C951E7" w:rsidRDefault="00471502" w:rsidP="00E14CC6">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5F1A4BFF" w14:textId="0E8F3482"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3C0873CB" w14:textId="549A11F5" w:rsidR="00FD60FF" w:rsidRPr="00FD60FF" w:rsidRDefault="00FD60FF" w:rsidP="00FD60FF">
            <w:pPr>
              <w:autoSpaceDE w:val="0"/>
              <w:spacing w:after="0" w:line="240" w:lineRule="auto"/>
              <w:rPr>
                <w:rFonts w:ascii="Times New Roman" w:hAnsi="Times New Roman"/>
                <w:sz w:val="20"/>
                <w:szCs w:val="20"/>
                <w:lang w:val="ro-RO"/>
              </w:rPr>
            </w:pPr>
            <w:r w:rsidRPr="00FD60FF">
              <w:rPr>
                <w:rFonts w:ascii="Times New Roman" w:hAnsi="Times New Roman"/>
                <w:sz w:val="20"/>
                <w:szCs w:val="20"/>
                <w:lang w:val="ro-RO"/>
              </w:rPr>
              <w:t xml:space="preserve">Noțiunea </w:t>
            </w:r>
            <w:r w:rsidRPr="00F13819">
              <w:rPr>
                <w:rFonts w:ascii="Times New Roman" w:hAnsi="Times New Roman"/>
                <w:sz w:val="20"/>
                <w:szCs w:val="20"/>
                <w:lang w:val="ro-RO" w:eastAsia="ru-RU"/>
              </w:rPr>
              <w:t xml:space="preserve">„încălzire centralizată” sau „răcire centralizată” </w:t>
            </w:r>
            <w:r w:rsidRPr="00FD60FF">
              <w:rPr>
                <w:rFonts w:ascii="Times New Roman" w:eastAsia="Times New Roman" w:hAnsi="Times New Roman"/>
                <w:sz w:val="20"/>
                <w:szCs w:val="20"/>
                <w:lang w:val="ro-RO"/>
              </w:rPr>
              <w:t>este transpusă în</w:t>
            </w:r>
          </w:p>
          <w:p w14:paraId="0EE25121" w14:textId="2B4F0924" w:rsidR="00471502" w:rsidRPr="00FD60FF" w:rsidRDefault="00FD60FF" w:rsidP="00FD60FF">
            <w:pPr>
              <w:autoSpaceDE w:val="0"/>
              <w:spacing w:after="0" w:line="240" w:lineRule="auto"/>
              <w:rPr>
                <w:rFonts w:ascii="Times New Roman" w:eastAsia="Times New Roman" w:hAnsi="Times New Roman"/>
                <w:sz w:val="20"/>
                <w:szCs w:val="20"/>
                <w:lang w:val="ro-RO"/>
              </w:rPr>
            </w:pPr>
            <w:r w:rsidRPr="00FD60FF">
              <w:rPr>
                <w:rFonts w:ascii="Times New Roman" w:eastAsia="Times New Roman" w:hAnsi="Times New Roman"/>
                <w:sz w:val="20"/>
                <w:szCs w:val="20"/>
                <w:lang w:val="ro-MD" w:eastAsia="ro-MD"/>
              </w:rPr>
              <w:t>Legea nr.128/2014 privind performanța energetică a clădirilor</w:t>
            </w:r>
          </w:p>
        </w:tc>
        <w:tc>
          <w:tcPr>
            <w:tcW w:w="1464" w:type="dxa"/>
            <w:shd w:val="clear" w:color="auto" w:fill="auto"/>
          </w:tcPr>
          <w:p w14:paraId="30884203" w14:textId="7323F77B" w:rsidR="00BC57B2" w:rsidRPr="003F755D" w:rsidRDefault="00BC57B2" w:rsidP="00BC57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1B4F0A26" w14:textId="6F826BF7" w:rsidR="00471502" w:rsidRPr="00C951E7" w:rsidRDefault="00471502" w:rsidP="00BC57B2">
            <w:pPr>
              <w:autoSpaceDE w:val="0"/>
              <w:spacing w:after="0" w:line="240" w:lineRule="auto"/>
              <w:rPr>
                <w:rFonts w:ascii="Times New Roman" w:eastAsia="Times New Roman" w:hAnsi="Times New Roman"/>
                <w:color w:val="000000" w:themeColor="text1"/>
                <w:sz w:val="20"/>
                <w:szCs w:val="20"/>
                <w:lang w:val="ro-RO"/>
              </w:rPr>
            </w:pPr>
          </w:p>
        </w:tc>
      </w:tr>
      <w:tr w:rsidR="00FD60FF" w:rsidRPr="00FD60FF" w14:paraId="72F21622" w14:textId="77777777" w:rsidTr="009F5405">
        <w:trPr>
          <w:trHeight w:val="776"/>
        </w:trPr>
        <w:tc>
          <w:tcPr>
            <w:tcW w:w="4810" w:type="dxa"/>
            <w:shd w:val="clear" w:color="auto" w:fill="auto"/>
          </w:tcPr>
          <w:p w14:paraId="03894A71" w14:textId="342206E5" w:rsidR="00FD60FF" w:rsidRPr="00FD60FF" w:rsidRDefault="00E41D66" w:rsidP="003709BA">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28)</w:t>
            </w:r>
            <w:r w:rsidR="00FD60FF" w:rsidRPr="00FD60FF">
              <w:rPr>
                <w:rFonts w:ascii="Times New Roman" w:hAnsi="Times New Roman"/>
                <w:sz w:val="20"/>
                <w:szCs w:val="20"/>
                <w:lang w:val="fr-FR" w:eastAsia="ru-RU"/>
              </w:rPr>
              <w:t>„</w:t>
            </w:r>
            <w:proofErr w:type="spellStart"/>
            <w:proofErr w:type="gramEnd"/>
            <w:r w:rsidR="00FD60FF" w:rsidRPr="00FD60FF">
              <w:rPr>
                <w:rFonts w:ascii="Times New Roman" w:hAnsi="Times New Roman"/>
                <w:sz w:val="20"/>
                <w:szCs w:val="20"/>
                <w:lang w:val="fr-FR" w:eastAsia="ru-RU"/>
              </w:rPr>
              <w:t>deșeuri</w:t>
            </w:r>
            <w:proofErr w:type="spellEnd"/>
            <w:r w:rsidR="00FD60FF" w:rsidRPr="00FD60FF">
              <w:rPr>
                <w:rFonts w:ascii="Times New Roman" w:hAnsi="Times New Roman"/>
                <w:sz w:val="20"/>
                <w:szCs w:val="20"/>
                <w:lang w:val="fr-FR" w:eastAsia="ru-RU"/>
              </w:rPr>
              <w:t xml:space="preserve">” </w:t>
            </w:r>
            <w:proofErr w:type="spellStart"/>
            <w:r w:rsidR="00FD60FF" w:rsidRPr="00FD60FF">
              <w:rPr>
                <w:rFonts w:ascii="Times New Roman" w:hAnsi="Times New Roman"/>
                <w:sz w:val="20"/>
                <w:szCs w:val="20"/>
                <w:lang w:val="fr-FR" w:eastAsia="ru-RU"/>
              </w:rPr>
              <w:t>înseamnă</w:t>
            </w:r>
            <w:proofErr w:type="spellEnd"/>
            <w:r w:rsidR="00FD60FF" w:rsidRPr="00FD60FF">
              <w:rPr>
                <w:rFonts w:ascii="Times New Roman" w:hAnsi="Times New Roman"/>
                <w:sz w:val="20"/>
                <w:szCs w:val="20"/>
                <w:lang w:val="fr-FR" w:eastAsia="ru-RU"/>
              </w:rPr>
              <w:t xml:space="preserve"> </w:t>
            </w:r>
            <w:proofErr w:type="spellStart"/>
            <w:r w:rsidR="00FD60FF" w:rsidRPr="00FD60FF">
              <w:rPr>
                <w:rFonts w:ascii="Times New Roman" w:hAnsi="Times New Roman"/>
                <w:sz w:val="20"/>
                <w:szCs w:val="20"/>
                <w:lang w:val="fr-FR" w:eastAsia="ru-RU"/>
              </w:rPr>
              <w:t>deșeuri</w:t>
            </w:r>
            <w:proofErr w:type="spellEnd"/>
            <w:r w:rsidR="00FD60FF" w:rsidRPr="00FD60FF">
              <w:rPr>
                <w:rFonts w:ascii="Times New Roman" w:hAnsi="Times New Roman"/>
                <w:sz w:val="20"/>
                <w:szCs w:val="20"/>
                <w:lang w:val="fr-FR" w:eastAsia="ru-RU"/>
              </w:rPr>
              <w:t xml:space="preserve"> în </w:t>
            </w:r>
            <w:proofErr w:type="spellStart"/>
            <w:r w:rsidR="00FD60FF" w:rsidRPr="00FD60FF">
              <w:rPr>
                <w:rFonts w:ascii="Times New Roman" w:hAnsi="Times New Roman"/>
                <w:sz w:val="20"/>
                <w:szCs w:val="20"/>
                <w:lang w:val="fr-FR" w:eastAsia="ru-RU"/>
              </w:rPr>
              <w:t>sensul</w:t>
            </w:r>
            <w:proofErr w:type="spellEnd"/>
            <w:r w:rsidR="00FD60FF" w:rsidRPr="00FD60FF">
              <w:rPr>
                <w:rFonts w:ascii="Times New Roman" w:hAnsi="Times New Roman"/>
                <w:sz w:val="20"/>
                <w:szCs w:val="20"/>
                <w:lang w:val="fr-FR" w:eastAsia="ru-RU"/>
              </w:rPr>
              <w:t xml:space="preserve"> </w:t>
            </w:r>
            <w:proofErr w:type="spellStart"/>
            <w:r w:rsidR="00FD60FF" w:rsidRPr="00FD60FF">
              <w:rPr>
                <w:rFonts w:ascii="Times New Roman" w:hAnsi="Times New Roman"/>
                <w:sz w:val="20"/>
                <w:szCs w:val="20"/>
                <w:lang w:val="fr-FR" w:eastAsia="ru-RU"/>
              </w:rPr>
              <w:t>definiției</w:t>
            </w:r>
            <w:proofErr w:type="spellEnd"/>
            <w:r w:rsidR="00FD60FF" w:rsidRPr="00FD60FF">
              <w:rPr>
                <w:rFonts w:ascii="Times New Roman" w:hAnsi="Times New Roman"/>
                <w:sz w:val="20"/>
                <w:szCs w:val="20"/>
                <w:lang w:val="fr-FR" w:eastAsia="ru-RU"/>
              </w:rPr>
              <w:t xml:space="preserve"> de la </w:t>
            </w:r>
            <w:proofErr w:type="spellStart"/>
            <w:r w:rsidR="00FD60FF" w:rsidRPr="00FD60FF">
              <w:rPr>
                <w:rFonts w:ascii="Times New Roman" w:hAnsi="Times New Roman"/>
                <w:sz w:val="20"/>
                <w:szCs w:val="20"/>
                <w:lang w:val="fr-FR" w:eastAsia="ru-RU"/>
              </w:rPr>
              <w:t>articolul</w:t>
            </w:r>
            <w:proofErr w:type="spellEnd"/>
            <w:r w:rsidR="00FD60FF" w:rsidRPr="00FD60FF">
              <w:rPr>
                <w:rFonts w:ascii="Times New Roman" w:hAnsi="Times New Roman"/>
                <w:sz w:val="20"/>
                <w:szCs w:val="20"/>
                <w:lang w:val="fr-FR" w:eastAsia="ru-RU"/>
              </w:rPr>
              <w:t xml:space="preserve"> 2 </w:t>
            </w:r>
            <w:proofErr w:type="spellStart"/>
            <w:r w:rsidR="00FD60FF" w:rsidRPr="00FD60FF">
              <w:rPr>
                <w:rFonts w:ascii="Times New Roman" w:hAnsi="Times New Roman"/>
                <w:sz w:val="20"/>
                <w:szCs w:val="20"/>
                <w:lang w:val="fr-FR" w:eastAsia="ru-RU"/>
              </w:rPr>
              <w:t>punctul</w:t>
            </w:r>
            <w:proofErr w:type="spellEnd"/>
            <w:r w:rsidR="00FD60FF" w:rsidRPr="00FD60FF">
              <w:rPr>
                <w:rFonts w:ascii="Times New Roman" w:hAnsi="Times New Roman"/>
                <w:sz w:val="20"/>
                <w:szCs w:val="20"/>
                <w:lang w:val="fr-FR" w:eastAsia="ru-RU"/>
              </w:rPr>
              <w:t xml:space="preserve"> 23 </w:t>
            </w:r>
            <w:proofErr w:type="spellStart"/>
            <w:r w:rsidR="00FD60FF" w:rsidRPr="00FD60FF">
              <w:rPr>
                <w:rFonts w:ascii="Times New Roman" w:hAnsi="Times New Roman"/>
                <w:sz w:val="20"/>
                <w:szCs w:val="20"/>
                <w:lang w:val="fr-FR" w:eastAsia="ru-RU"/>
              </w:rPr>
              <w:t>din</w:t>
            </w:r>
            <w:proofErr w:type="spellEnd"/>
            <w:r w:rsidR="00FD60FF" w:rsidRPr="00FD60FF">
              <w:rPr>
                <w:rFonts w:ascii="Times New Roman" w:hAnsi="Times New Roman"/>
                <w:sz w:val="20"/>
                <w:szCs w:val="20"/>
                <w:lang w:val="fr-FR" w:eastAsia="ru-RU"/>
              </w:rPr>
              <w:t xml:space="preserve"> </w:t>
            </w:r>
            <w:proofErr w:type="spellStart"/>
            <w:r w:rsidR="00FD60FF" w:rsidRPr="00FD60FF">
              <w:rPr>
                <w:rFonts w:ascii="Times New Roman" w:hAnsi="Times New Roman"/>
                <w:sz w:val="20"/>
                <w:szCs w:val="20"/>
                <w:lang w:val="fr-FR" w:eastAsia="ru-RU"/>
              </w:rPr>
              <w:t>Directiva</w:t>
            </w:r>
            <w:proofErr w:type="spellEnd"/>
            <w:r w:rsidR="00FD60FF" w:rsidRPr="00FD60FF">
              <w:rPr>
                <w:rFonts w:ascii="Times New Roman" w:hAnsi="Times New Roman"/>
                <w:sz w:val="20"/>
                <w:szCs w:val="20"/>
                <w:lang w:val="fr-FR" w:eastAsia="ru-RU"/>
              </w:rPr>
              <w:t xml:space="preserve"> (UE) 2018/2001;</w:t>
            </w:r>
          </w:p>
        </w:tc>
        <w:tc>
          <w:tcPr>
            <w:tcW w:w="4541" w:type="dxa"/>
            <w:shd w:val="clear" w:color="auto" w:fill="auto"/>
          </w:tcPr>
          <w:p w14:paraId="44F975FE" w14:textId="7D03D270" w:rsidR="00FD60FF" w:rsidRPr="000A2FA6" w:rsidRDefault="00FD60FF" w:rsidP="00E14CC6">
            <w:pPr>
              <w:spacing w:after="0" w:line="240" w:lineRule="auto"/>
              <w:jc w:val="both"/>
              <w:rPr>
                <w:rStyle w:val="af7"/>
                <w:rFonts w:ascii="Times New Roman" w:hAnsi="Times New Roman"/>
                <w:sz w:val="20"/>
                <w:szCs w:val="20"/>
                <w:shd w:val="clear" w:color="auto" w:fill="FFFFFF"/>
                <w:lang w:val="fr-FR"/>
              </w:rPr>
            </w:pPr>
          </w:p>
        </w:tc>
        <w:tc>
          <w:tcPr>
            <w:tcW w:w="1276" w:type="dxa"/>
            <w:shd w:val="clear" w:color="auto" w:fill="auto"/>
          </w:tcPr>
          <w:p w14:paraId="7427D160" w14:textId="77777777" w:rsidR="000A2FA6" w:rsidRPr="00C951E7" w:rsidRDefault="000A2FA6" w:rsidP="000A2FA6">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313059CE" w14:textId="77777777" w:rsidR="00FD60FF" w:rsidRPr="00C951E7" w:rsidRDefault="00FD60FF" w:rsidP="00FD60FF">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6F20715" w14:textId="77777777" w:rsidR="00FD60FF" w:rsidRPr="00C951E7" w:rsidRDefault="00FD60FF" w:rsidP="00471502">
            <w:pPr>
              <w:spacing w:line="240" w:lineRule="auto"/>
              <w:jc w:val="both"/>
              <w:rPr>
                <w:rFonts w:ascii="Times New Roman" w:hAnsi="Times New Roman"/>
                <w:sz w:val="20"/>
                <w:szCs w:val="20"/>
                <w:lang w:val="ro-RO"/>
              </w:rPr>
            </w:pPr>
          </w:p>
        </w:tc>
        <w:tc>
          <w:tcPr>
            <w:tcW w:w="1701" w:type="dxa"/>
            <w:shd w:val="clear" w:color="auto" w:fill="auto"/>
          </w:tcPr>
          <w:p w14:paraId="6198EFD1" w14:textId="762A6CBA" w:rsidR="000A2FA6" w:rsidRPr="00FD60FF" w:rsidRDefault="000A2FA6" w:rsidP="000A2FA6">
            <w:pPr>
              <w:autoSpaceDE w:val="0"/>
              <w:spacing w:after="0" w:line="240" w:lineRule="auto"/>
              <w:rPr>
                <w:rFonts w:ascii="Times New Roman" w:hAnsi="Times New Roman"/>
                <w:sz w:val="20"/>
                <w:szCs w:val="20"/>
                <w:lang w:val="ro-RO"/>
              </w:rPr>
            </w:pPr>
            <w:r w:rsidRPr="00FD60FF">
              <w:rPr>
                <w:rFonts w:ascii="Times New Roman" w:hAnsi="Times New Roman"/>
                <w:sz w:val="20"/>
                <w:szCs w:val="20"/>
                <w:lang w:val="ro-RO"/>
              </w:rPr>
              <w:t xml:space="preserve">Noțiunea </w:t>
            </w:r>
            <w:r w:rsidRPr="00F13819">
              <w:rPr>
                <w:rFonts w:ascii="Times New Roman" w:hAnsi="Times New Roman"/>
                <w:sz w:val="20"/>
                <w:szCs w:val="20"/>
                <w:lang w:val="en-US" w:eastAsia="ru-RU"/>
              </w:rPr>
              <w:t>„</w:t>
            </w:r>
            <w:proofErr w:type="spellStart"/>
            <w:r w:rsidRPr="00F13819">
              <w:rPr>
                <w:rFonts w:ascii="Times New Roman" w:hAnsi="Times New Roman"/>
                <w:sz w:val="20"/>
                <w:szCs w:val="20"/>
                <w:lang w:val="en-US" w:eastAsia="ru-RU"/>
              </w:rPr>
              <w:t>deșeuri</w:t>
            </w:r>
            <w:proofErr w:type="spellEnd"/>
            <w:r w:rsidRPr="00F13819">
              <w:rPr>
                <w:rFonts w:ascii="Times New Roman" w:hAnsi="Times New Roman"/>
                <w:sz w:val="20"/>
                <w:szCs w:val="20"/>
                <w:lang w:val="en-US" w:eastAsia="ru-RU"/>
              </w:rPr>
              <w:t xml:space="preserve">” </w:t>
            </w:r>
            <w:r w:rsidRPr="00FD60FF">
              <w:rPr>
                <w:rFonts w:ascii="Times New Roman" w:eastAsia="Times New Roman" w:hAnsi="Times New Roman"/>
                <w:sz w:val="20"/>
                <w:szCs w:val="20"/>
                <w:lang w:val="ro-RO"/>
              </w:rPr>
              <w:t>este transpusă în</w:t>
            </w:r>
          </w:p>
          <w:p w14:paraId="2E0682E7" w14:textId="27830BCC" w:rsidR="00FD60FF" w:rsidRPr="00BC57B2" w:rsidRDefault="000A2FA6" w:rsidP="00BC57B2">
            <w:pPr>
              <w:autoSpaceDE w:val="0"/>
              <w:spacing w:after="0" w:line="240" w:lineRule="auto"/>
              <w:rPr>
                <w:rFonts w:ascii="Times New Roman" w:hAnsi="Times New Roman"/>
                <w:sz w:val="20"/>
                <w:szCs w:val="20"/>
                <w:lang w:val="ro-MD"/>
              </w:rPr>
            </w:pPr>
            <w:r w:rsidRPr="00FD60FF">
              <w:rPr>
                <w:rFonts w:ascii="Times New Roman" w:eastAsia="Times New Roman" w:hAnsi="Times New Roman"/>
                <w:sz w:val="20"/>
                <w:szCs w:val="20"/>
                <w:lang w:val="ro-MD" w:eastAsia="ro-MD"/>
              </w:rPr>
              <w:lastRenderedPageBreak/>
              <w:t xml:space="preserve">Legea </w:t>
            </w:r>
            <w:r w:rsidR="00BC57B2">
              <w:rPr>
                <w:rFonts w:ascii="Times New Roman" w:eastAsia="Times New Roman" w:hAnsi="Times New Roman"/>
                <w:sz w:val="20"/>
                <w:szCs w:val="20"/>
                <w:lang w:val="ro-MD" w:eastAsia="ro-MD"/>
              </w:rPr>
              <w:t>nr.209/2016</w:t>
            </w:r>
            <w:r w:rsidRPr="00FD60FF">
              <w:rPr>
                <w:rFonts w:ascii="Times New Roman" w:eastAsia="Times New Roman" w:hAnsi="Times New Roman"/>
                <w:sz w:val="20"/>
                <w:szCs w:val="20"/>
                <w:lang w:val="ro-MD" w:eastAsia="ro-MD"/>
              </w:rPr>
              <w:t xml:space="preserve"> privind </w:t>
            </w:r>
            <w:r w:rsidR="00BC57B2">
              <w:rPr>
                <w:rFonts w:ascii="Times New Roman" w:eastAsia="Times New Roman" w:hAnsi="Times New Roman"/>
                <w:sz w:val="20"/>
                <w:szCs w:val="20"/>
                <w:lang w:val="ro-MD" w:eastAsia="ro-MD"/>
              </w:rPr>
              <w:t>deșeurile</w:t>
            </w:r>
          </w:p>
        </w:tc>
        <w:tc>
          <w:tcPr>
            <w:tcW w:w="1464" w:type="dxa"/>
            <w:shd w:val="clear" w:color="auto" w:fill="auto"/>
          </w:tcPr>
          <w:p w14:paraId="29E8E9EC" w14:textId="45DA1F2C" w:rsidR="00BC57B2" w:rsidRPr="003F755D" w:rsidRDefault="00BC57B2" w:rsidP="00BC57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p>
          <w:p w14:paraId="4E10BE29" w14:textId="77777777" w:rsidR="00BC57B2" w:rsidRPr="003F755D" w:rsidRDefault="00BC57B2" w:rsidP="00BC57B2">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Mediului</w:t>
            </w:r>
          </w:p>
          <w:p w14:paraId="4AD89C54" w14:textId="44D87A44" w:rsidR="00FD60FF" w:rsidRPr="003F755D" w:rsidRDefault="00FD60FF" w:rsidP="00C214D0">
            <w:pPr>
              <w:autoSpaceDE w:val="0"/>
              <w:spacing w:after="0" w:line="240" w:lineRule="auto"/>
              <w:rPr>
                <w:rFonts w:ascii="Times New Roman" w:hAnsi="Times New Roman"/>
                <w:sz w:val="20"/>
                <w:szCs w:val="20"/>
                <w:lang w:val="fr-FR"/>
              </w:rPr>
            </w:pPr>
          </w:p>
        </w:tc>
      </w:tr>
      <w:tr w:rsidR="00471502" w:rsidRPr="00C951E7" w14:paraId="55570900" w14:textId="77777777" w:rsidTr="009F5405">
        <w:trPr>
          <w:trHeight w:val="776"/>
        </w:trPr>
        <w:tc>
          <w:tcPr>
            <w:tcW w:w="4810" w:type="dxa"/>
            <w:shd w:val="clear" w:color="auto" w:fill="auto"/>
          </w:tcPr>
          <w:p w14:paraId="4777A1E2" w14:textId="6596CF6E" w:rsidR="00422FF7" w:rsidRPr="007A690D" w:rsidRDefault="00E41D66" w:rsidP="00AF0920">
            <w:pPr>
              <w:jc w:val="both"/>
              <w:rPr>
                <w:rStyle w:val="af7"/>
                <w:sz w:val="20"/>
                <w:szCs w:val="20"/>
                <w:shd w:val="clear" w:color="auto" w:fill="FFFFFF"/>
                <w:lang w:val="fr-FR"/>
              </w:rPr>
            </w:pPr>
            <w:r>
              <w:rPr>
                <w:rFonts w:ascii="Times New Roman" w:hAnsi="Times New Roman"/>
                <w:sz w:val="20"/>
                <w:szCs w:val="20"/>
                <w:lang w:val="ro-RO"/>
              </w:rPr>
              <w:t>(29)</w:t>
            </w:r>
            <w:r w:rsidR="00C86CC7" w:rsidRPr="00AF0920">
              <w:rPr>
                <w:rFonts w:ascii="Times New Roman" w:hAnsi="Times New Roman"/>
                <w:sz w:val="20"/>
                <w:szCs w:val="20"/>
                <w:lang w:val="ro-RO"/>
              </w:rPr>
              <w:t>„biomasă” înseamnă biomasă în sensul definiției de la articolul 2 punctul 24 din Directiva (UE) 2018/2001;</w:t>
            </w:r>
            <w:r w:rsidR="00422FF7" w:rsidRPr="007A690D">
              <w:rPr>
                <w:rStyle w:val="af7"/>
                <w:sz w:val="20"/>
                <w:szCs w:val="20"/>
                <w:shd w:val="clear" w:color="auto" w:fill="FFFFFF"/>
                <w:lang w:val="fr-FR"/>
              </w:rPr>
              <w:t xml:space="preserve"> </w:t>
            </w:r>
          </w:p>
          <w:p w14:paraId="18FED7E2" w14:textId="0DD55CF2" w:rsidR="00471502" w:rsidRPr="00AF0920" w:rsidRDefault="00471502" w:rsidP="00AF0920">
            <w:pPr>
              <w:jc w:val="both"/>
              <w:rPr>
                <w:rFonts w:ascii="Times New Roman" w:hAnsi="Times New Roman"/>
                <w:sz w:val="20"/>
                <w:szCs w:val="20"/>
                <w:lang w:val="ro-RO"/>
              </w:rPr>
            </w:pPr>
          </w:p>
        </w:tc>
        <w:tc>
          <w:tcPr>
            <w:tcW w:w="4541" w:type="dxa"/>
            <w:shd w:val="clear" w:color="auto" w:fill="auto"/>
          </w:tcPr>
          <w:p w14:paraId="03ACC96E" w14:textId="2AEAB24A" w:rsidR="00471502" w:rsidRPr="008802FD" w:rsidRDefault="00471502" w:rsidP="008802FD">
            <w:pPr>
              <w:pStyle w:val="af0"/>
              <w:shd w:val="clear" w:color="auto" w:fill="FFFFFF"/>
              <w:spacing w:before="0" w:beforeAutospacing="0" w:after="0" w:afterAutospacing="0"/>
              <w:jc w:val="both"/>
              <w:rPr>
                <w:color w:val="000000" w:themeColor="text1"/>
                <w:sz w:val="20"/>
                <w:szCs w:val="20"/>
              </w:rPr>
            </w:pPr>
          </w:p>
        </w:tc>
        <w:tc>
          <w:tcPr>
            <w:tcW w:w="1276" w:type="dxa"/>
            <w:shd w:val="clear" w:color="auto" w:fill="auto"/>
          </w:tcPr>
          <w:p w14:paraId="5E02BE3E" w14:textId="77777777" w:rsidR="00471502" w:rsidRPr="00C951E7" w:rsidRDefault="00471502" w:rsidP="00471502">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16B829A6" w14:textId="77777777" w:rsidR="00471502" w:rsidRPr="00C951E7" w:rsidRDefault="00471502" w:rsidP="00471502">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22290FC" w14:textId="77777777" w:rsidR="00471502" w:rsidRPr="00C951E7" w:rsidRDefault="00471502" w:rsidP="00471502">
            <w:pPr>
              <w:spacing w:line="240" w:lineRule="auto"/>
              <w:jc w:val="both"/>
              <w:rPr>
                <w:rFonts w:ascii="Times New Roman" w:hAnsi="Times New Roman"/>
                <w:sz w:val="20"/>
                <w:szCs w:val="20"/>
                <w:lang w:val="ro-RO"/>
              </w:rPr>
            </w:pPr>
          </w:p>
        </w:tc>
        <w:tc>
          <w:tcPr>
            <w:tcW w:w="1701" w:type="dxa"/>
            <w:shd w:val="clear" w:color="auto" w:fill="auto"/>
          </w:tcPr>
          <w:p w14:paraId="3E0A7899" w14:textId="538D37B8" w:rsidR="00AF0920" w:rsidRPr="0099049F" w:rsidRDefault="00AF0920" w:rsidP="00AF0920">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AF0920">
              <w:rPr>
                <w:rFonts w:ascii="Times New Roman" w:hAnsi="Times New Roman"/>
                <w:sz w:val="20"/>
                <w:szCs w:val="20"/>
                <w:lang w:val="ro-RO"/>
              </w:rPr>
              <w:t xml:space="preserve">„biomasă” </w:t>
            </w:r>
            <w:r w:rsidRPr="0099049F">
              <w:rPr>
                <w:rFonts w:ascii="Times New Roman" w:eastAsia="Times New Roman" w:hAnsi="Times New Roman"/>
                <w:sz w:val="20"/>
                <w:szCs w:val="20"/>
                <w:lang w:val="ro-RO"/>
              </w:rPr>
              <w:t>este transpusă în</w:t>
            </w:r>
          </w:p>
          <w:p w14:paraId="7320D88E" w14:textId="32C14D70" w:rsidR="00471502" w:rsidRPr="00C951E7" w:rsidRDefault="00AF0920" w:rsidP="00AF0920">
            <w:pPr>
              <w:autoSpaceDE w:val="0"/>
              <w:spacing w:after="0" w:line="240" w:lineRule="auto"/>
              <w:rPr>
                <w:rFonts w:ascii="Times New Roman" w:eastAsia="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2C8CE0A2" w14:textId="7B0C00CB" w:rsidR="00BC57B2" w:rsidRPr="003F755D" w:rsidRDefault="00AF0920" w:rsidP="00BC57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C57B2" w:rsidRPr="00A81801">
              <w:rPr>
                <w:rFonts w:ascii="Times New Roman" w:hAnsi="Times New Roman"/>
                <w:color w:val="000000" w:themeColor="text1"/>
                <w:sz w:val="20"/>
                <w:szCs w:val="20"/>
              </w:rPr>
              <w:t>Energiei</w:t>
            </w:r>
          </w:p>
          <w:p w14:paraId="04F9480D" w14:textId="37AABFCD" w:rsidR="00AF0920" w:rsidRPr="003F755D" w:rsidRDefault="00AF0920" w:rsidP="00AF0920">
            <w:pPr>
              <w:autoSpaceDE w:val="0"/>
              <w:spacing w:after="0" w:line="240" w:lineRule="auto"/>
              <w:rPr>
                <w:rFonts w:ascii="Times New Roman" w:hAnsi="Times New Roman"/>
                <w:sz w:val="20"/>
                <w:szCs w:val="20"/>
                <w:shd w:val="clear" w:color="auto" w:fill="FFFFFF"/>
                <w:lang w:val="ro-RO"/>
              </w:rPr>
            </w:pPr>
          </w:p>
          <w:p w14:paraId="4E20A497" w14:textId="13310443" w:rsidR="00471502" w:rsidRPr="00C951E7" w:rsidRDefault="00471502" w:rsidP="00AF0920">
            <w:pPr>
              <w:autoSpaceDE w:val="0"/>
              <w:spacing w:after="0" w:line="240" w:lineRule="auto"/>
              <w:rPr>
                <w:rFonts w:ascii="Times New Roman" w:eastAsia="Times New Roman" w:hAnsi="Times New Roman"/>
                <w:color w:val="000000" w:themeColor="text1"/>
                <w:sz w:val="20"/>
                <w:szCs w:val="20"/>
                <w:lang w:val="ro-RO"/>
              </w:rPr>
            </w:pPr>
          </w:p>
        </w:tc>
      </w:tr>
      <w:tr w:rsidR="00833097" w:rsidRPr="00054EBD" w14:paraId="7FC91F4E" w14:textId="77777777" w:rsidTr="009F5405">
        <w:trPr>
          <w:trHeight w:val="776"/>
        </w:trPr>
        <w:tc>
          <w:tcPr>
            <w:tcW w:w="4810" w:type="dxa"/>
            <w:shd w:val="clear" w:color="auto" w:fill="auto"/>
          </w:tcPr>
          <w:p w14:paraId="71B05B48" w14:textId="66024444" w:rsidR="00833097" w:rsidRDefault="00E41D66" w:rsidP="00833097">
            <w:pPr>
              <w:jc w:val="both"/>
              <w:rPr>
                <w:rFonts w:ascii="Times New Roman" w:hAnsi="Times New Roman"/>
                <w:sz w:val="20"/>
                <w:szCs w:val="20"/>
                <w:lang w:eastAsia="ru-RU"/>
              </w:rPr>
            </w:pPr>
            <w:r>
              <w:rPr>
                <w:rFonts w:ascii="Times New Roman" w:hAnsi="Times New Roman"/>
                <w:sz w:val="20"/>
                <w:szCs w:val="20"/>
                <w:lang w:val="ro-RO"/>
              </w:rPr>
              <w:t>(30)</w:t>
            </w:r>
            <w:r w:rsidR="00833097" w:rsidRPr="00833097">
              <w:rPr>
                <w:rFonts w:ascii="Times New Roman" w:hAnsi="Times New Roman"/>
                <w:sz w:val="20"/>
                <w:szCs w:val="20"/>
                <w:lang w:eastAsia="ru-RU"/>
              </w:rPr>
              <w:t>„</w:t>
            </w:r>
            <w:proofErr w:type="spellStart"/>
            <w:r w:rsidR="00833097" w:rsidRPr="00833097">
              <w:rPr>
                <w:rFonts w:ascii="Times New Roman" w:hAnsi="Times New Roman"/>
                <w:sz w:val="20"/>
                <w:szCs w:val="20"/>
                <w:lang w:val="en-US" w:eastAsia="ru-RU"/>
              </w:rPr>
              <w:t>biomas</w:t>
            </w:r>
            <w:proofErr w:type="spellEnd"/>
            <w:r w:rsidR="00833097" w:rsidRPr="00833097">
              <w:rPr>
                <w:rFonts w:ascii="Times New Roman" w:hAnsi="Times New Roman"/>
                <w:sz w:val="20"/>
                <w:szCs w:val="20"/>
                <w:lang w:eastAsia="ru-RU"/>
              </w:rPr>
              <w:t xml:space="preserve">ă </w:t>
            </w:r>
            <w:proofErr w:type="spellStart"/>
            <w:r w:rsidR="00833097" w:rsidRPr="00833097">
              <w:rPr>
                <w:rFonts w:ascii="Times New Roman" w:hAnsi="Times New Roman"/>
                <w:sz w:val="20"/>
                <w:szCs w:val="20"/>
                <w:lang w:val="en-US" w:eastAsia="ru-RU"/>
              </w:rPr>
              <w:t>agricol</w:t>
            </w:r>
            <w:proofErr w:type="spellEnd"/>
            <w:r w:rsidR="00833097" w:rsidRPr="00833097">
              <w:rPr>
                <w:rFonts w:ascii="Times New Roman" w:hAnsi="Times New Roman"/>
                <w:sz w:val="20"/>
                <w:szCs w:val="20"/>
                <w:lang w:eastAsia="ru-RU"/>
              </w:rPr>
              <w:t>ă” î</w:t>
            </w:r>
            <w:proofErr w:type="spellStart"/>
            <w:r w:rsidR="00833097" w:rsidRPr="00833097">
              <w:rPr>
                <w:rFonts w:ascii="Times New Roman" w:hAnsi="Times New Roman"/>
                <w:sz w:val="20"/>
                <w:szCs w:val="20"/>
                <w:lang w:val="en-US" w:eastAsia="ru-RU"/>
              </w:rPr>
              <w:t>nseamn</w:t>
            </w:r>
            <w:proofErr w:type="spellEnd"/>
            <w:r w:rsidR="00833097" w:rsidRPr="00833097">
              <w:rPr>
                <w:rFonts w:ascii="Times New Roman" w:hAnsi="Times New Roman"/>
                <w:sz w:val="20"/>
                <w:szCs w:val="20"/>
                <w:lang w:eastAsia="ru-RU"/>
              </w:rPr>
              <w:t xml:space="preserve">ă </w:t>
            </w:r>
            <w:proofErr w:type="spellStart"/>
            <w:r w:rsidR="00833097" w:rsidRPr="00833097">
              <w:rPr>
                <w:rFonts w:ascii="Times New Roman" w:hAnsi="Times New Roman"/>
                <w:sz w:val="20"/>
                <w:szCs w:val="20"/>
                <w:lang w:val="en-US" w:eastAsia="ru-RU"/>
              </w:rPr>
              <w:t>biomas</w:t>
            </w:r>
            <w:proofErr w:type="spellEnd"/>
            <w:r w:rsidR="00833097" w:rsidRPr="00833097">
              <w:rPr>
                <w:rFonts w:ascii="Times New Roman" w:hAnsi="Times New Roman"/>
                <w:sz w:val="20"/>
                <w:szCs w:val="20"/>
                <w:lang w:eastAsia="ru-RU"/>
              </w:rPr>
              <w:t xml:space="preserve">ă </w:t>
            </w:r>
            <w:proofErr w:type="spellStart"/>
            <w:r w:rsidR="00833097" w:rsidRPr="00833097">
              <w:rPr>
                <w:rFonts w:ascii="Times New Roman" w:hAnsi="Times New Roman"/>
                <w:sz w:val="20"/>
                <w:szCs w:val="20"/>
                <w:lang w:val="en-US" w:eastAsia="ru-RU"/>
              </w:rPr>
              <w:t>agricol</w:t>
            </w:r>
            <w:proofErr w:type="spellEnd"/>
            <w:r w:rsidR="00833097" w:rsidRPr="00833097">
              <w:rPr>
                <w:rFonts w:ascii="Times New Roman" w:hAnsi="Times New Roman"/>
                <w:sz w:val="20"/>
                <w:szCs w:val="20"/>
                <w:lang w:eastAsia="ru-RU"/>
              </w:rPr>
              <w:t>ă î</w:t>
            </w:r>
            <w:r w:rsidR="00833097" w:rsidRPr="00833097">
              <w:rPr>
                <w:rFonts w:ascii="Times New Roman" w:hAnsi="Times New Roman"/>
                <w:sz w:val="20"/>
                <w:szCs w:val="20"/>
                <w:lang w:val="en-US" w:eastAsia="ru-RU"/>
              </w:rPr>
              <w:t>n</w:t>
            </w:r>
            <w:r w:rsidR="00833097" w:rsidRPr="00833097">
              <w:rPr>
                <w:rFonts w:ascii="Times New Roman" w:hAnsi="Times New Roman"/>
                <w:sz w:val="20"/>
                <w:szCs w:val="20"/>
                <w:lang w:eastAsia="ru-RU"/>
              </w:rPr>
              <w:t xml:space="preserve"> </w:t>
            </w:r>
            <w:proofErr w:type="spellStart"/>
            <w:r w:rsidR="00833097" w:rsidRPr="00833097">
              <w:rPr>
                <w:rFonts w:ascii="Times New Roman" w:hAnsi="Times New Roman"/>
                <w:sz w:val="20"/>
                <w:szCs w:val="20"/>
                <w:lang w:val="en-US" w:eastAsia="ru-RU"/>
              </w:rPr>
              <w:t>sensul</w:t>
            </w:r>
            <w:proofErr w:type="spellEnd"/>
            <w:r w:rsidR="00833097" w:rsidRPr="00833097">
              <w:rPr>
                <w:rFonts w:ascii="Times New Roman" w:hAnsi="Times New Roman"/>
                <w:sz w:val="20"/>
                <w:szCs w:val="20"/>
                <w:lang w:eastAsia="ru-RU"/>
              </w:rPr>
              <w:t xml:space="preserve"> </w:t>
            </w:r>
            <w:proofErr w:type="spellStart"/>
            <w:r w:rsidR="00833097" w:rsidRPr="00833097">
              <w:rPr>
                <w:rFonts w:ascii="Times New Roman" w:hAnsi="Times New Roman"/>
                <w:sz w:val="20"/>
                <w:szCs w:val="20"/>
                <w:lang w:val="en-US" w:eastAsia="ru-RU"/>
              </w:rPr>
              <w:t>defini</w:t>
            </w:r>
            <w:proofErr w:type="spellEnd"/>
            <w:r w:rsidR="00833097" w:rsidRPr="00833097">
              <w:rPr>
                <w:rFonts w:ascii="Times New Roman" w:hAnsi="Times New Roman"/>
                <w:sz w:val="20"/>
                <w:szCs w:val="20"/>
                <w:lang w:eastAsia="ru-RU"/>
              </w:rPr>
              <w:t>ț</w:t>
            </w:r>
            <w:proofErr w:type="spellStart"/>
            <w:r w:rsidR="00833097" w:rsidRPr="00833097">
              <w:rPr>
                <w:rFonts w:ascii="Times New Roman" w:hAnsi="Times New Roman"/>
                <w:sz w:val="20"/>
                <w:szCs w:val="20"/>
                <w:lang w:val="en-US" w:eastAsia="ru-RU"/>
              </w:rPr>
              <w:t>iei</w:t>
            </w:r>
            <w:proofErr w:type="spellEnd"/>
            <w:r w:rsidR="00833097" w:rsidRPr="00833097">
              <w:rPr>
                <w:rFonts w:ascii="Times New Roman" w:hAnsi="Times New Roman"/>
                <w:sz w:val="20"/>
                <w:szCs w:val="20"/>
                <w:lang w:eastAsia="ru-RU"/>
              </w:rPr>
              <w:t xml:space="preserve"> </w:t>
            </w:r>
            <w:r w:rsidR="00833097" w:rsidRPr="00833097">
              <w:rPr>
                <w:rFonts w:ascii="Times New Roman" w:hAnsi="Times New Roman"/>
                <w:sz w:val="20"/>
                <w:szCs w:val="20"/>
                <w:lang w:val="en-US" w:eastAsia="ru-RU"/>
              </w:rPr>
              <w:t>de</w:t>
            </w:r>
            <w:r w:rsidR="00833097" w:rsidRPr="00833097">
              <w:rPr>
                <w:rFonts w:ascii="Times New Roman" w:hAnsi="Times New Roman"/>
                <w:sz w:val="20"/>
                <w:szCs w:val="20"/>
                <w:lang w:eastAsia="ru-RU"/>
              </w:rPr>
              <w:t xml:space="preserve"> </w:t>
            </w:r>
            <w:r w:rsidR="00833097" w:rsidRPr="00833097">
              <w:rPr>
                <w:rFonts w:ascii="Times New Roman" w:hAnsi="Times New Roman"/>
                <w:sz w:val="20"/>
                <w:szCs w:val="20"/>
                <w:lang w:val="en-US" w:eastAsia="ru-RU"/>
              </w:rPr>
              <w:t>la</w:t>
            </w:r>
            <w:r w:rsidR="00833097" w:rsidRPr="00833097">
              <w:rPr>
                <w:rFonts w:ascii="Times New Roman" w:hAnsi="Times New Roman"/>
                <w:sz w:val="20"/>
                <w:szCs w:val="20"/>
                <w:lang w:eastAsia="ru-RU"/>
              </w:rPr>
              <w:t xml:space="preserve"> </w:t>
            </w:r>
            <w:proofErr w:type="spellStart"/>
            <w:r w:rsidR="00833097" w:rsidRPr="00833097">
              <w:rPr>
                <w:rFonts w:ascii="Times New Roman" w:hAnsi="Times New Roman"/>
                <w:sz w:val="20"/>
                <w:szCs w:val="20"/>
                <w:lang w:val="en-US" w:eastAsia="ru-RU"/>
              </w:rPr>
              <w:t>articolul</w:t>
            </w:r>
            <w:proofErr w:type="spellEnd"/>
            <w:r w:rsidR="00833097" w:rsidRPr="00833097">
              <w:rPr>
                <w:rFonts w:ascii="Times New Roman" w:hAnsi="Times New Roman"/>
                <w:sz w:val="20"/>
                <w:szCs w:val="20"/>
                <w:lang w:val="en-US" w:eastAsia="ru-RU"/>
              </w:rPr>
              <w:t xml:space="preserve"> </w:t>
            </w:r>
            <w:r w:rsidR="00833097" w:rsidRPr="00833097">
              <w:rPr>
                <w:rFonts w:ascii="Times New Roman" w:hAnsi="Times New Roman"/>
                <w:sz w:val="20"/>
                <w:szCs w:val="20"/>
                <w:lang w:eastAsia="ru-RU"/>
              </w:rPr>
              <w:t xml:space="preserve">2 </w:t>
            </w:r>
            <w:proofErr w:type="spellStart"/>
            <w:r w:rsidR="00833097" w:rsidRPr="00833097">
              <w:rPr>
                <w:rFonts w:ascii="Times New Roman" w:hAnsi="Times New Roman"/>
                <w:sz w:val="20"/>
                <w:szCs w:val="20"/>
                <w:lang w:val="en-US" w:eastAsia="ru-RU"/>
              </w:rPr>
              <w:t>punctul</w:t>
            </w:r>
            <w:proofErr w:type="spellEnd"/>
            <w:r w:rsidR="00833097" w:rsidRPr="00833097">
              <w:rPr>
                <w:rFonts w:ascii="Times New Roman" w:hAnsi="Times New Roman"/>
                <w:sz w:val="20"/>
                <w:szCs w:val="20"/>
                <w:lang w:val="en-US" w:eastAsia="ru-RU"/>
              </w:rPr>
              <w:t xml:space="preserve"> </w:t>
            </w:r>
            <w:r w:rsidR="00833097" w:rsidRPr="00833097">
              <w:rPr>
                <w:rFonts w:ascii="Times New Roman" w:hAnsi="Times New Roman"/>
                <w:sz w:val="20"/>
                <w:szCs w:val="20"/>
                <w:lang w:eastAsia="ru-RU"/>
              </w:rPr>
              <w:t xml:space="preserve">25 </w:t>
            </w:r>
            <w:r w:rsidR="00833097" w:rsidRPr="00833097">
              <w:rPr>
                <w:rFonts w:ascii="Times New Roman" w:hAnsi="Times New Roman"/>
                <w:sz w:val="20"/>
                <w:szCs w:val="20"/>
                <w:lang w:val="en-US" w:eastAsia="ru-RU"/>
              </w:rPr>
              <w:t>din</w:t>
            </w:r>
            <w:r w:rsidR="00833097" w:rsidRPr="00833097">
              <w:rPr>
                <w:rFonts w:ascii="Times New Roman" w:hAnsi="Times New Roman"/>
                <w:sz w:val="20"/>
                <w:szCs w:val="20"/>
                <w:lang w:eastAsia="ru-RU"/>
              </w:rPr>
              <w:t xml:space="preserve"> </w:t>
            </w:r>
            <w:proofErr w:type="spellStart"/>
            <w:r w:rsidR="00833097" w:rsidRPr="00833097">
              <w:rPr>
                <w:rFonts w:ascii="Times New Roman" w:hAnsi="Times New Roman"/>
                <w:sz w:val="20"/>
                <w:szCs w:val="20"/>
                <w:lang w:val="en-US" w:eastAsia="ru-RU"/>
              </w:rPr>
              <w:t>Directiva</w:t>
            </w:r>
            <w:proofErr w:type="spellEnd"/>
            <w:r w:rsidR="00833097" w:rsidRPr="00833097">
              <w:rPr>
                <w:rFonts w:ascii="Times New Roman" w:hAnsi="Times New Roman"/>
                <w:sz w:val="20"/>
                <w:szCs w:val="20"/>
                <w:lang w:eastAsia="ru-RU"/>
              </w:rPr>
              <w:t xml:space="preserve"> (</w:t>
            </w:r>
            <w:r w:rsidR="00833097" w:rsidRPr="00833097">
              <w:rPr>
                <w:rFonts w:ascii="Times New Roman" w:hAnsi="Times New Roman"/>
                <w:sz w:val="20"/>
                <w:szCs w:val="20"/>
                <w:lang w:val="en-US" w:eastAsia="ru-RU"/>
              </w:rPr>
              <w:t>UE</w:t>
            </w:r>
            <w:r w:rsidR="00833097" w:rsidRPr="00833097">
              <w:rPr>
                <w:rFonts w:ascii="Times New Roman" w:hAnsi="Times New Roman"/>
                <w:sz w:val="20"/>
                <w:szCs w:val="20"/>
                <w:lang w:eastAsia="ru-RU"/>
              </w:rPr>
              <w:t>)</w:t>
            </w:r>
            <w:r w:rsidR="00833097" w:rsidRPr="00833097">
              <w:rPr>
                <w:rFonts w:ascii="Times New Roman" w:hAnsi="Times New Roman"/>
                <w:sz w:val="20"/>
                <w:szCs w:val="20"/>
                <w:lang w:val="en-US" w:eastAsia="ru-RU"/>
              </w:rPr>
              <w:t xml:space="preserve"> </w:t>
            </w:r>
            <w:r w:rsidR="00833097" w:rsidRPr="00833097">
              <w:rPr>
                <w:rFonts w:ascii="Times New Roman" w:hAnsi="Times New Roman"/>
                <w:sz w:val="20"/>
                <w:szCs w:val="20"/>
                <w:lang w:eastAsia="ru-RU"/>
              </w:rPr>
              <w:t>2018/2001;</w:t>
            </w:r>
          </w:p>
          <w:p w14:paraId="72A52FF1" w14:textId="3B036F66" w:rsidR="00F41E9E" w:rsidRPr="00F41E9E" w:rsidRDefault="00F41E9E" w:rsidP="00833097">
            <w:pPr>
              <w:jc w:val="both"/>
              <w:rPr>
                <w:rFonts w:ascii="Times New Roman" w:hAnsi="Times New Roman"/>
                <w:sz w:val="20"/>
                <w:szCs w:val="20"/>
              </w:rPr>
            </w:pPr>
          </w:p>
        </w:tc>
        <w:tc>
          <w:tcPr>
            <w:tcW w:w="4541" w:type="dxa"/>
            <w:shd w:val="clear" w:color="auto" w:fill="auto"/>
          </w:tcPr>
          <w:p w14:paraId="63CCB59B" w14:textId="77777777" w:rsidR="00515861" w:rsidRDefault="00515861" w:rsidP="00422FF7">
            <w:pPr>
              <w:pStyle w:val="af0"/>
              <w:shd w:val="clear" w:color="auto" w:fill="FFFFFF"/>
              <w:spacing w:before="0" w:beforeAutospacing="0" w:after="0" w:afterAutospacing="0"/>
              <w:jc w:val="both"/>
              <w:rPr>
                <w:sz w:val="20"/>
                <w:szCs w:val="20"/>
              </w:rPr>
            </w:pPr>
          </w:p>
          <w:p w14:paraId="462D33C0" w14:textId="61305C78" w:rsidR="00F41E9E" w:rsidRPr="00AF0920" w:rsidRDefault="00F41E9E" w:rsidP="00515861">
            <w:pPr>
              <w:pStyle w:val="af0"/>
              <w:shd w:val="clear" w:color="auto" w:fill="FFFFFF"/>
              <w:spacing w:before="0" w:beforeAutospacing="0" w:after="0" w:afterAutospacing="0"/>
              <w:jc w:val="both"/>
              <w:rPr>
                <w:rStyle w:val="af7"/>
                <w:sz w:val="20"/>
                <w:szCs w:val="20"/>
                <w:shd w:val="clear" w:color="auto" w:fill="FFFFFF"/>
              </w:rPr>
            </w:pPr>
          </w:p>
        </w:tc>
        <w:tc>
          <w:tcPr>
            <w:tcW w:w="1276" w:type="dxa"/>
            <w:shd w:val="clear" w:color="auto" w:fill="auto"/>
          </w:tcPr>
          <w:p w14:paraId="4F2728B0" w14:textId="45601C02" w:rsidR="00833097" w:rsidRPr="00C951E7" w:rsidRDefault="00F41E9E" w:rsidP="00833097">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Compatibil</w:t>
            </w:r>
          </w:p>
        </w:tc>
        <w:tc>
          <w:tcPr>
            <w:tcW w:w="1275" w:type="dxa"/>
            <w:shd w:val="clear" w:color="auto" w:fill="auto"/>
          </w:tcPr>
          <w:p w14:paraId="2C50BCE8"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16533CB5" w14:textId="2C21D1C3" w:rsidR="00515861" w:rsidRPr="0099049F" w:rsidRDefault="00515861" w:rsidP="0051586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AF0920">
              <w:rPr>
                <w:rFonts w:ascii="Times New Roman" w:hAnsi="Times New Roman"/>
                <w:sz w:val="20"/>
                <w:szCs w:val="20"/>
                <w:lang w:val="ro-RO"/>
              </w:rPr>
              <w:t>„biomasă</w:t>
            </w:r>
            <w:r>
              <w:rPr>
                <w:rFonts w:ascii="Times New Roman" w:hAnsi="Times New Roman"/>
                <w:sz w:val="20"/>
                <w:szCs w:val="20"/>
                <w:lang w:val="ro-RO"/>
              </w:rPr>
              <w:t xml:space="preserve"> agricolă</w:t>
            </w:r>
            <w:r w:rsidRPr="00AF0920">
              <w:rPr>
                <w:rFonts w:ascii="Times New Roman" w:hAnsi="Times New Roman"/>
                <w:sz w:val="20"/>
                <w:szCs w:val="20"/>
                <w:lang w:val="ro-RO"/>
              </w:rPr>
              <w:t xml:space="preserve">” </w:t>
            </w:r>
            <w:r w:rsidRPr="0099049F">
              <w:rPr>
                <w:rFonts w:ascii="Times New Roman" w:eastAsia="Times New Roman" w:hAnsi="Times New Roman"/>
                <w:sz w:val="20"/>
                <w:szCs w:val="20"/>
                <w:lang w:val="ro-RO"/>
              </w:rPr>
              <w:t>este transpusă în</w:t>
            </w:r>
          </w:p>
          <w:p w14:paraId="306BE95F" w14:textId="124C9A10" w:rsidR="00833097" w:rsidRPr="0099049F" w:rsidRDefault="00515861" w:rsidP="0051586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0C4D8E32" w14:textId="16875EC4" w:rsidR="00BC57B2" w:rsidRPr="003F755D" w:rsidRDefault="00362DF4" w:rsidP="00BC57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C57B2" w:rsidRPr="00A81801">
              <w:rPr>
                <w:rFonts w:ascii="Times New Roman" w:hAnsi="Times New Roman"/>
                <w:color w:val="000000" w:themeColor="text1"/>
                <w:sz w:val="20"/>
                <w:szCs w:val="20"/>
              </w:rPr>
              <w:t>Energiei</w:t>
            </w:r>
          </w:p>
          <w:p w14:paraId="36E4BA3A" w14:textId="62B3932A" w:rsidR="00833097" w:rsidRPr="00833097" w:rsidRDefault="00833097" w:rsidP="00BC57B2">
            <w:pPr>
              <w:autoSpaceDE w:val="0"/>
              <w:spacing w:after="0" w:line="240" w:lineRule="auto"/>
              <w:rPr>
                <w:rFonts w:ascii="Times New Roman" w:hAnsi="Times New Roman"/>
                <w:sz w:val="20"/>
                <w:szCs w:val="20"/>
                <w:lang w:val="ro-RO"/>
              </w:rPr>
            </w:pPr>
          </w:p>
        </w:tc>
      </w:tr>
      <w:tr w:rsidR="00E14E70" w:rsidRPr="00054EBD" w14:paraId="23BC90DA" w14:textId="77777777" w:rsidTr="009F5405">
        <w:trPr>
          <w:trHeight w:val="776"/>
        </w:trPr>
        <w:tc>
          <w:tcPr>
            <w:tcW w:w="4810" w:type="dxa"/>
            <w:shd w:val="clear" w:color="auto" w:fill="auto"/>
          </w:tcPr>
          <w:p w14:paraId="3DDAE2E4" w14:textId="050537D3" w:rsidR="00E14E70" w:rsidRDefault="00E41D66" w:rsidP="00833097">
            <w:pPr>
              <w:jc w:val="both"/>
              <w:rPr>
                <w:rFonts w:ascii="Times New Roman" w:hAnsi="Times New Roman"/>
                <w:sz w:val="20"/>
                <w:szCs w:val="20"/>
                <w:lang w:val="ro-RO" w:eastAsia="ru-RU"/>
              </w:rPr>
            </w:pPr>
            <w:r>
              <w:rPr>
                <w:rFonts w:ascii="Times New Roman" w:hAnsi="Times New Roman"/>
                <w:sz w:val="20"/>
                <w:szCs w:val="20"/>
                <w:lang w:val="ro-RO"/>
              </w:rPr>
              <w:t>(</w:t>
            </w:r>
            <w:r w:rsidR="00E14E70">
              <w:rPr>
                <w:rFonts w:ascii="Times New Roman" w:hAnsi="Times New Roman"/>
                <w:sz w:val="20"/>
                <w:szCs w:val="20"/>
                <w:lang w:val="ro-RO"/>
              </w:rPr>
              <w:t>31</w:t>
            </w:r>
            <w:r>
              <w:rPr>
                <w:rFonts w:ascii="Times New Roman" w:hAnsi="Times New Roman"/>
                <w:sz w:val="20"/>
                <w:szCs w:val="20"/>
                <w:lang w:val="ro-RO"/>
              </w:rPr>
              <w:t>)</w:t>
            </w:r>
            <w:r w:rsidR="00E14E70" w:rsidRPr="00E14E70">
              <w:rPr>
                <w:rFonts w:ascii="Times New Roman" w:hAnsi="Times New Roman"/>
                <w:sz w:val="20"/>
                <w:szCs w:val="20"/>
                <w:lang w:val="ro-RO" w:eastAsia="ru-RU"/>
              </w:rPr>
              <w:t>„biomasă forestieră” înseamnă biomasă forestieră în sensul definiției de la articolul</w:t>
            </w:r>
            <w:r w:rsidR="00E14E70">
              <w:rPr>
                <w:rFonts w:ascii="Times New Roman" w:hAnsi="Times New Roman"/>
                <w:sz w:val="20"/>
                <w:szCs w:val="20"/>
                <w:lang w:val="ro-RO" w:eastAsia="ru-RU"/>
              </w:rPr>
              <w:t xml:space="preserve"> </w:t>
            </w:r>
            <w:r w:rsidR="00E14E70" w:rsidRPr="00E14E70">
              <w:rPr>
                <w:rFonts w:ascii="Times New Roman" w:hAnsi="Times New Roman"/>
                <w:sz w:val="20"/>
                <w:szCs w:val="20"/>
                <w:lang w:val="ro-RO" w:eastAsia="ru-RU"/>
              </w:rPr>
              <w:t>2 punctul</w:t>
            </w:r>
            <w:r w:rsidR="00E14E70">
              <w:rPr>
                <w:rFonts w:ascii="Times New Roman" w:hAnsi="Times New Roman"/>
                <w:sz w:val="20"/>
                <w:szCs w:val="20"/>
                <w:lang w:val="ro-RO" w:eastAsia="ru-RU"/>
              </w:rPr>
              <w:t xml:space="preserve"> </w:t>
            </w:r>
            <w:r w:rsidR="00E14E70" w:rsidRPr="00E14E70">
              <w:rPr>
                <w:rFonts w:ascii="Times New Roman" w:hAnsi="Times New Roman"/>
                <w:sz w:val="20"/>
                <w:szCs w:val="20"/>
                <w:lang w:val="ro-RO" w:eastAsia="ru-RU"/>
              </w:rPr>
              <w:t>26 din Directiva (UE)</w:t>
            </w:r>
            <w:r w:rsidR="00E14E70">
              <w:rPr>
                <w:rFonts w:ascii="Times New Roman" w:hAnsi="Times New Roman"/>
                <w:sz w:val="20"/>
                <w:szCs w:val="20"/>
                <w:lang w:val="ro-RO" w:eastAsia="ru-RU"/>
              </w:rPr>
              <w:t xml:space="preserve"> </w:t>
            </w:r>
            <w:r w:rsidR="00E14E70" w:rsidRPr="00E14E70">
              <w:rPr>
                <w:rFonts w:ascii="Times New Roman" w:hAnsi="Times New Roman"/>
                <w:sz w:val="20"/>
                <w:szCs w:val="20"/>
                <w:lang w:val="ro-RO" w:eastAsia="ru-RU"/>
              </w:rPr>
              <w:t>2018/2001;</w:t>
            </w:r>
          </w:p>
          <w:p w14:paraId="5B546553" w14:textId="55C9D529" w:rsidR="00F41E9E" w:rsidRPr="00F41E9E" w:rsidRDefault="00F41E9E" w:rsidP="00833097">
            <w:pPr>
              <w:jc w:val="both"/>
              <w:rPr>
                <w:rFonts w:ascii="Times New Roman" w:hAnsi="Times New Roman"/>
                <w:sz w:val="20"/>
                <w:szCs w:val="20"/>
                <w:lang w:val="ro-RO"/>
              </w:rPr>
            </w:pPr>
          </w:p>
        </w:tc>
        <w:tc>
          <w:tcPr>
            <w:tcW w:w="4541" w:type="dxa"/>
            <w:shd w:val="clear" w:color="auto" w:fill="auto"/>
          </w:tcPr>
          <w:p w14:paraId="4FC00B40" w14:textId="08C69927" w:rsidR="00E14E70" w:rsidRPr="00AF0920" w:rsidRDefault="00E14E70" w:rsidP="00515861">
            <w:pPr>
              <w:pStyle w:val="af0"/>
              <w:shd w:val="clear" w:color="auto" w:fill="FFFFFF"/>
              <w:spacing w:before="0" w:beforeAutospacing="0" w:after="0" w:afterAutospacing="0"/>
              <w:jc w:val="both"/>
              <w:rPr>
                <w:rStyle w:val="af7"/>
                <w:sz w:val="20"/>
                <w:szCs w:val="20"/>
                <w:shd w:val="clear" w:color="auto" w:fill="FFFFFF"/>
              </w:rPr>
            </w:pPr>
          </w:p>
        </w:tc>
        <w:tc>
          <w:tcPr>
            <w:tcW w:w="1276" w:type="dxa"/>
            <w:shd w:val="clear" w:color="auto" w:fill="auto"/>
          </w:tcPr>
          <w:p w14:paraId="157C77E2" w14:textId="635B74A9" w:rsidR="00E14E70" w:rsidRPr="00C951E7" w:rsidRDefault="00F41E9E" w:rsidP="00833097">
            <w:pPr>
              <w:spacing w:after="0" w:line="240" w:lineRule="auto"/>
              <w:rPr>
                <w:rFonts w:ascii="Times New Roman" w:hAnsi="Times New Roman"/>
                <w:sz w:val="20"/>
                <w:szCs w:val="20"/>
                <w:lang w:val="ro-RO"/>
              </w:rPr>
            </w:pPr>
            <w:r>
              <w:rPr>
                <w:rFonts w:ascii="Times New Roman" w:hAnsi="Times New Roman"/>
                <w:sz w:val="20"/>
                <w:szCs w:val="20"/>
                <w:lang w:val="ro-RO"/>
              </w:rPr>
              <w:t>Compatibil</w:t>
            </w:r>
          </w:p>
        </w:tc>
        <w:tc>
          <w:tcPr>
            <w:tcW w:w="1275" w:type="dxa"/>
            <w:shd w:val="clear" w:color="auto" w:fill="auto"/>
          </w:tcPr>
          <w:p w14:paraId="630FE693" w14:textId="77777777" w:rsidR="00E14E70" w:rsidRPr="00C951E7" w:rsidRDefault="00E14E70" w:rsidP="00833097">
            <w:pPr>
              <w:spacing w:line="240" w:lineRule="auto"/>
              <w:jc w:val="both"/>
              <w:rPr>
                <w:rFonts w:ascii="Times New Roman" w:hAnsi="Times New Roman"/>
                <w:sz w:val="20"/>
                <w:szCs w:val="20"/>
                <w:lang w:val="ro-RO"/>
              </w:rPr>
            </w:pPr>
          </w:p>
        </w:tc>
        <w:tc>
          <w:tcPr>
            <w:tcW w:w="1701" w:type="dxa"/>
            <w:shd w:val="clear" w:color="auto" w:fill="auto"/>
          </w:tcPr>
          <w:p w14:paraId="1FBF1508" w14:textId="2878FE68" w:rsidR="00515861" w:rsidRPr="0099049F" w:rsidRDefault="00515861" w:rsidP="0051586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AF0920">
              <w:rPr>
                <w:rFonts w:ascii="Times New Roman" w:hAnsi="Times New Roman"/>
                <w:sz w:val="20"/>
                <w:szCs w:val="20"/>
                <w:lang w:val="ro-RO"/>
              </w:rPr>
              <w:t>„biomasă</w:t>
            </w:r>
            <w:r>
              <w:rPr>
                <w:rFonts w:ascii="Times New Roman" w:hAnsi="Times New Roman"/>
                <w:sz w:val="20"/>
                <w:szCs w:val="20"/>
                <w:lang w:val="ro-RO"/>
              </w:rPr>
              <w:t xml:space="preserve"> forestieră</w:t>
            </w:r>
            <w:r w:rsidRPr="00AF0920">
              <w:rPr>
                <w:rFonts w:ascii="Times New Roman" w:hAnsi="Times New Roman"/>
                <w:sz w:val="20"/>
                <w:szCs w:val="20"/>
                <w:lang w:val="ro-RO"/>
              </w:rPr>
              <w:t xml:space="preserve">” </w:t>
            </w:r>
            <w:r w:rsidRPr="0099049F">
              <w:rPr>
                <w:rFonts w:ascii="Times New Roman" w:eastAsia="Times New Roman" w:hAnsi="Times New Roman"/>
                <w:sz w:val="20"/>
                <w:szCs w:val="20"/>
                <w:lang w:val="ro-RO"/>
              </w:rPr>
              <w:t>este transpusă în</w:t>
            </w:r>
          </w:p>
          <w:p w14:paraId="740D8E8F" w14:textId="009696BF" w:rsidR="00E14E70" w:rsidRPr="00C951E7" w:rsidRDefault="00515861" w:rsidP="0051586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0372E2F5" w14:textId="624B31C9" w:rsidR="00BC57B2" w:rsidRPr="003F755D" w:rsidRDefault="00AD62C6" w:rsidP="00BC57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C57B2" w:rsidRPr="00A81801">
              <w:rPr>
                <w:rFonts w:ascii="Times New Roman" w:hAnsi="Times New Roman"/>
                <w:color w:val="000000" w:themeColor="text1"/>
                <w:sz w:val="20"/>
                <w:szCs w:val="20"/>
              </w:rPr>
              <w:t>Energiei</w:t>
            </w:r>
          </w:p>
          <w:p w14:paraId="395869DD" w14:textId="4E112986" w:rsidR="00AD62C6" w:rsidRPr="003F755D" w:rsidRDefault="00AD62C6" w:rsidP="00AD62C6">
            <w:pPr>
              <w:autoSpaceDE w:val="0"/>
              <w:spacing w:after="0" w:line="240" w:lineRule="auto"/>
              <w:rPr>
                <w:rFonts w:ascii="Times New Roman" w:hAnsi="Times New Roman"/>
                <w:sz w:val="20"/>
                <w:szCs w:val="20"/>
                <w:shd w:val="clear" w:color="auto" w:fill="FFFFFF"/>
                <w:lang w:val="ro-RO"/>
              </w:rPr>
            </w:pPr>
          </w:p>
          <w:p w14:paraId="4722F923" w14:textId="77777777" w:rsidR="00E14E70" w:rsidRPr="00E14E70" w:rsidRDefault="00E14E70" w:rsidP="00362DF4">
            <w:pPr>
              <w:autoSpaceDE w:val="0"/>
              <w:spacing w:after="0" w:line="240" w:lineRule="auto"/>
              <w:rPr>
                <w:rFonts w:ascii="Times New Roman" w:hAnsi="Times New Roman"/>
                <w:sz w:val="20"/>
                <w:szCs w:val="20"/>
                <w:lang w:val="ro-RO"/>
              </w:rPr>
            </w:pPr>
          </w:p>
        </w:tc>
      </w:tr>
      <w:tr w:rsidR="00AD62C6" w:rsidRPr="00054EBD" w14:paraId="5F91C684" w14:textId="77777777" w:rsidTr="009F5405">
        <w:trPr>
          <w:trHeight w:val="776"/>
        </w:trPr>
        <w:tc>
          <w:tcPr>
            <w:tcW w:w="4810" w:type="dxa"/>
            <w:shd w:val="clear" w:color="auto" w:fill="auto"/>
          </w:tcPr>
          <w:p w14:paraId="6BA92209" w14:textId="19D0F293" w:rsidR="00AD62C6" w:rsidRPr="003B70AF" w:rsidRDefault="00E41D66" w:rsidP="00833097">
            <w:pPr>
              <w:jc w:val="both"/>
              <w:rPr>
                <w:rFonts w:ascii="Times New Roman" w:hAnsi="Times New Roman"/>
                <w:sz w:val="20"/>
                <w:szCs w:val="20"/>
                <w:lang w:val="ro-RO"/>
              </w:rPr>
            </w:pPr>
            <w:r>
              <w:rPr>
                <w:rFonts w:ascii="Times New Roman" w:hAnsi="Times New Roman"/>
                <w:sz w:val="20"/>
                <w:szCs w:val="20"/>
                <w:lang w:val="ro-RO"/>
              </w:rPr>
              <w:t>(32)</w:t>
            </w:r>
            <w:r w:rsidR="003B70AF" w:rsidRPr="003B70AF">
              <w:rPr>
                <w:rFonts w:ascii="Times New Roman" w:hAnsi="Times New Roman"/>
                <w:sz w:val="20"/>
                <w:szCs w:val="20"/>
                <w:lang w:val="fr-FR" w:eastAsia="ru-RU"/>
              </w:rPr>
              <w:t>„</w:t>
            </w:r>
            <w:proofErr w:type="spellStart"/>
            <w:r w:rsidR="003B70AF" w:rsidRPr="003B70AF">
              <w:rPr>
                <w:rFonts w:ascii="Times New Roman" w:hAnsi="Times New Roman"/>
                <w:sz w:val="20"/>
                <w:szCs w:val="20"/>
                <w:lang w:val="fr-FR" w:eastAsia="ru-RU"/>
              </w:rPr>
              <w:t>combustibili</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din</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biomasă</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înseamnă</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combustibili</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din</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biomasă</w:t>
            </w:r>
            <w:proofErr w:type="spellEnd"/>
            <w:r w:rsidR="003B70AF" w:rsidRPr="003B70AF">
              <w:rPr>
                <w:rFonts w:ascii="Times New Roman" w:hAnsi="Times New Roman"/>
                <w:sz w:val="20"/>
                <w:szCs w:val="20"/>
                <w:lang w:val="fr-FR" w:eastAsia="ru-RU"/>
              </w:rPr>
              <w:t xml:space="preserve"> în </w:t>
            </w:r>
            <w:proofErr w:type="spellStart"/>
            <w:r w:rsidR="003B70AF" w:rsidRPr="003B70AF">
              <w:rPr>
                <w:rFonts w:ascii="Times New Roman" w:hAnsi="Times New Roman"/>
                <w:sz w:val="20"/>
                <w:szCs w:val="20"/>
                <w:lang w:val="fr-FR" w:eastAsia="ru-RU"/>
              </w:rPr>
              <w:t>sensul</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definiției</w:t>
            </w:r>
            <w:proofErr w:type="spellEnd"/>
            <w:r w:rsidR="003B70AF" w:rsidRPr="003B70AF">
              <w:rPr>
                <w:rFonts w:ascii="Times New Roman" w:hAnsi="Times New Roman"/>
                <w:sz w:val="20"/>
                <w:szCs w:val="20"/>
                <w:lang w:val="fr-FR" w:eastAsia="ru-RU"/>
              </w:rPr>
              <w:t xml:space="preserve"> de la </w:t>
            </w:r>
            <w:proofErr w:type="spellStart"/>
            <w:r w:rsidR="003B70AF" w:rsidRPr="003B70AF">
              <w:rPr>
                <w:rFonts w:ascii="Times New Roman" w:hAnsi="Times New Roman"/>
                <w:sz w:val="20"/>
                <w:szCs w:val="20"/>
                <w:lang w:val="fr-FR" w:eastAsia="ru-RU"/>
              </w:rPr>
              <w:t>articolul</w:t>
            </w:r>
            <w:proofErr w:type="spellEnd"/>
            <w:r w:rsidR="003B70AF">
              <w:rPr>
                <w:rFonts w:ascii="Times New Roman" w:hAnsi="Times New Roman"/>
                <w:sz w:val="20"/>
                <w:szCs w:val="20"/>
                <w:lang w:val="fr-FR" w:eastAsia="ru-RU"/>
              </w:rPr>
              <w:t xml:space="preserve"> </w:t>
            </w:r>
            <w:r w:rsidR="003B70AF" w:rsidRPr="003B70AF">
              <w:rPr>
                <w:rFonts w:ascii="Times New Roman" w:hAnsi="Times New Roman"/>
                <w:sz w:val="20"/>
                <w:szCs w:val="20"/>
                <w:lang w:val="fr-FR" w:eastAsia="ru-RU"/>
              </w:rPr>
              <w:t xml:space="preserve">2 </w:t>
            </w:r>
            <w:proofErr w:type="spellStart"/>
            <w:r w:rsidR="003B70AF" w:rsidRPr="003B70AF">
              <w:rPr>
                <w:rFonts w:ascii="Times New Roman" w:hAnsi="Times New Roman"/>
                <w:sz w:val="20"/>
                <w:szCs w:val="20"/>
                <w:lang w:val="fr-FR" w:eastAsia="ru-RU"/>
              </w:rPr>
              <w:t>punctul</w:t>
            </w:r>
            <w:proofErr w:type="spellEnd"/>
            <w:r w:rsidR="003B70AF">
              <w:rPr>
                <w:rFonts w:ascii="Times New Roman" w:hAnsi="Times New Roman"/>
                <w:sz w:val="20"/>
                <w:szCs w:val="20"/>
                <w:lang w:val="fr-FR" w:eastAsia="ru-RU"/>
              </w:rPr>
              <w:t xml:space="preserve"> </w:t>
            </w:r>
            <w:r w:rsidR="003B70AF" w:rsidRPr="003B70AF">
              <w:rPr>
                <w:rFonts w:ascii="Times New Roman" w:hAnsi="Times New Roman"/>
                <w:sz w:val="20"/>
                <w:szCs w:val="20"/>
                <w:lang w:val="fr-FR" w:eastAsia="ru-RU"/>
              </w:rPr>
              <w:t xml:space="preserve">27 </w:t>
            </w:r>
            <w:proofErr w:type="spellStart"/>
            <w:r w:rsidR="003B70AF" w:rsidRPr="003B70AF">
              <w:rPr>
                <w:rFonts w:ascii="Times New Roman" w:hAnsi="Times New Roman"/>
                <w:sz w:val="20"/>
                <w:szCs w:val="20"/>
                <w:lang w:val="fr-FR" w:eastAsia="ru-RU"/>
              </w:rPr>
              <w:t>din</w:t>
            </w:r>
            <w:proofErr w:type="spellEnd"/>
            <w:r w:rsidR="003B70AF" w:rsidRPr="003B70AF">
              <w:rPr>
                <w:rFonts w:ascii="Times New Roman" w:hAnsi="Times New Roman"/>
                <w:sz w:val="20"/>
                <w:szCs w:val="20"/>
                <w:lang w:val="fr-FR" w:eastAsia="ru-RU"/>
              </w:rPr>
              <w:t xml:space="preserve"> </w:t>
            </w:r>
            <w:proofErr w:type="spellStart"/>
            <w:r w:rsidR="003B70AF" w:rsidRPr="003B70AF">
              <w:rPr>
                <w:rFonts w:ascii="Times New Roman" w:hAnsi="Times New Roman"/>
                <w:sz w:val="20"/>
                <w:szCs w:val="20"/>
                <w:lang w:val="fr-FR" w:eastAsia="ru-RU"/>
              </w:rPr>
              <w:t>Directiva</w:t>
            </w:r>
            <w:proofErr w:type="spellEnd"/>
            <w:r w:rsidR="003B70AF" w:rsidRPr="003B70AF">
              <w:rPr>
                <w:rFonts w:ascii="Times New Roman" w:hAnsi="Times New Roman"/>
                <w:sz w:val="20"/>
                <w:szCs w:val="20"/>
                <w:lang w:val="fr-FR" w:eastAsia="ru-RU"/>
              </w:rPr>
              <w:t xml:space="preserve"> (UE)</w:t>
            </w:r>
            <w:r w:rsidR="003B70AF">
              <w:rPr>
                <w:rFonts w:ascii="Times New Roman" w:hAnsi="Times New Roman"/>
                <w:sz w:val="20"/>
                <w:szCs w:val="20"/>
                <w:lang w:val="fr-FR" w:eastAsia="ru-RU"/>
              </w:rPr>
              <w:t xml:space="preserve"> </w:t>
            </w:r>
            <w:r w:rsidR="003B70AF" w:rsidRPr="003B70AF">
              <w:rPr>
                <w:rFonts w:ascii="Times New Roman" w:hAnsi="Times New Roman"/>
                <w:sz w:val="20"/>
                <w:szCs w:val="20"/>
                <w:lang w:val="fr-FR" w:eastAsia="ru-RU"/>
              </w:rPr>
              <w:t>2018/2001;</w:t>
            </w:r>
          </w:p>
        </w:tc>
        <w:tc>
          <w:tcPr>
            <w:tcW w:w="4541" w:type="dxa"/>
            <w:shd w:val="clear" w:color="auto" w:fill="auto"/>
          </w:tcPr>
          <w:p w14:paraId="528BB412" w14:textId="77777777" w:rsidR="00AD62C6" w:rsidRPr="00AF0920" w:rsidRDefault="00AD62C6" w:rsidP="00833097">
            <w:pPr>
              <w:pStyle w:val="af0"/>
              <w:shd w:val="clear" w:color="auto" w:fill="FFFFFF"/>
              <w:spacing w:before="0" w:beforeAutospacing="0" w:after="0" w:afterAutospacing="0"/>
              <w:jc w:val="both"/>
              <w:rPr>
                <w:rStyle w:val="af7"/>
                <w:sz w:val="20"/>
                <w:szCs w:val="20"/>
                <w:shd w:val="clear" w:color="auto" w:fill="FFFFFF"/>
              </w:rPr>
            </w:pPr>
          </w:p>
        </w:tc>
        <w:tc>
          <w:tcPr>
            <w:tcW w:w="1276" w:type="dxa"/>
            <w:shd w:val="clear" w:color="auto" w:fill="auto"/>
          </w:tcPr>
          <w:p w14:paraId="5487F9AB" w14:textId="0960ECBE" w:rsidR="00AD62C6" w:rsidRPr="00C951E7" w:rsidRDefault="00CE569E" w:rsidP="00833097">
            <w:pPr>
              <w:spacing w:after="0" w:line="240" w:lineRule="auto"/>
              <w:rPr>
                <w:rFonts w:ascii="Times New Roman" w:hAnsi="Times New Roman"/>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7F81FADF" w14:textId="77777777" w:rsidR="00AD62C6" w:rsidRPr="00C951E7" w:rsidRDefault="00AD62C6" w:rsidP="00833097">
            <w:pPr>
              <w:spacing w:line="240" w:lineRule="auto"/>
              <w:jc w:val="both"/>
              <w:rPr>
                <w:rFonts w:ascii="Times New Roman" w:hAnsi="Times New Roman"/>
                <w:sz w:val="20"/>
                <w:szCs w:val="20"/>
                <w:lang w:val="ro-RO"/>
              </w:rPr>
            </w:pPr>
          </w:p>
        </w:tc>
        <w:tc>
          <w:tcPr>
            <w:tcW w:w="1701" w:type="dxa"/>
            <w:shd w:val="clear" w:color="auto" w:fill="auto"/>
          </w:tcPr>
          <w:p w14:paraId="43DBD935" w14:textId="0A7B91B7" w:rsidR="003B70AF" w:rsidRPr="007F05D9" w:rsidRDefault="003B70AF" w:rsidP="003B70AF">
            <w:pPr>
              <w:autoSpaceDE w:val="0"/>
              <w:spacing w:after="0" w:line="240" w:lineRule="auto"/>
              <w:rPr>
                <w:rFonts w:ascii="Times New Roman" w:hAnsi="Times New Roman"/>
                <w:sz w:val="20"/>
                <w:szCs w:val="20"/>
                <w:lang w:val="ro-RO"/>
              </w:rPr>
            </w:pPr>
            <w:r w:rsidRPr="00C951E7">
              <w:rPr>
                <w:rFonts w:ascii="Times New Roman" w:hAnsi="Times New Roman"/>
                <w:sz w:val="20"/>
                <w:szCs w:val="20"/>
                <w:lang w:val="ro-RO"/>
              </w:rPr>
              <w:t>Noțiunea</w:t>
            </w:r>
            <w:r>
              <w:rPr>
                <w:rFonts w:ascii="Times New Roman" w:hAnsi="Times New Roman"/>
                <w:sz w:val="20"/>
                <w:szCs w:val="20"/>
                <w:lang w:val="ro-RO"/>
              </w:rPr>
              <w:t xml:space="preserve"> </w:t>
            </w:r>
            <w:r w:rsidRPr="00833097">
              <w:rPr>
                <w:rFonts w:ascii="Times New Roman" w:hAnsi="Times New Roman"/>
                <w:sz w:val="20"/>
                <w:szCs w:val="20"/>
                <w:lang w:val="fr-FR" w:eastAsia="ru-RU"/>
              </w:rPr>
              <w:t>„</w:t>
            </w:r>
            <w:r w:rsidRPr="00E14E70">
              <w:rPr>
                <w:rFonts w:ascii="Times New Roman" w:hAnsi="Times New Roman"/>
                <w:sz w:val="20"/>
                <w:szCs w:val="20"/>
                <w:lang w:val="ro-RO" w:eastAsia="ru-RU"/>
              </w:rPr>
              <w:t xml:space="preserve"> </w:t>
            </w:r>
            <w:proofErr w:type="spellStart"/>
            <w:r w:rsidRPr="003B70AF">
              <w:rPr>
                <w:rFonts w:ascii="Times New Roman" w:hAnsi="Times New Roman"/>
                <w:sz w:val="20"/>
                <w:szCs w:val="20"/>
                <w:lang w:val="fr-FR" w:eastAsia="ru-RU"/>
              </w:rPr>
              <w:t>combustibili</w:t>
            </w:r>
            <w:proofErr w:type="spellEnd"/>
            <w:r w:rsidRPr="003B70AF">
              <w:rPr>
                <w:rFonts w:ascii="Times New Roman" w:hAnsi="Times New Roman"/>
                <w:sz w:val="20"/>
                <w:szCs w:val="20"/>
                <w:lang w:val="fr-FR" w:eastAsia="ru-RU"/>
              </w:rPr>
              <w:t xml:space="preserve"> </w:t>
            </w:r>
            <w:proofErr w:type="spellStart"/>
            <w:r w:rsidRPr="003B70AF">
              <w:rPr>
                <w:rFonts w:ascii="Times New Roman" w:hAnsi="Times New Roman"/>
                <w:sz w:val="20"/>
                <w:szCs w:val="20"/>
                <w:lang w:val="fr-FR" w:eastAsia="ru-RU"/>
              </w:rPr>
              <w:t>din</w:t>
            </w:r>
            <w:proofErr w:type="spellEnd"/>
            <w:r w:rsidRPr="003B70AF">
              <w:rPr>
                <w:rFonts w:ascii="Times New Roman" w:hAnsi="Times New Roman"/>
                <w:sz w:val="20"/>
                <w:szCs w:val="20"/>
                <w:lang w:val="fr-FR" w:eastAsia="ru-RU"/>
              </w:rPr>
              <w:t xml:space="preserve"> </w:t>
            </w:r>
            <w:proofErr w:type="spellStart"/>
            <w:r w:rsidRPr="003B70AF">
              <w:rPr>
                <w:rFonts w:ascii="Times New Roman" w:hAnsi="Times New Roman"/>
                <w:sz w:val="20"/>
                <w:szCs w:val="20"/>
                <w:lang w:val="fr-FR" w:eastAsia="ru-RU"/>
              </w:rPr>
              <w:t>biomasă</w:t>
            </w:r>
            <w:proofErr w:type="spellEnd"/>
            <w:r w:rsidRPr="00833097">
              <w:rPr>
                <w:rFonts w:ascii="Times New Roman" w:hAnsi="Times New Roman"/>
                <w:sz w:val="20"/>
                <w:szCs w:val="20"/>
                <w:lang w:val="fr-FR" w:eastAsia="ru-RU"/>
              </w:rPr>
              <w:t xml:space="preserve"> ” </w:t>
            </w:r>
            <w:r w:rsidRPr="007F05D9">
              <w:rPr>
                <w:rFonts w:ascii="Times New Roman" w:hAnsi="Times New Roman"/>
                <w:sz w:val="20"/>
                <w:szCs w:val="20"/>
                <w:lang w:val="ro-RO"/>
              </w:rPr>
              <w:t xml:space="preserve">va fi transpusă în </w:t>
            </w:r>
            <w:proofErr w:type="spellStart"/>
            <w:r w:rsidRPr="007F05D9">
              <w:rPr>
                <w:rFonts w:ascii="Times New Roman" w:hAnsi="Times New Roman"/>
                <w:sz w:val="20"/>
                <w:szCs w:val="20"/>
                <w:lang w:val="ro-RO"/>
              </w:rPr>
              <w:t>proectul</w:t>
            </w:r>
            <w:proofErr w:type="spellEnd"/>
          </w:p>
          <w:p w14:paraId="3882307A" w14:textId="519D5601" w:rsidR="00AD62C6" w:rsidRPr="00C951E7" w:rsidRDefault="00054EBD" w:rsidP="003B70AF">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28CE34DA" w14:textId="79C1C8C7" w:rsidR="009C1DA6" w:rsidRPr="003F755D" w:rsidRDefault="003B70AF" w:rsidP="009C1DA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9C1DA6" w:rsidRPr="00A81801">
              <w:rPr>
                <w:rFonts w:ascii="Times New Roman" w:hAnsi="Times New Roman"/>
                <w:color w:val="000000" w:themeColor="text1"/>
                <w:sz w:val="20"/>
                <w:szCs w:val="20"/>
              </w:rPr>
              <w:t>Energiei</w:t>
            </w:r>
          </w:p>
          <w:p w14:paraId="09E9E294" w14:textId="2F81FCDB" w:rsidR="003B70AF" w:rsidRPr="003F755D" w:rsidRDefault="003B70AF" w:rsidP="003B70AF">
            <w:pPr>
              <w:autoSpaceDE w:val="0"/>
              <w:spacing w:after="0" w:line="240" w:lineRule="auto"/>
              <w:rPr>
                <w:rFonts w:ascii="Times New Roman" w:hAnsi="Times New Roman"/>
                <w:sz w:val="20"/>
                <w:szCs w:val="20"/>
                <w:shd w:val="clear" w:color="auto" w:fill="FFFFFF"/>
                <w:lang w:val="ro-RO"/>
              </w:rPr>
            </w:pPr>
          </w:p>
          <w:p w14:paraId="758A8EB6" w14:textId="77777777" w:rsidR="00AD62C6" w:rsidRPr="003B70AF" w:rsidRDefault="00AD62C6" w:rsidP="00AD62C6">
            <w:pPr>
              <w:autoSpaceDE w:val="0"/>
              <w:spacing w:after="0" w:line="240" w:lineRule="auto"/>
              <w:rPr>
                <w:rFonts w:ascii="Times New Roman" w:hAnsi="Times New Roman"/>
                <w:sz w:val="20"/>
                <w:szCs w:val="20"/>
                <w:lang w:val="ro-RO"/>
              </w:rPr>
            </w:pPr>
          </w:p>
        </w:tc>
      </w:tr>
      <w:tr w:rsidR="004911B7" w:rsidRPr="004911B7" w14:paraId="4582D473" w14:textId="77777777" w:rsidTr="009F5405">
        <w:trPr>
          <w:trHeight w:val="776"/>
        </w:trPr>
        <w:tc>
          <w:tcPr>
            <w:tcW w:w="4810" w:type="dxa"/>
            <w:shd w:val="clear" w:color="auto" w:fill="auto"/>
          </w:tcPr>
          <w:p w14:paraId="0011FA2C" w14:textId="25A50E23" w:rsidR="004911B7" w:rsidRPr="004911B7" w:rsidRDefault="00E41D66" w:rsidP="00833097">
            <w:pPr>
              <w:rPr>
                <w:rFonts w:ascii="Times New Roman" w:hAnsi="Times New Roman"/>
                <w:sz w:val="20"/>
                <w:szCs w:val="20"/>
                <w:lang w:val="fr-FR" w:eastAsia="ru-RU"/>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33)</w:t>
            </w:r>
            <w:r w:rsidR="004911B7" w:rsidRPr="004911B7">
              <w:rPr>
                <w:rFonts w:ascii="Times New Roman" w:hAnsi="Times New Roman"/>
                <w:sz w:val="20"/>
                <w:szCs w:val="20"/>
                <w:lang w:val="fr-FR" w:eastAsia="ru-RU"/>
              </w:rPr>
              <w:t>„</w:t>
            </w:r>
            <w:proofErr w:type="gramEnd"/>
            <w:r w:rsidR="004911B7" w:rsidRPr="004911B7">
              <w:rPr>
                <w:rFonts w:ascii="Times New Roman" w:hAnsi="Times New Roman"/>
                <w:sz w:val="20"/>
                <w:szCs w:val="20"/>
                <w:lang w:val="fr-FR" w:eastAsia="ru-RU"/>
              </w:rPr>
              <w:t xml:space="preserve">biogaz” </w:t>
            </w:r>
            <w:proofErr w:type="spellStart"/>
            <w:r w:rsidR="004911B7" w:rsidRPr="004911B7">
              <w:rPr>
                <w:rFonts w:ascii="Times New Roman" w:hAnsi="Times New Roman"/>
                <w:sz w:val="20"/>
                <w:szCs w:val="20"/>
                <w:lang w:val="fr-FR" w:eastAsia="ru-RU"/>
              </w:rPr>
              <w:t>înseamnă</w:t>
            </w:r>
            <w:proofErr w:type="spellEnd"/>
            <w:r w:rsidR="004911B7" w:rsidRPr="004911B7">
              <w:rPr>
                <w:rFonts w:ascii="Times New Roman" w:hAnsi="Times New Roman"/>
                <w:sz w:val="20"/>
                <w:szCs w:val="20"/>
                <w:lang w:val="fr-FR" w:eastAsia="ru-RU"/>
              </w:rPr>
              <w:t xml:space="preserve"> biogaz în </w:t>
            </w:r>
            <w:proofErr w:type="spellStart"/>
            <w:r w:rsidR="004911B7" w:rsidRPr="004911B7">
              <w:rPr>
                <w:rFonts w:ascii="Times New Roman" w:hAnsi="Times New Roman"/>
                <w:sz w:val="20"/>
                <w:szCs w:val="20"/>
                <w:lang w:val="fr-FR" w:eastAsia="ru-RU"/>
              </w:rPr>
              <w:t>sensul</w:t>
            </w:r>
            <w:proofErr w:type="spellEnd"/>
            <w:r w:rsidR="004911B7" w:rsidRPr="004911B7">
              <w:rPr>
                <w:rFonts w:ascii="Times New Roman" w:hAnsi="Times New Roman"/>
                <w:sz w:val="20"/>
                <w:szCs w:val="20"/>
                <w:lang w:val="fr-FR" w:eastAsia="ru-RU"/>
              </w:rPr>
              <w:t xml:space="preserve"> </w:t>
            </w:r>
            <w:proofErr w:type="spellStart"/>
            <w:r w:rsidR="004911B7" w:rsidRPr="004911B7">
              <w:rPr>
                <w:rFonts w:ascii="Times New Roman" w:hAnsi="Times New Roman"/>
                <w:sz w:val="20"/>
                <w:szCs w:val="20"/>
                <w:lang w:val="fr-FR" w:eastAsia="ru-RU"/>
              </w:rPr>
              <w:t>definiției</w:t>
            </w:r>
            <w:proofErr w:type="spellEnd"/>
            <w:r w:rsidR="004911B7" w:rsidRPr="004911B7">
              <w:rPr>
                <w:rFonts w:ascii="Times New Roman" w:hAnsi="Times New Roman"/>
                <w:sz w:val="20"/>
                <w:szCs w:val="20"/>
                <w:lang w:val="fr-FR" w:eastAsia="ru-RU"/>
              </w:rPr>
              <w:t xml:space="preserve"> de la </w:t>
            </w:r>
            <w:proofErr w:type="spellStart"/>
            <w:r w:rsidR="004911B7" w:rsidRPr="004911B7">
              <w:rPr>
                <w:rFonts w:ascii="Times New Roman" w:hAnsi="Times New Roman"/>
                <w:sz w:val="20"/>
                <w:szCs w:val="20"/>
                <w:lang w:val="fr-FR" w:eastAsia="ru-RU"/>
              </w:rPr>
              <w:t>articolul</w:t>
            </w:r>
            <w:proofErr w:type="spellEnd"/>
            <w:r w:rsidR="004911B7" w:rsidRPr="004911B7">
              <w:rPr>
                <w:rFonts w:ascii="Times New Roman" w:hAnsi="Times New Roman"/>
                <w:sz w:val="20"/>
                <w:szCs w:val="20"/>
                <w:lang w:val="fr-FR" w:eastAsia="ru-RU"/>
              </w:rPr>
              <w:t xml:space="preserve"> 2 </w:t>
            </w:r>
            <w:proofErr w:type="spellStart"/>
            <w:r w:rsidR="004911B7" w:rsidRPr="004911B7">
              <w:rPr>
                <w:rFonts w:ascii="Times New Roman" w:hAnsi="Times New Roman"/>
                <w:sz w:val="20"/>
                <w:szCs w:val="20"/>
                <w:lang w:val="fr-FR" w:eastAsia="ru-RU"/>
              </w:rPr>
              <w:t>punctul</w:t>
            </w:r>
            <w:proofErr w:type="spellEnd"/>
            <w:r w:rsidR="004911B7" w:rsidRPr="004911B7">
              <w:rPr>
                <w:rFonts w:ascii="Times New Roman" w:hAnsi="Times New Roman"/>
                <w:sz w:val="20"/>
                <w:szCs w:val="20"/>
                <w:lang w:val="fr-FR" w:eastAsia="ru-RU"/>
              </w:rPr>
              <w:t xml:space="preserve"> 28 </w:t>
            </w:r>
            <w:proofErr w:type="spellStart"/>
            <w:r w:rsidR="004911B7" w:rsidRPr="004911B7">
              <w:rPr>
                <w:rFonts w:ascii="Times New Roman" w:hAnsi="Times New Roman"/>
                <w:sz w:val="20"/>
                <w:szCs w:val="20"/>
                <w:lang w:val="fr-FR" w:eastAsia="ru-RU"/>
              </w:rPr>
              <w:t>din</w:t>
            </w:r>
            <w:proofErr w:type="spellEnd"/>
            <w:r w:rsidR="004911B7" w:rsidRPr="004911B7">
              <w:rPr>
                <w:rFonts w:ascii="Times New Roman" w:hAnsi="Times New Roman"/>
                <w:sz w:val="20"/>
                <w:szCs w:val="20"/>
                <w:lang w:val="fr-FR" w:eastAsia="ru-RU"/>
              </w:rPr>
              <w:t xml:space="preserve"> </w:t>
            </w:r>
            <w:proofErr w:type="spellStart"/>
            <w:r w:rsidR="004911B7" w:rsidRPr="004911B7">
              <w:rPr>
                <w:rFonts w:ascii="Times New Roman" w:hAnsi="Times New Roman"/>
                <w:sz w:val="20"/>
                <w:szCs w:val="20"/>
                <w:lang w:val="fr-FR" w:eastAsia="ru-RU"/>
              </w:rPr>
              <w:t>Directiva</w:t>
            </w:r>
            <w:proofErr w:type="spellEnd"/>
            <w:r w:rsidR="004911B7" w:rsidRPr="004911B7">
              <w:rPr>
                <w:rFonts w:ascii="Times New Roman" w:hAnsi="Times New Roman"/>
                <w:sz w:val="20"/>
                <w:szCs w:val="20"/>
                <w:lang w:val="fr-FR" w:eastAsia="ru-RU"/>
              </w:rPr>
              <w:t xml:space="preserve"> (UE) 2018/2001;</w:t>
            </w:r>
          </w:p>
        </w:tc>
        <w:tc>
          <w:tcPr>
            <w:tcW w:w="4541" w:type="dxa"/>
            <w:shd w:val="clear" w:color="auto" w:fill="auto"/>
          </w:tcPr>
          <w:p w14:paraId="4CB70ACD" w14:textId="2570E989" w:rsidR="004911B7" w:rsidRPr="00C951E7" w:rsidRDefault="004911B7" w:rsidP="00833097">
            <w:pPr>
              <w:pStyle w:val="af0"/>
              <w:shd w:val="clear" w:color="auto" w:fill="FFFFFF"/>
              <w:spacing w:before="0" w:beforeAutospacing="0" w:after="0" w:afterAutospacing="0"/>
              <w:jc w:val="both"/>
              <w:rPr>
                <w:color w:val="000000" w:themeColor="text1"/>
                <w:sz w:val="20"/>
                <w:szCs w:val="20"/>
              </w:rPr>
            </w:pPr>
          </w:p>
        </w:tc>
        <w:tc>
          <w:tcPr>
            <w:tcW w:w="1276" w:type="dxa"/>
            <w:shd w:val="clear" w:color="auto" w:fill="auto"/>
          </w:tcPr>
          <w:p w14:paraId="252649BF" w14:textId="6AC6CC39" w:rsidR="004911B7" w:rsidRPr="00C951E7" w:rsidRDefault="004911B7" w:rsidP="00833097">
            <w:pPr>
              <w:spacing w:after="0" w:line="240" w:lineRule="auto"/>
              <w:rPr>
                <w:rFonts w:ascii="Times New Roman" w:hAnsi="Times New Roman"/>
                <w:sz w:val="20"/>
                <w:szCs w:val="20"/>
                <w:lang w:val="ro-RO"/>
              </w:rPr>
            </w:pPr>
            <w:r>
              <w:rPr>
                <w:rFonts w:ascii="Times New Roman" w:hAnsi="Times New Roman"/>
                <w:bCs/>
                <w:color w:val="000000" w:themeColor="text1"/>
                <w:sz w:val="20"/>
                <w:szCs w:val="20"/>
                <w:lang w:val="ro-RO"/>
              </w:rPr>
              <w:t>C</w:t>
            </w:r>
            <w:r w:rsidRPr="00C951E7">
              <w:rPr>
                <w:rFonts w:ascii="Times New Roman" w:hAnsi="Times New Roman"/>
                <w:bCs/>
                <w:color w:val="000000" w:themeColor="text1"/>
                <w:sz w:val="20"/>
                <w:szCs w:val="20"/>
                <w:lang w:val="ro-RO"/>
              </w:rPr>
              <w:t>ompatibil</w:t>
            </w:r>
          </w:p>
        </w:tc>
        <w:tc>
          <w:tcPr>
            <w:tcW w:w="1275" w:type="dxa"/>
            <w:shd w:val="clear" w:color="auto" w:fill="auto"/>
          </w:tcPr>
          <w:p w14:paraId="48E7DB62" w14:textId="77777777" w:rsidR="004911B7" w:rsidRPr="00C951E7" w:rsidRDefault="004911B7" w:rsidP="00833097">
            <w:pPr>
              <w:spacing w:line="240" w:lineRule="auto"/>
              <w:jc w:val="both"/>
              <w:rPr>
                <w:rFonts w:ascii="Times New Roman" w:eastAsia="Times New Roman" w:hAnsi="Times New Roman"/>
                <w:sz w:val="20"/>
                <w:szCs w:val="20"/>
                <w:lang w:val="ro-RO"/>
              </w:rPr>
            </w:pPr>
          </w:p>
        </w:tc>
        <w:tc>
          <w:tcPr>
            <w:tcW w:w="1701" w:type="dxa"/>
            <w:shd w:val="clear" w:color="auto" w:fill="auto"/>
          </w:tcPr>
          <w:p w14:paraId="43B9277D" w14:textId="02050EF9" w:rsidR="004911B7" w:rsidRPr="0099049F" w:rsidRDefault="004911B7" w:rsidP="004911B7">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AF0920">
              <w:rPr>
                <w:rFonts w:ascii="Times New Roman" w:hAnsi="Times New Roman"/>
                <w:sz w:val="20"/>
                <w:szCs w:val="20"/>
                <w:lang w:val="ro-RO"/>
              </w:rPr>
              <w:t>„bio</w:t>
            </w:r>
            <w:r>
              <w:rPr>
                <w:rFonts w:ascii="Times New Roman" w:hAnsi="Times New Roman"/>
                <w:sz w:val="20"/>
                <w:szCs w:val="20"/>
                <w:lang w:val="ro-RO"/>
              </w:rPr>
              <w:t>gaz</w:t>
            </w:r>
            <w:r w:rsidRPr="00AF0920">
              <w:rPr>
                <w:rFonts w:ascii="Times New Roman" w:hAnsi="Times New Roman"/>
                <w:sz w:val="20"/>
                <w:szCs w:val="20"/>
                <w:lang w:val="ro-RO"/>
              </w:rPr>
              <w:t xml:space="preserve">” </w:t>
            </w:r>
            <w:r w:rsidRPr="0099049F">
              <w:rPr>
                <w:rFonts w:ascii="Times New Roman" w:eastAsia="Times New Roman" w:hAnsi="Times New Roman"/>
                <w:sz w:val="20"/>
                <w:szCs w:val="20"/>
                <w:lang w:val="ro-RO"/>
              </w:rPr>
              <w:t>este transpusă în</w:t>
            </w:r>
          </w:p>
          <w:p w14:paraId="01D824E2" w14:textId="312CD17C" w:rsidR="004911B7" w:rsidRPr="00C951E7" w:rsidRDefault="004911B7" w:rsidP="004911B7">
            <w:pPr>
              <w:autoSpaceDE w:val="0"/>
              <w:spacing w:after="0" w:line="240" w:lineRule="auto"/>
              <w:rPr>
                <w:rStyle w:val="af7"/>
                <w:rFonts w:ascii="Times New Roman" w:hAnsi="Times New Roman"/>
                <w:i w:val="0"/>
                <w:color w:val="333333"/>
                <w:sz w:val="20"/>
                <w:szCs w:val="20"/>
                <w:shd w:val="clear" w:color="auto" w:fill="FFFFFF"/>
                <w:lang w:val="ro-RO"/>
              </w:rPr>
            </w:pPr>
            <w:r w:rsidRPr="0099049F">
              <w:rPr>
                <w:rFonts w:ascii="Times New Roman" w:hAnsi="Times New Roman"/>
                <w:sz w:val="20"/>
                <w:szCs w:val="20"/>
                <w:lang w:val="ro-RO"/>
              </w:rPr>
              <w:lastRenderedPageBreak/>
              <w:t>Legea nr.10/2016 privind promovarea utilizării energiei din surse regenerabile</w:t>
            </w:r>
          </w:p>
        </w:tc>
        <w:tc>
          <w:tcPr>
            <w:tcW w:w="1464" w:type="dxa"/>
            <w:shd w:val="clear" w:color="auto" w:fill="auto"/>
          </w:tcPr>
          <w:p w14:paraId="6C35CBF4" w14:textId="1A40758D" w:rsidR="009C1DA6" w:rsidRPr="003F755D" w:rsidRDefault="004911B7" w:rsidP="009C1DA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9C1DA6" w:rsidRPr="00A81801">
              <w:rPr>
                <w:rFonts w:ascii="Times New Roman" w:hAnsi="Times New Roman"/>
                <w:color w:val="000000" w:themeColor="text1"/>
                <w:sz w:val="20"/>
                <w:szCs w:val="20"/>
              </w:rPr>
              <w:t>Energiei</w:t>
            </w:r>
          </w:p>
          <w:p w14:paraId="209CF381" w14:textId="04B3439F" w:rsidR="004911B7" w:rsidRPr="003F755D" w:rsidRDefault="004911B7" w:rsidP="004911B7">
            <w:pPr>
              <w:autoSpaceDE w:val="0"/>
              <w:spacing w:after="0" w:line="240" w:lineRule="auto"/>
              <w:rPr>
                <w:rFonts w:ascii="Times New Roman" w:hAnsi="Times New Roman"/>
                <w:sz w:val="20"/>
                <w:szCs w:val="20"/>
                <w:shd w:val="clear" w:color="auto" w:fill="FFFFFF"/>
                <w:lang w:val="ro-RO"/>
              </w:rPr>
            </w:pPr>
          </w:p>
          <w:p w14:paraId="5C0BA341" w14:textId="77777777" w:rsidR="004911B7" w:rsidRPr="00C951E7" w:rsidRDefault="004911B7" w:rsidP="00833097">
            <w:pPr>
              <w:autoSpaceDE w:val="0"/>
              <w:spacing w:after="0" w:line="240" w:lineRule="auto"/>
              <w:rPr>
                <w:rFonts w:ascii="Times New Roman" w:hAnsi="Times New Roman"/>
                <w:sz w:val="20"/>
                <w:szCs w:val="20"/>
                <w:lang w:val="ro-RO"/>
              </w:rPr>
            </w:pPr>
          </w:p>
        </w:tc>
      </w:tr>
      <w:tr w:rsidR="00FD324B" w:rsidRPr="00A53FA1" w14:paraId="2FA1AB08" w14:textId="77777777" w:rsidTr="009F5405">
        <w:trPr>
          <w:trHeight w:val="776"/>
        </w:trPr>
        <w:tc>
          <w:tcPr>
            <w:tcW w:w="4810" w:type="dxa"/>
            <w:shd w:val="clear" w:color="auto" w:fill="auto"/>
          </w:tcPr>
          <w:p w14:paraId="22AF2B2A" w14:textId="454C8DD9" w:rsidR="00FD324B" w:rsidRPr="00FD324B" w:rsidRDefault="00E41D66" w:rsidP="00FD324B">
            <w:pPr>
              <w:jc w:val="both"/>
              <w:rPr>
                <w:rFonts w:ascii="Times New Roman" w:hAnsi="Times New Roman"/>
                <w:sz w:val="20"/>
                <w:szCs w:val="20"/>
                <w:lang w:val="fr-FR" w:eastAsia="ru-RU"/>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34)</w:t>
            </w:r>
            <w:r w:rsidR="00FD324B" w:rsidRPr="00FD324B">
              <w:rPr>
                <w:rFonts w:ascii="Times New Roman" w:hAnsi="Times New Roman"/>
                <w:sz w:val="20"/>
                <w:szCs w:val="20"/>
                <w:lang w:val="fr-FR" w:eastAsia="ru-RU"/>
              </w:rPr>
              <w:t>„</w:t>
            </w:r>
            <w:proofErr w:type="spellStart"/>
            <w:proofErr w:type="gramEnd"/>
            <w:r w:rsidR="00FD324B" w:rsidRPr="00FD324B">
              <w:rPr>
                <w:rFonts w:ascii="Times New Roman" w:hAnsi="Times New Roman"/>
                <w:sz w:val="20"/>
                <w:szCs w:val="20"/>
                <w:lang w:val="fr-FR" w:eastAsia="ru-RU"/>
              </w:rPr>
              <w:t>biolichide</w:t>
            </w:r>
            <w:proofErr w:type="spellEnd"/>
            <w:r w:rsidR="00FD324B" w:rsidRPr="00FD324B">
              <w:rPr>
                <w:rFonts w:ascii="Times New Roman" w:hAnsi="Times New Roman"/>
                <w:sz w:val="20"/>
                <w:szCs w:val="20"/>
                <w:lang w:val="fr-FR" w:eastAsia="ru-RU"/>
              </w:rPr>
              <w:t xml:space="preserve">” </w:t>
            </w:r>
            <w:proofErr w:type="spellStart"/>
            <w:r w:rsidR="00FD324B" w:rsidRPr="00FD324B">
              <w:rPr>
                <w:rFonts w:ascii="Times New Roman" w:hAnsi="Times New Roman"/>
                <w:sz w:val="20"/>
                <w:szCs w:val="20"/>
                <w:lang w:val="fr-FR" w:eastAsia="ru-RU"/>
              </w:rPr>
              <w:t>înseamnă</w:t>
            </w:r>
            <w:proofErr w:type="spellEnd"/>
            <w:r w:rsidR="00FD324B" w:rsidRPr="00FD324B">
              <w:rPr>
                <w:rFonts w:ascii="Times New Roman" w:hAnsi="Times New Roman"/>
                <w:sz w:val="20"/>
                <w:szCs w:val="20"/>
                <w:lang w:val="fr-FR" w:eastAsia="ru-RU"/>
              </w:rPr>
              <w:t xml:space="preserve"> </w:t>
            </w:r>
            <w:proofErr w:type="spellStart"/>
            <w:r w:rsidR="00FD324B" w:rsidRPr="00FD324B">
              <w:rPr>
                <w:rFonts w:ascii="Times New Roman" w:hAnsi="Times New Roman"/>
                <w:sz w:val="20"/>
                <w:szCs w:val="20"/>
                <w:lang w:val="fr-FR" w:eastAsia="ru-RU"/>
              </w:rPr>
              <w:t>biolichide</w:t>
            </w:r>
            <w:proofErr w:type="spellEnd"/>
            <w:r w:rsidR="00FD324B" w:rsidRPr="00FD324B">
              <w:rPr>
                <w:rFonts w:ascii="Times New Roman" w:hAnsi="Times New Roman"/>
                <w:sz w:val="20"/>
                <w:szCs w:val="20"/>
                <w:lang w:val="fr-FR" w:eastAsia="ru-RU"/>
              </w:rPr>
              <w:t xml:space="preserve"> în </w:t>
            </w:r>
            <w:proofErr w:type="spellStart"/>
            <w:r w:rsidR="00FD324B" w:rsidRPr="00FD324B">
              <w:rPr>
                <w:rFonts w:ascii="Times New Roman" w:hAnsi="Times New Roman"/>
                <w:sz w:val="20"/>
                <w:szCs w:val="20"/>
                <w:lang w:val="fr-FR" w:eastAsia="ru-RU"/>
              </w:rPr>
              <w:t>sensul</w:t>
            </w:r>
            <w:proofErr w:type="spellEnd"/>
            <w:r w:rsidR="00FD324B" w:rsidRPr="00FD324B">
              <w:rPr>
                <w:rFonts w:ascii="Times New Roman" w:hAnsi="Times New Roman"/>
                <w:sz w:val="20"/>
                <w:szCs w:val="20"/>
                <w:lang w:val="fr-FR" w:eastAsia="ru-RU"/>
              </w:rPr>
              <w:t xml:space="preserve"> </w:t>
            </w:r>
            <w:proofErr w:type="spellStart"/>
            <w:r w:rsidR="00FD324B" w:rsidRPr="00FD324B">
              <w:rPr>
                <w:rFonts w:ascii="Times New Roman" w:hAnsi="Times New Roman"/>
                <w:sz w:val="20"/>
                <w:szCs w:val="20"/>
                <w:lang w:val="fr-FR" w:eastAsia="ru-RU"/>
              </w:rPr>
              <w:t>definiției</w:t>
            </w:r>
            <w:proofErr w:type="spellEnd"/>
            <w:r w:rsidR="00FD324B" w:rsidRPr="00FD324B">
              <w:rPr>
                <w:rFonts w:ascii="Times New Roman" w:hAnsi="Times New Roman"/>
                <w:sz w:val="20"/>
                <w:szCs w:val="20"/>
                <w:lang w:val="fr-FR" w:eastAsia="ru-RU"/>
              </w:rPr>
              <w:t xml:space="preserve"> de la </w:t>
            </w:r>
            <w:proofErr w:type="spellStart"/>
            <w:r w:rsidR="00FD324B" w:rsidRPr="00FD324B">
              <w:rPr>
                <w:rFonts w:ascii="Times New Roman" w:hAnsi="Times New Roman"/>
                <w:sz w:val="20"/>
                <w:szCs w:val="20"/>
                <w:lang w:val="fr-FR" w:eastAsia="ru-RU"/>
              </w:rPr>
              <w:t>articolul</w:t>
            </w:r>
            <w:proofErr w:type="spellEnd"/>
            <w:r w:rsidR="00FD324B">
              <w:rPr>
                <w:rFonts w:ascii="Times New Roman" w:hAnsi="Times New Roman"/>
                <w:sz w:val="20"/>
                <w:szCs w:val="20"/>
                <w:lang w:val="fr-FR" w:eastAsia="ru-RU"/>
              </w:rPr>
              <w:t xml:space="preserve"> </w:t>
            </w:r>
            <w:r w:rsidR="00FD324B" w:rsidRPr="00FD324B">
              <w:rPr>
                <w:rFonts w:ascii="Times New Roman" w:hAnsi="Times New Roman"/>
                <w:sz w:val="20"/>
                <w:szCs w:val="20"/>
                <w:lang w:val="fr-FR" w:eastAsia="ru-RU"/>
              </w:rPr>
              <w:t xml:space="preserve">2 </w:t>
            </w:r>
            <w:proofErr w:type="spellStart"/>
            <w:r w:rsidR="00FD324B" w:rsidRPr="00FD324B">
              <w:rPr>
                <w:rFonts w:ascii="Times New Roman" w:hAnsi="Times New Roman"/>
                <w:sz w:val="20"/>
                <w:szCs w:val="20"/>
                <w:lang w:val="fr-FR" w:eastAsia="ru-RU"/>
              </w:rPr>
              <w:t>punctul</w:t>
            </w:r>
            <w:proofErr w:type="spellEnd"/>
            <w:r w:rsidR="00FD324B">
              <w:rPr>
                <w:rFonts w:ascii="Times New Roman" w:hAnsi="Times New Roman"/>
                <w:sz w:val="20"/>
                <w:szCs w:val="20"/>
                <w:lang w:val="fr-FR" w:eastAsia="ru-RU"/>
              </w:rPr>
              <w:t xml:space="preserve"> </w:t>
            </w:r>
            <w:r w:rsidR="00FD324B" w:rsidRPr="00FD324B">
              <w:rPr>
                <w:rFonts w:ascii="Times New Roman" w:hAnsi="Times New Roman"/>
                <w:sz w:val="20"/>
                <w:szCs w:val="20"/>
                <w:lang w:val="fr-FR" w:eastAsia="ru-RU"/>
              </w:rPr>
              <w:t xml:space="preserve">32 </w:t>
            </w:r>
            <w:proofErr w:type="spellStart"/>
            <w:r w:rsidR="00FD324B" w:rsidRPr="00FD324B">
              <w:rPr>
                <w:rFonts w:ascii="Times New Roman" w:hAnsi="Times New Roman"/>
                <w:sz w:val="20"/>
                <w:szCs w:val="20"/>
                <w:lang w:val="fr-FR" w:eastAsia="ru-RU"/>
              </w:rPr>
              <w:t>din</w:t>
            </w:r>
            <w:proofErr w:type="spellEnd"/>
            <w:r w:rsidR="00FD324B" w:rsidRPr="00FD324B">
              <w:rPr>
                <w:rFonts w:ascii="Times New Roman" w:hAnsi="Times New Roman"/>
                <w:sz w:val="20"/>
                <w:szCs w:val="20"/>
                <w:lang w:val="fr-FR" w:eastAsia="ru-RU"/>
              </w:rPr>
              <w:t xml:space="preserve"> </w:t>
            </w:r>
            <w:proofErr w:type="spellStart"/>
            <w:r w:rsidR="00FD324B" w:rsidRPr="00FD324B">
              <w:rPr>
                <w:rFonts w:ascii="Times New Roman" w:hAnsi="Times New Roman"/>
                <w:sz w:val="20"/>
                <w:szCs w:val="20"/>
                <w:lang w:val="fr-FR" w:eastAsia="ru-RU"/>
              </w:rPr>
              <w:t>Directiva</w:t>
            </w:r>
            <w:proofErr w:type="spellEnd"/>
            <w:r w:rsidR="00FD324B" w:rsidRPr="00FD324B">
              <w:rPr>
                <w:rFonts w:ascii="Times New Roman" w:hAnsi="Times New Roman"/>
                <w:sz w:val="20"/>
                <w:szCs w:val="20"/>
                <w:lang w:val="fr-FR" w:eastAsia="ru-RU"/>
              </w:rPr>
              <w:t xml:space="preserve"> (UE)</w:t>
            </w:r>
            <w:r w:rsidR="00FD324B">
              <w:rPr>
                <w:rFonts w:ascii="Times New Roman" w:hAnsi="Times New Roman"/>
                <w:sz w:val="20"/>
                <w:szCs w:val="20"/>
                <w:lang w:val="fr-FR" w:eastAsia="ru-RU"/>
              </w:rPr>
              <w:t xml:space="preserve"> </w:t>
            </w:r>
            <w:r w:rsidR="00FD324B" w:rsidRPr="00FD324B">
              <w:rPr>
                <w:rFonts w:ascii="Times New Roman" w:hAnsi="Times New Roman"/>
                <w:sz w:val="20"/>
                <w:szCs w:val="20"/>
                <w:lang w:val="fr-FR" w:eastAsia="ru-RU"/>
              </w:rPr>
              <w:t>2018/2001;</w:t>
            </w:r>
          </w:p>
        </w:tc>
        <w:tc>
          <w:tcPr>
            <w:tcW w:w="4541" w:type="dxa"/>
            <w:shd w:val="clear" w:color="auto" w:fill="auto"/>
          </w:tcPr>
          <w:p w14:paraId="3517BA95" w14:textId="77BBFD77" w:rsidR="00FD324B" w:rsidRPr="00FD324B" w:rsidRDefault="00FD324B" w:rsidP="00833097">
            <w:pPr>
              <w:pStyle w:val="af0"/>
              <w:shd w:val="clear" w:color="auto" w:fill="FFFFFF"/>
              <w:spacing w:before="0" w:beforeAutospacing="0" w:after="0" w:afterAutospacing="0"/>
              <w:jc w:val="both"/>
              <w:rPr>
                <w:rStyle w:val="af7"/>
                <w:sz w:val="20"/>
                <w:szCs w:val="20"/>
                <w:shd w:val="clear" w:color="auto" w:fill="FFFFFF"/>
              </w:rPr>
            </w:pPr>
          </w:p>
        </w:tc>
        <w:tc>
          <w:tcPr>
            <w:tcW w:w="1276" w:type="dxa"/>
            <w:shd w:val="clear" w:color="auto" w:fill="auto"/>
          </w:tcPr>
          <w:p w14:paraId="6A5DB52D" w14:textId="5EDBC4ED" w:rsidR="00FD324B" w:rsidRDefault="00FD324B" w:rsidP="00833097">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Pr="00C951E7">
              <w:rPr>
                <w:rFonts w:ascii="Times New Roman" w:hAnsi="Times New Roman"/>
                <w:bCs/>
                <w:color w:val="000000" w:themeColor="text1"/>
                <w:sz w:val="20"/>
                <w:szCs w:val="20"/>
                <w:lang w:val="ro-RO"/>
              </w:rPr>
              <w:t>ompatibil</w:t>
            </w:r>
          </w:p>
        </w:tc>
        <w:tc>
          <w:tcPr>
            <w:tcW w:w="1275" w:type="dxa"/>
            <w:shd w:val="clear" w:color="auto" w:fill="auto"/>
          </w:tcPr>
          <w:p w14:paraId="27FC7164" w14:textId="77777777" w:rsidR="00FD324B" w:rsidRPr="00C951E7" w:rsidRDefault="00FD324B" w:rsidP="00833097">
            <w:pPr>
              <w:spacing w:line="240" w:lineRule="auto"/>
              <w:jc w:val="both"/>
              <w:rPr>
                <w:rFonts w:ascii="Times New Roman" w:eastAsia="Times New Roman" w:hAnsi="Times New Roman"/>
                <w:sz w:val="20"/>
                <w:szCs w:val="20"/>
                <w:lang w:val="ro-RO"/>
              </w:rPr>
            </w:pPr>
          </w:p>
        </w:tc>
        <w:tc>
          <w:tcPr>
            <w:tcW w:w="1701" w:type="dxa"/>
            <w:shd w:val="clear" w:color="auto" w:fill="auto"/>
          </w:tcPr>
          <w:p w14:paraId="67850D40" w14:textId="474BEDF4" w:rsidR="00A53FA1" w:rsidRPr="0099049F" w:rsidRDefault="00A53FA1" w:rsidP="00A53FA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Noțiunea</w:t>
            </w:r>
            <w:r>
              <w:rPr>
                <w:rFonts w:ascii="Times New Roman" w:hAnsi="Times New Roman"/>
                <w:sz w:val="20"/>
                <w:szCs w:val="20"/>
                <w:lang w:val="ro-RO"/>
              </w:rPr>
              <w:t xml:space="preserve"> </w:t>
            </w:r>
            <w:r w:rsidRPr="00AF0920">
              <w:rPr>
                <w:rFonts w:ascii="Times New Roman" w:hAnsi="Times New Roman"/>
                <w:sz w:val="20"/>
                <w:szCs w:val="20"/>
                <w:lang w:val="ro-RO"/>
              </w:rPr>
              <w:t>„</w:t>
            </w:r>
            <w:proofErr w:type="spellStart"/>
            <w:r w:rsidRPr="00A53FA1">
              <w:rPr>
                <w:rFonts w:ascii="Times New Roman" w:hAnsi="Times New Roman"/>
                <w:sz w:val="20"/>
                <w:szCs w:val="20"/>
                <w:lang w:val="en-US" w:eastAsia="ru-RU"/>
              </w:rPr>
              <w:t>biolichide</w:t>
            </w:r>
            <w:proofErr w:type="spellEnd"/>
            <w:r w:rsidRPr="00AF0920">
              <w:rPr>
                <w:rFonts w:ascii="Times New Roman" w:hAnsi="Times New Roman"/>
                <w:sz w:val="20"/>
                <w:szCs w:val="20"/>
                <w:lang w:val="ro-RO"/>
              </w:rPr>
              <w:t xml:space="preserve">” </w:t>
            </w:r>
            <w:r w:rsidRPr="0099049F">
              <w:rPr>
                <w:rFonts w:ascii="Times New Roman" w:eastAsia="Times New Roman" w:hAnsi="Times New Roman"/>
                <w:sz w:val="20"/>
                <w:szCs w:val="20"/>
                <w:lang w:val="ro-RO"/>
              </w:rPr>
              <w:t>este transpusă în</w:t>
            </w:r>
          </w:p>
          <w:p w14:paraId="1A96CE57" w14:textId="765A3F37" w:rsidR="00FD324B" w:rsidRPr="0099049F" w:rsidRDefault="00A53FA1" w:rsidP="00A53FA1">
            <w:pPr>
              <w:autoSpaceDE w:val="0"/>
              <w:spacing w:after="0" w:line="240" w:lineRule="auto"/>
              <w:rPr>
                <w:rFonts w:ascii="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0095AB31" w14:textId="35EA746C" w:rsidR="00A53FA1" w:rsidRPr="003F755D" w:rsidRDefault="00A53FA1" w:rsidP="00A53FA1">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9C1DA6" w:rsidRPr="00A81801">
              <w:rPr>
                <w:rFonts w:ascii="Times New Roman" w:hAnsi="Times New Roman"/>
                <w:color w:val="000000" w:themeColor="text1"/>
                <w:sz w:val="20"/>
                <w:szCs w:val="20"/>
              </w:rPr>
              <w:t>Energiei</w:t>
            </w:r>
          </w:p>
          <w:p w14:paraId="26769E3F" w14:textId="77777777" w:rsidR="00FD324B" w:rsidRPr="00A53FA1" w:rsidRDefault="00FD324B" w:rsidP="004911B7">
            <w:pPr>
              <w:autoSpaceDE w:val="0"/>
              <w:spacing w:after="0" w:line="240" w:lineRule="auto"/>
              <w:rPr>
                <w:rFonts w:ascii="Times New Roman" w:hAnsi="Times New Roman"/>
                <w:sz w:val="20"/>
                <w:szCs w:val="20"/>
                <w:lang w:val="en-US"/>
              </w:rPr>
            </w:pPr>
          </w:p>
        </w:tc>
      </w:tr>
      <w:tr w:rsidR="00833097" w:rsidRPr="00E1678F" w14:paraId="4C73CA68" w14:textId="77777777" w:rsidTr="009F5405">
        <w:trPr>
          <w:trHeight w:val="1449"/>
        </w:trPr>
        <w:tc>
          <w:tcPr>
            <w:tcW w:w="4810" w:type="dxa"/>
            <w:shd w:val="clear" w:color="auto" w:fill="auto"/>
          </w:tcPr>
          <w:p w14:paraId="5E8602C6" w14:textId="2542DD56" w:rsidR="00833097" w:rsidRPr="00CE569E"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35)</w:t>
            </w:r>
            <w:r w:rsidR="00E1678F" w:rsidRPr="00CE569E">
              <w:rPr>
                <w:rFonts w:ascii="Times New Roman" w:hAnsi="Times New Roman"/>
                <w:sz w:val="20"/>
                <w:szCs w:val="20"/>
                <w:lang w:val="fr-FR" w:eastAsia="ru-RU"/>
              </w:rPr>
              <w:t>„</w:t>
            </w:r>
            <w:proofErr w:type="spellStart"/>
            <w:proofErr w:type="gramEnd"/>
            <w:r w:rsidR="00E1678F" w:rsidRPr="00CE569E">
              <w:rPr>
                <w:rFonts w:ascii="Times New Roman" w:hAnsi="Times New Roman"/>
                <w:sz w:val="20"/>
                <w:szCs w:val="20"/>
                <w:lang w:val="fr-FR" w:eastAsia="ru-RU"/>
              </w:rPr>
              <w:t>biocombustibili</w:t>
            </w:r>
            <w:proofErr w:type="spellEnd"/>
            <w:r w:rsidR="00E1678F" w:rsidRPr="00CE569E">
              <w:rPr>
                <w:rFonts w:ascii="Times New Roman" w:hAnsi="Times New Roman"/>
                <w:sz w:val="20"/>
                <w:szCs w:val="20"/>
                <w:lang w:val="fr-FR" w:eastAsia="ru-RU"/>
              </w:rPr>
              <w:t xml:space="preserve">” </w:t>
            </w:r>
            <w:proofErr w:type="spellStart"/>
            <w:r w:rsidR="00E1678F" w:rsidRPr="00CE569E">
              <w:rPr>
                <w:rFonts w:ascii="Times New Roman" w:hAnsi="Times New Roman"/>
                <w:sz w:val="20"/>
                <w:szCs w:val="20"/>
                <w:lang w:val="fr-FR" w:eastAsia="ru-RU"/>
              </w:rPr>
              <w:t>înseamnă</w:t>
            </w:r>
            <w:proofErr w:type="spellEnd"/>
            <w:r w:rsidR="00E1678F" w:rsidRPr="00CE569E">
              <w:rPr>
                <w:rFonts w:ascii="Times New Roman" w:hAnsi="Times New Roman"/>
                <w:sz w:val="20"/>
                <w:szCs w:val="20"/>
                <w:lang w:val="fr-FR" w:eastAsia="ru-RU"/>
              </w:rPr>
              <w:t xml:space="preserve"> </w:t>
            </w:r>
            <w:proofErr w:type="spellStart"/>
            <w:r w:rsidR="00E1678F" w:rsidRPr="00CE569E">
              <w:rPr>
                <w:rFonts w:ascii="Times New Roman" w:hAnsi="Times New Roman"/>
                <w:sz w:val="20"/>
                <w:szCs w:val="20"/>
                <w:lang w:val="fr-FR" w:eastAsia="ru-RU"/>
              </w:rPr>
              <w:t>biocombustibili</w:t>
            </w:r>
            <w:proofErr w:type="spellEnd"/>
            <w:r w:rsidR="00E1678F" w:rsidRPr="00CE569E">
              <w:rPr>
                <w:rFonts w:ascii="Times New Roman" w:hAnsi="Times New Roman"/>
                <w:sz w:val="20"/>
                <w:szCs w:val="20"/>
                <w:lang w:val="fr-FR" w:eastAsia="ru-RU"/>
              </w:rPr>
              <w:t xml:space="preserve"> în </w:t>
            </w:r>
            <w:proofErr w:type="spellStart"/>
            <w:r w:rsidR="00E1678F" w:rsidRPr="00CE569E">
              <w:rPr>
                <w:rFonts w:ascii="Times New Roman" w:hAnsi="Times New Roman"/>
                <w:sz w:val="20"/>
                <w:szCs w:val="20"/>
                <w:lang w:val="fr-FR" w:eastAsia="ru-RU"/>
              </w:rPr>
              <w:t>sensul</w:t>
            </w:r>
            <w:proofErr w:type="spellEnd"/>
            <w:r w:rsidR="00E1678F" w:rsidRPr="00CE569E">
              <w:rPr>
                <w:rFonts w:ascii="Times New Roman" w:hAnsi="Times New Roman"/>
                <w:sz w:val="20"/>
                <w:szCs w:val="20"/>
                <w:lang w:val="fr-FR" w:eastAsia="ru-RU"/>
              </w:rPr>
              <w:t xml:space="preserve"> </w:t>
            </w:r>
            <w:proofErr w:type="spellStart"/>
            <w:r w:rsidR="00E1678F" w:rsidRPr="00CE569E">
              <w:rPr>
                <w:rFonts w:ascii="Times New Roman" w:hAnsi="Times New Roman"/>
                <w:sz w:val="20"/>
                <w:szCs w:val="20"/>
                <w:lang w:val="fr-FR" w:eastAsia="ru-RU"/>
              </w:rPr>
              <w:t>definiției</w:t>
            </w:r>
            <w:proofErr w:type="spellEnd"/>
            <w:r w:rsidR="00E1678F" w:rsidRPr="00CE569E">
              <w:rPr>
                <w:rFonts w:ascii="Times New Roman" w:hAnsi="Times New Roman"/>
                <w:sz w:val="20"/>
                <w:szCs w:val="20"/>
                <w:lang w:val="fr-FR" w:eastAsia="ru-RU"/>
              </w:rPr>
              <w:t xml:space="preserve"> de la </w:t>
            </w:r>
            <w:proofErr w:type="spellStart"/>
            <w:r w:rsidR="00E1678F" w:rsidRPr="00CE569E">
              <w:rPr>
                <w:rFonts w:ascii="Times New Roman" w:hAnsi="Times New Roman"/>
                <w:sz w:val="20"/>
                <w:szCs w:val="20"/>
                <w:lang w:val="fr-FR" w:eastAsia="ru-RU"/>
              </w:rPr>
              <w:t>articolul</w:t>
            </w:r>
            <w:proofErr w:type="spellEnd"/>
            <w:r w:rsidR="00E1678F" w:rsidRPr="00CE569E">
              <w:rPr>
                <w:rFonts w:ascii="Times New Roman" w:hAnsi="Times New Roman"/>
                <w:sz w:val="20"/>
                <w:szCs w:val="20"/>
                <w:lang w:val="fr-FR" w:eastAsia="ru-RU"/>
              </w:rPr>
              <w:t xml:space="preserve"> 2 </w:t>
            </w:r>
            <w:proofErr w:type="spellStart"/>
            <w:r w:rsidR="00E1678F" w:rsidRPr="00CE569E">
              <w:rPr>
                <w:rFonts w:ascii="Times New Roman" w:hAnsi="Times New Roman"/>
                <w:sz w:val="20"/>
                <w:szCs w:val="20"/>
                <w:lang w:val="fr-FR" w:eastAsia="ru-RU"/>
              </w:rPr>
              <w:t>punctul</w:t>
            </w:r>
            <w:proofErr w:type="spellEnd"/>
            <w:r w:rsidR="00E1678F" w:rsidRPr="00CE569E">
              <w:rPr>
                <w:rFonts w:ascii="Times New Roman" w:hAnsi="Times New Roman"/>
                <w:sz w:val="20"/>
                <w:szCs w:val="20"/>
                <w:lang w:val="fr-FR" w:eastAsia="ru-RU"/>
              </w:rPr>
              <w:t xml:space="preserve"> 33 </w:t>
            </w:r>
            <w:proofErr w:type="spellStart"/>
            <w:r w:rsidR="00E1678F" w:rsidRPr="00CE569E">
              <w:rPr>
                <w:rFonts w:ascii="Times New Roman" w:hAnsi="Times New Roman"/>
                <w:sz w:val="20"/>
                <w:szCs w:val="20"/>
                <w:lang w:val="fr-FR" w:eastAsia="ru-RU"/>
              </w:rPr>
              <w:t>din</w:t>
            </w:r>
            <w:proofErr w:type="spellEnd"/>
            <w:r w:rsidR="00E1678F" w:rsidRPr="00CE569E">
              <w:rPr>
                <w:rFonts w:ascii="Times New Roman" w:hAnsi="Times New Roman"/>
                <w:sz w:val="20"/>
                <w:szCs w:val="20"/>
                <w:lang w:val="fr-FR" w:eastAsia="ru-RU"/>
              </w:rPr>
              <w:t xml:space="preserve"> </w:t>
            </w:r>
            <w:proofErr w:type="spellStart"/>
            <w:r w:rsidR="00E1678F" w:rsidRPr="00CE569E">
              <w:rPr>
                <w:rFonts w:ascii="Times New Roman" w:hAnsi="Times New Roman"/>
                <w:sz w:val="20"/>
                <w:szCs w:val="20"/>
                <w:lang w:val="fr-FR" w:eastAsia="ru-RU"/>
              </w:rPr>
              <w:t>Directiva</w:t>
            </w:r>
            <w:proofErr w:type="spellEnd"/>
            <w:r w:rsidR="00E1678F" w:rsidRPr="00CE569E">
              <w:rPr>
                <w:rFonts w:ascii="Times New Roman" w:hAnsi="Times New Roman"/>
                <w:sz w:val="20"/>
                <w:szCs w:val="20"/>
                <w:lang w:val="fr-FR" w:eastAsia="ru-RU"/>
              </w:rPr>
              <w:t xml:space="preserve"> (UE) 2018/2001;</w:t>
            </w:r>
          </w:p>
        </w:tc>
        <w:tc>
          <w:tcPr>
            <w:tcW w:w="4541" w:type="dxa"/>
            <w:shd w:val="clear" w:color="auto" w:fill="auto"/>
          </w:tcPr>
          <w:p w14:paraId="56255C64" w14:textId="25FE66BE" w:rsidR="00833097" w:rsidRPr="00C951E7" w:rsidRDefault="00833097" w:rsidP="00833097">
            <w:pPr>
              <w:pStyle w:val="af0"/>
              <w:shd w:val="clear" w:color="auto" w:fill="FFFFFF"/>
              <w:spacing w:before="0" w:beforeAutospacing="0" w:after="0" w:afterAutospacing="0"/>
              <w:jc w:val="both"/>
              <w:rPr>
                <w:color w:val="000000" w:themeColor="text1"/>
                <w:sz w:val="20"/>
                <w:szCs w:val="20"/>
              </w:rPr>
            </w:pPr>
          </w:p>
        </w:tc>
        <w:tc>
          <w:tcPr>
            <w:tcW w:w="1276" w:type="dxa"/>
            <w:shd w:val="clear" w:color="auto" w:fill="auto"/>
          </w:tcPr>
          <w:p w14:paraId="725648D5" w14:textId="1570C27C" w:rsidR="00833097" w:rsidRPr="00C951E7" w:rsidRDefault="00CE569E" w:rsidP="00833097">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733511C8" w14:textId="76A6A1BC"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2D99B2E8" w14:textId="716B8A07" w:rsidR="00054EBD" w:rsidRPr="00C951E7" w:rsidRDefault="00E1678F" w:rsidP="00054EBD">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E1678F">
              <w:rPr>
                <w:rFonts w:ascii="Times New Roman" w:hAnsi="Times New Roman"/>
                <w:sz w:val="20"/>
                <w:szCs w:val="20"/>
                <w:lang w:val="fr-FR" w:eastAsia="ru-RU"/>
              </w:rPr>
              <w:t>„</w:t>
            </w:r>
            <w:r w:rsidRPr="00E1678F">
              <w:rPr>
                <w:rFonts w:ascii="Times New Roman" w:hAnsi="Times New Roman"/>
                <w:sz w:val="20"/>
                <w:szCs w:val="20"/>
                <w:lang w:val="ro-RO" w:eastAsia="ru-RU"/>
              </w:rPr>
              <w:t xml:space="preserve"> </w:t>
            </w:r>
            <w:proofErr w:type="spellStart"/>
            <w:r w:rsidRPr="00E1678F">
              <w:rPr>
                <w:rFonts w:ascii="Times New Roman" w:hAnsi="Times New Roman"/>
                <w:sz w:val="20"/>
                <w:szCs w:val="20"/>
                <w:lang w:val="fr-FR" w:eastAsia="ru-RU"/>
              </w:rPr>
              <w:t>biocombustibili</w:t>
            </w:r>
            <w:proofErr w:type="spellEnd"/>
            <w:r w:rsidRPr="00E1678F">
              <w:rPr>
                <w:rFonts w:ascii="Times New Roman" w:hAnsi="Times New Roman"/>
                <w:sz w:val="20"/>
                <w:szCs w:val="20"/>
                <w:lang w:val="fr-FR" w:eastAsia="ru-RU"/>
              </w:rPr>
              <w:t xml:space="preserve"> ” </w:t>
            </w:r>
            <w:r w:rsidRPr="00E1678F">
              <w:rPr>
                <w:rFonts w:ascii="Times New Roman" w:hAnsi="Times New Roman"/>
                <w:sz w:val="20"/>
                <w:szCs w:val="20"/>
                <w:lang w:val="ro-RO"/>
              </w:rPr>
              <w:t xml:space="preserve">va fi transpusă în </w:t>
            </w:r>
          </w:p>
          <w:p w14:paraId="55F80FFA" w14:textId="459B2202" w:rsidR="00833097" w:rsidRPr="00C951E7" w:rsidRDefault="00054EBD" w:rsidP="00E1678F">
            <w:pPr>
              <w:autoSpaceDE w:val="0"/>
              <w:spacing w:after="0" w:line="240" w:lineRule="auto"/>
              <w:rPr>
                <w:rFonts w:ascii="Times New Roman" w:eastAsia="Times New Roman" w:hAnsi="Times New Roman"/>
                <w:sz w:val="20"/>
                <w:szCs w:val="20"/>
                <w:lang w:val="ro-RO"/>
              </w:rPr>
            </w:pPr>
            <w:r w:rsidRPr="0099049F">
              <w:rPr>
                <w:rFonts w:ascii="Times New Roman" w:hAnsi="Times New Roman"/>
                <w:sz w:val="20"/>
                <w:szCs w:val="20"/>
                <w:lang w:val="ro-RO"/>
              </w:rPr>
              <w:t>Legea nr.10/2016 privind promovarea utilizării energiei din surse regenerabile</w:t>
            </w:r>
          </w:p>
        </w:tc>
        <w:tc>
          <w:tcPr>
            <w:tcW w:w="1464" w:type="dxa"/>
            <w:shd w:val="clear" w:color="auto" w:fill="auto"/>
          </w:tcPr>
          <w:p w14:paraId="11B5190E" w14:textId="4009402B" w:rsidR="00E1678F" w:rsidRPr="003F755D" w:rsidRDefault="00E1678F" w:rsidP="00E1678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2889E06F" w14:textId="2A4199FB" w:rsidR="00833097" w:rsidRPr="00C951E7" w:rsidRDefault="00CE569E" w:rsidP="00A53FA1">
            <w:pPr>
              <w:autoSpaceDE w:val="0"/>
              <w:spacing w:after="0" w:line="240" w:lineRule="auto"/>
              <w:rPr>
                <w:rFonts w:ascii="Times New Roman" w:eastAsia="Times New Roman" w:hAnsi="Times New Roman"/>
                <w:color w:val="000000" w:themeColor="text1"/>
                <w:sz w:val="20"/>
                <w:szCs w:val="20"/>
                <w:lang w:val="ro-RO"/>
              </w:rPr>
            </w:pPr>
            <w:r w:rsidRPr="00A81801">
              <w:rPr>
                <w:rFonts w:ascii="Times New Roman" w:hAnsi="Times New Roman"/>
                <w:color w:val="000000" w:themeColor="text1"/>
                <w:sz w:val="20"/>
                <w:szCs w:val="20"/>
              </w:rPr>
              <w:t>Energiei</w:t>
            </w:r>
          </w:p>
        </w:tc>
      </w:tr>
      <w:tr w:rsidR="00833097" w:rsidRPr="00054EBD" w14:paraId="7199C102" w14:textId="77777777" w:rsidTr="009F5405">
        <w:trPr>
          <w:trHeight w:val="776"/>
        </w:trPr>
        <w:tc>
          <w:tcPr>
            <w:tcW w:w="4810" w:type="dxa"/>
            <w:shd w:val="clear" w:color="auto" w:fill="auto"/>
          </w:tcPr>
          <w:p w14:paraId="5BC6E245" w14:textId="3D40E322" w:rsidR="00833097" w:rsidRPr="00E1678F" w:rsidRDefault="00E41D66" w:rsidP="00833097">
            <w:pPr>
              <w:shd w:val="clear" w:color="auto" w:fill="FFFFFF"/>
              <w:spacing w:after="0" w:line="240" w:lineRule="auto"/>
              <w:jc w:val="both"/>
              <w:rPr>
                <w:rFonts w:ascii="Times New Roman" w:hAnsi="Times New Roman"/>
                <w:sz w:val="20"/>
                <w:szCs w:val="20"/>
                <w:lang w:val="ro-RO"/>
              </w:rPr>
            </w:pPr>
            <w:r>
              <w:rPr>
                <w:rFonts w:ascii="Times New Roman" w:hAnsi="Times New Roman"/>
                <w:sz w:val="20"/>
                <w:szCs w:val="20"/>
                <w:lang w:val="ro-RO" w:eastAsia="ru-RU"/>
              </w:rPr>
              <w:t>(36)</w:t>
            </w:r>
            <w:r w:rsidR="00E1678F" w:rsidRPr="00E1678F">
              <w:rPr>
                <w:rFonts w:ascii="Times New Roman" w:hAnsi="Times New Roman"/>
                <w:sz w:val="20"/>
                <w:szCs w:val="20"/>
                <w:lang w:val="ro-RO" w:eastAsia="ru-RU"/>
              </w:rPr>
              <w:t>„biocombustibili avansați” înseamnă biocombustibili avansați în sensul definiției de la articolul 2 punctul 34 din Directiva (UE) 2018/2001;</w:t>
            </w:r>
          </w:p>
        </w:tc>
        <w:tc>
          <w:tcPr>
            <w:tcW w:w="4541" w:type="dxa"/>
            <w:shd w:val="clear" w:color="auto" w:fill="auto"/>
          </w:tcPr>
          <w:p w14:paraId="77E347AE" w14:textId="343C483D" w:rsidR="00833097" w:rsidRPr="00C951E7" w:rsidRDefault="00833097" w:rsidP="00833097">
            <w:pPr>
              <w:pStyle w:val="af0"/>
              <w:shd w:val="clear" w:color="auto" w:fill="FFFFFF"/>
              <w:spacing w:before="0" w:beforeAutospacing="0" w:after="0" w:afterAutospacing="0"/>
              <w:jc w:val="both"/>
              <w:rPr>
                <w:color w:val="000000" w:themeColor="text1"/>
                <w:sz w:val="20"/>
                <w:szCs w:val="20"/>
              </w:rPr>
            </w:pPr>
          </w:p>
        </w:tc>
        <w:tc>
          <w:tcPr>
            <w:tcW w:w="1276" w:type="dxa"/>
            <w:shd w:val="clear" w:color="auto" w:fill="auto"/>
          </w:tcPr>
          <w:p w14:paraId="6541DD83" w14:textId="6E718F05" w:rsidR="00833097" w:rsidRPr="00C951E7" w:rsidRDefault="00CE569E" w:rsidP="00E1678F">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2ADBDBCF"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4F8C5948" w14:textId="0615DB71" w:rsidR="00833097" w:rsidRPr="00C951E7" w:rsidRDefault="00E1678F" w:rsidP="00E1678F">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E1678F">
              <w:rPr>
                <w:rFonts w:ascii="Times New Roman" w:hAnsi="Times New Roman"/>
                <w:sz w:val="20"/>
                <w:szCs w:val="20"/>
                <w:lang w:val="fr-FR" w:eastAsia="ru-RU"/>
              </w:rPr>
              <w:t>„</w:t>
            </w:r>
            <w:r w:rsidRPr="00E1678F">
              <w:rPr>
                <w:rFonts w:ascii="Times New Roman" w:hAnsi="Times New Roman"/>
                <w:sz w:val="20"/>
                <w:szCs w:val="20"/>
                <w:lang w:val="ro-RO" w:eastAsia="ru-RU"/>
              </w:rPr>
              <w:t xml:space="preserve"> biocombustibili avansați</w:t>
            </w:r>
            <w:r w:rsidRPr="00E1678F">
              <w:rPr>
                <w:rFonts w:ascii="Times New Roman" w:hAnsi="Times New Roman"/>
                <w:sz w:val="20"/>
                <w:szCs w:val="20"/>
                <w:lang w:val="fr-FR" w:eastAsia="ru-RU"/>
              </w:rPr>
              <w:t xml:space="preserve"> ”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6EE20F2A" w14:textId="7E8110AC" w:rsidR="00E1678F" w:rsidRPr="003F755D" w:rsidRDefault="00E1678F" w:rsidP="00E1678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E569E" w:rsidRPr="00A81801">
              <w:rPr>
                <w:rFonts w:ascii="Times New Roman" w:hAnsi="Times New Roman"/>
                <w:color w:val="000000" w:themeColor="text1"/>
                <w:sz w:val="20"/>
                <w:szCs w:val="20"/>
              </w:rPr>
              <w:t>Energiei</w:t>
            </w:r>
          </w:p>
          <w:p w14:paraId="564A0B20" w14:textId="3A4DE6FB" w:rsidR="00833097" w:rsidRPr="00C951E7" w:rsidRDefault="00833097" w:rsidP="00E1678F">
            <w:pPr>
              <w:autoSpaceDE w:val="0"/>
              <w:spacing w:after="0" w:line="240" w:lineRule="auto"/>
              <w:rPr>
                <w:rFonts w:ascii="Times New Roman" w:eastAsia="Times New Roman" w:hAnsi="Times New Roman"/>
                <w:color w:val="000000" w:themeColor="text1"/>
                <w:sz w:val="20"/>
                <w:szCs w:val="20"/>
                <w:lang w:val="ro-RO"/>
              </w:rPr>
            </w:pPr>
          </w:p>
        </w:tc>
      </w:tr>
      <w:tr w:rsidR="00833097" w:rsidRPr="00054EBD" w14:paraId="4F45FED8" w14:textId="77777777" w:rsidTr="009F5405">
        <w:trPr>
          <w:trHeight w:val="776"/>
        </w:trPr>
        <w:tc>
          <w:tcPr>
            <w:tcW w:w="4810" w:type="dxa"/>
            <w:shd w:val="clear" w:color="auto" w:fill="auto"/>
          </w:tcPr>
          <w:p w14:paraId="503DB4EA" w14:textId="0B9C44FE" w:rsidR="00833097" w:rsidRPr="00E1678F"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37)</w:t>
            </w:r>
            <w:r w:rsidR="00E1678F" w:rsidRPr="00E1678F">
              <w:rPr>
                <w:rFonts w:ascii="Times New Roman" w:hAnsi="Times New Roman"/>
                <w:sz w:val="20"/>
                <w:szCs w:val="20"/>
                <w:lang w:val="fr-FR" w:eastAsia="ru-RU"/>
              </w:rPr>
              <w:t>„</w:t>
            </w:r>
            <w:proofErr w:type="spellStart"/>
            <w:proofErr w:type="gramEnd"/>
            <w:r w:rsidR="00E1678F" w:rsidRPr="00E1678F">
              <w:rPr>
                <w:rFonts w:ascii="Times New Roman" w:hAnsi="Times New Roman"/>
                <w:sz w:val="20"/>
                <w:szCs w:val="20"/>
                <w:lang w:val="fr-FR" w:eastAsia="ru-RU"/>
              </w:rPr>
              <w:t>combustibili</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pe</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bază</w:t>
            </w:r>
            <w:proofErr w:type="spellEnd"/>
            <w:r w:rsidR="00E1678F" w:rsidRPr="00E1678F">
              <w:rPr>
                <w:rFonts w:ascii="Times New Roman" w:hAnsi="Times New Roman"/>
                <w:sz w:val="20"/>
                <w:szCs w:val="20"/>
                <w:lang w:val="fr-FR" w:eastAsia="ru-RU"/>
              </w:rPr>
              <w:t xml:space="preserve"> de carbon </w:t>
            </w:r>
            <w:proofErr w:type="spellStart"/>
            <w:r w:rsidR="00E1678F" w:rsidRPr="00E1678F">
              <w:rPr>
                <w:rFonts w:ascii="Times New Roman" w:hAnsi="Times New Roman"/>
                <w:sz w:val="20"/>
                <w:szCs w:val="20"/>
                <w:lang w:val="fr-FR" w:eastAsia="ru-RU"/>
              </w:rPr>
              <w:t>reciclat</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înseamnă</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combustibili</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pe</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bază</w:t>
            </w:r>
            <w:proofErr w:type="spellEnd"/>
            <w:r w:rsidR="00E1678F" w:rsidRPr="00E1678F">
              <w:rPr>
                <w:rFonts w:ascii="Times New Roman" w:hAnsi="Times New Roman"/>
                <w:sz w:val="20"/>
                <w:szCs w:val="20"/>
                <w:lang w:val="fr-FR" w:eastAsia="ru-RU"/>
              </w:rPr>
              <w:t xml:space="preserve"> de carbon </w:t>
            </w:r>
            <w:proofErr w:type="spellStart"/>
            <w:r w:rsidR="00E1678F" w:rsidRPr="00E1678F">
              <w:rPr>
                <w:rFonts w:ascii="Times New Roman" w:hAnsi="Times New Roman"/>
                <w:sz w:val="20"/>
                <w:szCs w:val="20"/>
                <w:lang w:val="fr-FR" w:eastAsia="ru-RU"/>
              </w:rPr>
              <w:t>reciclat</w:t>
            </w:r>
            <w:proofErr w:type="spellEnd"/>
            <w:r w:rsidR="00E1678F" w:rsidRPr="00E1678F">
              <w:rPr>
                <w:rFonts w:ascii="Times New Roman" w:hAnsi="Times New Roman"/>
                <w:sz w:val="20"/>
                <w:szCs w:val="20"/>
                <w:lang w:val="fr-FR" w:eastAsia="ru-RU"/>
              </w:rPr>
              <w:t xml:space="preserve"> în </w:t>
            </w:r>
            <w:proofErr w:type="spellStart"/>
            <w:r w:rsidR="00E1678F" w:rsidRPr="00E1678F">
              <w:rPr>
                <w:rFonts w:ascii="Times New Roman" w:hAnsi="Times New Roman"/>
                <w:sz w:val="20"/>
                <w:szCs w:val="20"/>
                <w:lang w:val="fr-FR" w:eastAsia="ru-RU"/>
              </w:rPr>
              <w:t>sensul</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definiției</w:t>
            </w:r>
            <w:proofErr w:type="spellEnd"/>
            <w:r w:rsidR="00E1678F" w:rsidRPr="00E1678F">
              <w:rPr>
                <w:rFonts w:ascii="Times New Roman" w:hAnsi="Times New Roman"/>
                <w:sz w:val="20"/>
                <w:szCs w:val="20"/>
                <w:lang w:val="fr-FR" w:eastAsia="ru-RU"/>
              </w:rPr>
              <w:t xml:space="preserve"> de la </w:t>
            </w:r>
            <w:proofErr w:type="spellStart"/>
            <w:r w:rsidR="00E1678F" w:rsidRPr="00E1678F">
              <w:rPr>
                <w:rFonts w:ascii="Times New Roman" w:hAnsi="Times New Roman"/>
                <w:sz w:val="20"/>
                <w:szCs w:val="20"/>
                <w:lang w:val="fr-FR" w:eastAsia="ru-RU"/>
              </w:rPr>
              <w:t>arti</w:t>
            </w:r>
            <w:r w:rsidR="00E1678F">
              <w:rPr>
                <w:rFonts w:ascii="Times New Roman" w:hAnsi="Times New Roman"/>
                <w:sz w:val="20"/>
                <w:szCs w:val="20"/>
                <w:lang w:val="fr-FR" w:eastAsia="ru-RU"/>
              </w:rPr>
              <w:t>c</w:t>
            </w:r>
            <w:r w:rsidR="00E1678F" w:rsidRPr="00E1678F">
              <w:rPr>
                <w:rFonts w:ascii="Times New Roman" w:hAnsi="Times New Roman"/>
                <w:sz w:val="20"/>
                <w:szCs w:val="20"/>
                <w:lang w:val="fr-FR" w:eastAsia="ru-RU"/>
              </w:rPr>
              <w:t>olul</w:t>
            </w:r>
            <w:proofErr w:type="spellEnd"/>
            <w:r w:rsidR="00E1678F" w:rsidRPr="00E1678F">
              <w:rPr>
                <w:rFonts w:ascii="Times New Roman" w:hAnsi="Times New Roman"/>
                <w:sz w:val="20"/>
                <w:szCs w:val="20"/>
                <w:lang w:val="fr-FR" w:eastAsia="ru-RU"/>
              </w:rPr>
              <w:t xml:space="preserve"> 2 </w:t>
            </w:r>
            <w:proofErr w:type="spellStart"/>
            <w:r w:rsidR="00E1678F" w:rsidRPr="00E1678F">
              <w:rPr>
                <w:rFonts w:ascii="Times New Roman" w:hAnsi="Times New Roman"/>
                <w:sz w:val="20"/>
                <w:szCs w:val="20"/>
                <w:lang w:val="fr-FR" w:eastAsia="ru-RU"/>
              </w:rPr>
              <w:t>punctul</w:t>
            </w:r>
            <w:proofErr w:type="spellEnd"/>
            <w:r w:rsidR="00E1678F" w:rsidRPr="00E1678F">
              <w:rPr>
                <w:rFonts w:ascii="Times New Roman" w:hAnsi="Times New Roman"/>
                <w:sz w:val="20"/>
                <w:szCs w:val="20"/>
                <w:lang w:val="fr-FR" w:eastAsia="ru-RU"/>
              </w:rPr>
              <w:t xml:space="preserve"> 35 </w:t>
            </w:r>
            <w:proofErr w:type="spellStart"/>
            <w:r w:rsidR="00E1678F" w:rsidRPr="00E1678F">
              <w:rPr>
                <w:rFonts w:ascii="Times New Roman" w:hAnsi="Times New Roman"/>
                <w:sz w:val="20"/>
                <w:szCs w:val="20"/>
                <w:lang w:val="fr-FR" w:eastAsia="ru-RU"/>
              </w:rPr>
              <w:t>din</w:t>
            </w:r>
            <w:proofErr w:type="spellEnd"/>
            <w:r w:rsidR="00E1678F" w:rsidRPr="00E1678F">
              <w:rPr>
                <w:rFonts w:ascii="Times New Roman" w:hAnsi="Times New Roman"/>
                <w:sz w:val="20"/>
                <w:szCs w:val="20"/>
                <w:lang w:val="fr-FR" w:eastAsia="ru-RU"/>
              </w:rPr>
              <w:t xml:space="preserve"> </w:t>
            </w:r>
            <w:proofErr w:type="spellStart"/>
            <w:r w:rsidR="00E1678F" w:rsidRPr="00E1678F">
              <w:rPr>
                <w:rFonts w:ascii="Times New Roman" w:hAnsi="Times New Roman"/>
                <w:sz w:val="20"/>
                <w:szCs w:val="20"/>
                <w:lang w:val="fr-FR" w:eastAsia="ru-RU"/>
              </w:rPr>
              <w:t>Directiva</w:t>
            </w:r>
            <w:proofErr w:type="spellEnd"/>
            <w:r w:rsidR="00E1678F" w:rsidRPr="00E1678F">
              <w:rPr>
                <w:rFonts w:ascii="Times New Roman" w:hAnsi="Times New Roman"/>
                <w:sz w:val="20"/>
                <w:szCs w:val="20"/>
                <w:lang w:val="fr-FR" w:eastAsia="ru-RU"/>
              </w:rPr>
              <w:t xml:space="preserve"> (UE) 2018/2001;</w:t>
            </w:r>
          </w:p>
        </w:tc>
        <w:tc>
          <w:tcPr>
            <w:tcW w:w="4541" w:type="dxa"/>
            <w:shd w:val="clear" w:color="auto" w:fill="auto"/>
          </w:tcPr>
          <w:p w14:paraId="6A52646D" w14:textId="6960561D" w:rsidR="00833097" w:rsidRPr="00C951E7" w:rsidRDefault="00833097" w:rsidP="00833097">
            <w:pPr>
              <w:pStyle w:val="af3"/>
              <w:ind w:left="0"/>
              <w:jc w:val="both"/>
              <w:rPr>
                <w:rFonts w:ascii="Times New Roman" w:hAnsi="Times New Roman"/>
                <w:color w:val="000000" w:themeColor="text1"/>
                <w:sz w:val="20"/>
                <w:szCs w:val="20"/>
                <w:lang w:val="ro-RO"/>
              </w:rPr>
            </w:pPr>
          </w:p>
        </w:tc>
        <w:tc>
          <w:tcPr>
            <w:tcW w:w="1276" w:type="dxa"/>
            <w:shd w:val="clear" w:color="auto" w:fill="auto"/>
          </w:tcPr>
          <w:p w14:paraId="75E38741" w14:textId="35F2B377" w:rsidR="00833097" w:rsidRPr="00C951E7" w:rsidRDefault="00CE569E" w:rsidP="00E1678F">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34C8CAC4"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16178850" w14:textId="4098276B" w:rsidR="00833097" w:rsidRPr="00C951E7" w:rsidRDefault="00E1678F" w:rsidP="00E1678F">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054EBD">
              <w:rPr>
                <w:rFonts w:ascii="Times New Roman" w:hAnsi="Times New Roman"/>
                <w:sz w:val="20"/>
                <w:szCs w:val="20"/>
                <w:lang w:val="ro-RO" w:eastAsia="ru-RU"/>
              </w:rPr>
              <w:t>„</w:t>
            </w:r>
            <w:r w:rsidRPr="00E1678F">
              <w:rPr>
                <w:rFonts w:ascii="Times New Roman" w:hAnsi="Times New Roman"/>
                <w:sz w:val="20"/>
                <w:szCs w:val="20"/>
                <w:lang w:val="ro-RO" w:eastAsia="ru-RU"/>
              </w:rPr>
              <w:t xml:space="preserve"> </w:t>
            </w:r>
            <w:r w:rsidRPr="00054EBD">
              <w:rPr>
                <w:rFonts w:ascii="Times New Roman" w:hAnsi="Times New Roman"/>
                <w:sz w:val="20"/>
                <w:szCs w:val="20"/>
                <w:lang w:val="ro-RO" w:eastAsia="ru-RU"/>
              </w:rPr>
              <w:t xml:space="preserve">combustibili pe bază de carbon reciclat”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62103789" w14:textId="38699497" w:rsidR="00911FAE" w:rsidRPr="003F755D" w:rsidRDefault="00911FAE" w:rsidP="00911FAE">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E569E" w:rsidRPr="00A81801">
              <w:rPr>
                <w:rFonts w:ascii="Times New Roman" w:hAnsi="Times New Roman"/>
                <w:color w:val="000000" w:themeColor="text1"/>
                <w:sz w:val="20"/>
                <w:szCs w:val="20"/>
              </w:rPr>
              <w:t>Energiei</w:t>
            </w:r>
          </w:p>
          <w:p w14:paraId="1FD52700" w14:textId="043E8BBB" w:rsidR="00833097" w:rsidRPr="00C951E7" w:rsidRDefault="00833097" w:rsidP="00911FAE">
            <w:pPr>
              <w:autoSpaceDE w:val="0"/>
              <w:spacing w:after="0" w:line="240" w:lineRule="auto"/>
              <w:rPr>
                <w:rFonts w:ascii="Times New Roman" w:eastAsia="Times New Roman" w:hAnsi="Times New Roman"/>
                <w:color w:val="000000" w:themeColor="text1"/>
                <w:sz w:val="20"/>
                <w:szCs w:val="20"/>
                <w:lang w:val="ro-RO"/>
              </w:rPr>
            </w:pPr>
          </w:p>
        </w:tc>
      </w:tr>
      <w:tr w:rsidR="00F76F25" w:rsidRPr="00F76F25" w14:paraId="7785F41A" w14:textId="77777777" w:rsidTr="009F5405">
        <w:trPr>
          <w:trHeight w:val="776"/>
        </w:trPr>
        <w:tc>
          <w:tcPr>
            <w:tcW w:w="4810" w:type="dxa"/>
            <w:shd w:val="clear" w:color="auto" w:fill="auto"/>
          </w:tcPr>
          <w:p w14:paraId="053A49A0" w14:textId="5CBB3D3E" w:rsidR="00F76F25" w:rsidRPr="00F76F25" w:rsidRDefault="00E41D66" w:rsidP="00F76F25">
            <w:pPr>
              <w:shd w:val="clear" w:color="auto" w:fill="FFFFFF"/>
              <w:spacing w:after="0" w:line="240" w:lineRule="auto"/>
              <w:jc w:val="both"/>
              <w:rPr>
                <w:rFonts w:ascii="Times New Roman" w:hAnsi="Times New Roman"/>
                <w:sz w:val="20"/>
                <w:szCs w:val="20"/>
                <w:lang w:val="fr-FR" w:eastAsia="ru-RU"/>
              </w:rPr>
            </w:pPr>
            <w:r>
              <w:rPr>
                <w:rFonts w:ascii="Times New Roman" w:hAnsi="Times New Roman"/>
                <w:sz w:val="20"/>
                <w:szCs w:val="20"/>
                <w:lang w:val="fr-FR" w:eastAsia="ru-RU"/>
              </w:rPr>
              <w:lastRenderedPageBreak/>
              <w:t>(</w:t>
            </w:r>
            <w:proofErr w:type="gramStart"/>
            <w:r>
              <w:rPr>
                <w:rFonts w:ascii="Times New Roman" w:hAnsi="Times New Roman"/>
                <w:sz w:val="20"/>
                <w:szCs w:val="20"/>
                <w:lang w:val="fr-FR" w:eastAsia="ru-RU"/>
              </w:rPr>
              <w:t>38)</w:t>
            </w:r>
            <w:r w:rsidR="00F76F25" w:rsidRPr="00F76F25">
              <w:rPr>
                <w:rFonts w:ascii="Times New Roman" w:hAnsi="Times New Roman"/>
                <w:sz w:val="20"/>
                <w:szCs w:val="20"/>
                <w:lang w:val="fr-FR" w:eastAsia="ru-RU"/>
              </w:rPr>
              <w:t>„</w:t>
            </w:r>
            <w:proofErr w:type="spellStart"/>
            <w:proofErr w:type="gramEnd"/>
            <w:r w:rsidR="00F76F25" w:rsidRPr="00F76F25">
              <w:rPr>
                <w:rFonts w:ascii="Times New Roman" w:hAnsi="Times New Roman"/>
                <w:sz w:val="20"/>
                <w:szCs w:val="20"/>
                <w:lang w:val="fr-FR" w:eastAsia="ru-RU"/>
              </w:rPr>
              <w:t>culturi</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bogate</w:t>
            </w:r>
            <w:proofErr w:type="spellEnd"/>
            <w:r w:rsidR="00F76F25" w:rsidRPr="00F76F25">
              <w:rPr>
                <w:rFonts w:ascii="Times New Roman" w:hAnsi="Times New Roman"/>
                <w:sz w:val="20"/>
                <w:szCs w:val="20"/>
                <w:lang w:val="fr-FR" w:eastAsia="ru-RU"/>
              </w:rPr>
              <w:t xml:space="preserve"> în amidon” </w:t>
            </w:r>
            <w:proofErr w:type="spellStart"/>
            <w:r w:rsidR="00F76F25" w:rsidRPr="00F76F25">
              <w:rPr>
                <w:rFonts w:ascii="Times New Roman" w:hAnsi="Times New Roman"/>
                <w:sz w:val="20"/>
                <w:szCs w:val="20"/>
                <w:lang w:val="fr-FR" w:eastAsia="ru-RU"/>
              </w:rPr>
              <w:t>înseamnă</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culturi</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bogate</w:t>
            </w:r>
            <w:proofErr w:type="spellEnd"/>
            <w:r w:rsidR="00F76F25" w:rsidRPr="00F76F25">
              <w:rPr>
                <w:rFonts w:ascii="Times New Roman" w:hAnsi="Times New Roman"/>
                <w:sz w:val="20"/>
                <w:szCs w:val="20"/>
                <w:lang w:val="fr-FR" w:eastAsia="ru-RU"/>
              </w:rPr>
              <w:t xml:space="preserve"> în amidon în </w:t>
            </w:r>
            <w:proofErr w:type="spellStart"/>
            <w:r w:rsidR="00F76F25" w:rsidRPr="00F76F25">
              <w:rPr>
                <w:rFonts w:ascii="Times New Roman" w:hAnsi="Times New Roman"/>
                <w:sz w:val="20"/>
                <w:szCs w:val="20"/>
                <w:lang w:val="fr-FR" w:eastAsia="ru-RU"/>
              </w:rPr>
              <w:t>sensul</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definiției</w:t>
            </w:r>
            <w:proofErr w:type="spellEnd"/>
            <w:r w:rsidR="00F76F25" w:rsidRPr="00F76F25">
              <w:rPr>
                <w:rFonts w:ascii="Times New Roman" w:hAnsi="Times New Roman"/>
                <w:sz w:val="20"/>
                <w:szCs w:val="20"/>
                <w:lang w:val="fr-FR" w:eastAsia="ru-RU"/>
              </w:rPr>
              <w:t xml:space="preserve"> de la </w:t>
            </w:r>
            <w:proofErr w:type="spellStart"/>
            <w:r w:rsidR="00F76F25" w:rsidRPr="00F76F25">
              <w:rPr>
                <w:rFonts w:ascii="Times New Roman" w:hAnsi="Times New Roman"/>
                <w:sz w:val="20"/>
                <w:szCs w:val="20"/>
                <w:lang w:val="fr-FR" w:eastAsia="ru-RU"/>
              </w:rPr>
              <w:t>articolul</w:t>
            </w:r>
            <w:proofErr w:type="spellEnd"/>
            <w:r w:rsidR="00F76F25" w:rsidRPr="00F76F25">
              <w:rPr>
                <w:rFonts w:ascii="Times New Roman" w:hAnsi="Times New Roman"/>
                <w:sz w:val="20"/>
                <w:szCs w:val="20"/>
                <w:lang w:val="fr-FR" w:eastAsia="ru-RU"/>
              </w:rPr>
              <w:t xml:space="preserve"> 2 </w:t>
            </w:r>
            <w:proofErr w:type="spellStart"/>
            <w:r w:rsidR="00F76F25" w:rsidRPr="00F76F25">
              <w:rPr>
                <w:rFonts w:ascii="Times New Roman" w:hAnsi="Times New Roman"/>
                <w:sz w:val="20"/>
                <w:szCs w:val="20"/>
                <w:lang w:val="fr-FR" w:eastAsia="ru-RU"/>
              </w:rPr>
              <w:t>punctul</w:t>
            </w:r>
            <w:proofErr w:type="spellEnd"/>
            <w:r w:rsidR="00F76F25" w:rsidRPr="00F76F25">
              <w:rPr>
                <w:rFonts w:ascii="Times New Roman" w:hAnsi="Times New Roman"/>
                <w:sz w:val="20"/>
                <w:szCs w:val="20"/>
                <w:lang w:val="fr-FR" w:eastAsia="ru-RU"/>
              </w:rPr>
              <w:t xml:space="preserve"> 39 </w:t>
            </w:r>
            <w:proofErr w:type="spellStart"/>
            <w:r w:rsidR="00F76F25" w:rsidRPr="00F76F25">
              <w:rPr>
                <w:rFonts w:ascii="Times New Roman" w:hAnsi="Times New Roman"/>
                <w:sz w:val="20"/>
                <w:szCs w:val="20"/>
                <w:lang w:val="fr-FR" w:eastAsia="ru-RU"/>
              </w:rPr>
              <w:t>din</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Directiva</w:t>
            </w:r>
            <w:proofErr w:type="spellEnd"/>
            <w:r w:rsidR="00F76F25">
              <w:rPr>
                <w:rFonts w:ascii="Times New Roman" w:hAnsi="Times New Roman"/>
                <w:sz w:val="20"/>
                <w:szCs w:val="20"/>
                <w:lang w:val="fr-FR" w:eastAsia="ru-RU"/>
              </w:rPr>
              <w:t xml:space="preserve"> </w:t>
            </w:r>
            <w:r w:rsidR="00F76F25" w:rsidRPr="00F76F25">
              <w:rPr>
                <w:rFonts w:ascii="Times New Roman" w:hAnsi="Times New Roman"/>
                <w:sz w:val="20"/>
                <w:szCs w:val="20"/>
                <w:lang w:val="fr-FR" w:eastAsia="ru-RU"/>
              </w:rPr>
              <w:t>(UE) 2018/2001;</w:t>
            </w:r>
          </w:p>
          <w:p w14:paraId="47EB6F8D" w14:textId="3AE6ECCB" w:rsidR="00F76F25" w:rsidRDefault="00F76F25" w:rsidP="00833097">
            <w:pPr>
              <w:shd w:val="clear" w:color="auto" w:fill="FFFFFF"/>
              <w:spacing w:after="0" w:line="240" w:lineRule="auto"/>
              <w:jc w:val="both"/>
              <w:rPr>
                <w:rFonts w:ascii="Times New Roman" w:hAnsi="Times New Roman"/>
                <w:sz w:val="20"/>
                <w:szCs w:val="20"/>
                <w:lang w:val="fr-FR" w:eastAsia="ru-RU"/>
              </w:rPr>
            </w:pPr>
          </w:p>
        </w:tc>
        <w:tc>
          <w:tcPr>
            <w:tcW w:w="4541" w:type="dxa"/>
            <w:shd w:val="clear" w:color="auto" w:fill="auto"/>
          </w:tcPr>
          <w:p w14:paraId="2E23436C" w14:textId="77777777" w:rsidR="00F76F25" w:rsidRPr="00C951E7" w:rsidRDefault="00F76F25" w:rsidP="00833097">
            <w:pPr>
              <w:pStyle w:val="af3"/>
              <w:ind w:left="0"/>
              <w:jc w:val="both"/>
              <w:rPr>
                <w:rFonts w:ascii="Times New Roman" w:hAnsi="Times New Roman"/>
                <w:color w:val="000000" w:themeColor="text1"/>
                <w:sz w:val="20"/>
                <w:szCs w:val="20"/>
                <w:lang w:val="ro-RO"/>
              </w:rPr>
            </w:pPr>
          </w:p>
        </w:tc>
        <w:tc>
          <w:tcPr>
            <w:tcW w:w="1276" w:type="dxa"/>
            <w:shd w:val="clear" w:color="auto" w:fill="auto"/>
          </w:tcPr>
          <w:p w14:paraId="19DE5FDA" w14:textId="28E13762" w:rsidR="00F76F25" w:rsidRPr="00C951E7" w:rsidRDefault="00CE569E" w:rsidP="00E1678F">
            <w:pPr>
              <w:spacing w:after="0" w:line="240" w:lineRule="auto"/>
              <w:rPr>
                <w:rFonts w:ascii="Times New Roman" w:hAnsi="Times New Roman"/>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030FEAF7" w14:textId="77777777" w:rsidR="00F76F25" w:rsidRPr="00C951E7" w:rsidRDefault="00F76F25" w:rsidP="00833097">
            <w:pPr>
              <w:spacing w:line="240" w:lineRule="auto"/>
              <w:jc w:val="both"/>
              <w:rPr>
                <w:rFonts w:ascii="Times New Roman" w:hAnsi="Times New Roman"/>
                <w:sz w:val="20"/>
                <w:szCs w:val="20"/>
                <w:lang w:val="ro-RO"/>
              </w:rPr>
            </w:pPr>
          </w:p>
        </w:tc>
        <w:tc>
          <w:tcPr>
            <w:tcW w:w="1701" w:type="dxa"/>
            <w:shd w:val="clear" w:color="auto" w:fill="auto"/>
          </w:tcPr>
          <w:p w14:paraId="14B5C51F" w14:textId="6D150C9A" w:rsidR="00F76F25" w:rsidRPr="00E1678F" w:rsidRDefault="00F76F25" w:rsidP="00F76F25">
            <w:pPr>
              <w:autoSpaceDE w:val="0"/>
              <w:spacing w:after="0" w:line="240" w:lineRule="auto"/>
              <w:rPr>
                <w:rFonts w:ascii="Times New Roman" w:hAnsi="Times New Roman"/>
                <w:sz w:val="20"/>
                <w:szCs w:val="20"/>
                <w:lang w:val="ro-RO"/>
              </w:rPr>
            </w:pPr>
            <w:r w:rsidRPr="00E1678F">
              <w:rPr>
                <w:rFonts w:ascii="Times New Roman" w:hAnsi="Times New Roman"/>
                <w:sz w:val="20"/>
                <w:szCs w:val="20"/>
                <w:lang w:val="ro-RO"/>
              </w:rPr>
              <w:t xml:space="preserve">Noțiunea </w:t>
            </w:r>
            <w:r w:rsidRPr="00054EBD">
              <w:rPr>
                <w:rFonts w:ascii="Times New Roman" w:hAnsi="Times New Roman"/>
                <w:sz w:val="20"/>
                <w:szCs w:val="20"/>
                <w:lang w:val="ro-RO" w:eastAsia="ru-RU"/>
              </w:rPr>
              <w:t>„</w:t>
            </w:r>
            <w:r w:rsidRPr="00E1678F">
              <w:rPr>
                <w:rFonts w:ascii="Times New Roman" w:hAnsi="Times New Roman"/>
                <w:sz w:val="20"/>
                <w:szCs w:val="20"/>
                <w:lang w:val="ro-RO" w:eastAsia="ru-RU"/>
              </w:rPr>
              <w:t xml:space="preserve"> </w:t>
            </w:r>
            <w:r w:rsidRPr="00054EBD">
              <w:rPr>
                <w:rFonts w:ascii="Times New Roman" w:hAnsi="Times New Roman"/>
                <w:sz w:val="20"/>
                <w:szCs w:val="20"/>
                <w:lang w:val="ro-RO" w:eastAsia="ru-RU"/>
              </w:rPr>
              <w:t xml:space="preserve">culturi bogate în amidon”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1C58035E" w14:textId="4576334E" w:rsidR="00F76F25" w:rsidRPr="00F76F25" w:rsidRDefault="00F76F25" w:rsidP="00CE569E">
            <w:pPr>
              <w:autoSpaceDE w:val="0"/>
              <w:spacing w:after="0" w:line="240" w:lineRule="auto"/>
              <w:rPr>
                <w:rFonts w:ascii="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E569E" w:rsidRPr="00A81801">
              <w:rPr>
                <w:rFonts w:ascii="Times New Roman" w:hAnsi="Times New Roman"/>
                <w:color w:val="000000" w:themeColor="text1"/>
                <w:sz w:val="20"/>
                <w:szCs w:val="20"/>
              </w:rPr>
              <w:t>Energiei</w:t>
            </w:r>
          </w:p>
        </w:tc>
      </w:tr>
      <w:tr w:rsidR="00833097" w:rsidRPr="00054EBD" w14:paraId="25FFA490" w14:textId="77777777" w:rsidTr="009F5405">
        <w:trPr>
          <w:trHeight w:val="776"/>
        </w:trPr>
        <w:tc>
          <w:tcPr>
            <w:tcW w:w="4810" w:type="dxa"/>
            <w:shd w:val="clear" w:color="auto" w:fill="auto"/>
          </w:tcPr>
          <w:p w14:paraId="2C89D822" w14:textId="4C07DDBF" w:rsidR="00833097" w:rsidRPr="00F76F25" w:rsidRDefault="00E41D66" w:rsidP="00833097">
            <w:pPr>
              <w:shd w:val="clear" w:color="auto" w:fill="FFFFFF"/>
              <w:spacing w:after="0" w:line="240" w:lineRule="auto"/>
              <w:jc w:val="both"/>
              <w:rPr>
                <w:rFonts w:ascii="Times New Roman" w:hAnsi="Times New Roman"/>
                <w:sz w:val="20"/>
                <w:szCs w:val="20"/>
                <w:lang w:val="ro-RO"/>
              </w:rPr>
            </w:pPr>
            <w:r>
              <w:rPr>
                <w:rFonts w:ascii="Times New Roman" w:hAnsi="Times New Roman"/>
                <w:sz w:val="20"/>
                <w:szCs w:val="20"/>
                <w:lang w:val="fr-FR" w:eastAsia="ru-RU"/>
              </w:rPr>
              <w:t>(</w:t>
            </w:r>
            <w:proofErr w:type="gramStart"/>
            <w:r w:rsidR="00F76F25" w:rsidRPr="00F76F25">
              <w:rPr>
                <w:rFonts w:ascii="Times New Roman" w:hAnsi="Times New Roman"/>
                <w:sz w:val="20"/>
                <w:szCs w:val="20"/>
                <w:lang w:val="fr-FR" w:eastAsia="ru-RU"/>
              </w:rPr>
              <w:t>39</w:t>
            </w:r>
            <w:r>
              <w:rPr>
                <w:rFonts w:ascii="Times New Roman" w:hAnsi="Times New Roman"/>
                <w:sz w:val="20"/>
                <w:szCs w:val="20"/>
                <w:lang w:val="fr-FR" w:eastAsia="ru-RU"/>
              </w:rPr>
              <w:t>)</w:t>
            </w:r>
            <w:r w:rsidR="00F76F25" w:rsidRPr="00F76F25">
              <w:rPr>
                <w:rFonts w:ascii="Times New Roman" w:hAnsi="Times New Roman"/>
                <w:sz w:val="20"/>
                <w:szCs w:val="20"/>
                <w:lang w:val="fr-FR" w:eastAsia="ru-RU"/>
              </w:rPr>
              <w:t>„</w:t>
            </w:r>
            <w:proofErr w:type="spellStart"/>
            <w:proofErr w:type="gramEnd"/>
            <w:r w:rsidR="00F76F25" w:rsidRPr="00F76F25">
              <w:rPr>
                <w:rFonts w:ascii="Times New Roman" w:hAnsi="Times New Roman"/>
                <w:sz w:val="20"/>
                <w:szCs w:val="20"/>
                <w:lang w:val="fr-FR" w:eastAsia="ru-RU"/>
              </w:rPr>
              <w:t>culturi</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alimentare</w:t>
            </w:r>
            <w:proofErr w:type="spellEnd"/>
            <w:r w:rsidR="00F76F25" w:rsidRPr="00F76F25">
              <w:rPr>
                <w:rFonts w:ascii="Times New Roman" w:hAnsi="Times New Roman"/>
                <w:sz w:val="20"/>
                <w:szCs w:val="20"/>
                <w:lang w:val="fr-FR" w:eastAsia="ru-RU"/>
              </w:rPr>
              <w:t xml:space="preserve"> și </w:t>
            </w:r>
            <w:proofErr w:type="spellStart"/>
            <w:r w:rsidR="00F76F25" w:rsidRPr="00F76F25">
              <w:rPr>
                <w:rFonts w:ascii="Times New Roman" w:hAnsi="Times New Roman"/>
                <w:sz w:val="20"/>
                <w:szCs w:val="20"/>
                <w:lang w:val="fr-FR" w:eastAsia="ru-RU"/>
              </w:rPr>
              <w:t>furajere</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înseamnă</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culturi</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alimentare</w:t>
            </w:r>
            <w:proofErr w:type="spellEnd"/>
            <w:r w:rsidR="00F76F25" w:rsidRPr="00F76F25">
              <w:rPr>
                <w:rFonts w:ascii="Times New Roman" w:hAnsi="Times New Roman"/>
                <w:sz w:val="20"/>
                <w:szCs w:val="20"/>
                <w:lang w:val="fr-FR" w:eastAsia="ru-RU"/>
              </w:rPr>
              <w:t xml:space="preserve"> și </w:t>
            </w:r>
            <w:proofErr w:type="spellStart"/>
            <w:r w:rsidR="00F76F25" w:rsidRPr="00F76F25">
              <w:rPr>
                <w:rFonts w:ascii="Times New Roman" w:hAnsi="Times New Roman"/>
                <w:sz w:val="20"/>
                <w:szCs w:val="20"/>
                <w:lang w:val="fr-FR" w:eastAsia="ru-RU"/>
              </w:rPr>
              <w:t>furajere</w:t>
            </w:r>
            <w:proofErr w:type="spellEnd"/>
            <w:r w:rsidR="00F76F25" w:rsidRPr="00F76F25">
              <w:rPr>
                <w:rFonts w:ascii="Times New Roman" w:hAnsi="Times New Roman"/>
                <w:sz w:val="20"/>
                <w:szCs w:val="20"/>
                <w:lang w:val="fr-FR" w:eastAsia="ru-RU"/>
              </w:rPr>
              <w:t xml:space="preserve"> în </w:t>
            </w:r>
            <w:proofErr w:type="spellStart"/>
            <w:r w:rsidR="00F76F25" w:rsidRPr="00F76F25">
              <w:rPr>
                <w:rFonts w:ascii="Times New Roman" w:hAnsi="Times New Roman"/>
                <w:sz w:val="20"/>
                <w:szCs w:val="20"/>
                <w:lang w:val="fr-FR" w:eastAsia="ru-RU"/>
              </w:rPr>
              <w:t>sensul</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definiției</w:t>
            </w:r>
            <w:proofErr w:type="spellEnd"/>
            <w:r w:rsidR="00F76F25" w:rsidRPr="00F76F25">
              <w:rPr>
                <w:rFonts w:ascii="Times New Roman" w:hAnsi="Times New Roman"/>
                <w:sz w:val="20"/>
                <w:szCs w:val="20"/>
                <w:lang w:val="fr-FR" w:eastAsia="ru-RU"/>
              </w:rPr>
              <w:t xml:space="preserve"> de la </w:t>
            </w:r>
            <w:proofErr w:type="spellStart"/>
            <w:r w:rsidR="00F76F25" w:rsidRPr="00F76F25">
              <w:rPr>
                <w:rFonts w:ascii="Times New Roman" w:hAnsi="Times New Roman"/>
                <w:sz w:val="20"/>
                <w:szCs w:val="20"/>
                <w:lang w:val="fr-FR" w:eastAsia="ru-RU"/>
              </w:rPr>
              <w:t>articolul</w:t>
            </w:r>
            <w:proofErr w:type="spellEnd"/>
            <w:r w:rsidR="00F76F25" w:rsidRPr="00F76F25">
              <w:rPr>
                <w:rFonts w:ascii="Times New Roman" w:hAnsi="Times New Roman"/>
                <w:sz w:val="20"/>
                <w:szCs w:val="20"/>
                <w:lang w:val="fr-FR" w:eastAsia="ru-RU"/>
              </w:rPr>
              <w:t xml:space="preserve"> 2 </w:t>
            </w:r>
            <w:proofErr w:type="spellStart"/>
            <w:r w:rsidR="00F76F25" w:rsidRPr="00F76F25">
              <w:rPr>
                <w:rFonts w:ascii="Times New Roman" w:hAnsi="Times New Roman"/>
                <w:sz w:val="20"/>
                <w:szCs w:val="20"/>
                <w:lang w:val="fr-FR" w:eastAsia="ru-RU"/>
              </w:rPr>
              <w:t>punctul</w:t>
            </w:r>
            <w:proofErr w:type="spellEnd"/>
            <w:r w:rsidR="00F76F25" w:rsidRPr="00F76F25">
              <w:rPr>
                <w:rFonts w:ascii="Times New Roman" w:hAnsi="Times New Roman"/>
                <w:sz w:val="20"/>
                <w:szCs w:val="20"/>
                <w:lang w:val="fr-FR" w:eastAsia="ru-RU"/>
              </w:rPr>
              <w:t xml:space="preserve"> 40 </w:t>
            </w:r>
            <w:proofErr w:type="spellStart"/>
            <w:r w:rsidR="00F76F25" w:rsidRPr="00F76F25">
              <w:rPr>
                <w:rFonts w:ascii="Times New Roman" w:hAnsi="Times New Roman"/>
                <w:sz w:val="20"/>
                <w:szCs w:val="20"/>
                <w:lang w:val="fr-FR" w:eastAsia="ru-RU"/>
              </w:rPr>
              <w:t>din</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Directiva</w:t>
            </w:r>
            <w:proofErr w:type="spellEnd"/>
            <w:r w:rsidR="00F76F25" w:rsidRPr="00F76F25">
              <w:rPr>
                <w:rFonts w:ascii="Times New Roman" w:hAnsi="Times New Roman"/>
                <w:sz w:val="20"/>
                <w:szCs w:val="20"/>
                <w:lang w:val="fr-FR" w:eastAsia="ru-RU"/>
              </w:rPr>
              <w:t xml:space="preserve"> (UE) 2018/2001;</w:t>
            </w:r>
          </w:p>
        </w:tc>
        <w:tc>
          <w:tcPr>
            <w:tcW w:w="4541" w:type="dxa"/>
            <w:shd w:val="clear" w:color="auto" w:fill="auto"/>
          </w:tcPr>
          <w:p w14:paraId="3F3566BF" w14:textId="7D2CFB9A" w:rsidR="00833097" w:rsidRPr="00C951E7" w:rsidRDefault="00833097" w:rsidP="00833097">
            <w:pPr>
              <w:pStyle w:val="af3"/>
              <w:ind w:left="0"/>
              <w:jc w:val="both"/>
              <w:rPr>
                <w:rFonts w:ascii="Times New Roman" w:hAnsi="Times New Roman"/>
                <w:sz w:val="20"/>
                <w:szCs w:val="20"/>
                <w:shd w:val="clear" w:color="auto" w:fill="FFFFFF"/>
                <w:lang w:val="ro-RO"/>
              </w:rPr>
            </w:pPr>
          </w:p>
        </w:tc>
        <w:tc>
          <w:tcPr>
            <w:tcW w:w="1276" w:type="dxa"/>
            <w:shd w:val="clear" w:color="auto" w:fill="auto"/>
          </w:tcPr>
          <w:p w14:paraId="7EB3716B" w14:textId="6D3E87B6" w:rsidR="00833097" w:rsidRPr="00C951E7" w:rsidRDefault="00CE569E" w:rsidP="00F76F25">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45131360"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07DB2D4F" w14:textId="1C5E6038" w:rsidR="00833097" w:rsidRPr="00C951E7" w:rsidRDefault="00F76F25" w:rsidP="00F76F25">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E1678F">
              <w:rPr>
                <w:rFonts w:ascii="Times New Roman" w:hAnsi="Times New Roman"/>
                <w:sz w:val="20"/>
                <w:szCs w:val="20"/>
                <w:lang w:val="fr-FR" w:eastAsia="ru-RU"/>
              </w:rPr>
              <w:t>„</w:t>
            </w:r>
            <w:r w:rsidRPr="00E1678F">
              <w:rPr>
                <w:rFonts w:ascii="Times New Roman" w:hAnsi="Times New Roman"/>
                <w:sz w:val="20"/>
                <w:szCs w:val="20"/>
                <w:lang w:val="ro-RO" w:eastAsia="ru-RU"/>
              </w:rPr>
              <w:t xml:space="preserve"> </w:t>
            </w:r>
            <w:proofErr w:type="spellStart"/>
            <w:r w:rsidRPr="00F76F25">
              <w:rPr>
                <w:rFonts w:ascii="Times New Roman" w:hAnsi="Times New Roman"/>
                <w:sz w:val="20"/>
                <w:szCs w:val="20"/>
                <w:lang w:val="fr-FR" w:eastAsia="ru-RU"/>
              </w:rPr>
              <w:t>culturi</w:t>
            </w:r>
            <w:proofErr w:type="spellEnd"/>
            <w:r w:rsidRPr="00F76F25">
              <w:rPr>
                <w:rFonts w:ascii="Times New Roman" w:hAnsi="Times New Roman"/>
                <w:sz w:val="20"/>
                <w:szCs w:val="20"/>
                <w:lang w:val="fr-FR" w:eastAsia="ru-RU"/>
              </w:rPr>
              <w:t xml:space="preserve"> </w:t>
            </w:r>
            <w:proofErr w:type="spellStart"/>
            <w:r w:rsidRPr="00F76F25">
              <w:rPr>
                <w:rFonts w:ascii="Times New Roman" w:hAnsi="Times New Roman"/>
                <w:sz w:val="20"/>
                <w:szCs w:val="20"/>
                <w:lang w:val="fr-FR" w:eastAsia="ru-RU"/>
              </w:rPr>
              <w:t>alimentare</w:t>
            </w:r>
            <w:proofErr w:type="spellEnd"/>
            <w:r w:rsidRPr="00F76F25">
              <w:rPr>
                <w:rFonts w:ascii="Times New Roman" w:hAnsi="Times New Roman"/>
                <w:sz w:val="20"/>
                <w:szCs w:val="20"/>
                <w:lang w:val="fr-FR" w:eastAsia="ru-RU"/>
              </w:rPr>
              <w:t xml:space="preserve"> și </w:t>
            </w:r>
            <w:proofErr w:type="spellStart"/>
            <w:r w:rsidRPr="00F76F25">
              <w:rPr>
                <w:rFonts w:ascii="Times New Roman" w:hAnsi="Times New Roman"/>
                <w:sz w:val="20"/>
                <w:szCs w:val="20"/>
                <w:lang w:val="fr-FR" w:eastAsia="ru-RU"/>
              </w:rPr>
              <w:t>furajere</w:t>
            </w:r>
            <w:proofErr w:type="spellEnd"/>
            <w:r w:rsidRPr="00E1678F">
              <w:rPr>
                <w:rFonts w:ascii="Times New Roman" w:hAnsi="Times New Roman"/>
                <w:sz w:val="20"/>
                <w:szCs w:val="20"/>
                <w:lang w:val="fr-FR" w:eastAsia="ru-RU"/>
              </w:rPr>
              <w:t xml:space="preserve"> ”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7E65E498" w14:textId="629B17FE" w:rsidR="00833097" w:rsidRPr="00F26988" w:rsidRDefault="00F76F25" w:rsidP="00CE569E">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E569E" w:rsidRPr="00A81801">
              <w:rPr>
                <w:rFonts w:ascii="Times New Roman" w:hAnsi="Times New Roman"/>
                <w:color w:val="000000" w:themeColor="text1"/>
                <w:sz w:val="20"/>
                <w:szCs w:val="20"/>
              </w:rPr>
              <w:t>Energiei</w:t>
            </w:r>
          </w:p>
        </w:tc>
      </w:tr>
      <w:tr w:rsidR="00833097" w:rsidRPr="00C951E7" w14:paraId="121B29B8" w14:textId="77777777" w:rsidTr="009F5405">
        <w:trPr>
          <w:trHeight w:val="776"/>
        </w:trPr>
        <w:tc>
          <w:tcPr>
            <w:tcW w:w="4810" w:type="dxa"/>
            <w:shd w:val="clear" w:color="auto" w:fill="auto"/>
          </w:tcPr>
          <w:p w14:paraId="4C6B63BD" w14:textId="27C7A68B" w:rsidR="00833097" w:rsidRPr="00745D9A"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sidR="00F76F25">
              <w:rPr>
                <w:rFonts w:ascii="Times New Roman" w:hAnsi="Times New Roman"/>
                <w:sz w:val="20"/>
                <w:szCs w:val="20"/>
                <w:lang w:val="fr-FR"/>
              </w:rPr>
              <w:t>40</w:t>
            </w:r>
            <w:r>
              <w:rPr>
                <w:rFonts w:ascii="Times New Roman" w:hAnsi="Times New Roman"/>
                <w:sz w:val="20"/>
                <w:szCs w:val="20"/>
                <w:lang w:val="fr-FR"/>
              </w:rPr>
              <w:t>)</w:t>
            </w:r>
            <w:r w:rsidR="00F76F25" w:rsidRPr="00F76F25">
              <w:rPr>
                <w:rFonts w:ascii="Times New Roman" w:hAnsi="Times New Roman"/>
                <w:sz w:val="20"/>
                <w:szCs w:val="20"/>
                <w:lang w:val="fr-FR" w:eastAsia="ru-RU"/>
              </w:rPr>
              <w:t>„</w:t>
            </w:r>
            <w:proofErr w:type="spellStart"/>
            <w:proofErr w:type="gramEnd"/>
            <w:r w:rsidR="00F76F25" w:rsidRPr="00F76F25">
              <w:rPr>
                <w:rFonts w:ascii="Times New Roman" w:hAnsi="Times New Roman"/>
                <w:sz w:val="20"/>
                <w:szCs w:val="20"/>
                <w:lang w:val="fr-FR" w:eastAsia="ru-RU"/>
              </w:rPr>
              <w:t>materiale</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ligno-celulozice</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înseamnă</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materiale</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ligno-celulozice</w:t>
            </w:r>
            <w:proofErr w:type="spellEnd"/>
            <w:r w:rsidR="00F76F25" w:rsidRPr="00F76F25">
              <w:rPr>
                <w:rFonts w:ascii="Times New Roman" w:hAnsi="Times New Roman"/>
                <w:sz w:val="20"/>
                <w:szCs w:val="20"/>
                <w:lang w:val="fr-FR" w:eastAsia="ru-RU"/>
              </w:rPr>
              <w:t xml:space="preserve"> în </w:t>
            </w:r>
            <w:proofErr w:type="spellStart"/>
            <w:r w:rsidR="00F76F25" w:rsidRPr="00F76F25">
              <w:rPr>
                <w:rFonts w:ascii="Times New Roman" w:hAnsi="Times New Roman"/>
                <w:sz w:val="20"/>
                <w:szCs w:val="20"/>
                <w:lang w:val="fr-FR" w:eastAsia="ru-RU"/>
              </w:rPr>
              <w:t>sensul</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definiției</w:t>
            </w:r>
            <w:proofErr w:type="spellEnd"/>
            <w:r w:rsidR="00F76F25" w:rsidRPr="00F76F25">
              <w:rPr>
                <w:rFonts w:ascii="Times New Roman" w:hAnsi="Times New Roman"/>
                <w:sz w:val="20"/>
                <w:szCs w:val="20"/>
                <w:lang w:val="fr-FR" w:eastAsia="ru-RU"/>
              </w:rPr>
              <w:t xml:space="preserve"> de la </w:t>
            </w:r>
            <w:proofErr w:type="spellStart"/>
            <w:r w:rsidR="00F76F25" w:rsidRPr="00F76F25">
              <w:rPr>
                <w:rFonts w:ascii="Times New Roman" w:hAnsi="Times New Roman"/>
                <w:sz w:val="20"/>
                <w:szCs w:val="20"/>
                <w:lang w:val="fr-FR" w:eastAsia="ru-RU"/>
              </w:rPr>
              <w:t>articolul</w:t>
            </w:r>
            <w:proofErr w:type="spellEnd"/>
            <w:r w:rsidR="00F76F25">
              <w:rPr>
                <w:rFonts w:ascii="Times New Roman" w:hAnsi="Times New Roman"/>
                <w:sz w:val="20"/>
                <w:szCs w:val="20"/>
                <w:lang w:val="fr-FR" w:eastAsia="ru-RU"/>
              </w:rPr>
              <w:t xml:space="preserve"> </w:t>
            </w:r>
            <w:r w:rsidR="00F76F25" w:rsidRPr="00F76F25">
              <w:rPr>
                <w:rFonts w:ascii="Times New Roman" w:hAnsi="Times New Roman"/>
                <w:sz w:val="20"/>
                <w:szCs w:val="20"/>
                <w:lang w:val="fr-FR" w:eastAsia="ru-RU"/>
              </w:rPr>
              <w:t xml:space="preserve">2 </w:t>
            </w:r>
            <w:proofErr w:type="spellStart"/>
            <w:r w:rsidR="00F76F25" w:rsidRPr="00F76F25">
              <w:rPr>
                <w:rFonts w:ascii="Times New Roman" w:hAnsi="Times New Roman"/>
                <w:sz w:val="20"/>
                <w:szCs w:val="20"/>
                <w:lang w:val="fr-FR" w:eastAsia="ru-RU"/>
              </w:rPr>
              <w:t>punctul</w:t>
            </w:r>
            <w:proofErr w:type="spellEnd"/>
            <w:r w:rsidR="00F76F25">
              <w:rPr>
                <w:rFonts w:ascii="Times New Roman" w:hAnsi="Times New Roman"/>
                <w:sz w:val="20"/>
                <w:szCs w:val="20"/>
                <w:lang w:val="fr-FR" w:eastAsia="ru-RU"/>
              </w:rPr>
              <w:t xml:space="preserve"> </w:t>
            </w:r>
            <w:r w:rsidR="00F76F25" w:rsidRPr="00F76F25">
              <w:rPr>
                <w:rFonts w:ascii="Times New Roman" w:hAnsi="Times New Roman"/>
                <w:sz w:val="20"/>
                <w:szCs w:val="20"/>
                <w:lang w:val="fr-FR" w:eastAsia="ru-RU"/>
              </w:rPr>
              <w:t xml:space="preserve">41 </w:t>
            </w:r>
            <w:proofErr w:type="spellStart"/>
            <w:r w:rsidR="00F76F25" w:rsidRPr="00F76F25">
              <w:rPr>
                <w:rFonts w:ascii="Times New Roman" w:hAnsi="Times New Roman"/>
                <w:sz w:val="20"/>
                <w:szCs w:val="20"/>
                <w:lang w:val="fr-FR" w:eastAsia="ru-RU"/>
              </w:rPr>
              <w:t>din</w:t>
            </w:r>
            <w:proofErr w:type="spellEnd"/>
            <w:r w:rsidR="00F76F25" w:rsidRPr="00F76F25">
              <w:rPr>
                <w:rFonts w:ascii="Times New Roman" w:hAnsi="Times New Roman"/>
                <w:sz w:val="20"/>
                <w:szCs w:val="20"/>
                <w:lang w:val="fr-FR" w:eastAsia="ru-RU"/>
              </w:rPr>
              <w:t xml:space="preserve"> </w:t>
            </w:r>
            <w:proofErr w:type="spellStart"/>
            <w:r w:rsidR="00F76F25" w:rsidRPr="00F76F25">
              <w:rPr>
                <w:rFonts w:ascii="Times New Roman" w:hAnsi="Times New Roman"/>
                <w:sz w:val="20"/>
                <w:szCs w:val="20"/>
                <w:lang w:val="fr-FR" w:eastAsia="ru-RU"/>
              </w:rPr>
              <w:t>Directiva</w:t>
            </w:r>
            <w:proofErr w:type="spellEnd"/>
            <w:r w:rsidR="00F76F25" w:rsidRPr="00F76F25">
              <w:rPr>
                <w:rFonts w:ascii="Times New Roman" w:hAnsi="Times New Roman"/>
                <w:sz w:val="20"/>
                <w:szCs w:val="20"/>
                <w:lang w:val="fr-FR" w:eastAsia="ru-RU"/>
              </w:rPr>
              <w:t xml:space="preserve"> (UE)</w:t>
            </w:r>
            <w:r w:rsidR="00F76F25">
              <w:rPr>
                <w:rFonts w:ascii="Times New Roman" w:hAnsi="Times New Roman"/>
                <w:sz w:val="20"/>
                <w:szCs w:val="20"/>
                <w:lang w:val="fr-FR" w:eastAsia="ru-RU"/>
              </w:rPr>
              <w:t xml:space="preserve"> </w:t>
            </w:r>
            <w:r w:rsidR="00F76F25" w:rsidRPr="00F76F25">
              <w:rPr>
                <w:rFonts w:ascii="Times New Roman" w:hAnsi="Times New Roman"/>
                <w:sz w:val="20"/>
                <w:szCs w:val="20"/>
                <w:lang w:val="fr-FR" w:eastAsia="ru-RU"/>
              </w:rPr>
              <w:t>2018/2001;</w:t>
            </w:r>
          </w:p>
        </w:tc>
        <w:tc>
          <w:tcPr>
            <w:tcW w:w="4541" w:type="dxa"/>
            <w:shd w:val="clear" w:color="auto" w:fill="auto"/>
          </w:tcPr>
          <w:p w14:paraId="4EDE21A0" w14:textId="67A9EE6F" w:rsidR="00833097" w:rsidRPr="00C951E7" w:rsidRDefault="00833097" w:rsidP="00833097">
            <w:pPr>
              <w:pStyle w:val="af3"/>
              <w:ind w:left="0"/>
              <w:jc w:val="both"/>
              <w:rPr>
                <w:rFonts w:ascii="Times New Roman" w:hAnsi="Times New Roman"/>
                <w:sz w:val="20"/>
                <w:szCs w:val="20"/>
                <w:shd w:val="clear" w:color="auto" w:fill="FFFFFF"/>
                <w:lang w:val="ro-RO"/>
              </w:rPr>
            </w:pPr>
          </w:p>
        </w:tc>
        <w:tc>
          <w:tcPr>
            <w:tcW w:w="1276" w:type="dxa"/>
            <w:shd w:val="clear" w:color="auto" w:fill="auto"/>
          </w:tcPr>
          <w:p w14:paraId="3ABCDA68" w14:textId="40E57532" w:rsidR="00833097" w:rsidRPr="00C951E7" w:rsidRDefault="00CE569E" w:rsidP="00F76F25">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7A13951B"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5C4C1808" w14:textId="3DCDDE66" w:rsidR="00833097" w:rsidRPr="00C951E7" w:rsidRDefault="00F76F25" w:rsidP="00F76F25">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E1678F">
              <w:rPr>
                <w:rFonts w:ascii="Times New Roman" w:hAnsi="Times New Roman"/>
                <w:sz w:val="20"/>
                <w:szCs w:val="20"/>
                <w:lang w:val="fr-FR" w:eastAsia="ru-RU"/>
              </w:rPr>
              <w:t>„</w:t>
            </w:r>
            <w:r w:rsidRPr="00E1678F">
              <w:rPr>
                <w:rFonts w:ascii="Times New Roman" w:hAnsi="Times New Roman"/>
                <w:sz w:val="20"/>
                <w:szCs w:val="20"/>
                <w:lang w:val="ro-RO" w:eastAsia="ru-RU"/>
              </w:rPr>
              <w:t xml:space="preserve"> </w:t>
            </w:r>
            <w:proofErr w:type="spellStart"/>
            <w:r w:rsidRPr="00F76F25">
              <w:rPr>
                <w:rFonts w:ascii="Times New Roman" w:hAnsi="Times New Roman"/>
                <w:sz w:val="20"/>
                <w:szCs w:val="20"/>
                <w:lang w:val="fr-FR" w:eastAsia="ru-RU"/>
              </w:rPr>
              <w:t>materiale</w:t>
            </w:r>
            <w:proofErr w:type="spellEnd"/>
            <w:r w:rsidRPr="00F76F25">
              <w:rPr>
                <w:rFonts w:ascii="Times New Roman" w:hAnsi="Times New Roman"/>
                <w:sz w:val="20"/>
                <w:szCs w:val="20"/>
                <w:lang w:val="fr-FR" w:eastAsia="ru-RU"/>
              </w:rPr>
              <w:t xml:space="preserve"> </w:t>
            </w:r>
            <w:proofErr w:type="spellStart"/>
            <w:r w:rsidRPr="00F76F25">
              <w:rPr>
                <w:rFonts w:ascii="Times New Roman" w:hAnsi="Times New Roman"/>
                <w:sz w:val="20"/>
                <w:szCs w:val="20"/>
                <w:lang w:val="fr-FR" w:eastAsia="ru-RU"/>
              </w:rPr>
              <w:t>ligno-celulozice</w:t>
            </w:r>
            <w:proofErr w:type="spellEnd"/>
            <w:r w:rsidRPr="00E1678F">
              <w:rPr>
                <w:rFonts w:ascii="Times New Roman" w:hAnsi="Times New Roman"/>
                <w:sz w:val="20"/>
                <w:szCs w:val="20"/>
                <w:lang w:val="fr-FR" w:eastAsia="ru-RU"/>
              </w:rPr>
              <w:t xml:space="preserve">”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6E42C20C" w14:textId="72F45140" w:rsidR="00833097" w:rsidRPr="00C951E7" w:rsidRDefault="008E462C" w:rsidP="00CE569E">
            <w:pPr>
              <w:autoSpaceDE w:val="0"/>
              <w:spacing w:after="0" w:line="240" w:lineRule="auto"/>
              <w:rPr>
                <w:rFonts w:ascii="Times New Roman" w:eastAsia="Times New Roman" w:hAnsi="Times New Roman"/>
                <w:color w:val="000000" w:themeColor="text1"/>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E569E" w:rsidRPr="00A81801">
              <w:rPr>
                <w:rFonts w:ascii="Times New Roman" w:hAnsi="Times New Roman"/>
                <w:color w:val="000000" w:themeColor="text1"/>
                <w:sz w:val="20"/>
                <w:szCs w:val="20"/>
              </w:rPr>
              <w:t>Energiei</w:t>
            </w:r>
          </w:p>
        </w:tc>
      </w:tr>
      <w:tr w:rsidR="00833097" w:rsidRPr="002239ED" w14:paraId="1D242AD3" w14:textId="77777777" w:rsidTr="009F5405">
        <w:trPr>
          <w:trHeight w:val="776"/>
        </w:trPr>
        <w:tc>
          <w:tcPr>
            <w:tcW w:w="4810" w:type="dxa"/>
            <w:shd w:val="clear" w:color="auto" w:fill="auto"/>
          </w:tcPr>
          <w:p w14:paraId="3732FC0C" w14:textId="002F2B09" w:rsidR="00833097" w:rsidRPr="008E462C"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41)</w:t>
            </w:r>
            <w:r w:rsidR="008E462C" w:rsidRPr="008E462C">
              <w:rPr>
                <w:rFonts w:ascii="Times New Roman" w:hAnsi="Times New Roman"/>
                <w:sz w:val="20"/>
                <w:szCs w:val="20"/>
                <w:lang w:val="fr-FR" w:eastAsia="ru-RU"/>
              </w:rPr>
              <w:t>„</w:t>
            </w:r>
            <w:proofErr w:type="spellStart"/>
            <w:proofErr w:type="gramEnd"/>
            <w:r w:rsidR="008E462C" w:rsidRPr="008E462C">
              <w:rPr>
                <w:rFonts w:ascii="Times New Roman" w:hAnsi="Times New Roman"/>
                <w:sz w:val="20"/>
                <w:szCs w:val="20"/>
                <w:lang w:val="fr-FR" w:eastAsia="ru-RU"/>
              </w:rPr>
              <w:t>reziduu</w:t>
            </w:r>
            <w:proofErr w:type="spellEnd"/>
            <w:r w:rsidR="008E462C" w:rsidRPr="008E462C">
              <w:rPr>
                <w:rFonts w:ascii="Times New Roman" w:hAnsi="Times New Roman"/>
                <w:sz w:val="20"/>
                <w:szCs w:val="20"/>
                <w:lang w:val="fr-FR" w:eastAsia="ru-RU"/>
              </w:rPr>
              <w:t xml:space="preserve">” </w:t>
            </w:r>
            <w:proofErr w:type="spellStart"/>
            <w:r w:rsidR="008E462C" w:rsidRPr="008E462C">
              <w:rPr>
                <w:rFonts w:ascii="Times New Roman" w:hAnsi="Times New Roman"/>
                <w:sz w:val="20"/>
                <w:szCs w:val="20"/>
                <w:lang w:val="fr-FR" w:eastAsia="ru-RU"/>
              </w:rPr>
              <w:t>înseamnă</w:t>
            </w:r>
            <w:proofErr w:type="spellEnd"/>
            <w:r w:rsidR="008E462C" w:rsidRPr="008E462C">
              <w:rPr>
                <w:rFonts w:ascii="Times New Roman" w:hAnsi="Times New Roman"/>
                <w:sz w:val="20"/>
                <w:szCs w:val="20"/>
                <w:lang w:val="fr-FR" w:eastAsia="ru-RU"/>
              </w:rPr>
              <w:t xml:space="preserve"> </w:t>
            </w:r>
            <w:proofErr w:type="spellStart"/>
            <w:r w:rsidR="008E462C" w:rsidRPr="008E462C">
              <w:rPr>
                <w:rFonts w:ascii="Times New Roman" w:hAnsi="Times New Roman"/>
                <w:sz w:val="20"/>
                <w:szCs w:val="20"/>
                <w:lang w:val="fr-FR" w:eastAsia="ru-RU"/>
              </w:rPr>
              <w:t>reziduu</w:t>
            </w:r>
            <w:proofErr w:type="spellEnd"/>
            <w:r w:rsidR="008E462C" w:rsidRPr="008E462C">
              <w:rPr>
                <w:rFonts w:ascii="Times New Roman" w:hAnsi="Times New Roman"/>
                <w:sz w:val="20"/>
                <w:szCs w:val="20"/>
                <w:lang w:val="fr-FR" w:eastAsia="ru-RU"/>
              </w:rPr>
              <w:t xml:space="preserve"> în </w:t>
            </w:r>
            <w:proofErr w:type="spellStart"/>
            <w:r w:rsidR="008E462C" w:rsidRPr="008E462C">
              <w:rPr>
                <w:rFonts w:ascii="Times New Roman" w:hAnsi="Times New Roman"/>
                <w:sz w:val="20"/>
                <w:szCs w:val="20"/>
                <w:lang w:val="fr-FR" w:eastAsia="ru-RU"/>
              </w:rPr>
              <w:t>sensul</w:t>
            </w:r>
            <w:proofErr w:type="spellEnd"/>
            <w:r w:rsidR="008E462C" w:rsidRPr="008E462C">
              <w:rPr>
                <w:rFonts w:ascii="Times New Roman" w:hAnsi="Times New Roman"/>
                <w:sz w:val="20"/>
                <w:szCs w:val="20"/>
                <w:lang w:val="fr-FR" w:eastAsia="ru-RU"/>
              </w:rPr>
              <w:t xml:space="preserve"> </w:t>
            </w:r>
            <w:proofErr w:type="spellStart"/>
            <w:r w:rsidR="008E462C" w:rsidRPr="008E462C">
              <w:rPr>
                <w:rFonts w:ascii="Times New Roman" w:hAnsi="Times New Roman"/>
                <w:sz w:val="20"/>
                <w:szCs w:val="20"/>
                <w:lang w:val="fr-FR" w:eastAsia="ru-RU"/>
              </w:rPr>
              <w:t>definiției</w:t>
            </w:r>
            <w:proofErr w:type="spellEnd"/>
            <w:r w:rsidR="008E462C" w:rsidRPr="008E462C">
              <w:rPr>
                <w:rFonts w:ascii="Times New Roman" w:hAnsi="Times New Roman"/>
                <w:sz w:val="20"/>
                <w:szCs w:val="20"/>
                <w:lang w:val="fr-FR" w:eastAsia="ru-RU"/>
              </w:rPr>
              <w:t xml:space="preserve"> de la </w:t>
            </w:r>
            <w:proofErr w:type="spellStart"/>
            <w:r w:rsidR="008E462C" w:rsidRPr="008E462C">
              <w:rPr>
                <w:rFonts w:ascii="Times New Roman" w:hAnsi="Times New Roman"/>
                <w:sz w:val="20"/>
                <w:szCs w:val="20"/>
                <w:lang w:val="fr-FR" w:eastAsia="ru-RU"/>
              </w:rPr>
              <w:t>articolul</w:t>
            </w:r>
            <w:proofErr w:type="spellEnd"/>
            <w:r w:rsidR="008E462C" w:rsidRPr="008E462C">
              <w:rPr>
                <w:rFonts w:ascii="Times New Roman" w:hAnsi="Times New Roman"/>
                <w:sz w:val="20"/>
                <w:szCs w:val="20"/>
                <w:lang w:val="fr-FR" w:eastAsia="ru-RU"/>
              </w:rPr>
              <w:t xml:space="preserve"> 2 </w:t>
            </w:r>
            <w:proofErr w:type="spellStart"/>
            <w:r w:rsidR="008E462C" w:rsidRPr="008E462C">
              <w:rPr>
                <w:rFonts w:ascii="Times New Roman" w:hAnsi="Times New Roman"/>
                <w:sz w:val="20"/>
                <w:szCs w:val="20"/>
                <w:lang w:val="fr-FR" w:eastAsia="ru-RU"/>
              </w:rPr>
              <w:t>punctul</w:t>
            </w:r>
            <w:proofErr w:type="spellEnd"/>
            <w:r w:rsidR="008E462C" w:rsidRPr="008E462C">
              <w:rPr>
                <w:rFonts w:ascii="Times New Roman" w:hAnsi="Times New Roman"/>
                <w:sz w:val="20"/>
                <w:szCs w:val="20"/>
                <w:lang w:val="fr-FR" w:eastAsia="ru-RU"/>
              </w:rPr>
              <w:t xml:space="preserve"> 43 </w:t>
            </w:r>
            <w:proofErr w:type="spellStart"/>
            <w:r w:rsidR="008E462C" w:rsidRPr="008E462C">
              <w:rPr>
                <w:rFonts w:ascii="Times New Roman" w:hAnsi="Times New Roman"/>
                <w:sz w:val="20"/>
                <w:szCs w:val="20"/>
                <w:lang w:val="fr-FR" w:eastAsia="ru-RU"/>
              </w:rPr>
              <w:t>din</w:t>
            </w:r>
            <w:proofErr w:type="spellEnd"/>
            <w:r w:rsidR="008E462C" w:rsidRPr="008E462C">
              <w:rPr>
                <w:rFonts w:ascii="Times New Roman" w:hAnsi="Times New Roman"/>
                <w:sz w:val="20"/>
                <w:szCs w:val="20"/>
                <w:lang w:val="fr-FR" w:eastAsia="ru-RU"/>
              </w:rPr>
              <w:t xml:space="preserve"> </w:t>
            </w:r>
            <w:proofErr w:type="spellStart"/>
            <w:r w:rsidR="008E462C" w:rsidRPr="008E462C">
              <w:rPr>
                <w:rFonts w:ascii="Times New Roman" w:hAnsi="Times New Roman"/>
                <w:sz w:val="20"/>
                <w:szCs w:val="20"/>
                <w:lang w:val="fr-FR" w:eastAsia="ru-RU"/>
              </w:rPr>
              <w:t>Directiva</w:t>
            </w:r>
            <w:proofErr w:type="spellEnd"/>
            <w:r w:rsidR="008E462C" w:rsidRPr="008E462C">
              <w:rPr>
                <w:rFonts w:ascii="Times New Roman" w:hAnsi="Times New Roman"/>
                <w:sz w:val="20"/>
                <w:szCs w:val="20"/>
                <w:lang w:val="fr-FR" w:eastAsia="ru-RU"/>
              </w:rPr>
              <w:t xml:space="preserve"> (UE) 2018/2001;</w:t>
            </w:r>
          </w:p>
        </w:tc>
        <w:tc>
          <w:tcPr>
            <w:tcW w:w="4541" w:type="dxa"/>
            <w:shd w:val="clear" w:color="auto" w:fill="auto"/>
          </w:tcPr>
          <w:p w14:paraId="39FC35B9" w14:textId="730A27E8" w:rsidR="00833097" w:rsidRPr="00C951E7" w:rsidRDefault="00833097" w:rsidP="00833097">
            <w:pPr>
              <w:pStyle w:val="af5"/>
              <w:jc w:val="both"/>
              <w:rPr>
                <w:rFonts w:ascii="Times New Roman" w:hAnsi="Times New Roman"/>
                <w:b/>
                <w:sz w:val="20"/>
                <w:szCs w:val="20"/>
              </w:rPr>
            </w:pPr>
          </w:p>
        </w:tc>
        <w:tc>
          <w:tcPr>
            <w:tcW w:w="1276" w:type="dxa"/>
            <w:shd w:val="clear" w:color="auto" w:fill="auto"/>
          </w:tcPr>
          <w:p w14:paraId="1BA5BA20" w14:textId="7030659B" w:rsidR="00833097" w:rsidRPr="00C951E7" w:rsidRDefault="00B8482B" w:rsidP="00833097">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3FE20EC7"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5E5DC820" w14:textId="77DE74FB" w:rsidR="00833097" w:rsidRPr="00C951E7" w:rsidRDefault="008E462C" w:rsidP="008E462C">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Pr="00E1678F">
              <w:rPr>
                <w:rFonts w:ascii="Times New Roman" w:hAnsi="Times New Roman"/>
                <w:sz w:val="20"/>
                <w:szCs w:val="20"/>
                <w:lang w:val="fr-FR" w:eastAsia="ru-RU"/>
              </w:rPr>
              <w:t>„</w:t>
            </w:r>
            <w:r w:rsidRPr="00E1678F">
              <w:rPr>
                <w:rFonts w:ascii="Times New Roman" w:hAnsi="Times New Roman"/>
                <w:sz w:val="20"/>
                <w:szCs w:val="20"/>
                <w:lang w:val="ro-RO" w:eastAsia="ru-RU"/>
              </w:rPr>
              <w:t xml:space="preserve"> </w:t>
            </w:r>
            <w:proofErr w:type="spellStart"/>
            <w:r w:rsidRPr="008E462C">
              <w:rPr>
                <w:rFonts w:ascii="Times New Roman" w:hAnsi="Times New Roman"/>
                <w:sz w:val="20"/>
                <w:szCs w:val="20"/>
                <w:lang w:val="fr-FR" w:eastAsia="ru-RU"/>
              </w:rPr>
              <w:t>reziduu</w:t>
            </w:r>
            <w:proofErr w:type="spellEnd"/>
            <w:r w:rsidRPr="00E1678F">
              <w:rPr>
                <w:rFonts w:ascii="Times New Roman" w:hAnsi="Times New Roman"/>
                <w:sz w:val="20"/>
                <w:szCs w:val="20"/>
                <w:lang w:val="fr-FR" w:eastAsia="ru-RU"/>
              </w:rPr>
              <w:t xml:space="preserve"> ” </w:t>
            </w:r>
            <w:r w:rsidRPr="00E1678F">
              <w:rPr>
                <w:rFonts w:ascii="Times New Roman" w:hAnsi="Times New Roman"/>
                <w:sz w:val="20"/>
                <w:szCs w:val="20"/>
                <w:lang w:val="ro-RO"/>
              </w:rPr>
              <w:t xml:space="preserve">va fi transpusă în </w:t>
            </w:r>
            <w:r w:rsidR="00054EBD" w:rsidRPr="0099049F">
              <w:rPr>
                <w:rFonts w:ascii="Times New Roman" w:hAnsi="Times New Roman"/>
                <w:sz w:val="20"/>
                <w:szCs w:val="20"/>
                <w:lang w:val="ro-RO"/>
              </w:rPr>
              <w:t xml:space="preserve"> Legea nr.10/2016 privind promovarea utilizării energiei din surse regenerabile</w:t>
            </w:r>
          </w:p>
        </w:tc>
        <w:tc>
          <w:tcPr>
            <w:tcW w:w="1464" w:type="dxa"/>
            <w:shd w:val="clear" w:color="auto" w:fill="auto"/>
          </w:tcPr>
          <w:p w14:paraId="4ED359AD" w14:textId="21DDE642" w:rsidR="00833097" w:rsidRPr="00C951E7" w:rsidRDefault="008E462C" w:rsidP="00B8482B">
            <w:pPr>
              <w:autoSpaceDE w:val="0"/>
              <w:spacing w:after="0" w:line="240" w:lineRule="auto"/>
              <w:rPr>
                <w:rFonts w:ascii="Times New Roman" w:eastAsia="Times New Roman" w:hAnsi="Times New Roman"/>
                <w:color w:val="000000" w:themeColor="text1"/>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833097" w:rsidRPr="00690865" w14:paraId="40C493B1" w14:textId="77777777" w:rsidTr="009F5405">
        <w:trPr>
          <w:trHeight w:val="776"/>
        </w:trPr>
        <w:tc>
          <w:tcPr>
            <w:tcW w:w="4810" w:type="dxa"/>
            <w:shd w:val="clear" w:color="auto" w:fill="auto"/>
          </w:tcPr>
          <w:p w14:paraId="0D736BC1" w14:textId="167AF23D" w:rsidR="00833097" w:rsidRPr="00690865"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42)</w:t>
            </w:r>
            <w:r w:rsidR="008E462C" w:rsidRPr="00690865">
              <w:rPr>
                <w:rFonts w:ascii="Times New Roman" w:hAnsi="Times New Roman"/>
                <w:sz w:val="20"/>
                <w:szCs w:val="20"/>
                <w:lang w:val="fr-FR" w:eastAsia="ru-RU"/>
              </w:rPr>
              <w:t>„</w:t>
            </w:r>
            <w:proofErr w:type="spellStart"/>
            <w:proofErr w:type="gramEnd"/>
            <w:r w:rsidR="008E462C" w:rsidRPr="00690865">
              <w:rPr>
                <w:rFonts w:ascii="Times New Roman" w:hAnsi="Times New Roman"/>
                <w:sz w:val="20"/>
                <w:szCs w:val="20"/>
                <w:lang w:val="fr-FR" w:eastAsia="ru-RU"/>
              </w:rPr>
              <w:t>consum</w:t>
            </w:r>
            <w:proofErr w:type="spellEnd"/>
            <w:r w:rsidR="008E462C" w:rsidRPr="00690865">
              <w:rPr>
                <w:rFonts w:ascii="Times New Roman" w:hAnsi="Times New Roman"/>
                <w:sz w:val="20"/>
                <w:szCs w:val="20"/>
                <w:lang w:val="fr-FR" w:eastAsia="ru-RU"/>
              </w:rPr>
              <w:t xml:space="preserve"> de </w:t>
            </w:r>
            <w:proofErr w:type="spellStart"/>
            <w:r w:rsidR="008E462C" w:rsidRPr="00690865">
              <w:rPr>
                <w:rFonts w:ascii="Times New Roman" w:hAnsi="Times New Roman"/>
                <w:sz w:val="20"/>
                <w:szCs w:val="20"/>
                <w:lang w:val="fr-FR" w:eastAsia="ru-RU"/>
              </w:rPr>
              <w:t>energie</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primară</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înseamnă</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consum</w:t>
            </w:r>
            <w:proofErr w:type="spellEnd"/>
            <w:r w:rsidR="008E462C" w:rsidRPr="00690865">
              <w:rPr>
                <w:rFonts w:ascii="Times New Roman" w:hAnsi="Times New Roman"/>
                <w:sz w:val="20"/>
                <w:szCs w:val="20"/>
                <w:lang w:val="fr-FR" w:eastAsia="ru-RU"/>
              </w:rPr>
              <w:t xml:space="preserve"> de </w:t>
            </w:r>
            <w:proofErr w:type="spellStart"/>
            <w:r w:rsidR="008E462C" w:rsidRPr="00690865">
              <w:rPr>
                <w:rFonts w:ascii="Times New Roman" w:hAnsi="Times New Roman"/>
                <w:sz w:val="20"/>
                <w:szCs w:val="20"/>
                <w:lang w:val="fr-FR" w:eastAsia="ru-RU"/>
              </w:rPr>
              <w:t>energie</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primară</w:t>
            </w:r>
            <w:proofErr w:type="spellEnd"/>
            <w:r w:rsidR="008E462C" w:rsidRPr="00690865">
              <w:rPr>
                <w:rFonts w:ascii="Times New Roman" w:hAnsi="Times New Roman"/>
                <w:sz w:val="20"/>
                <w:szCs w:val="20"/>
                <w:lang w:val="fr-FR" w:eastAsia="ru-RU"/>
              </w:rPr>
              <w:t xml:space="preserve"> în </w:t>
            </w:r>
            <w:proofErr w:type="spellStart"/>
            <w:r w:rsidR="008E462C" w:rsidRPr="00690865">
              <w:rPr>
                <w:rFonts w:ascii="Times New Roman" w:hAnsi="Times New Roman"/>
                <w:sz w:val="20"/>
                <w:szCs w:val="20"/>
                <w:lang w:val="fr-FR" w:eastAsia="ru-RU"/>
              </w:rPr>
              <w:t>sensul</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definiției</w:t>
            </w:r>
            <w:proofErr w:type="spellEnd"/>
            <w:r w:rsidR="008E462C" w:rsidRPr="00690865">
              <w:rPr>
                <w:rFonts w:ascii="Times New Roman" w:hAnsi="Times New Roman"/>
                <w:sz w:val="20"/>
                <w:szCs w:val="20"/>
                <w:lang w:val="fr-FR" w:eastAsia="ru-RU"/>
              </w:rPr>
              <w:t xml:space="preserve"> de la </w:t>
            </w:r>
            <w:proofErr w:type="spellStart"/>
            <w:r w:rsidR="008E462C" w:rsidRPr="00690865">
              <w:rPr>
                <w:rFonts w:ascii="Times New Roman" w:hAnsi="Times New Roman"/>
                <w:sz w:val="20"/>
                <w:szCs w:val="20"/>
                <w:lang w:val="fr-FR" w:eastAsia="ru-RU"/>
              </w:rPr>
              <w:t>articolul</w:t>
            </w:r>
            <w:proofErr w:type="spellEnd"/>
            <w:r w:rsidR="008E462C" w:rsidRPr="00690865">
              <w:rPr>
                <w:rFonts w:ascii="Times New Roman" w:hAnsi="Times New Roman"/>
                <w:sz w:val="20"/>
                <w:szCs w:val="20"/>
                <w:lang w:val="fr-FR" w:eastAsia="ru-RU"/>
              </w:rPr>
              <w:t xml:space="preserve"> 2 </w:t>
            </w:r>
            <w:proofErr w:type="spellStart"/>
            <w:r w:rsidR="008E462C" w:rsidRPr="00690865">
              <w:rPr>
                <w:rFonts w:ascii="Times New Roman" w:hAnsi="Times New Roman"/>
                <w:sz w:val="20"/>
                <w:szCs w:val="20"/>
                <w:lang w:val="fr-FR" w:eastAsia="ru-RU"/>
              </w:rPr>
              <w:t>punctul</w:t>
            </w:r>
            <w:proofErr w:type="spellEnd"/>
            <w:r w:rsidR="008E462C" w:rsidRPr="00690865">
              <w:rPr>
                <w:rFonts w:ascii="Times New Roman" w:hAnsi="Times New Roman"/>
                <w:sz w:val="20"/>
                <w:szCs w:val="20"/>
                <w:lang w:val="fr-FR" w:eastAsia="ru-RU"/>
              </w:rPr>
              <w:t xml:space="preserve"> 2 </w:t>
            </w:r>
            <w:proofErr w:type="spellStart"/>
            <w:r w:rsidR="008E462C" w:rsidRPr="00690865">
              <w:rPr>
                <w:rFonts w:ascii="Times New Roman" w:hAnsi="Times New Roman"/>
                <w:sz w:val="20"/>
                <w:szCs w:val="20"/>
                <w:lang w:val="fr-FR" w:eastAsia="ru-RU"/>
              </w:rPr>
              <w:t>din</w:t>
            </w:r>
            <w:proofErr w:type="spellEnd"/>
            <w:r w:rsidR="008E462C" w:rsidRPr="00690865">
              <w:rPr>
                <w:rFonts w:ascii="Times New Roman" w:hAnsi="Times New Roman"/>
                <w:sz w:val="20"/>
                <w:szCs w:val="20"/>
                <w:lang w:val="fr-FR" w:eastAsia="ru-RU"/>
              </w:rPr>
              <w:t xml:space="preserve"> </w:t>
            </w:r>
            <w:proofErr w:type="spellStart"/>
            <w:r w:rsidR="008E462C" w:rsidRPr="00690865">
              <w:rPr>
                <w:rFonts w:ascii="Times New Roman" w:hAnsi="Times New Roman"/>
                <w:sz w:val="20"/>
                <w:szCs w:val="20"/>
                <w:lang w:val="fr-FR" w:eastAsia="ru-RU"/>
              </w:rPr>
              <w:t>Directiva</w:t>
            </w:r>
            <w:proofErr w:type="spellEnd"/>
            <w:r w:rsidR="008E462C" w:rsidRPr="00690865">
              <w:rPr>
                <w:rFonts w:ascii="Times New Roman" w:hAnsi="Times New Roman"/>
                <w:sz w:val="20"/>
                <w:szCs w:val="20"/>
                <w:lang w:val="fr-FR" w:eastAsia="ru-RU"/>
              </w:rPr>
              <w:t xml:space="preserve"> 2012/27/UE;</w:t>
            </w:r>
          </w:p>
        </w:tc>
        <w:tc>
          <w:tcPr>
            <w:tcW w:w="4541" w:type="dxa"/>
            <w:shd w:val="clear" w:color="auto" w:fill="auto"/>
          </w:tcPr>
          <w:p w14:paraId="1FF979DF" w14:textId="64C26046" w:rsidR="00833097" w:rsidRPr="00690865" w:rsidRDefault="00833097" w:rsidP="00833097">
            <w:pPr>
              <w:pStyle w:val="af5"/>
              <w:jc w:val="both"/>
              <w:rPr>
                <w:rFonts w:ascii="Times New Roman" w:hAnsi="Times New Roman"/>
                <w:sz w:val="20"/>
                <w:szCs w:val="20"/>
              </w:rPr>
            </w:pPr>
          </w:p>
        </w:tc>
        <w:tc>
          <w:tcPr>
            <w:tcW w:w="1276" w:type="dxa"/>
            <w:shd w:val="clear" w:color="auto" w:fill="auto"/>
          </w:tcPr>
          <w:p w14:paraId="40C520AD" w14:textId="262A2B64" w:rsidR="00833097" w:rsidRPr="00C951E7" w:rsidRDefault="00690865"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65835D52"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7B9FEFC6" w14:textId="6AF366B7" w:rsidR="00833097" w:rsidRPr="00C951E7" w:rsidRDefault="00690865" w:rsidP="00833097">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690865">
              <w:rPr>
                <w:rFonts w:ascii="Times New Roman" w:hAnsi="Times New Roman"/>
                <w:sz w:val="20"/>
                <w:szCs w:val="20"/>
                <w:lang w:val="fr-FR" w:eastAsia="ru-RU"/>
              </w:rPr>
              <w:t xml:space="preserve">„ </w:t>
            </w:r>
            <w:proofErr w:type="spellStart"/>
            <w:r w:rsidRPr="00690865">
              <w:rPr>
                <w:rFonts w:ascii="Times New Roman" w:hAnsi="Times New Roman"/>
                <w:sz w:val="20"/>
                <w:szCs w:val="20"/>
                <w:lang w:val="fr-FR" w:eastAsia="ru-RU"/>
              </w:rPr>
              <w:t>consum</w:t>
            </w:r>
            <w:proofErr w:type="spellEnd"/>
            <w:r w:rsidRPr="00690865">
              <w:rPr>
                <w:rFonts w:ascii="Times New Roman" w:hAnsi="Times New Roman"/>
                <w:sz w:val="20"/>
                <w:szCs w:val="20"/>
                <w:lang w:val="fr-FR" w:eastAsia="ru-RU"/>
              </w:rPr>
              <w:t xml:space="preserve"> de </w:t>
            </w:r>
            <w:proofErr w:type="spellStart"/>
            <w:r w:rsidRPr="00690865">
              <w:rPr>
                <w:rFonts w:ascii="Times New Roman" w:hAnsi="Times New Roman"/>
                <w:sz w:val="20"/>
                <w:szCs w:val="20"/>
                <w:lang w:val="fr-FR" w:eastAsia="ru-RU"/>
              </w:rPr>
              <w:t>energie</w:t>
            </w:r>
            <w:proofErr w:type="spellEnd"/>
            <w:r w:rsidRPr="00690865">
              <w:rPr>
                <w:rFonts w:ascii="Times New Roman" w:hAnsi="Times New Roman"/>
                <w:sz w:val="20"/>
                <w:szCs w:val="20"/>
                <w:lang w:val="fr-FR" w:eastAsia="ru-RU"/>
              </w:rPr>
              <w:t xml:space="preserve"> </w:t>
            </w:r>
            <w:proofErr w:type="spellStart"/>
            <w:r w:rsidRPr="00690865">
              <w:rPr>
                <w:rFonts w:ascii="Times New Roman" w:hAnsi="Times New Roman"/>
                <w:sz w:val="20"/>
                <w:szCs w:val="20"/>
                <w:lang w:val="fr-FR" w:eastAsia="ru-RU"/>
              </w:rPr>
              <w:t>primară</w:t>
            </w:r>
            <w:proofErr w:type="spellEnd"/>
            <w:r w:rsidRPr="00690865">
              <w:rPr>
                <w:rFonts w:ascii="Times New Roman" w:hAnsi="Times New Roman"/>
                <w:sz w:val="20"/>
                <w:szCs w:val="20"/>
                <w:lang w:val="fr-FR"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64FD045C" w14:textId="4F131858" w:rsidR="008E462C" w:rsidRPr="003F755D" w:rsidRDefault="008E462C" w:rsidP="008E462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41BE68BB" w14:textId="4BF8B555" w:rsidR="00833097" w:rsidRPr="00C951E7" w:rsidRDefault="00B8482B" w:rsidP="00833097">
            <w:pPr>
              <w:autoSpaceDE w:val="0"/>
              <w:spacing w:after="0" w:line="240" w:lineRule="auto"/>
              <w:rPr>
                <w:rFonts w:ascii="Times New Roman" w:eastAsia="Times New Roman" w:hAnsi="Times New Roman"/>
                <w:color w:val="000000" w:themeColor="text1"/>
                <w:sz w:val="20"/>
                <w:szCs w:val="20"/>
                <w:lang w:val="ro-RO"/>
              </w:rPr>
            </w:pPr>
            <w:r w:rsidRPr="00A81801">
              <w:rPr>
                <w:rFonts w:ascii="Times New Roman" w:hAnsi="Times New Roman"/>
                <w:color w:val="000000" w:themeColor="text1"/>
                <w:sz w:val="20"/>
                <w:szCs w:val="20"/>
              </w:rPr>
              <w:t>Energiei</w:t>
            </w:r>
          </w:p>
        </w:tc>
      </w:tr>
      <w:tr w:rsidR="00833097" w:rsidRPr="007A690D" w14:paraId="570A6464" w14:textId="77777777" w:rsidTr="009F5405">
        <w:trPr>
          <w:trHeight w:val="776"/>
        </w:trPr>
        <w:tc>
          <w:tcPr>
            <w:tcW w:w="4810" w:type="dxa"/>
            <w:shd w:val="clear" w:color="auto" w:fill="auto"/>
          </w:tcPr>
          <w:p w14:paraId="3C6D749B" w14:textId="6BDA3612" w:rsidR="00833097" w:rsidRPr="00745D9A" w:rsidRDefault="00E41D66" w:rsidP="00690865">
            <w:pPr>
              <w:jc w:val="both"/>
              <w:rPr>
                <w:rFonts w:ascii="Times New Roman" w:hAnsi="Times New Roman"/>
                <w:sz w:val="20"/>
                <w:szCs w:val="20"/>
                <w:lang w:val="fr-FR"/>
              </w:rPr>
            </w:pPr>
            <w:r>
              <w:rPr>
                <w:rFonts w:ascii="Times New Roman" w:hAnsi="Times New Roman"/>
                <w:sz w:val="20"/>
                <w:szCs w:val="20"/>
                <w:lang w:val="fr-FR"/>
              </w:rPr>
              <w:lastRenderedPageBreak/>
              <w:t>(</w:t>
            </w:r>
            <w:r w:rsidR="00690865" w:rsidRPr="00690865">
              <w:rPr>
                <w:rFonts w:ascii="Times New Roman" w:hAnsi="Times New Roman"/>
                <w:sz w:val="20"/>
                <w:szCs w:val="20"/>
                <w:lang w:val="fr-FR"/>
              </w:rPr>
              <w:t>4</w:t>
            </w:r>
            <w:r w:rsidR="00246A1E">
              <w:rPr>
                <w:rFonts w:ascii="Times New Roman" w:hAnsi="Times New Roman"/>
                <w:sz w:val="20"/>
                <w:szCs w:val="20"/>
                <w:lang w:val="fr-FR"/>
              </w:rPr>
              <w:t>3</w:t>
            </w:r>
            <w:r>
              <w:rPr>
                <w:rFonts w:ascii="Times New Roman" w:hAnsi="Times New Roman"/>
                <w:sz w:val="20"/>
                <w:szCs w:val="20"/>
                <w:lang w:val="fr-FR"/>
              </w:rPr>
              <w:t>)</w:t>
            </w:r>
            <w:r w:rsidR="00690865" w:rsidRPr="00246A1E">
              <w:rPr>
                <w:rFonts w:ascii="Times New Roman" w:hAnsi="Times New Roman"/>
                <w:sz w:val="20"/>
                <w:szCs w:val="20"/>
                <w:lang w:val="fr-FR" w:eastAsia="ru-RU"/>
              </w:rPr>
              <w:t xml:space="preserve"> </w:t>
            </w:r>
            <w:r w:rsidR="00246A1E" w:rsidRPr="00246A1E">
              <w:rPr>
                <w:rFonts w:ascii="Times New Roman" w:hAnsi="Times New Roman"/>
                <w:sz w:val="20"/>
                <w:szCs w:val="20"/>
                <w:lang w:val="fr-FR" w:eastAsia="ru-RU"/>
              </w:rPr>
              <w:t>„</w:t>
            </w:r>
            <w:proofErr w:type="spellStart"/>
            <w:r w:rsidR="00246A1E" w:rsidRPr="00246A1E">
              <w:rPr>
                <w:rFonts w:ascii="Times New Roman" w:hAnsi="Times New Roman"/>
                <w:sz w:val="20"/>
                <w:szCs w:val="20"/>
                <w:lang w:val="fr-FR" w:eastAsia="ru-RU"/>
              </w:rPr>
              <w:t>consum</w:t>
            </w:r>
            <w:proofErr w:type="spellEnd"/>
            <w:r w:rsidR="00246A1E" w:rsidRPr="00246A1E">
              <w:rPr>
                <w:rFonts w:ascii="Times New Roman" w:hAnsi="Times New Roman"/>
                <w:sz w:val="20"/>
                <w:szCs w:val="20"/>
                <w:lang w:val="fr-FR" w:eastAsia="ru-RU"/>
              </w:rPr>
              <w:t xml:space="preserve"> de </w:t>
            </w:r>
            <w:proofErr w:type="spellStart"/>
            <w:r w:rsidR="00246A1E" w:rsidRPr="00246A1E">
              <w:rPr>
                <w:rFonts w:ascii="Times New Roman" w:hAnsi="Times New Roman"/>
                <w:sz w:val="20"/>
                <w:szCs w:val="20"/>
                <w:lang w:val="fr-FR" w:eastAsia="ru-RU"/>
              </w:rPr>
              <w:t>energie</w:t>
            </w:r>
            <w:proofErr w:type="spellEnd"/>
            <w:r w:rsidR="00246A1E" w:rsidRPr="00246A1E">
              <w:rPr>
                <w:rFonts w:ascii="Times New Roman" w:hAnsi="Times New Roman"/>
                <w:sz w:val="20"/>
                <w:szCs w:val="20"/>
                <w:lang w:val="fr-FR" w:eastAsia="ru-RU"/>
              </w:rPr>
              <w:t xml:space="preserve"> </w:t>
            </w:r>
            <w:proofErr w:type="spellStart"/>
            <w:r w:rsidR="00246A1E" w:rsidRPr="00246A1E">
              <w:rPr>
                <w:rFonts w:ascii="Times New Roman" w:hAnsi="Times New Roman"/>
                <w:sz w:val="20"/>
                <w:szCs w:val="20"/>
                <w:lang w:val="fr-FR" w:eastAsia="ru-RU"/>
              </w:rPr>
              <w:t>finală</w:t>
            </w:r>
            <w:proofErr w:type="spellEnd"/>
            <w:r w:rsidR="00246A1E" w:rsidRPr="00246A1E">
              <w:rPr>
                <w:rFonts w:ascii="Times New Roman" w:hAnsi="Times New Roman"/>
                <w:sz w:val="20"/>
                <w:szCs w:val="20"/>
                <w:lang w:val="fr-FR" w:eastAsia="ru-RU"/>
              </w:rPr>
              <w:t xml:space="preserve">” </w:t>
            </w:r>
            <w:proofErr w:type="spellStart"/>
            <w:r w:rsidR="00246A1E" w:rsidRPr="00246A1E">
              <w:rPr>
                <w:rFonts w:ascii="Times New Roman" w:hAnsi="Times New Roman"/>
                <w:sz w:val="20"/>
                <w:szCs w:val="20"/>
                <w:lang w:val="fr-FR" w:eastAsia="ru-RU"/>
              </w:rPr>
              <w:t>înseamnă</w:t>
            </w:r>
            <w:proofErr w:type="spellEnd"/>
            <w:r w:rsidR="00246A1E" w:rsidRPr="00246A1E">
              <w:rPr>
                <w:rFonts w:ascii="Times New Roman" w:hAnsi="Times New Roman"/>
                <w:sz w:val="20"/>
                <w:szCs w:val="20"/>
                <w:lang w:val="fr-FR" w:eastAsia="ru-RU"/>
              </w:rPr>
              <w:t xml:space="preserve"> </w:t>
            </w:r>
            <w:proofErr w:type="spellStart"/>
            <w:r w:rsidR="00246A1E" w:rsidRPr="00246A1E">
              <w:rPr>
                <w:rFonts w:ascii="Times New Roman" w:hAnsi="Times New Roman"/>
                <w:sz w:val="20"/>
                <w:szCs w:val="20"/>
                <w:lang w:val="fr-FR" w:eastAsia="ru-RU"/>
              </w:rPr>
              <w:t>consumul</w:t>
            </w:r>
            <w:proofErr w:type="spellEnd"/>
            <w:r w:rsidR="00246A1E" w:rsidRPr="00246A1E">
              <w:rPr>
                <w:rFonts w:ascii="Times New Roman" w:hAnsi="Times New Roman"/>
                <w:sz w:val="20"/>
                <w:szCs w:val="20"/>
                <w:lang w:val="fr-FR" w:eastAsia="ru-RU"/>
              </w:rPr>
              <w:t xml:space="preserve"> final de </w:t>
            </w:r>
            <w:proofErr w:type="spellStart"/>
            <w:r w:rsidR="00246A1E" w:rsidRPr="00246A1E">
              <w:rPr>
                <w:rFonts w:ascii="Times New Roman" w:hAnsi="Times New Roman"/>
                <w:sz w:val="20"/>
                <w:szCs w:val="20"/>
                <w:lang w:val="fr-FR" w:eastAsia="ru-RU"/>
              </w:rPr>
              <w:t>energie</w:t>
            </w:r>
            <w:proofErr w:type="spellEnd"/>
            <w:r w:rsidR="00246A1E" w:rsidRPr="00246A1E">
              <w:rPr>
                <w:rFonts w:ascii="Times New Roman" w:hAnsi="Times New Roman"/>
                <w:sz w:val="20"/>
                <w:szCs w:val="20"/>
                <w:lang w:val="fr-FR" w:eastAsia="ru-RU"/>
              </w:rPr>
              <w:t xml:space="preserve"> în </w:t>
            </w:r>
            <w:proofErr w:type="spellStart"/>
            <w:r w:rsidR="00246A1E" w:rsidRPr="00246A1E">
              <w:rPr>
                <w:rFonts w:ascii="Times New Roman" w:hAnsi="Times New Roman"/>
                <w:sz w:val="20"/>
                <w:szCs w:val="20"/>
                <w:lang w:val="fr-FR" w:eastAsia="ru-RU"/>
              </w:rPr>
              <w:t>sensul</w:t>
            </w:r>
            <w:proofErr w:type="spellEnd"/>
            <w:r w:rsidR="00246A1E" w:rsidRPr="00246A1E">
              <w:rPr>
                <w:rFonts w:ascii="Times New Roman" w:hAnsi="Times New Roman"/>
                <w:sz w:val="20"/>
                <w:szCs w:val="20"/>
                <w:lang w:val="fr-FR" w:eastAsia="ru-RU"/>
              </w:rPr>
              <w:t xml:space="preserve"> </w:t>
            </w:r>
            <w:proofErr w:type="spellStart"/>
            <w:r w:rsidR="00246A1E" w:rsidRPr="00246A1E">
              <w:rPr>
                <w:rFonts w:ascii="Times New Roman" w:hAnsi="Times New Roman"/>
                <w:sz w:val="20"/>
                <w:szCs w:val="20"/>
                <w:lang w:val="fr-FR" w:eastAsia="ru-RU"/>
              </w:rPr>
              <w:t>definiției</w:t>
            </w:r>
            <w:proofErr w:type="spellEnd"/>
            <w:r w:rsidR="00246A1E" w:rsidRPr="00246A1E">
              <w:rPr>
                <w:rFonts w:ascii="Times New Roman" w:hAnsi="Times New Roman"/>
                <w:sz w:val="20"/>
                <w:szCs w:val="20"/>
                <w:lang w:val="fr-FR" w:eastAsia="ru-RU"/>
              </w:rPr>
              <w:t xml:space="preserve"> de la </w:t>
            </w:r>
            <w:proofErr w:type="spellStart"/>
            <w:r w:rsidR="00246A1E" w:rsidRPr="00246A1E">
              <w:rPr>
                <w:rFonts w:ascii="Times New Roman" w:hAnsi="Times New Roman"/>
                <w:sz w:val="20"/>
                <w:szCs w:val="20"/>
                <w:lang w:val="fr-FR" w:eastAsia="ru-RU"/>
              </w:rPr>
              <w:t>articolul</w:t>
            </w:r>
            <w:proofErr w:type="spellEnd"/>
            <w:r w:rsidR="00246A1E">
              <w:rPr>
                <w:rFonts w:ascii="Times New Roman" w:hAnsi="Times New Roman"/>
                <w:sz w:val="20"/>
                <w:szCs w:val="20"/>
                <w:lang w:val="fr-FR" w:eastAsia="ru-RU"/>
              </w:rPr>
              <w:t xml:space="preserve"> </w:t>
            </w:r>
            <w:r w:rsidR="00246A1E" w:rsidRPr="00246A1E">
              <w:rPr>
                <w:rFonts w:ascii="Times New Roman" w:hAnsi="Times New Roman"/>
                <w:sz w:val="20"/>
                <w:szCs w:val="20"/>
                <w:lang w:val="fr-FR" w:eastAsia="ru-RU"/>
              </w:rPr>
              <w:t xml:space="preserve">2 </w:t>
            </w:r>
            <w:proofErr w:type="spellStart"/>
            <w:r w:rsidR="00246A1E" w:rsidRPr="00246A1E">
              <w:rPr>
                <w:rFonts w:ascii="Times New Roman" w:hAnsi="Times New Roman"/>
                <w:sz w:val="20"/>
                <w:szCs w:val="20"/>
                <w:lang w:val="fr-FR" w:eastAsia="ru-RU"/>
              </w:rPr>
              <w:t>punctul</w:t>
            </w:r>
            <w:proofErr w:type="spellEnd"/>
            <w:r w:rsidR="00246A1E">
              <w:rPr>
                <w:rFonts w:ascii="Times New Roman" w:hAnsi="Times New Roman"/>
                <w:sz w:val="20"/>
                <w:szCs w:val="20"/>
                <w:lang w:val="fr-FR" w:eastAsia="ru-RU"/>
              </w:rPr>
              <w:t xml:space="preserve"> </w:t>
            </w:r>
            <w:r w:rsidR="00246A1E" w:rsidRPr="00246A1E">
              <w:rPr>
                <w:rFonts w:ascii="Times New Roman" w:hAnsi="Times New Roman"/>
                <w:sz w:val="20"/>
                <w:szCs w:val="20"/>
                <w:lang w:val="fr-FR" w:eastAsia="ru-RU"/>
              </w:rPr>
              <w:t xml:space="preserve">3 </w:t>
            </w:r>
            <w:proofErr w:type="spellStart"/>
            <w:r w:rsidR="00246A1E" w:rsidRPr="00246A1E">
              <w:rPr>
                <w:rFonts w:ascii="Times New Roman" w:hAnsi="Times New Roman"/>
                <w:sz w:val="20"/>
                <w:szCs w:val="20"/>
                <w:lang w:val="fr-FR" w:eastAsia="ru-RU"/>
              </w:rPr>
              <w:t>din</w:t>
            </w:r>
            <w:proofErr w:type="spellEnd"/>
            <w:r w:rsidR="00246A1E" w:rsidRPr="00246A1E">
              <w:rPr>
                <w:rFonts w:ascii="Times New Roman" w:hAnsi="Times New Roman"/>
                <w:sz w:val="20"/>
                <w:szCs w:val="20"/>
                <w:lang w:val="fr-FR" w:eastAsia="ru-RU"/>
              </w:rPr>
              <w:t xml:space="preserve"> </w:t>
            </w:r>
            <w:proofErr w:type="spellStart"/>
            <w:r w:rsidR="00246A1E" w:rsidRPr="00246A1E">
              <w:rPr>
                <w:rFonts w:ascii="Times New Roman" w:hAnsi="Times New Roman"/>
                <w:sz w:val="20"/>
                <w:szCs w:val="20"/>
                <w:lang w:val="fr-FR" w:eastAsia="ru-RU"/>
              </w:rPr>
              <w:t>Directiva</w:t>
            </w:r>
            <w:proofErr w:type="spellEnd"/>
            <w:r w:rsidR="00246A1E">
              <w:rPr>
                <w:rFonts w:ascii="Times New Roman" w:hAnsi="Times New Roman"/>
                <w:sz w:val="20"/>
                <w:szCs w:val="20"/>
                <w:lang w:val="fr-FR" w:eastAsia="ru-RU"/>
              </w:rPr>
              <w:t xml:space="preserve"> </w:t>
            </w:r>
            <w:r w:rsidR="00246A1E" w:rsidRPr="00246A1E">
              <w:rPr>
                <w:rFonts w:ascii="Times New Roman" w:hAnsi="Times New Roman"/>
                <w:sz w:val="20"/>
                <w:szCs w:val="20"/>
                <w:lang w:val="fr-FR" w:eastAsia="ru-RU"/>
              </w:rPr>
              <w:t>2012/27/</w:t>
            </w:r>
            <w:proofErr w:type="gramStart"/>
            <w:r w:rsidR="00246A1E" w:rsidRPr="00246A1E">
              <w:rPr>
                <w:rFonts w:ascii="Times New Roman" w:hAnsi="Times New Roman"/>
                <w:sz w:val="20"/>
                <w:szCs w:val="20"/>
                <w:lang w:val="fr-FR" w:eastAsia="ru-RU"/>
              </w:rPr>
              <w:t>UE;</w:t>
            </w:r>
            <w:proofErr w:type="gramEnd"/>
          </w:p>
        </w:tc>
        <w:tc>
          <w:tcPr>
            <w:tcW w:w="4541" w:type="dxa"/>
            <w:shd w:val="clear" w:color="auto" w:fill="auto"/>
          </w:tcPr>
          <w:p w14:paraId="4E1F27F6" w14:textId="1689096B" w:rsidR="00833097" w:rsidRPr="00246A1E" w:rsidRDefault="00833097" w:rsidP="00833097">
            <w:pPr>
              <w:pStyle w:val="af5"/>
              <w:jc w:val="both"/>
              <w:rPr>
                <w:rFonts w:ascii="Times New Roman" w:hAnsi="Times New Roman"/>
                <w:sz w:val="20"/>
                <w:szCs w:val="20"/>
              </w:rPr>
            </w:pPr>
          </w:p>
        </w:tc>
        <w:tc>
          <w:tcPr>
            <w:tcW w:w="1276" w:type="dxa"/>
            <w:shd w:val="clear" w:color="auto" w:fill="auto"/>
          </w:tcPr>
          <w:p w14:paraId="1C4CF76A" w14:textId="620C6F64" w:rsidR="00833097" w:rsidRPr="00C951E7" w:rsidRDefault="00833097"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4FBC5853"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0795588C" w14:textId="4FF327D6" w:rsidR="00833097" w:rsidRPr="00C951E7" w:rsidRDefault="00246A1E" w:rsidP="00833097">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690865">
              <w:rPr>
                <w:rFonts w:ascii="Times New Roman" w:hAnsi="Times New Roman"/>
                <w:sz w:val="20"/>
                <w:szCs w:val="20"/>
                <w:lang w:val="fr-FR" w:eastAsia="ru-RU"/>
              </w:rPr>
              <w:t xml:space="preserve">„ </w:t>
            </w:r>
            <w:r w:rsidRPr="00246A1E">
              <w:rPr>
                <w:rFonts w:ascii="Times New Roman" w:hAnsi="Times New Roman"/>
                <w:sz w:val="20"/>
                <w:szCs w:val="20"/>
                <w:lang w:val="fr-FR" w:eastAsia="ru-RU"/>
              </w:rPr>
              <w:t xml:space="preserve"> </w:t>
            </w:r>
            <w:proofErr w:type="spellStart"/>
            <w:r w:rsidRPr="00246A1E">
              <w:rPr>
                <w:rFonts w:ascii="Times New Roman" w:hAnsi="Times New Roman"/>
                <w:sz w:val="20"/>
                <w:szCs w:val="20"/>
                <w:lang w:val="fr-FR" w:eastAsia="ru-RU"/>
              </w:rPr>
              <w:t>consum</w:t>
            </w:r>
            <w:proofErr w:type="spellEnd"/>
            <w:r w:rsidRPr="00246A1E">
              <w:rPr>
                <w:rFonts w:ascii="Times New Roman" w:hAnsi="Times New Roman"/>
                <w:sz w:val="20"/>
                <w:szCs w:val="20"/>
                <w:lang w:val="fr-FR" w:eastAsia="ru-RU"/>
              </w:rPr>
              <w:t xml:space="preserve"> de </w:t>
            </w:r>
            <w:proofErr w:type="spellStart"/>
            <w:r w:rsidRPr="00246A1E">
              <w:rPr>
                <w:rFonts w:ascii="Times New Roman" w:hAnsi="Times New Roman"/>
                <w:sz w:val="20"/>
                <w:szCs w:val="20"/>
                <w:lang w:val="fr-FR" w:eastAsia="ru-RU"/>
              </w:rPr>
              <w:t>energie</w:t>
            </w:r>
            <w:proofErr w:type="spellEnd"/>
            <w:r w:rsidRPr="00246A1E">
              <w:rPr>
                <w:rFonts w:ascii="Times New Roman" w:hAnsi="Times New Roman"/>
                <w:sz w:val="20"/>
                <w:szCs w:val="20"/>
                <w:lang w:val="fr-FR" w:eastAsia="ru-RU"/>
              </w:rPr>
              <w:t xml:space="preserve"> </w:t>
            </w:r>
            <w:proofErr w:type="spellStart"/>
            <w:r w:rsidRPr="00246A1E">
              <w:rPr>
                <w:rFonts w:ascii="Times New Roman" w:hAnsi="Times New Roman"/>
                <w:sz w:val="20"/>
                <w:szCs w:val="20"/>
                <w:lang w:val="fr-FR" w:eastAsia="ru-RU"/>
              </w:rPr>
              <w:t>finală</w:t>
            </w:r>
            <w:proofErr w:type="spellEnd"/>
            <w:r w:rsidRPr="00690865">
              <w:rPr>
                <w:rFonts w:ascii="Times New Roman" w:hAnsi="Times New Roman"/>
                <w:sz w:val="20"/>
                <w:szCs w:val="20"/>
                <w:lang w:val="fr-FR"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0772B806" w14:textId="58D73BEE" w:rsidR="00833097" w:rsidRPr="00690865" w:rsidRDefault="00690865" w:rsidP="00B8482B">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00B8482B">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r w:rsidR="00B8482B" w:rsidRPr="003F755D">
              <w:rPr>
                <w:rFonts w:ascii="Times New Roman" w:hAnsi="Times New Roman"/>
                <w:sz w:val="20"/>
                <w:szCs w:val="20"/>
                <w:lang w:val="fr-FR"/>
              </w:rPr>
              <w:t xml:space="preserve"> </w:t>
            </w:r>
            <w:r w:rsidRPr="003F755D">
              <w:rPr>
                <w:rFonts w:ascii="Times New Roman" w:hAnsi="Times New Roman"/>
                <w:sz w:val="20"/>
                <w:szCs w:val="20"/>
                <w:lang w:val="fr-FR"/>
              </w:rPr>
              <w:t xml:space="preserve"> </w:t>
            </w:r>
          </w:p>
        </w:tc>
      </w:tr>
      <w:tr w:rsidR="00EB594F" w:rsidRPr="007A690D" w14:paraId="0AAF773B" w14:textId="77777777" w:rsidTr="009F5405">
        <w:trPr>
          <w:trHeight w:val="776"/>
        </w:trPr>
        <w:tc>
          <w:tcPr>
            <w:tcW w:w="4810" w:type="dxa"/>
            <w:shd w:val="clear" w:color="auto" w:fill="auto"/>
          </w:tcPr>
          <w:p w14:paraId="3838D263" w14:textId="081EC4AC" w:rsidR="00EB594F" w:rsidRPr="007A690D" w:rsidRDefault="00E41D66" w:rsidP="00690865">
            <w:pPr>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44)</w:t>
            </w:r>
            <w:r w:rsidR="00EB594F" w:rsidRPr="007A690D">
              <w:rPr>
                <w:rFonts w:ascii="Times New Roman" w:hAnsi="Times New Roman"/>
                <w:sz w:val="20"/>
                <w:szCs w:val="20"/>
                <w:lang w:eastAsia="ru-RU"/>
              </w:rPr>
              <w:t>„</w:t>
            </w:r>
            <w:proofErr w:type="spellStart"/>
            <w:proofErr w:type="gramEnd"/>
            <w:r w:rsidR="00EB594F" w:rsidRPr="007A690D">
              <w:rPr>
                <w:rFonts w:ascii="Times New Roman" w:hAnsi="Times New Roman"/>
                <w:sz w:val="20"/>
                <w:szCs w:val="20"/>
                <w:lang w:eastAsia="ru-RU"/>
              </w:rPr>
              <w:t>eficiență</w:t>
            </w:r>
            <w:proofErr w:type="spellEnd"/>
            <w:r w:rsidR="00EB594F" w:rsidRPr="007A690D">
              <w:rPr>
                <w:rFonts w:ascii="Times New Roman" w:hAnsi="Times New Roman"/>
                <w:sz w:val="20"/>
                <w:szCs w:val="20"/>
                <w:lang w:eastAsia="ru-RU"/>
              </w:rPr>
              <w:t xml:space="preserve"> </w:t>
            </w:r>
            <w:proofErr w:type="spellStart"/>
            <w:r w:rsidR="00EB594F" w:rsidRPr="007A690D">
              <w:rPr>
                <w:rFonts w:ascii="Times New Roman" w:hAnsi="Times New Roman"/>
                <w:sz w:val="20"/>
                <w:szCs w:val="20"/>
                <w:lang w:eastAsia="ru-RU"/>
              </w:rPr>
              <w:t>energetică</w:t>
            </w:r>
            <w:proofErr w:type="spellEnd"/>
            <w:r w:rsidR="00EB594F" w:rsidRPr="007A690D">
              <w:rPr>
                <w:rFonts w:ascii="Times New Roman" w:hAnsi="Times New Roman"/>
                <w:sz w:val="20"/>
                <w:szCs w:val="20"/>
                <w:lang w:eastAsia="ru-RU"/>
              </w:rPr>
              <w:t xml:space="preserve">” </w:t>
            </w:r>
            <w:proofErr w:type="spellStart"/>
            <w:r w:rsidR="00EB594F" w:rsidRPr="007A690D">
              <w:rPr>
                <w:rFonts w:ascii="Times New Roman" w:hAnsi="Times New Roman"/>
                <w:sz w:val="20"/>
                <w:szCs w:val="20"/>
                <w:lang w:eastAsia="ru-RU"/>
              </w:rPr>
              <w:t>înseamnă</w:t>
            </w:r>
            <w:proofErr w:type="spellEnd"/>
            <w:r w:rsidR="00EB594F" w:rsidRPr="007A690D">
              <w:rPr>
                <w:rFonts w:ascii="Times New Roman" w:hAnsi="Times New Roman"/>
                <w:sz w:val="20"/>
                <w:szCs w:val="20"/>
                <w:lang w:eastAsia="ru-RU"/>
              </w:rPr>
              <w:t xml:space="preserve"> </w:t>
            </w:r>
            <w:proofErr w:type="spellStart"/>
            <w:r w:rsidR="00EB594F" w:rsidRPr="007A690D">
              <w:rPr>
                <w:rFonts w:ascii="Times New Roman" w:hAnsi="Times New Roman"/>
                <w:sz w:val="20"/>
                <w:szCs w:val="20"/>
                <w:lang w:eastAsia="ru-RU"/>
              </w:rPr>
              <w:t>eficiență</w:t>
            </w:r>
            <w:proofErr w:type="spellEnd"/>
            <w:r w:rsidR="00EB594F" w:rsidRPr="007A690D">
              <w:rPr>
                <w:rFonts w:ascii="Times New Roman" w:hAnsi="Times New Roman"/>
                <w:sz w:val="20"/>
                <w:szCs w:val="20"/>
                <w:lang w:eastAsia="ru-RU"/>
              </w:rPr>
              <w:t xml:space="preserve"> </w:t>
            </w:r>
            <w:proofErr w:type="spellStart"/>
            <w:r w:rsidR="00EB594F" w:rsidRPr="007A690D">
              <w:rPr>
                <w:rFonts w:ascii="Times New Roman" w:hAnsi="Times New Roman"/>
                <w:sz w:val="20"/>
                <w:szCs w:val="20"/>
                <w:lang w:eastAsia="ru-RU"/>
              </w:rPr>
              <w:t>energetică</w:t>
            </w:r>
            <w:proofErr w:type="spellEnd"/>
            <w:r w:rsidR="00EB594F" w:rsidRPr="007A690D">
              <w:rPr>
                <w:rFonts w:ascii="Times New Roman" w:hAnsi="Times New Roman"/>
                <w:sz w:val="20"/>
                <w:szCs w:val="20"/>
                <w:lang w:eastAsia="ru-RU"/>
              </w:rPr>
              <w:t xml:space="preserve"> în </w:t>
            </w:r>
            <w:proofErr w:type="spellStart"/>
            <w:r w:rsidR="00EB594F" w:rsidRPr="007A690D">
              <w:rPr>
                <w:rFonts w:ascii="Times New Roman" w:hAnsi="Times New Roman"/>
                <w:sz w:val="20"/>
                <w:szCs w:val="20"/>
                <w:lang w:eastAsia="ru-RU"/>
              </w:rPr>
              <w:t>sensul</w:t>
            </w:r>
            <w:proofErr w:type="spellEnd"/>
            <w:r w:rsidR="00EB594F" w:rsidRPr="007A690D">
              <w:rPr>
                <w:rFonts w:ascii="Times New Roman" w:hAnsi="Times New Roman"/>
                <w:sz w:val="20"/>
                <w:szCs w:val="20"/>
                <w:lang w:eastAsia="ru-RU"/>
              </w:rPr>
              <w:t xml:space="preserve"> </w:t>
            </w:r>
            <w:proofErr w:type="spellStart"/>
            <w:r w:rsidR="00EB594F" w:rsidRPr="007A690D">
              <w:rPr>
                <w:rFonts w:ascii="Times New Roman" w:hAnsi="Times New Roman"/>
                <w:sz w:val="20"/>
                <w:szCs w:val="20"/>
                <w:lang w:eastAsia="ru-RU"/>
              </w:rPr>
              <w:t>definiției</w:t>
            </w:r>
            <w:proofErr w:type="spellEnd"/>
            <w:r w:rsidR="00EB594F" w:rsidRPr="007A690D">
              <w:rPr>
                <w:rFonts w:ascii="Times New Roman" w:hAnsi="Times New Roman"/>
                <w:sz w:val="20"/>
                <w:szCs w:val="20"/>
                <w:lang w:eastAsia="ru-RU"/>
              </w:rPr>
              <w:t xml:space="preserve"> de la </w:t>
            </w:r>
            <w:proofErr w:type="spellStart"/>
            <w:r w:rsidR="00EB594F" w:rsidRPr="007A690D">
              <w:rPr>
                <w:rFonts w:ascii="Times New Roman" w:hAnsi="Times New Roman"/>
                <w:sz w:val="20"/>
                <w:szCs w:val="20"/>
                <w:lang w:eastAsia="ru-RU"/>
              </w:rPr>
              <w:t>articolul</w:t>
            </w:r>
            <w:proofErr w:type="spellEnd"/>
            <w:r w:rsidR="00EB594F" w:rsidRPr="007A690D">
              <w:rPr>
                <w:rFonts w:ascii="Times New Roman" w:hAnsi="Times New Roman"/>
                <w:sz w:val="20"/>
                <w:szCs w:val="20"/>
                <w:lang w:eastAsia="ru-RU"/>
              </w:rPr>
              <w:t xml:space="preserve"> 2 </w:t>
            </w:r>
            <w:proofErr w:type="spellStart"/>
            <w:r w:rsidR="00EB594F" w:rsidRPr="007A690D">
              <w:rPr>
                <w:rFonts w:ascii="Times New Roman" w:hAnsi="Times New Roman"/>
                <w:sz w:val="20"/>
                <w:szCs w:val="20"/>
                <w:lang w:eastAsia="ru-RU"/>
              </w:rPr>
              <w:t>punctul</w:t>
            </w:r>
            <w:proofErr w:type="spellEnd"/>
            <w:r w:rsidR="00EB594F" w:rsidRPr="007A690D">
              <w:rPr>
                <w:rFonts w:ascii="Times New Roman" w:hAnsi="Times New Roman"/>
                <w:sz w:val="20"/>
                <w:szCs w:val="20"/>
                <w:lang w:eastAsia="ru-RU"/>
              </w:rPr>
              <w:t xml:space="preserve"> 4 din </w:t>
            </w:r>
            <w:proofErr w:type="spellStart"/>
            <w:r w:rsidR="00EB594F" w:rsidRPr="007A690D">
              <w:rPr>
                <w:rFonts w:ascii="Times New Roman" w:hAnsi="Times New Roman"/>
                <w:sz w:val="20"/>
                <w:szCs w:val="20"/>
                <w:lang w:eastAsia="ru-RU"/>
              </w:rPr>
              <w:t>Directiva</w:t>
            </w:r>
            <w:proofErr w:type="spellEnd"/>
            <w:r w:rsidR="00EB594F" w:rsidRPr="007A690D">
              <w:rPr>
                <w:rFonts w:ascii="Times New Roman" w:hAnsi="Times New Roman"/>
                <w:sz w:val="20"/>
                <w:szCs w:val="20"/>
                <w:lang w:eastAsia="ru-RU"/>
              </w:rPr>
              <w:t xml:space="preserve"> 2012/27/UE;</w:t>
            </w:r>
          </w:p>
        </w:tc>
        <w:tc>
          <w:tcPr>
            <w:tcW w:w="4541" w:type="dxa"/>
            <w:shd w:val="clear" w:color="auto" w:fill="auto"/>
          </w:tcPr>
          <w:p w14:paraId="76EBEBF0" w14:textId="2E995F27" w:rsidR="00EB594F" w:rsidRPr="00BC12AE" w:rsidRDefault="00EB594F" w:rsidP="00833097">
            <w:pPr>
              <w:pStyle w:val="af5"/>
              <w:jc w:val="both"/>
              <w:rPr>
                <w:rFonts w:ascii="Times New Roman" w:hAnsi="Times New Roman"/>
                <w:sz w:val="20"/>
                <w:szCs w:val="20"/>
              </w:rPr>
            </w:pPr>
          </w:p>
        </w:tc>
        <w:tc>
          <w:tcPr>
            <w:tcW w:w="1276" w:type="dxa"/>
            <w:shd w:val="clear" w:color="auto" w:fill="auto"/>
          </w:tcPr>
          <w:p w14:paraId="53C75D6F" w14:textId="6786FEDF" w:rsidR="00EB594F" w:rsidRPr="00C951E7" w:rsidRDefault="005C46C9"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22583FEC" w14:textId="77777777" w:rsidR="00EB594F" w:rsidRPr="00C951E7" w:rsidRDefault="00EB594F" w:rsidP="00833097">
            <w:pPr>
              <w:spacing w:line="240" w:lineRule="auto"/>
              <w:jc w:val="both"/>
              <w:rPr>
                <w:rFonts w:ascii="Times New Roman" w:hAnsi="Times New Roman"/>
                <w:sz w:val="20"/>
                <w:szCs w:val="20"/>
                <w:lang w:val="ro-RO"/>
              </w:rPr>
            </w:pPr>
          </w:p>
        </w:tc>
        <w:tc>
          <w:tcPr>
            <w:tcW w:w="1701" w:type="dxa"/>
            <w:shd w:val="clear" w:color="auto" w:fill="auto"/>
          </w:tcPr>
          <w:p w14:paraId="2E98F6FC" w14:textId="65ED28F7" w:rsidR="00EB594F" w:rsidRPr="00D37AB7" w:rsidRDefault="005C46C9" w:rsidP="00833097">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FE2399">
              <w:rPr>
                <w:rFonts w:ascii="Times New Roman" w:hAnsi="Times New Roman"/>
                <w:sz w:val="20"/>
                <w:szCs w:val="20"/>
                <w:lang w:val="ro-RO" w:eastAsia="ru-RU"/>
              </w:rPr>
              <w:t>„</w:t>
            </w:r>
            <w:r w:rsidR="00FE2399" w:rsidRPr="00FE2399">
              <w:rPr>
                <w:rFonts w:ascii="Times New Roman" w:hAnsi="Times New Roman"/>
                <w:sz w:val="20"/>
                <w:szCs w:val="20"/>
                <w:lang w:val="ro-RO" w:eastAsia="ru-RU"/>
              </w:rPr>
              <w:t xml:space="preserve">eficiență energetică </w:t>
            </w:r>
            <w:r w:rsidRPr="00FE2399">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3D47E881" w14:textId="5422FE04" w:rsidR="00EB594F" w:rsidRPr="003F755D" w:rsidRDefault="00EB594F" w:rsidP="00B8482B">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D37F70" w:rsidRPr="007A690D" w14:paraId="1AC582E3" w14:textId="77777777" w:rsidTr="009F5405">
        <w:trPr>
          <w:trHeight w:val="776"/>
        </w:trPr>
        <w:tc>
          <w:tcPr>
            <w:tcW w:w="4810" w:type="dxa"/>
            <w:shd w:val="clear" w:color="auto" w:fill="auto"/>
          </w:tcPr>
          <w:p w14:paraId="3EEE3726" w14:textId="4F90DF23" w:rsidR="00D37F70" w:rsidRPr="00D37F70" w:rsidRDefault="00E41D66" w:rsidP="00690865">
            <w:pPr>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45)</w:t>
            </w:r>
            <w:r w:rsidR="00D37F70" w:rsidRPr="00D37F70">
              <w:rPr>
                <w:rFonts w:ascii="Times New Roman" w:hAnsi="Times New Roman"/>
                <w:sz w:val="20"/>
                <w:szCs w:val="20"/>
                <w:lang w:val="fr-FR" w:eastAsia="ru-RU"/>
              </w:rPr>
              <w:t>„</w:t>
            </w:r>
            <w:proofErr w:type="spellStart"/>
            <w:proofErr w:type="gramEnd"/>
            <w:r w:rsidR="00D37F70" w:rsidRPr="00D37F70">
              <w:rPr>
                <w:rFonts w:ascii="Times New Roman" w:hAnsi="Times New Roman"/>
                <w:sz w:val="20"/>
                <w:szCs w:val="20"/>
                <w:lang w:val="fr-FR" w:eastAsia="ru-RU"/>
              </w:rPr>
              <w:t>economii</w:t>
            </w:r>
            <w:proofErr w:type="spellEnd"/>
            <w:r w:rsidR="00D37F70" w:rsidRPr="00D37F70">
              <w:rPr>
                <w:rFonts w:ascii="Times New Roman" w:hAnsi="Times New Roman"/>
                <w:sz w:val="20"/>
                <w:szCs w:val="20"/>
                <w:lang w:val="fr-FR" w:eastAsia="ru-RU"/>
              </w:rPr>
              <w:t xml:space="preserve"> de </w:t>
            </w:r>
            <w:proofErr w:type="spellStart"/>
            <w:r w:rsidR="00D37F70" w:rsidRPr="00D37F70">
              <w:rPr>
                <w:rFonts w:ascii="Times New Roman" w:hAnsi="Times New Roman"/>
                <w:sz w:val="20"/>
                <w:szCs w:val="20"/>
                <w:lang w:val="fr-FR" w:eastAsia="ru-RU"/>
              </w:rPr>
              <w:t>energie</w:t>
            </w:r>
            <w:proofErr w:type="spellEnd"/>
            <w:r w:rsidR="00D37F70" w:rsidRPr="00D37F70">
              <w:rPr>
                <w:rFonts w:ascii="Times New Roman" w:hAnsi="Times New Roman"/>
                <w:sz w:val="20"/>
                <w:szCs w:val="20"/>
                <w:lang w:val="fr-FR" w:eastAsia="ru-RU"/>
              </w:rPr>
              <w:t xml:space="preserve">” </w:t>
            </w:r>
            <w:proofErr w:type="spellStart"/>
            <w:r w:rsidR="00D37F70" w:rsidRPr="00D37F70">
              <w:rPr>
                <w:rFonts w:ascii="Times New Roman" w:hAnsi="Times New Roman"/>
                <w:sz w:val="20"/>
                <w:szCs w:val="20"/>
                <w:lang w:val="fr-FR" w:eastAsia="ru-RU"/>
              </w:rPr>
              <w:t>înseamnă</w:t>
            </w:r>
            <w:proofErr w:type="spellEnd"/>
            <w:r w:rsidR="00D37F70" w:rsidRPr="00D37F70">
              <w:rPr>
                <w:rFonts w:ascii="Times New Roman" w:hAnsi="Times New Roman"/>
                <w:sz w:val="20"/>
                <w:szCs w:val="20"/>
                <w:lang w:val="fr-FR" w:eastAsia="ru-RU"/>
              </w:rPr>
              <w:t xml:space="preserve"> </w:t>
            </w:r>
            <w:proofErr w:type="spellStart"/>
            <w:r w:rsidR="00D37F70" w:rsidRPr="00D37F70">
              <w:rPr>
                <w:rFonts w:ascii="Times New Roman" w:hAnsi="Times New Roman"/>
                <w:sz w:val="20"/>
                <w:szCs w:val="20"/>
                <w:lang w:val="fr-FR" w:eastAsia="ru-RU"/>
              </w:rPr>
              <w:t>economii</w:t>
            </w:r>
            <w:proofErr w:type="spellEnd"/>
            <w:r w:rsidR="00D37F70" w:rsidRPr="00D37F70">
              <w:rPr>
                <w:rFonts w:ascii="Times New Roman" w:hAnsi="Times New Roman"/>
                <w:sz w:val="20"/>
                <w:szCs w:val="20"/>
                <w:lang w:val="fr-FR" w:eastAsia="ru-RU"/>
              </w:rPr>
              <w:t xml:space="preserve"> de </w:t>
            </w:r>
            <w:proofErr w:type="spellStart"/>
            <w:r w:rsidR="00D37F70" w:rsidRPr="00D37F70">
              <w:rPr>
                <w:rFonts w:ascii="Times New Roman" w:hAnsi="Times New Roman"/>
                <w:sz w:val="20"/>
                <w:szCs w:val="20"/>
                <w:lang w:val="fr-FR" w:eastAsia="ru-RU"/>
              </w:rPr>
              <w:t>energie</w:t>
            </w:r>
            <w:proofErr w:type="spellEnd"/>
            <w:r w:rsidR="00D37F70" w:rsidRPr="00D37F70">
              <w:rPr>
                <w:rFonts w:ascii="Times New Roman" w:hAnsi="Times New Roman"/>
                <w:sz w:val="20"/>
                <w:szCs w:val="20"/>
                <w:lang w:val="fr-FR" w:eastAsia="ru-RU"/>
              </w:rPr>
              <w:t xml:space="preserve"> în </w:t>
            </w:r>
            <w:proofErr w:type="spellStart"/>
            <w:r w:rsidR="00D37F70" w:rsidRPr="00D37F70">
              <w:rPr>
                <w:rFonts w:ascii="Times New Roman" w:hAnsi="Times New Roman"/>
                <w:sz w:val="20"/>
                <w:szCs w:val="20"/>
                <w:lang w:val="fr-FR" w:eastAsia="ru-RU"/>
              </w:rPr>
              <w:t>sensul</w:t>
            </w:r>
            <w:proofErr w:type="spellEnd"/>
            <w:r w:rsidR="00D37F70" w:rsidRPr="00D37F70">
              <w:rPr>
                <w:rFonts w:ascii="Times New Roman" w:hAnsi="Times New Roman"/>
                <w:sz w:val="20"/>
                <w:szCs w:val="20"/>
                <w:lang w:val="fr-FR" w:eastAsia="ru-RU"/>
              </w:rPr>
              <w:t xml:space="preserve"> </w:t>
            </w:r>
            <w:proofErr w:type="spellStart"/>
            <w:r w:rsidR="00D37F70" w:rsidRPr="00D37F70">
              <w:rPr>
                <w:rFonts w:ascii="Times New Roman" w:hAnsi="Times New Roman"/>
                <w:sz w:val="20"/>
                <w:szCs w:val="20"/>
                <w:lang w:val="fr-FR" w:eastAsia="ru-RU"/>
              </w:rPr>
              <w:t>definiției</w:t>
            </w:r>
            <w:proofErr w:type="spellEnd"/>
            <w:r w:rsidR="00D37F70" w:rsidRPr="00D37F70">
              <w:rPr>
                <w:rFonts w:ascii="Times New Roman" w:hAnsi="Times New Roman"/>
                <w:sz w:val="20"/>
                <w:szCs w:val="20"/>
                <w:lang w:val="fr-FR" w:eastAsia="ru-RU"/>
              </w:rPr>
              <w:t xml:space="preserve"> de la </w:t>
            </w:r>
            <w:proofErr w:type="spellStart"/>
            <w:r w:rsidR="00D37F70" w:rsidRPr="00D37F70">
              <w:rPr>
                <w:rFonts w:ascii="Times New Roman" w:hAnsi="Times New Roman"/>
                <w:sz w:val="20"/>
                <w:szCs w:val="20"/>
                <w:lang w:val="fr-FR" w:eastAsia="ru-RU"/>
              </w:rPr>
              <w:t>articolul</w:t>
            </w:r>
            <w:proofErr w:type="spellEnd"/>
            <w:r w:rsidR="00D37F70" w:rsidRPr="00D37F70">
              <w:rPr>
                <w:rFonts w:ascii="Times New Roman" w:hAnsi="Times New Roman"/>
                <w:sz w:val="20"/>
                <w:szCs w:val="20"/>
                <w:lang w:val="fr-FR" w:eastAsia="ru-RU"/>
              </w:rPr>
              <w:t xml:space="preserve"> 2 </w:t>
            </w:r>
            <w:proofErr w:type="spellStart"/>
            <w:r w:rsidR="00D37F70" w:rsidRPr="00D37F70">
              <w:rPr>
                <w:rFonts w:ascii="Times New Roman" w:hAnsi="Times New Roman"/>
                <w:sz w:val="20"/>
                <w:szCs w:val="20"/>
                <w:lang w:val="fr-FR" w:eastAsia="ru-RU"/>
              </w:rPr>
              <w:t>punctul</w:t>
            </w:r>
            <w:proofErr w:type="spellEnd"/>
            <w:r w:rsidR="00D37F70" w:rsidRPr="00D37F70">
              <w:rPr>
                <w:rFonts w:ascii="Times New Roman" w:hAnsi="Times New Roman"/>
                <w:sz w:val="20"/>
                <w:szCs w:val="20"/>
                <w:lang w:val="fr-FR" w:eastAsia="ru-RU"/>
              </w:rPr>
              <w:t xml:space="preserve"> 5 </w:t>
            </w:r>
            <w:proofErr w:type="spellStart"/>
            <w:r w:rsidR="00D37F70" w:rsidRPr="00D37F70">
              <w:rPr>
                <w:rFonts w:ascii="Times New Roman" w:hAnsi="Times New Roman"/>
                <w:sz w:val="20"/>
                <w:szCs w:val="20"/>
                <w:lang w:val="fr-FR" w:eastAsia="ru-RU"/>
              </w:rPr>
              <w:t>din</w:t>
            </w:r>
            <w:proofErr w:type="spellEnd"/>
            <w:r w:rsidR="00D37F70" w:rsidRPr="00D37F70">
              <w:rPr>
                <w:rFonts w:ascii="Times New Roman" w:hAnsi="Times New Roman"/>
                <w:sz w:val="20"/>
                <w:szCs w:val="20"/>
                <w:lang w:val="fr-FR" w:eastAsia="ru-RU"/>
              </w:rPr>
              <w:t xml:space="preserve"> </w:t>
            </w:r>
            <w:proofErr w:type="spellStart"/>
            <w:r w:rsidR="00D37F70" w:rsidRPr="00D37F70">
              <w:rPr>
                <w:rFonts w:ascii="Times New Roman" w:hAnsi="Times New Roman"/>
                <w:sz w:val="20"/>
                <w:szCs w:val="20"/>
                <w:lang w:val="fr-FR" w:eastAsia="ru-RU"/>
              </w:rPr>
              <w:t>Directiva</w:t>
            </w:r>
            <w:proofErr w:type="spellEnd"/>
            <w:r w:rsidR="00D37F70" w:rsidRPr="00D37F70">
              <w:rPr>
                <w:rFonts w:ascii="Times New Roman" w:hAnsi="Times New Roman"/>
                <w:sz w:val="20"/>
                <w:szCs w:val="20"/>
                <w:lang w:val="fr-FR" w:eastAsia="ru-RU"/>
              </w:rPr>
              <w:t xml:space="preserve"> 2012/27/UE;</w:t>
            </w:r>
          </w:p>
        </w:tc>
        <w:tc>
          <w:tcPr>
            <w:tcW w:w="4541" w:type="dxa"/>
            <w:shd w:val="clear" w:color="auto" w:fill="auto"/>
          </w:tcPr>
          <w:p w14:paraId="53C67C4D" w14:textId="4CE41DB4" w:rsidR="00D37F70" w:rsidRPr="00D37F70" w:rsidRDefault="00D37F70" w:rsidP="00833097">
            <w:pPr>
              <w:pStyle w:val="af5"/>
              <w:jc w:val="both"/>
              <w:rPr>
                <w:rStyle w:val="af7"/>
                <w:rFonts w:ascii="Times New Roman" w:hAnsi="Times New Roman"/>
                <w:sz w:val="20"/>
                <w:szCs w:val="20"/>
                <w:shd w:val="clear" w:color="auto" w:fill="FFFFFF"/>
              </w:rPr>
            </w:pPr>
          </w:p>
        </w:tc>
        <w:tc>
          <w:tcPr>
            <w:tcW w:w="1276" w:type="dxa"/>
            <w:shd w:val="clear" w:color="auto" w:fill="auto"/>
          </w:tcPr>
          <w:p w14:paraId="009B8B77" w14:textId="741C8A17" w:rsidR="00D37F70" w:rsidRPr="00C951E7" w:rsidRDefault="00D37F70"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6A420083" w14:textId="77777777" w:rsidR="00D37F70" w:rsidRPr="00C951E7" w:rsidRDefault="00D37F70" w:rsidP="00833097">
            <w:pPr>
              <w:spacing w:line="240" w:lineRule="auto"/>
              <w:jc w:val="both"/>
              <w:rPr>
                <w:rFonts w:ascii="Times New Roman" w:hAnsi="Times New Roman"/>
                <w:sz w:val="20"/>
                <w:szCs w:val="20"/>
                <w:lang w:val="ro-RO"/>
              </w:rPr>
            </w:pPr>
          </w:p>
        </w:tc>
        <w:tc>
          <w:tcPr>
            <w:tcW w:w="1701" w:type="dxa"/>
            <w:shd w:val="clear" w:color="auto" w:fill="auto"/>
          </w:tcPr>
          <w:p w14:paraId="011A88D9" w14:textId="49D4D60B" w:rsidR="00D37F70" w:rsidRPr="00D37AB7" w:rsidRDefault="00D37F70" w:rsidP="00833097">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690865">
              <w:rPr>
                <w:rFonts w:ascii="Times New Roman" w:hAnsi="Times New Roman"/>
                <w:sz w:val="20"/>
                <w:szCs w:val="20"/>
                <w:lang w:val="fr-FR" w:eastAsia="ru-RU"/>
              </w:rPr>
              <w:t>„</w:t>
            </w:r>
            <w:proofErr w:type="spellStart"/>
            <w:r w:rsidR="00FE2399" w:rsidRPr="00D37F70">
              <w:rPr>
                <w:rFonts w:ascii="Times New Roman" w:hAnsi="Times New Roman"/>
                <w:sz w:val="20"/>
                <w:szCs w:val="20"/>
                <w:lang w:val="fr-FR" w:eastAsia="ru-RU"/>
              </w:rPr>
              <w:t>economii</w:t>
            </w:r>
            <w:proofErr w:type="spellEnd"/>
            <w:r w:rsidR="00FE2399" w:rsidRPr="00D37F70">
              <w:rPr>
                <w:rFonts w:ascii="Times New Roman" w:hAnsi="Times New Roman"/>
                <w:sz w:val="20"/>
                <w:szCs w:val="20"/>
                <w:lang w:val="fr-FR" w:eastAsia="ru-RU"/>
              </w:rPr>
              <w:t xml:space="preserve"> de </w:t>
            </w:r>
            <w:proofErr w:type="spellStart"/>
            <w:r w:rsidR="00FE2399" w:rsidRPr="00D37F70">
              <w:rPr>
                <w:rFonts w:ascii="Times New Roman" w:hAnsi="Times New Roman"/>
                <w:sz w:val="20"/>
                <w:szCs w:val="20"/>
                <w:lang w:val="fr-FR" w:eastAsia="ru-RU"/>
              </w:rPr>
              <w:t>energie</w:t>
            </w:r>
            <w:proofErr w:type="spellEnd"/>
            <w:r w:rsidR="00FE2399" w:rsidRPr="00690865">
              <w:rPr>
                <w:rFonts w:ascii="Times New Roman" w:hAnsi="Times New Roman"/>
                <w:sz w:val="20"/>
                <w:szCs w:val="20"/>
                <w:lang w:val="fr-FR" w:eastAsia="ru-RU"/>
              </w:rPr>
              <w:t xml:space="preserve"> </w:t>
            </w:r>
            <w:r w:rsidRPr="00690865">
              <w:rPr>
                <w:rFonts w:ascii="Times New Roman" w:hAnsi="Times New Roman"/>
                <w:sz w:val="20"/>
                <w:szCs w:val="20"/>
                <w:lang w:val="fr-FR"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720090F2" w14:textId="5D77B026" w:rsidR="00D37F70" w:rsidRPr="003F755D" w:rsidRDefault="00D37F70" w:rsidP="00B8482B">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D37F70" w:rsidRPr="007A690D" w14:paraId="55C33CF8" w14:textId="77777777" w:rsidTr="009F5405">
        <w:trPr>
          <w:trHeight w:val="776"/>
        </w:trPr>
        <w:tc>
          <w:tcPr>
            <w:tcW w:w="4810" w:type="dxa"/>
            <w:shd w:val="clear" w:color="auto" w:fill="auto"/>
          </w:tcPr>
          <w:p w14:paraId="5C5BD78E" w14:textId="7C1B3494" w:rsidR="00D37F70" w:rsidRPr="007A690D" w:rsidRDefault="00E41D66" w:rsidP="00690865">
            <w:pPr>
              <w:jc w:val="both"/>
              <w:rPr>
                <w:rFonts w:ascii="Times New Roman" w:hAnsi="Times New Roman"/>
                <w:sz w:val="20"/>
                <w:szCs w:val="20"/>
                <w:lang w:eastAsia="ru-RU"/>
              </w:rPr>
            </w:pPr>
            <w:r>
              <w:rPr>
                <w:rFonts w:ascii="Times New Roman" w:hAnsi="Times New Roman"/>
                <w:sz w:val="20"/>
                <w:szCs w:val="20"/>
                <w:lang w:eastAsia="ru-RU"/>
              </w:rPr>
              <w:t>(</w:t>
            </w:r>
            <w:proofErr w:type="gramStart"/>
            <w:r>
              <w:rPr>
                <w:rFonts w:ascii="Times New Roman" w:hAnsi="Times New Roman"/>
                <w:sz w:val="20"/>
                <w:szCs w:val="20"/>
                <w:lang w:eastAsia="ru-RU"/>
              </w:rPr>
              <w:t>46)</w:t>
            </w:r>
            <w:r w:rsidR="00DF621B" w:rsidRPr="007A690D">
              <w:rPr>
                <w:rFonts w:ascii="Times New Roman" w:hAnsi="Times New Roman"/>
                <w:sz w:val="20"/>
                <w:szCs w:val="20"/>
                <w:lang w:eastAsia="ru-RU"/>
              </w:rPr>
              <w:t>„</w:t>
            </w:r>
            <w:proofErr w:type="spellStart"/>
            <w:proofErr w:type="gramEnd"/>
            <w:r w:rsidR="00DF621B" w:rsidRPr="007A690D">
              <w:rPr>
                <w:rFonts w:ascii="Times New Roman" w:hAnsi="Times New Roman"/>
                <w:sz w:val="20"/>
                <w:szCs w:val="20"/>
                <w:lang w:eastAsia="ru-RU"/>
              </w:rPr>
              <w:t>îmbunătățirea</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eficienței</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energetice</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înseamnă</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îmbunătățirea</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eficienței</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energetice</w:t>
            </w:r>
            <w:proofErr w:type="spellEnd"/>
            <w:r w:rsidR="00DF621B" w:rsidRPr="007A690D">
              <w:rPr>
                <w:rFonts w:ascii="Times New Roman" w:hAnsi="Times New Roman"/>
                <w:sz w:val="20"/>
                <w:szCs w:val="20"/>
                <w:lang w:eastAsia="ru-RU"/>
              </w:rPr>
              <w:t xml:space="preserve"> în </w:t>
            </w:r>
            <w:proofErr w:type="spellStart"/>
            <w:r w:rsidR="00DF621B" w:rsidRPr="007A690D">
              <w:rPr>
                <w:rFonts w:ascii="Times New Roman" w:hAnsi="Times New Roman"/>
                <w:sz w:val="20"/>
                <w:szCs w:val="20"/>
                <w:lang w:eastAsia="ru-RU"/>
              </w:rPr>
              <w:t>sensul</w:t>
            </w:r>
            <w:proofErr w:type="spellEnd"/>
            <w:r w:rsidR="00DF621B" w:rsidRPr="007A690D">
              <w:rPr>
                <w:rFonts w:ascii="Times New Roman" w:hAnsi="Times New Roman"/>
                <w:sz w:val="20"/>
                <w:szCs w:val="20"/>
                <w:lang w:eastAsia="ru-RU"/>
              </w:rPr>
              <w:t xml:space="preserve"> </w:t>
            </w:r>
            <w:proofErr w:type="spellStart"/>
            <w:r w:rsidR="00DF621B" w:rsidRPr="007A690D">
              <w:rPr>
                <w:rFonts w:ascii="Times New Roman" w:hAnsi="Times New Roman"/>
                <w:sz w:val="20"/>
                <w:szCs w:val="20"/>
                <w:lang w:eastAsia="ru-RU"/>
              </w:rPr>
              <w:t>definiției</w:t>
            </w:r>
            <w:proofErr w:type="spellEnd"/>
            <w:r w:rsidR="00DF621B" w:rsidRPr="007A690D">
              <w:rPr>
                <w:rFonts w:ascii="Times New Roman" w:hAnsi="Times New Roman"/>
                <w:sz w:val="20"/>
                <w:szCs w:val="20"/>
                <w:lang w:eastAsia="ru-RU"/>
              </w:rPr>
              <w:t xml:space="preserve"> de la </w:t>
            </w:r>
            <w:proofErr w:type="spellStart"/>
            <w:r w:rsidR="00DF621B" w:rsidRPr="007A690D">
              <w:rPr>
                <w:rFonts w:ascii="Times New Roman" w:hAnsi="Times New Roman"/>
                <w:sz w:val="20"/>
                <w:szCs w:val="20"/>
                <w:lang w:eastAsia="ru-RU"/>
              </w:rPr>
              <w:t>articolul</w:t>
            </w:r>
            <w:proofErr w:type="spellEnd"/>
            <w:r w:rsidR="00DF621B" w:rsidRPr="007A690D">
              <w:rPr>
                <w:rFonts w:ascii="Times New Roman" w:hAnsi="Times New Roman"/>
                <w:sz w:val="20"/>
                <w:szCs w:val="20"/>
                <w:lang w:eastAsia="ru-RU"/>
              </w:rPr>
              <w:t xml:space="preserve"> 2 </w:t>
            </w:r>
            <w:proofErr w:type="spellStart"/>
            <w:r w:rsidR="00DF621B" w:rsidRPr="007A690D">
              <w:rPr>
                <w:rFonts w:ascii="Times New Roman" w:hAnsi="Times New Roman"/>
                <w:sz w:val="20"/>
                <w:szCs w:val="20"/>
                <w:lang w:eastAsia="ru-RU"/>
              </w:rPr>
              <w:t>punctul</w:t>
            </w:r>
            <w:proofErr w:type="spellEnd"/>
            <w:r w:rsidR="00DF621B" w:rsidRPr="007A690D">
              <w:rPr>
                <w:rFonts w:ascii="Times New Roman" w:hAnsi="Times New Roman"/>
                <w:sz w:val="20"/>
                <w:szCs w:val="20"/>
                <w:lang w:eastAsia="ru-RU"/>
              </w:rPr>
              <w:t xml:space="preserve"> 6 din </w:t>
            </w:r>
            <w:proofErr w:type="spellStart"/>
            <w:r w:rsidR="00DF621B" w:rsidRPr="007A690D">
              <w:rPr>
                <w:rFonts w:ascii="Times New Roman" w:hAnsi="Times New Roman"/>
                <w:sz w:val="20"/>
                <w:szCs w:val="20"/>
                <w:lang w:eastAsia="ru-RU"/>
              </w:rPr>
              <w:t>Directiva</w:t>
            </w:r>
            <w:proofErr w:type="spellEnd"/>
            <w:r w:rsidR="00DF621B" w:rsidRPr="007A690D">
              <w:rPr>
                <w:rFonts w:ascii="Times New Roman" w:hAnsi="Times New Roman"/>
                <w:sz w:val="20"/>
                <w:szCs w:val="20"/>
                <w:lang w:eastAsia="ru-RU"/>
              </w:rPr>
              <w:t xml:space="preserve"> 2012/27/UE;</w:t>
            </w:r>
          </w:p>
        </w:tc>
        <w:tc>
          <w:tcPr>
            <w:tcW w:w="4541" w:type="dxa"/>
            <w:shd w:val="clear" w:color="auto" w:fill="auto"/>
          </w:tcPr>
          <w:p w14:paraId="4A6947F7" w14:textId="036D6913" w:rsidR="00D37F70" w:rsidRPr="00DF621B" w:rsidRDefault="00D37F70" w:rsidP="00833097">
            <w:pPr>
              <w:pStyle w:val="af5"/>
              <w:jc w:val="both"/>
              <w:rPr>
                <w:rStyle w:val="af7"/>
                <w:rFonts w:ascii="Times New Roman" w:hAnsi="Times New Roman"/>
                <w:sz w:val="20"/>
                <w:szCs w:val="20"/>
                <w:shd w:val="clear" w:color="auto" w:fill="FFFFFF"/>
              </w:rPr>
            </w:pPr>
          </w:p>
        </w:tc>
        <w:tc>
          <w:tcPr>
            <w:tcW w:w="1276" w:type="dxa"/>
            <w:shd w:val="clear" w:color="auto" w:fill="auto"/>
          </w:tcPr>
          <w:p w14:paraId="43FA9F5A" w14:textId="4EB64556" w:rsidR="00D37F70" w:rsidRPr="00C951E7" w:rsidRDefault="00DF621B"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00C02A9F" w14:textId="77777777" w:rsidR="00D37F70" w:rsidRPr="00C951E7" w:rsidRDefault="00D37F70" w:rsidP="00833097">
            <w:pPr>
              <w:spacing w:line="240" w:lineRule="auto"/>
              <w:jc w:val="both"/>
              <w:rPr>
                <w:rFonts w:ascii="Times New Roman" w:hAnsi="Times New Roman"/>
                <w:sz w:val="20"/>
                <w:szCs w:val="20"/>
                <w:lang w:val="ro-RO"/>
              </w:rPr>
            </w:pPr>
          </w:p>
        </w:tc>
        <w:tc>
          <w:tcPr>
            <w:tcW w:w="1701" w:type="dxa"/>
            <w:shd w:val="clear" w:color="auto" w:fill="auto"/>
          </w:tcPr>
          <w:p w14:paraId="672FD0F4" w14:textId="1BDE24EA" w:rsidR="00D37F70" w:rsidRPr="00D37AB7" w:rsidRDefault="00DF621B" w:rsidP="00833097">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FE2399">
              <w:rPr>
                <w:rFonts w:ascii="Times New Roman" w:hAnsi="Times New Roman"/>
                <w:sz w:val="20"/>
                <w:szCs w:val="20"/>
                <w:lang w:val="ro-RO" w:eastAsia="ru-RU"/>
              </w:rPr>
              <w:t>„</w:t>
            </w:r>
            <w:r w:rsidR="00FE2399" w:rsidRPr="00FE2399">
              <w:rPr>
                <w:rFonts w:ascii="Times New Roman" w:hAnsi="Times New Roman"/>
                <w:sz w:val="20"/>
                <w:szCs w:val="20"/>
                <w:lang w:val="ro-RO" w:eastAsia="ru-RU"/>
              </w:rPr>
              <w:t xml:space="preserve">îmbunătățirea eficienței energetice </w:t>
            </w:r>
            <w:r w:rsidRPr="00FE2399">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30700D84" w14:textId="53AD93B2" w:rsidR="00D37F70" w:rsidRPr="003F755D" w:rsidRDefault="00DF621B" w:rsidP="00B8482B">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DF621B" w:rsidRPr="007A690D" w14:paraId="5DB585A9" w14:textId="77777777" w:rsidTr="009F5405">
        <w:trPr>
          <w:trHeight w:val="776"/>
        </w:trPr>
        <w:tc>
          <w:tcPr>
            <w:tcW w:w="4810" w:type="dxa"/>
            <w:shd w:val="clear" w:color="auto" w:fill="auto"/>
          </w:tcPr>
          <w:p w14:paraId="12B90C69" w14:textId="391864B3" w:rsidR="00FE2399" w:rsidRPr="00FE2399" w:rsidRDefault="00E41D66" w:rsidP="00FE2399">
            <w:pPr>
              <w:jc w:val="both"/>
              <w:rPr>
                <w:rFonts w:ascii="Times New Roman" w:hAnsi="Times New Roman"/>
                <w:sz w:val="20"/>
                <w:szCs w:val="20"/>
                <w:lang w:val="fr-FR" w:eastAsia="ru-RU"/>
              </w:rPr>
            </w:pPr>
            <w:r>
              <w:rPr>
                <w:rFonts w:ascii="Times New Roman" w:hAnsi="Times New Roman"/>
                <w:sz w:val="20"/>
                <w:szCs w:val="20"/>
                <w:lang w:val="fr-FR" w:eastAsia="ru-RU"/>
              </w:rPr>
              <w:t>(</w:t>
            </w:r>
            <w:proofErr w:type="gramStart"/>
            <w:r w:rsidR="00FE2399">
              <w:rPr>
                <w:rFonts w:ascii="Times New Roman" w:hAnsi="Times New Roman"/>
                <w:sz w:val="20"/>
                <w:szCs w:val="20"/>
                <w:lang w:val="fr-FR" w:eastAsia="ru-RU"/>
              </w:rPr>
              <w:t>47</w:t>
            </w:r>
            <w:r>
              <w:rPr>
                <w:rFonts w:ascii="Times New Roman" w:hAnsi="Times New Roman"/>
                <w:sz w:val="20"/>
                <w:szCs w:val="20"/>
                <w:lang w:val="fr-FR" w:eastAsia="ru-RU"/>
              </w:rPr>
              <w:t>)</w:t>
            </w:r>
            <w:r w:rsidR="00FE2399" w:rsidRPr="00FE2399">
              <w:rPr>
                <w:rFonts w:ascii="Times New Roman" w:hAnsi="Times New Roman"/>
                <w:sz w:val="20"/>
                <w:szCs w:val="20"/>
                <w:lang w:val="en-US" w:eastAsia="ru-RU"/>
              </w:rPr>
              <w:t>„</w:t>
            </w:r>
            <w:proofErr w:type="spellStart"/>
            <w:proofErr w:type="gramEnd"/>
            <w:r w:rsidR="00FE2399" w:rsidRPr="00FE2399">
              <w:rPr>
                <w:rFonts w:ascii="Times New Roman" w:hAnsi="Times New Roman"/>
                <w:sz w:val="20"/>
                <w:szCs w:val="20"/>
                <w:lang w:val="en-US" w:eastAsia="ru-RU"/>
              </w:rPr>
              <w:t>serviciu</w:t>
            </w:r>
            <w:proofErr w:type="spellEnd"/>
            <w:r w:rsidR="00FE2399" w:rsidRPr="00FE2399">
              <w:rPr>
                <w:rFonts w:ascii="Times New Roman" w:hAnsi="Times New Roman"/>
                <w:sz w:val="20"/>
                <w:szCs w:val="20"/>
                <w:lang w:val="en-US" w:eastAsia="ru-RU"/>
              </w:rPr>
              <w:t xml:space="preserve"> energetic” </w:t>
            </w:r>
            <w:proofErr w:type="spellStart"/>
            <w:r w:rsidR="00FE2399" w:rsidRPr="00FE2399">
              <w:rPr>
                <w:rFonts w:ascii="Times New Roman" w:hAnsi="Times New Roman"/>
                <w:sz w:val="20"/>
                <w:szCs w:val="20"/>
                <w:lang w:val="en-US" w:eastAsia="ru-RU"/>
              </w:rPr>
              <w:t>înseamnă</w:t>
            </w:r>
            <w:proofErr w:type="spellEnd"/>
            <w:r w:rsidR="00FE2399" w:rsidRPr="00FE2399">
              <w:rPr>
                <w:rFonts w:ascii="Times New Roman" w:hAnsi="Times New Roman"/>
                <w:sz w:val="20"/>
                <w:szCs w:val="20"/>
                <w:lang w:val="en-US" w:eastAsia="ru-RU"/>
              </w:rPr>
              <w:t xml:space="preserve"> </w:t>
            </w:r>
            <w:proofErr w:type="spellStart"/>
            <w:r w:rsidR="00FE2399" w:rsidRPr="00FE2399">
              <w:rPr>
                <w:rFonts w:ascii="Times New Roman" w:hAnsi="Times New Roman"/>
                <w:sz w:val="20"/>
                <w:szCs w:val="20"/>
                <w:lang w:val="en-US" w:eastAsia="ru-RU"/>
              </w:rPr>
              <w:t>serviciu</w:t>
            </w:r>
            <w:proofErr w:type="spellEnd"/>
            <w:r w:rsidR="00FE2399" w:rsidRPr="00FE2399">
              <w:rPr>
                <w:rFonts w:ascii="Times New Roman" w:hAnsi="Times New Roman"/>
                <w:sz w:val="20"/>
                <w:szCs w:val="20"/>
                <w:lang w:val="en-US" w:eastAsia="ru-RU"/>
              </w:rPr>
              <w:t xml:space="preserve"> energetic în </w:t>
            </w:r>
            <w:proofErr w:type="spellStart"/>
            <w:r w:rsidR="00FE2399" w:rsidRPr="00FE2399">
              <w:rPr>
                <w:rFonts w:ascii="Times New Roman" w:hAnsi="Times New Roman"/>
                <w:sz w:val="20"/>
                <w:szCs w:val="20"/>
                <w:lang w:val="en-US" w:eastAsia="ru-RU"/>
              </w:rPr>
              <w:t>sensul</w:t>
            </w:r>
            <w:proofErr w:type="spellEnd"/>
            <w:r w:rsidR="00FE2399" w:rsidRPr="00FE2399">
              <w:rPr>
                <w:rFonts w:ascii="Times New Roman" w:hAnsi="Times New Roman"/>
                <w:sz w:val="20"/>
                <w:szCs w:val="20"/>
                <w:lang w:val="en-US" w:eastAsia="ru-RU"/>
              </w:rPr>
              <w:t xml:space="preserve"> </w:t>
            </w:r>
            <w:proofErr w:type="spellStart"/>
            <w:r w:rsidR="00FE2399" w:rsidRPr="00FE2399">
              <w:rPr>
                <w:rFonts w:ascii="Times New Roman" w:hAnsi="Times New Roman"/>
                <w:sz w:val="20"/>
                <w:szCs w:val="20"/>
                <w:lang w:val="en-US" w:eastAsia="ru-RU"/>
              </w:rPr>
              <w:t>definiției</w:t>
            </w:r>
            <w:proofErr w:type="spellEnd"/>
            <w:r w:rsidR="00FE2399" w:rsidRPr="00FE2399">
              <w:rPr>
                <w:rFonts w:ascii="Times New Roman" w:hAnsi="Times New Roman"/>
                <w:sz w:val="20"/>
                <w:szCs w:val="20"/>
                <w:lang w:val="en-US" w:eastAsia="ru-RU"/>
              </w:rPr>
              <w:t xml:space="preserve"> de la </w:t>
            </w:r>
            <w:proofErr w:type="spellStart"/>
            <w:r w:rsidR="00FE2399" w:rsidRPr="00FE2399">
              <w:rPr>
                <w:rFonts w:ascii="Times New Roman" w:hAnsi="Times New Roman"/>
                <w:sz w:val="20"/>
                <w:szCs w:val="20"/>
                <w:lang w:val="en-US" w:eastAsia="ru-RU"/>
              </w:rPr>
              <w:t>articolul</w:t>
            </w:r>
            <w:proofErr w:type="spellEnd"/>
            <w:r w:rsidR="00FE2399" w:rsidRPr="00FE2399">
              <w:rPr>
                <w:rFonts w:ascii="Times New Roman" w:hAnsi="Times New Roman"/>
                <w:sz w:val="20"/>
                <w:szCs w:val="20"/>
                <w:lang w:val="en-US" w:eastAsia="ru-RU"/>
              </w:rPr>
              <w:t xml:space="preserve"> 2 </w:t>
            </w:r>
            <w:proofErr w:type="spellStart"/>
            <w:r w:rsidR="00FE2399" w:rsidRPr="00FE2399">
              <w:rPr>
                <w:rFonts w:ascii="Times New Roman" w:hAnsi="Times New Roman"/>
                <w:sz w:val="20"/>
                <w:szCs w:val="20"/>
                <w:lang w:val="en-US" w:eastAsia="ru-RU"/>
              </w:rPr>
              <w:t>punctul</w:t>
            </w:r>
            <w:proofErr w:type="spellEnd"/>
            <w:r w:rsidR="00FE2399" w:rsidRPr="00FE2399">
              <w:rPr>
                <w:rFonts w:ascii="Times New Roman" w:hAnsi="Times New Roman"/>
                <w:sz w:val="20"/>
                <w:szCs w:val="20"/>
                <w:lang w:val="en-US" w:eastAsia="ru-RU"/>
              </w:rPr>
              <w:t xml:space="preserve"> 7 din </w:t>
            </w:r>
            <w:proofErr w:type="spellStart"/>
            <w:r w:rsidR="00FE2399" w:rsidRPr="00FE2399">
              <w:rPr>
                <w:rFonts w:ascii="Times New Roman" w:hAnsi="Times New Roman"/>
                <w:sz w:val="20"/>
                <w:szCs w:val="20"/>
                <w:lang w:val="en-US" w:eastAsia="ru-RU"/>
              </w:rPr>
              <w:t>Directiva</w:t>
            </w:r>
            <w:proofErr w:type="spellEnd"/>
            <w:r w:rsidR="00FE2399" w:rsidRPr="00FE2399">
              <w:rPr>
                <w:rFonts w:ascii="Times New Roman" w:hAnsi="Times New Roman"/>
                <w:sz w:val="20"/>
                <w:szCs w:val="20"/>
                <w:lang w:val="en-US" w:eastAsia="ru-RU"/>
              </w:rPr>
              <w:t xml:space="preserve"> 2012/27/UE;</w:t>
            </w:r>
          </w:p>
          <w:p w14:paraId="0CCBABE9" w14:textId="75D70652" w:rsidR="00DF621B" w:rsidRDefault="00DF621B" w:rsidP="00690865">
            <w:pPr>
              <w:jc w:val="both"/>
              <w:rPr>
                <w:rFonts w:ascii="Times New Roman" w:hAnsi="Times New Roman"/>
                <w:sz w:val="20"/>
                <w:szCs w:val="20"/>
                <w:lang w:val="fr-FR" w:eastAsia="ru-RU"/>
              </w:rPr>
            </w:pPr>
          </w:p>
        </w:tc>
        <w:tc>
          <w:tcPr>
            <w:tcW w:w="4541" w:type="dxa"/>
            <w:shd w:val="clear" w:color="auto" w:fill="auto"/>
          </w:tcPr>
          <w:p w14:paraId="7C8ED17F" w14:textId="17649E33" w:rsidR="00DF621B" w:rsidRPr="00FE2399" w:rsidRDefault="00DF621B" w:rsidP="00833097">
            <w:pPr>
              <w:pStyle w:val="af5"/>
              <w:jc w:val="both"/>
              <w:rPr>
                <w:rStyle w:val="af7"/>
                <w:rFonts w:ascii="Times New Roman" w:hAnsi="Times New Roman"/>
                <w:sz w:val="20"/>
                <w:szCs w:val="20"/>
                <w:shd w:val="clear" w:color="auto" w:fill="FFFFFF"/>
              </w:rPr>
            </w:pPr>
          </w:p>
        </w:tc>
        <w:tc>
          <w:tcPr>
            <w:tcW w:w="1276" w:type="dxa"/>
            <w:shd w:val="clear" w:color="auto" w:fill="auto"/>
          </w:tcPr>
          <w:p w14:paraId="0E07FCC3" w14:textId="57AC1685" w:rsidR="00DF621B" w:rsidRPr="00C951E7" w:rsidRDefault="00FE2399"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63786F9F" w14:textId="77777777" w:rsidR="00DF621B" w:rsidRPr="00C951E7" w:rsidRDefault="00DF621B" w:rsidP="00833097">
            <w:pPr>
              <w:spacing w:line="240" w:lineRule="auto"/>
              <w:jc w:val="both"/>
              <w:rPr>
                <w:rFonts w:ascii="Times New Roman" w:hAnsi="Times New Roman"/>
                <w:sz w:val="20"/>
                <w:szCs w:val="20"/>
                <w:lang w:val="ro-RO"/>
              </w:rPr>
            </w:pPr>
          </w:p>
        </w:tc>
        <w:tc>
          <w:tcPr>
            <w:tcW w:w="1701" w:type="dxa"/>
            <w:shd w:val="clear" w:color="auto" w:fill="auto"/>
          </w:tcPr>
          <w:p w14:paraId="1E5F1C1A" w14:textId="67EF5A8F" w:rsidR="00DF621B" w:rsidRPr="00D37AB7" w:rsidRDefault="00FE2399" w:rsidP="00833097">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690865">
              <w:rPr>
                <w:rFonts w:ascii="Times New Roman" w:hAnsi="Times New Roman"/>
                <w:sz w:val="20"/>
                <w:szCs w:val="20"/>
                <w:lang w:val="fr-FR" w:eastAsia="ru-RU"/>
              </w:rPr>
              <w:t>„</w:t>
            </w:r>
            <w:proofErr w:type="spellStart"/>
            <w:r w:rsidRPr="00FE2399">
              <w:rPr>
                <w:rFonts w:ascii="Times New Roman" w:hAnsi="Times New Roman"/>
                <w:sz w:val="20"/>
                <w:szCs w:val="20"/>
                <w:lang w:val="en-US" w:eastAsia="ru-RU"/>
              </w:rPr>
              <w:t>serviciu</w:t>
            </w:r>
            <w:proofErr w:type="spellEnd"/>
            <w:r w:rsidRPr="00FE2399">
              <w:rPr>
                <w:rFonts w:ascii="Times New Roman" w:hAnsi="Times New Roman"/>
                <w:sz w:val="20"/>
                <w:szCs w:val="20"/>
                <w:lang w:val="en-US" w:eastAsia="ru-RU"/>
              </w:rPr>
              <w:t xml:space="preserve"> energetic</w:t>
            </w:r>
            <w:r w:rsidRPr="00690865">
              <w:rPr>
                <w:rFonts w:ascii="Times New Roman" w:hAnsi="Times New Roman"/>
                <w:sz w:val="20"/>
                <w:szCs w:val="20"/>
                <w:lang w:val="fr-FR" w:eastAsia="ru-RU"/>
              </w:rPr>
              <w:t xml:space="preserve"> ”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41C5D628" w14:textId="4507F11A" w:rsidR="00DF621B" w:rsidRPr="003F755D" w:rsidRDefault="00FE2399" w:rsidP="00B8482B">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833097" w:rsidRPr="007A690D" w14:paraId="4F324D0D" w14:textId="77777777" w:rsidTr="009F5405">
        <w:trPr>
          <w:trHeight w:val="776"/>
        </w:trPr>
        <w:tc>
          <w:tcPr>
            <w:tcW w:w="4810" w:type="dxa"/>
            <w:shd w:val="clear" w:color="auto" w:fill="auto"/>
          </w:tcPr>
          <w:p w14:paraId="2F8C7FD0" w14:textId="5F5E9EAE" w:rsidR="00833097" w:rsidRPr="007A690D" w:rsidRDefault="00E41D66" w:rsidP="00833097">
            <w:pPr>
              <w:shd w:val="clear" w:color="auto" w:fill="FFFFFF"/>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48)</w:t>
            </w:r>
            <w:r w:rsidR="00C21283" w:rsidRPr="007A690D">
              <w:rPr>
                <w:rFonts w:ascii="Times New Roman" w:hAnsi="Times New Roman"/>
                <w:sz w:val="20"/>
                <w:szCs w:val="20"/>
                <w:lang w:eastAsia="ru-RU"/>
              </w:rPr>
              <w:t>„</w:t>
            </w:r>
            <w:proofErr w:type="spellStart"/>
            <w:proofErr w:type="gramEnd"/>
            <w:r w:rsidR="00C21283" w:rsidRPr="007A690D">
              <w:rPr>
                <w:rFonts w:ascii="Times New Roman" w:hAnsi="Times New Roman"/>
                <w:sz w:val="20"/>
                <w:szCs w:val="20"/>
                <w:lang w:eastAsia="ru-RU"/>
              </w:rPr>
              <w:t>suprafață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totală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utilă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înseamnă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suprafață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totală</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utilă</w:t>
            </w:r>
            <w:proofErr w:type="spellEnd"/>
            <w:r w:rsidR="00C21283" w:rsidRPr="007A690D">
              <w:rPr>
                <w:rFonts w:ascii="Times New Roman" w:hAnsi="Times New Roman"/>
                <w:sz w:val="20"/>
                <w:szCs w:val="20"/>
                <w:lang w:eastAsia="ru-RU"/>
              </w:rPr>
              <w:t xml:space="preserve"> în </w:t>
            </w:r>
            <w:proofErr w:type="spellStart"/>
            <w:r w:rsidR="00C21283" w:rsidRPr="007A690D">
              <w:rPr>
                <w:rFonts w:ascii="Times New Roman" w:hAnsi="Times New Roman"/>
                <w:sz w:val="20"/>
                <w:szCs w:val="20"/>
                <w:lang w:eastAsia="ru-RU"/>
              </w:rPr>
              <w:t>sensul</w:t>
            </w:r>
            <w:proofErr w:type="spellEnd"/>
            <w:r w:rsidR="00C21283" w:rsidRPr="007A690D">
              <w:rPr>
                <w:rFonts w:ascii="Times New Roman" w:hAnsi="Times New Roman"/>
                <w:sz w:val="20"/>
                <w:szCs w:val="20"/>
                <w:lang w:eastAsia="ru-RU"/>
              </w:rPr>
              <w:t xml:space="preserve"> </w:t>
            </w:r>
            <w:proofErr w:type="spellStart"/>
            <w:r w:rsidR="00C21283" w:rsidRPr="007A690D">
              <w:rPr>
                <w:rFonts w:ascii="Times New Roman" w:hAnsi="Times New Roman"/>
                <w:sz w:val="20"/>
                <w:szCs w:val="20"/>
                <w:lang w:eastAsia="ru-RU"/>
              </w:rPr>
              <w:t>definiției</w:t>
            </w:r>
            <w:proofErr w:type="spellEnd"/>
            <w:r w:rsidR="00C21283" w:rsidRPr="007A690D">
              <w:rPr>
                <w:rFonts w:ascii="Times New Roman" w:hAnsi="Times New Roman"/>
                <w:sz w:val="20"/>
                <w:szCs w:val="20"/>
                <w:lang w:eastAsia="ru-RU"/>
              </w:rPr>
              <w:t xml:space="preserve"> de la </w:t>
            </w:r>
            <w:proofErr w:type="spellStart"/>
            <w:r w:rsidR="00C21283" w:rsidRPr="007A690D">
              <w:rPr>
                <w:rFonts w:ascii="Times New Roman" w:hAnsi="Times New Roman"/>
                <w:sz w:val="20"/>
                <w:szCs w:val="20"/>
                <w:lang w:eastAsia="ru-RU"/>
              </w:rPr>
              <w:t>articolul</w:t>
            </w:r>
            <w:proofErr w:type="spellEnd"/>
            <w:r w:rsidR="00C21283" w:rsidRPr="007A690D">
              <w:rPr>
                <w:rFonts w:ascii="Times New Roman" w:hAnsi="Times New Roman"/>
                <w:sz w:val="20"/>
                <w:szCs w:val="20"/>
                <w:lang w:eastAsia="ru-RU"/>
              </w:rPr>
              <w:t xml:space="preserve"> 2 </w:t>
            </w:r>
            <w:proofErr w:type="spellStart"/>
            <w:r w:rsidR="00C21283" w:rsidRPr="007A690D">
              <w:rPr>
                <w:rFonts w:ascii="Times New Roman" w:hAnsi="Times New Roman"/>
                <w:sz w:val="20"/>
                <w:szCs w:val="20"/>
                <w:lang w:eastAsia="ru-RU"/>
              </w:rPr>
              <w:t>punctul</w:t>
            </w:r>
            <w:proofErr w:type="spellEnd"/>
            <w:r w:rsidR="00C21283" w:rsidRPr="007A690D">
              <w:rPr>
                <w:rFonts w:ascii="Times New Roman" w:hAnsi="Times New Roman"/>
                <w:sz w:val="20"/>
                <w:szCs w:val="20"/>
                <w:lang w:eastAsia="ru-RU"/>
              </w:rPr>
              <w:t xml:space="preserve"> 10 din </w:t>
            </w:r>
            <w:proofErr w:type="spellStart"/>
            <w:r w:rsidR="00C21283" w:rsidRPr="007A690D">
              <w:rPr>
                <w:rFonts w:ascii="Times New Roman" w:hAnsi="Times New Roman"/>
                <w:sz w:val="20"/>
                <w:szCs w:val="20"/>
                <w:lang w:eastAsia="ru-RU"/>
              </w:rPr>
              <w:t>Directiva</w:t>
            </w:r>
            <w:proofErr w:type="spellEnd"/>
            <w:r w:rsidR="00C21283" w:rsidRPr="007A690D">
              <w:rPr>
                <w:rFonts w:ascii="Times New Roman" w:hAnsi="Times New Roman"/>
                <w:sz w:val="20"/>
                <w:szCs w:val="20"/>
                <w:lang w:eastAsia="ru-RU"/>
              </w:rPr>
              <w:t xml:space="preserve"> 2012/27/UE;</w:t>
            </w:r>
          </w:p>
        </w:tc>
        <w:tc>
          <w:tcPr>
            <w:tcW w:w="4541" w:type="dxa"/>
            <w:shd w:val="clear" w:color="auto" w:fill="auto"/>
          </w:tcPr>
          <w:p w14:paraId="3C100CAE" w14:textId="0A15C905" w:rsidR="00833097" w:rsidRPr="009F5405" w:rsidRDefault="00833097" w:rsidP="00833097">
            <w:pPr>
              <w:pStyle w:val="af5"/>
              <w:jc w:val="both"/>
              <w:rPr>
                <w:rFonts w:ascii="Times New Roman" w:hAnsi="Times New Roman"/>
                <w:sz w:val="20"/>
                <w:szCs w:val="20"/>
              </w:rPr>
            </w:pPr>
          </w:p>
        </w:tc>
        <w:tc>
          <w:tcPr>
            <w:tcW w:w="1276" w:type="dxa"/>
            <w:shd w:val="clear" w:color="auto" w:fill="auto"/>
          </w:tcPr>
          <w:p w14:paraId="4EC338F1" w14:textId="7339F22F" w:rsidR="00833097" w:rsidRPr="00C951E7" w:rsidRDefault="00833097"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326C4533"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7EA79296" w14:textId="2ECF72F1" w:rsidR="00833097" w:rsidRPr="00C951E7" w:rsidRDefault="009F5405" w:rsidP="00833097">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 xml:space="preserve">„ suprafață totală utilă”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w:t>
            </w:r>
            <w:r w:rsidRPr="00690865">
              <w:rPr>
                <w:rFonts w:ascii="Times New Roman" w:hAnsi="Times New Roman"/>
                <w:sz w:val="20"/>
                <w:szCs w:val="20"/>
                <w:shd w:val="clear" w:color="auto" w:fill="FFFFFF"/>
                <w:lang w:val="ro-RO"/>
              </w:rPr>
              <w:lastRenderedPageBreak/>
              <w:t>privire la eficiența energetică</w:t>
            </w:r>
          </w:p>
        </w:tc>
        <w:tc>
          <w:tcPr>
            <w:tcW w:w="1464" w:type="dxa"/>
            <w:shd w:val="clear" w:color="auto" w:fill="auto"/>
          </w:tcPr>
          <w:p w14:paraId="7DAF7541" w14:textId="5CB93953" w:rsidR="00833097" w:rsidRPr="00C951E7" w:rsidRDefault="00476D02" w:rsidP="00B8482B">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833097" w:rsidRPr="007A690D" w14:paraId="6051321B" w14:textId="77777777" w:rsidTr="009F5405">
        <w:trPr>
          <w:trHeight w:val="776"/>
        </w:trPr>
        <w:tc>
          <w:tcPr>
            <w:tcW w:w="4810" w:type="dxa"/>
            <w:shd w:val="clear" w:color="auto" w:fill="auto"/>
          </w:tcPr>
          <w:p w14:paraId="7AF11BE4" w14:textId="766B524C" w:rsidR="00833097" w:rsidRPr="00791CF1"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49)</w:t>
            </w:r>
            <w:r w:rsidR="00791CF1" w:rsidRPr="00791CF1">
              <w:rPr>
                <w:rFonts w:ascii="Times New Roman" w:hAnsi="Times New Roman"/>
                <w:sz w:val="20"/>
                <w:szCs w:val="20"/>
                <w:lang w:val="fr-FR" w:eastAsia="ru-RU"/>
              </w:rPr>
              <w:t>„</w:t>
            </w:r>
            <w:proofErr w:type="spellStart"/>
            <w:proofErr w:type="gramEnd"/>
            <w:r w:rsidR="00791CF1" w:rsidRPr="00791CF1">
              <w:rPr>
                <w:rFonts w:ascii="Times New Roman" w:hAnsi="Times New Roman"/>
                <w:sz w:val="20"/>
                <w:szCs w:val="20"/>
                <w:lang w:val="fr-FR" w:eastAsia="ru-RU"/>
              </w:rPr>
              <w:t>sistem</w:t>
            </w:r>
            <w:proofErr w:type="spellEnd"/>
            <w:r w:rsidR="00791CF1" w:rsidRPr="00791CF1">
              <w:rPr>
                <w:rFonts w:ascii="Times New Roman" w:hAnsi="Times New Roman"/>
                <w:sz w:val="20"/>
                <w:szCs w:val="20"/>
                <w:lang w:val="fr-FR" w:eastAsia="ru-RU"/>
              </w:rPr>
              <w:t xml:space="preserve"> de </w:t>
            </w:r>
            <w:proofErr w:type="spellStart"/>
            <w:r w:rsidR="00791CF1" w:rsidRPr="00791CF1">
              <w:rPr>
                <w:rFonts w:ascii="Times New Roman" w:hAnsi="Times New Roman"/>
                <w:sz w:val="20"/>
                <w:szCs w:val="20"/>
                <w:lang w:val="fr-FR" w:eastAsia="ru-RU"/>
              </w:rPr>
              <w:t>gestionare</w:t>
            </w:r>
            <w:proofErr w:type="spellEnd"/>
            <w:r w:rsidR="00791CF1" w:rsidRPr="00791CF1">
              <w:rPr>
                <w:rFonts w:ascii="Times New Roman" w:hAnsi="Times New Roman"/>
                <w:sz w:val="20"/>
                <w:szCs w:val="20"/>
                <w:lang w:val="fr-FR" w:eastAsia="ru-RU"/>
              </w:rPr>
              <w:t xml:space="preserve"> a energiei” </w:t>
            </w:r>
            <w:proofErr w:type="spellStart"/>
            <w:r w:rsidR="00791CF1" w:rsidRPr="00791CF1">
              <w:rPr>
                <w:rFonts w:ascii="Times New Roman" w:hAnsi="Times New Roman"/>
                <w:sz w:val="20"/>
                <w:szCs w:val="20"/>
                <w:lang w:val="fr-FR" w:eastAsia="ru-RU"/>
              </w:rPr>
              <w:t>înseamnă</w:t>
            </w:r>
            <w:proofErr w:type="spellEnd"/>
            <w:r w:rsidR="00791CF1" w:rsidRPr="00791CF1">
              <w:rPr>
                <w:rFonts w:ascii="Times New Roman" w:hAnsi="Times New Roman"/>
                <w:sz w:val="20"/>
                <w:szCs w:val="20"/>
                <w:lang w:val="fr-FR" w:eastAsia="ru-RU"/>
              </w:rPr>
              <w:t xml:space="preserve"> </w:t>
            </w:r>
            <w:proofErr w:type="spellStart"/>
            <w:r w:rsidR="00791CF1" w:rsidRPr="00791CF1">
              <w:rPr>
                <w:rFonts w:ascii="Times New Roman" w:hAnsi="Times New Roman"/>
                <w:sz w:val="20"/>
                <w:szCs w:val="20"/>
                <w:lang w:val="fr-FR" w:eastAsia="ru-RU"/>
              </w:rPr>
              <w:t>sistem</w:t>
            </w:r>
            <w:proofErr w:type="spellEnd"/>
            <w:r w:rsidR="00791CF1" w:rsidRPr="00791CF1">
              <w:rPr>
                <w:rFonts w:ascii="Times New Roman" w:hAnsi="Times New Roman"/>
                <w:sz w:val="20"/>
                <w:szCs w:val="20"/>
                <w:lang w:val="fr-FR" w:eastAsia="ru-RU"/>
              </w:rPr>
              <w:t xml:space="preserve"> de </w:t>
            </w:r>
            <w:proofErr w:type="spellStart"/>
            <w:r w:rsidR="00791CF1" w:rsidRPr="00791CF1">
              <w:rPr>
                <w:rFonts w:ascii="Times New Roman" w:hAnsi="Times New Roman"/>
                <w:sz w:val="20"/>
                <w:szCs w:val="20"/>
                <w:lang w:val="fr-FR" w:eastAsia="ru-RU"/>
              </w:rPr>
              <w:t>gestionare</w:t>
            </w:r>
            <w:proofErr w:type="spellEnd"/>
            <w:r w:rsidR="00791CF1" w:rsidRPr="00791CF1">
              <w:rPr>
                <w:rFonts w:ascii="Times New Roman" w:hAnsi="Times New Roman"/>
                <w:sz w:val="20"/>
                <w:szCs w:val="20"/>
                <w:lang w:val="fr-FR" w:eastAsia="ru-RU"/>
              </w:rPr>
              <w:t xml:space="preserve"> a energiei în </w:t>
            </w:r>
            <w:proofErr w:type="spellStart"/>
            <w:r w:rsidR="00791CF1" w:rsidRPr="00791CF1">
              <w:rPr>
                <w:rFonts w:ascii="Times New Roman" w:hAnsi="Times New Roman"/>
                <w:sz w:val="20"/>
                <w:szCs w:val="20"/>
                <w:lang w:val="fr-FR" w:eastAsia="ru-RU"/>
              </w:rPr>
              <w:t>sensul</w:t>
            </w:r>
            <w:proofErr w:type="spellEnd"/>
            <w:r w:rsidR="00791CF1" w:rsidRPr="00791CF1">
              <w:rPr>
                <w:rFonts w:ascii="Times New Roman" w:hAnsi="Times New Roman"/>
                <w:sz w:val="20"/>
                <w:szCs w:val="20"/>
                <w:lang w:val="fr-FR" w:eastAsia="ru-RU"/>
              </w:rPr>
              <w:t xml:space="preserve"> </w:t>
            </w:r>
            <w:proofErr w:type="spellStart"/>
            <w:r w:rsidR="00791CF1" w:rsidRPr="00791CF1">
              <w:rPr>
                <w:rFonts w:ascii="Times New Roman" w:hAnsi="Times New Roman"/>
                <w:sz w:val="20"/>
                <w:szCs w:val="20"/>
                <w:lang w:val="fr-FR" w:eastAsia="ru-RU"/>
              </w:rPr>
              <w:t>definiției</w:t>
            </w:r>
            <w:proofErr w:type="spellEnd"/>
            <w:r w:rsidR="00791CF1" w:rsidRPr="00791CF1">
              <w:rPr>
                <w:rFonts w:ascii="Times New Roman" w:hAnsi="Times New Roman"/>
                <w:sz w:val="20"/>
                <w:szCs w:val="20"/>
                <w:lang w:val="fr-FR" w:eastAsia="ru-RU"/>
              </w:rPr>
              <w:t xml:space="preserve"> de la </w:t>
            </w:r>
            <w:proofErr w:type="spellStart"/>
            <w:r w:rsidR="00791CF1" w:rsidRPr="00791CF1">
              <w:rPr>
                <w:rFonts w:ascii="Times New Roman" w:hAnsi="Times New Roman"/>
                <w:sz w:val="20"/>
                <w:szCs w:val="20"/>
                <w:lang w:val="fr-FR" w:eastAsia="ru-RU"/>
              </w:rPr>
              <w:t>articolul</w:t>
            </w:r>
            <w:proofErr w:type="spellEnd"/>
            <w:r w:rsidR="00791CF1" w:rsidRPr="00791CF1">
              <w:rPr>
                <w:rFonts w:ascii="Times New Roman" w:hAnsi="Times New Roman"/>
                <w:sz w:val="20"/>
                <w:szCs w:val="20"/>
                <w:lang w:val="fr-FR" w:eastAsia="ru-RU"/>
              </w:rPr>
              <w:t xml:space="preserve"> 2 </w:t>
            </w:r>
            <w:proofErr w:type="spellStart"/>
            <w:r w:rsidR="00791CF1" w:rsidRPr="00791CF1">
              <w:rPr>
                <w:rFonts w:ascii="Times New Roman" w:hAnsi="Times New Roman"/>
                <w:sz w:val="20"/>
                <w:szCs w:val="20"/>
                <w:lang w:val="fr-FR" w:eastAsia="ru-RU"/>
              </w:rPr>
              <w:t>punctul</w:t>
            </w:r>
            <w:proofErr w:type="spellEnd"/>
            <w:r w:rsidR="00791CF1" w:rsidRPr="00791CF1">
              <w:rPr>
                <w:rFonts w:ascii="Times New Roman" w:hAnsi="Times New Roman"/>
                <w:sz w:val="20"/>
                <w:szCs w:val="20"/>
                <w:lang w:val="fr-FR" w:eastAsia="ru-RU"/>
              </w:rPr>
              <w:t xml:space="preserve"> 11 </w:t>
            </w:r>
            <w:proofErr w:type="spellStart"/>
            <w:r w:rsidR="00791CF1" w:rsidRPr="00791CF1">
              <w:rPr>
                <w:rFonts w:ascii="Times New Roman" w:hAnsi="Times New Roman"/>
                <w:sz w:val="20"/>
                <w:szCs w:val="20"/>
                <w:lang w:val="fr-FR" w:eastAsia="ru-RU"/>
              </w:rPr>
              <w:t>din</w:t>
            </w:r>
            <w:proofErr w:type="spellEnd"/>
            <w:r w:rsidR="00791CF1" w:rsidRPr="00791CF1">
              <w:rPr>
                <w:rFonts w:ascii="Times New Roman" w:hAnsi="Times New Roman"/>
                <w:sz w:val="20"/>
                <w:szCs w:val="20"/>
                <w:lang w:val="fr-FR" w:eastAsia="ru-RU"/>
              </w:rPr>
              <w:t xml:space="preserve"> </w:t>
            </w:r>
            <w:proofErr w:type="spellStart"/>
            <w:r w:rsidR="00791CF1" w:rsidRPr="00791CF1">
              <w:rPr>
                <w:rFonts w:ascii="Times New Roman" w:hAnsi="Times New Roman"/>
                <w:sz w:val="20"/>
                <w:szCs w:val="20"/>
                <w:lang w:val="fr-FR" w:eastAsia="ru-RU"/>
              </w:rPr>
              <w:t>Directiva</w:t>
            </w:r>
            <w:proofErr w:type="spellEnd"/>
            <w:r w:rsidR="00791CF1" w:rsidRPr="00791CF1">
              <w:rPr>
                <w:rFonts w:ascii="Times New Roman" w:hAnsi="Times New Roman"/>
                <w:sz w:val="20"/>
                <w:szCs w:val="20"/>
                <w:lang w:val="fr-FR" w:eastAsia="ru-RU"/>
              </w:rPr>
              <w:t xml:space="preserve"> 2012/27/UE;</w:t>
            </w:r>
          </w:p>
        </w:tc>
        <w:tc>
          <w:tcPr>
            <w:tcW w:w="4541" w:type="dxa"/>
            <w:shd w:val="clear" w:color="auto" w:fill="auto"/>
          </w:tcPr>
          <w:p w14:paraId="0EC7E68D" w14:textId="00CD8B07" w:rsidR="00791CF1" w:rsidRPr="00791CF1" w:rsidRDefault="00791CF1" w:rsidP="00791CF1">
            <w:pPr>
              <w:pStyle w:val="af5"/>
              <w:jc w:val="both"/>
              <w:rPr>
                <w:rFonts w:ascii="Times New Roman" w:hAnsi="Times New Roman"/>
                <w:sz w:val="20"/>
                <w:szCs w:val="20"/>
                <w:shd w:val="clear" w:color="auto" w:fill="FFFFFF"/>
              </w:rPr>
            </w:pPr>
          </w:p>
        </w:tc>
        <w:tc>
          <w:tcPr>
            <w:tcW w:w="1276" w:type="dxa"/>
            <w:shd w:val="clear" w:color="auto" w:fill="auto"/>
          </w:tcPr>
          <w:p w14:paraId="25E47848" w14:textId="5D09A7A6" w:rsidR="00833097" w:rsidRPr="00C951E7" w:rsidRDefault="00833097"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48E71974"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64C852ED" w14:textId="773F4500" w:rsidR="00833097" w:rsidRPr="00C951E7" w:rsidRDefault="00791CF1" w:rsidP="00833097">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791CF1">
              <w:rPr>
                <w:rFonts w:ascii="Times New Roman" w:hAnsi="Times New Roman"/>
                <w:sz w:val="20"/>
                <w:szCs w:val="20"/>
                <w:lang w:val="fr-FR" w:eastAsia="ru-RU"/>
              </w:rPr>
              <w:t xml:space="preserve"> </w:t>
            </w:r>
            <w:proofErr w:type="spellStart"/>
            <w:r w:rsidRPr="00791CF1">
              <w:rPr>
                <w:rFonts w:ascii="Times New Roman" w:hAnsi="Times New Roman"/>
                <w:sz w:val="20"/>
                <w:szCs w:val="20"/>
                <w:lang w:val="fr-FR" w:eastAsia="ru-RU"/>
              </w:rPr>
              <w:t>sistem</w:t>
            </w:r>
            <w:proofErr w:type="spellEnd"/>
            <w:r w:rsidRPr="00791CF1">
              <w:rPr>
                <w:rFonts w:ascii="Times New Roman" w:hAnsi="Times New Roman"/>
                <w:sz w:val="20"/>
                <w:szCs w:val="20"/>
                <w:lang w:val="fr-FR" w:eastAsia="ru-RU"/>
              </w:rPr>
              <w:t xml:space="preserve"> de </w:t>
            </w:r>
            <w:proofErr w:type="spellStart"/>
            <w:r w:rsidRPr="00791CF1">
              <w:rPr>
                <w:rFonts w:ascii="Times New Roman" w:hAnsi="Times New Roman"/>
                <w:sz w:val="20"/>
                <w:szCs w:val="20"/>
                <w:lang w:val="fr-FR" w:eastAsia="ru-RU"/>
              </w:rPr>
              <w:t>gestionare</w:t>
            </w:r>
            <w:proofErr w:type="spellEnd"/>
            <w:r w:rsidRPr="00791CF1">
              <w:rPr>
                <w:rFonts w:ascii="Times New Roman" w:hAnsi="Times New Roman"/>
                <w:sz w:val="20"/>
                <w:szCs w:val="20"/>
                <w:lang w:val="fr-FR" w:eastAsia="ru-RU"/>
              </w:rPr>
              <w:t xml:space="preserve"> a energiei</w:t>
            </w:r>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5C2E3E07" w14:textId="77777777" w:rsidR="00833097" w:rsidRDefault="00791CF1" w:rsidP="00B8482B">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74223B7D" w14:textId="750E8628" w:rsidR="00B8482B" w:rsidRPr="00C951E7" w:rsidRDefault="00B8482B" w:rsidP="00B8482B">
            <w:pPr>
              <w:autoSpaceDE w:val="0"/>
              <w:spacing w:after="0" w:line="240" w:lineRule="auto"/>
              <w:rPr>
                <w:rFonts w:ascii="Times New Roman" w:eastAsia="Times New Roman" w:hAnsi="Times New Roman"/>
                <w:sz w:val="20"/>
                <w:szCs w:val="20"/>
                <w:lang w:val="ro-RO"/>
              </w:rPr>
            </w:pPr>
            <w:r w:rsidRPr="00A81801">
              <w:rPr>
                <w:rFonts w:ascii="Times New Roman" w:hAnsi="Times New Roman"/>
                <w:color w:val="000000" w:themeColor="text1"/>
                <w:sz w:val="20"/>
                <w:szCs w:val="20"/>
              </w:rPr>
              <w:t>Energiei</w:t>
            </w:r>
          </w:p>
        </w:tc>
      </w:tr>
      <w:tr w:rsidR="00833097" w:rsidRPr="007A690D" w14:paraId="300220FE" w14:textId="77777777" w:rsidTr="009F5405">
        <w:trPr>
          <w:trHeight w:val="776"/>
        </w:trPr>
        <w:tc>
          <w:tcPr>
            <w:tcW w:w="4810" w:type="dxa"/>
            <w:shd w:val="clear" w:color="auto" w:fill="auto"/>
          </w:tcPr>
          <w:p w14:paraId="637CC68B" w14:textId="7D7B3886" w:rsidR="00833097" w:rsidRPr="00745D9A" w:rsidRDefault="00E41D66" w:rsidP="00833097">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sidR="005B7768">
              <w:rPr>
                <w:rFonts w:ascii="Times New Roman" w:hAnsi="Times New Roman"/>
                <w:sz w:val="20"/>
                <w:szCs w:val="20"/>
                <w:lang w:val="fr-FR"/>
              </w:rPr>
              <w:t>50</w:t>
            </w:r>
            <w:r>
              <w:rPr>
                <w:rFonts w:ascii="Times New Roman" w:hAnsi="Times New Roman"/>
                <w:sz w:val="20"/>
                <w:szCs w:val="20"/>
                <w:lang w:val="fr-FR"/>
              </w:rPr>
              <w:t>)</w:t>
            </w:r>
            <w:r w:rsidR="00003486" w:rsidRPr="00003486">
              <w:rPr>
                <w:rFonts w:ascii="Times New Roman" w:hAnsi="Times New Roman"/>
                <w:sz w:val="20"/>
                <w:szCs w:val="20"/>
                <w:lang w:val="fr-FR" w:eastAsia="ru-RU"/>
              </w:rPr>
              <w:t>„</w:t>
            </w:r>
            <w:proofErr w:type="gramEnd"/>
            <w:r w:rsidR="00003486" w:rsidRPr="00003486">
              <w:rPr>
                <w:rFonts w:ascii="Times New Roman" w:hAnsi="Times New Roman"/>
                <w:sz w:val="20"/>
                <w:szCs w:val="20"/>
                <w:lang w:val="fr-FR" w:eastAsia="ru-RU"/>
              </w:rPr>
              <w:t xml:space="preserve">parte </w:t>
            </w:r>
            <w:proofErr w:type="spellStart"/>
            <w:r w:rsidR="00003486" w:rsidRPr="00003486">
              <w:rPr>
                <w:rFonts w:ascii="Times New Roman" w:hAnsi="Times New Roman"/>
                <w:sz w:val="20"/>
                <w:szCs w:val="20"/>
                <w:lang w:val="fr-FR" w:eastAsia="ru-RU"/>
              </w:rPr>
              <w:t>obligată</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înseamnă</w:t>
            </w:r>
            <w:proofErr w:type="spellEnd"/>
            <w:r w:rsidR="00003486" w:rsidRPr="00003486">
              <w:rPr>
                <w:rFonts w:ascii="Times New Roman" w:hAnsi="Times New Roman"/>
                <w:sz w:val="20"/>
                <w:szCs w:val="20"/>
                <w:lang w:val="fr-FR" w:eastAsia="ru-RU"/>
              </w:rPr>
              <w:t xml:space="preserve"> parte </w:t>
            </w:r>
            <w:proofErr w:type="spellStart"/>
            <w:r w:rsidR="00003486" w:rsidRPr="00003486">
              <w:rPr>
                <w:rFonts w:ascii="Times New Roman" w:hAnsi="Times New Roman"/>
                <w:sz w:val="20"/>
                <w:szCs w:val="20"/>
                <w:lang w:val="fr-FR" w:eastAsia="ru-RU"/>
              </w:rPr>
              <w:t>obligată</w:t>
            </w:r>
            <w:proofErr w:type="spellEnd"/>
            <w:r w:rsidR="00003486" w:rsidRPr="00003486">
              <w:rPr>
                <w:rFonts w:ascii="Times New Roman" w:hAnsi="Times New Roman"/>
                <w:sz w:val="20"/>
                <w:szCs w:val="20"/>
                <w:lang w:val="fr-FR" w:eastAsia="ru-RU"/>
              </w:rPr>
              <w:t xml:space="preserve"> în </w:t>
            </w:r>
            <w:proofErr w:type="spellStart"/>
            <w:r w:rsidR="00003486" w:rsidRPr="00003486">
              <w:rPr>
                <w:rFonts w:ascii="Times New Roman" w:hAnsi="Times New Roman"/>
                <w:sz w:val="20"/>
                <w:szCs w:val="20"/>
                <w:lang w:val="fr-FR" w:eastAsia="ru-RU"/>
              </w:rPr>
              <w:t>sensul</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definiției</w:t>
            </w:r>
            <w:proofErr w:type="spellEnd"/>
            <w:r w:rsidR="00003486" w:rsidRPr="00003486">
              <w:rPr>
                <w:rFonts w:ascii="Times New Roman" w:hAnsi="Times New Roman"/>
                <w:sz w:val="20"/>
                <w:szCs w:val="20"/>
                <w:lang w:val="fr-FR" w:eastAsia="ru-RU"/>
              </w:rPr>
              <w:t xml:space="preserve"> de la </w:t>
            </w:r>
            <w:proofErr w:type="spellStart"/>
            <w:r w:rsidR="00003486" w:rsidRPr="00003486">
              <w:rPr>
                <w:rFonts w:ascii="Times New Roman" w:hAnsi="Times New Roman"/>
                <w:sz w:val="20"/>
                <w:szCs w:val="20"/>
                <w:lang w:val="fr-FR" w:eastAsia="ru-RU"/>
              </w:rPr>
              <w:t>articolul</w:t>
            </w:r>
            <w:proofErr w:type="spellEnd"/>
            <w:r w:rsidR="00003486">
              <w:rPr>
                <w:rFonts w:ascii="Times New Roman" w:hAnsi="Times New Roman"/>
                <w:sz w:val="20"/>
                <w:szCs w:val="20"/>
                <w:lang w:val="fr-FR" w:eastAsia="ru-RU"/>
              </w:rPr>
              <w:t xml:space="preserve"> </w:t>
            </w:r>
            <w:r w:rsidR="00003486" w:rsidRPr="00003486">
              <w:rPr>
                <w:rFonts w:ascii="Times New Roman" w:hAnsi="Times New Roman"/>
                <w:sz w:val="20"/>
                <w:szCs w:val="20"/>
                <w:lang w:val="fr-FR" w:eastAsia="ru-RU"/>
              </w:rPr>
              <w:t xml:space="preserve">2 </w:t>
            </w:r>
            <w:proofErr w:type="spellStart"/>
            <w:r w:rsidR="00003486" w:rsidRPr="00003486">
              <w:rPr>
                <w:rFonts w:ascii="Times New Roman" w:hAnsi="Times New Roman"/>
                <w:sz w:val="20"/>
                <w:szCs w:val="20"/>
                <w:lang w:val="fr-FR" w:eastAsia="ru-RU"/>
              </w:rPr>
              <w:t>punctul</w:t>
            </w:r>
            <w:proofErr w:type="spellEnd"/>
            <w:r w:rsidR="00003486">
              <w:rPr>
                <w:rFonts w:ascii="Times New Roman" w:hAnsi="Times New Roman"/>
                <w:sz w:val="20"/>
                <w:szCs w:val="20"/>
                <w:lang w:val="fr-FR" w:eastAsia="ru-RU"/>
              </w:rPr>
              <w:t xml:space="preserve"> </w:t>
            </w:r>
            <w:r w:rsidR="00003486" w:rsidRPr="00003486">
              <w:rPr>
                <w:rFonts w:ascii="Times New Roman" w:hAnsi="Times New Roman"/>
                <w:sz w:val="20"/>
                <w:szCs w:val="20"/>
                <w:lang w:val="fr-FR" w:eastAsia="ru-RU"/>
              </w:rPr>
              <w:t xml:space="preserve">14 </w:t>
            </w:r>
            <w:proofErr w:type="spellStart"/>
            <w:r w:rsidR="00003486" w:rsidRPr="00003486">
              <w:rPr>
                <w:rFonts w:ascii="Times New Roman" w:hAnsi="Times New Roman"/>
                <w:sz w:val="20"/>
                <w:szCs w:val="20"/>
                <w:lang w:val="fr-FR" w:eastAsia="ru-RU"/>
              </w:rPr>
              <w:t>din</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Directiva</w:t>
            </w:r>
            <w:proofErr w:type="spellEnd"/>
            <w:r w:rsidR="00003486">
              <w:rPr>
                <w:rFonts w:ascii="Times New Roman" w:hAnsi="Times New Roman"/>
                <w:sz w:val="20"/>
                <w:szCs w:val="20"/>
                <w:lang w:val="fr-FR" w:eastAsia="ru-RU"/>
              </w:rPr>
              <w:t xml:space="preserve"> </w:t>
            </w:r>
            <w:r w:rsidR="00003486" w:rsidRPr="00003486">
              <w:rPr>
                <w:rFonts w:ascii="Times New Roman" w:hAnsi="Times New Roman"/>
                <w:sz w:val="20"/>
                <w:szCs w:val="20"/>
                <w:lang w:val="fr-FR" w:eastAsia="ru-RU"/>
              </w:rPr>
              <w:t>2012/27/UE;</w:t>
            </w:r>
          </w:p>
        </w:tc>
        <w:tc>
          <w:tcPr>
            <w:tcW w:w="4541" w:type="dxa"/>
            <w:shd w:val="clear" w:color="auto" w:fill="auto"/>
          </w:tcPr>
          <w:p w14:paraId="44D9A673" w14:textId="6F6BD506" w:rsidR="00833097" w:rsidRPr="00003486" w:rsidRDefault="00833097" w:rsidP="00833097">
            <w:pPr>
              <w:spacing w:after="0" w:line="240" w:lineRule="auto"/>
              <w:jc w:val="both"/>
              <w:rPr>
                <w:rFonts w:ascii="Times New Roman" w:hAnsi="Times New Roman"/>
                <w:color w:val="000000" w:themeColor="text1"/>
                <w:sz w:val="20"/>
                <w:szCs w:val="20"/>
                <w:lang w:val="fr-FR"/>
              </w:rPr>
            </w:pPr>
          </w:p>
        </w:tc>
        <w:tc>
          <w:tcPr>
            <w:tcW w:w="1276" w:type="dxa"/>
            <w:shd w:val="clear" w:color="auto" w:fill="auto"/>
          </w:tcPr>
          <w:p w14:paraId="6CD36F74" w14:textId="4BD786BB" w:rsidR="00833097" w:rsidRPr="00C951E7" w:rsidRDefault="00003486" w:rsidP="0083309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0667A1A4"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50B0C4A7" w14:textId="6DB0A569" w:rsidR="00833097" w:rsidRPr="00C951E7" w:rsidRDefault="00003486" w:rsidP="00833097">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003486">
              <w:rPr>
                <w:rFonts w:ascii="Times New Roman" w:hAnsi="Times New Roman"/>
                <w:sz w:val="20"/>
                <w:szCs w:val="20"/>
                <w:lang w:val="fr-FR" w:eastAsia="ru-RU"/>
              </w:rPr>
              <w:t xml:space="preserve"> parte </w:t>
            </w:r>
            <w:proofErr w:type="spellStart"/>
            <w:r w:rsidRPr="00003486">
              <w:rPr>
                <w:rFonts w:ascii="Times New Roman" w:hAnsi="Times New Roman"/>
                <w:sz w:val="20"/>
                <w:szCs w:val="20"/>
                <w:lang w:val="fr-FR" w:eastAsia="ru-RU"/>
              </w:rPr>
              <w:t>obligată</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28751DBA" w14:textId="48D91EE9" w:rsidR="00833097" w:rsidRPr="00C951E7" w:rsidRDefault="00003486" w:rsidP="00B8482B">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833097" w:rsidRPr="007A690D" w14:paraId="27C94C3E" w14:textId="77777777" w:rsidTr="009F5405">
        <w:trPr>
          <w:trHeight w:val="776"/>
        </w:trPr>
        <w:tc>
          <w:tcPr>
            <w:tcW w:w="4810" w:type="dxa"/>
            <w:shd w:val="clear" w:color="auto" w:fill="auto"/>
          </w:tcPr>
          <w:p w14:paraId="58074EF8" w14:textId="76843895" w:rsidR="00833097" w:rsidRPr="00745D9A" w:rsidRDefault="00E41D66" w:rsidP="00833097">
            <w:pPr>
              <w:shd w:val="clear" w:color="auto" w:fill="FFFFFF"/>
              <w:tabs>
                <w:tab w:val="left" w:pos="1125"/>
              </w:tabs>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sidR="00003486">
              <w:rPr>
                <w:rFonts w:ascii="Times New Roman" w:hAnsi="Times New Roman"/>
                <w:sz w:val="20"/>
                <w:szCs w:val="20"/>
                <w:lang w:val="fr-FR"/>
              </w:rPr>
              <w:t>51</w:t>
            </w:r>
            <w:r>
              <w:rPr>
                <w:rFonts w:ascii="Times New Roman" w:hAnsi="Times New Roman"/>
                <w:sz w:val="20"/>
                <w:szCs w:val="20"/>
                <w:lang w:val="fr-FR"/>
              </w:rPr>
              <w:t>)</w:t>
            </w:r>
            <w:r w:rsidR="00003486" w:rsidRPr="00003486">
              <w:rPr>
                <w:rFonts w:ascii="Times New Roman" w:hAnsi="Times New Roman"/>
                <w:sz w:val="20"/>
                <w:szCs w:val="20"/>
                <w:lang w:val="fr-FR" w:eastAsia="ru-RU"/>
              </w:rPr>
              <w:t>„</w:t>
            </w:r>
            <w:proofErr w:type="spellStart"/>
            <w:proofErr w:type="gramEnd"/>
            <w:r w:rsidR="00003486" w:rsidRPr="00003486">
              <w:rPr>
                <w:rFonts w:ascii="Times New Roman" w:hAnsi="Times New Roman"/>
                <w:sz w:val="20"/>
                <w:szCs w:val="20"/>
                <w:lang w:val="fr-FR" w:eastAsia="ru-RU"/>
              </w:rPr>
              <w:t>autoritate</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publică</w:t>
            </w:r>
            <w:proofErr w:type="spellEnd"/>
            <w:r w:rsidR="00003486" w:rsidRPr="00003486">
              <w:rPr>
                <w:rFonts w:ascii="Times New Roman" w:hAnsi="Times New Roman"/>
                <w:sz w:val="20"/>
                <w:szCs w:val="20"/>
                <w:lang w:val="fr-FR" w:eastAsia="ru-RU"/>
              </w:rPr>
              <w:t xml:space="preserve"> de </w:t>
            </w:r>
            <w:proofErr w:type="spellStart"/>
            <w:r w:rsidR="00003486" w:rsidRPr="00003486">
              <w:rPr>
                <w:rFonts w:ascii="Times New Roman" w:hAnsi="Times New Roman"/>
                <w:sz w:val="20"/>
                <w:szCs w:val="20"/>
                <w:lang w:val="fr-FR" w:eastAsia="ru-RU"/>
              </w:rPr>
              <w:t>punere</w:t>
            </w:r>
            <w:proofErr w:type="spellEnd"/>
            <w:r w:rsidR="00003486" w:rsidRPr="00003486">
              <w:rPr>
                <w:rFonts w:ascii="Times New Roman" w:hAnsi="Times New Roman"/>
                <w:sz w:val="20"/>
                <w:szCs w:val="20"/>
                <w:lang w:val="fr-FR" w:eastAsia="ru-RU"/>
              </w:rPr>
              <w:t xml:space="preserve"> în </w:t>
            </w:r>
            <w:proofErr w:type="spellStart"/>
            <w:r w:rsidR="00003486" w:rsidRPr="00003486">
              <w:rPr>
                <w:rFonts w:ascii="Times New Roman" w:hAnsi="Times New Roman"/>
                <w:sz w:val="20"/>
                <w:szCs w:val="20"/>
                <w:lang w:val="fr-FR" w:eastAsia="ru-RU"/>
              </w:rPr>
              <w:t>aplicare</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înseamnă</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autoritate</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publică</w:t>
            </w:r>
            <w:proofErr w:type="spellEnd"/>
            <w:r w:rsidR="00003486" w:rsidRPr="00003486">
              <w:rPr>
                <w:rFonts w:ascii="Times New Roman" w:hAnsi="Times New Roman"/>
                <w:sz w:val="20"/>
                <w:szCs w:val="20"/>
                <w:lang w:val="fr-FR" w:eastAsia="ru-RU"/>
              </w:rPr>
              <w:t xml:space="preserve"> de </w:t>
            </w:r>
            <w:proofErr w:type="spellStart"/>
            <w:r w:rsidR="00003486" w:rsidRPr="00003486">
              <w:rPr>
                <w:rFonts w:ascii="Times New Roman" w:hAnsi="Times New Roman"/>
                <w:sz w:val="20"/>
                <w:szCs w:val="20"/>
                <w:lang w:val="fr-FR" w:eastAsia="ru-RU"/>
              </w:rPr>
              <w:t>punere</w:t>
            </w:r>
            <w:proofErr w:type="spellEnd"/>
            <w:r w:rsidR="00003486" w:rsidRPr="00003486">
              <w:rPr>
                <w:rFonts w:ascii="Times New Roman" w:hAnsi="Times New Roman"/>
                <w:sz w:val="20"/>
                <w:szCs w:val="20"/>
                <w:lang w:val="fr-FR" w:eastAsia="ru-RU"/>
              </w:rPr>
              <w:t xml:space="preserve"> în </w:t>
            </w:r>
            <w:proofErr w:type="spellStart"/>
            <w:r w:rsidR="00003486" w:rsidRPr="00003486">
              <w:rPr>
                <w:rFonts w:ascii="Times New Roman" w:hAnsi="Times New Roman"/>
                <w:sz w:val="20"/>
                <w:szCs w:val="20"/>
                <w:lang w:val="fr-FR" w:eastAsia="ru-RU"/>
              </w:rPr>
              <w:t>aplicare</w:t>
            </w:r>
            <w:proofErr w:type="spellEnd"/>
            <w:r w:rsidR="00003486" w:rsidRPr="00003486">
              <w:rPr>
                <w:rFonts w:ascii="Times New Roman" w:hAnsi="Times New Roman"/>
                <w:sz w:val="20"/>
                <w:szCs w:val="20"/>
                <w:lang w:val="fr-FR" w:eastAsia="ru-RU"/>
              </w:rPr>
              <w:t xml:space="preserve"> în </w:t>
            </w:r>
            <w:proofErr w:type="spellStart"/>
            <w:r w:rsidR="00003486" w:rsidRPr="00003486">
              <w:rPr>
                <w:rFonts w:ascii="Times New Roman" w:hAnsi="Times New Roman"/>
                <w:sz w:val="20"/>
                <w:szCs w:val="20"/>
                <w:lang w:val="fr-FR" w:eastAsia="ru-RU"/>
              </w:rPr>
              <w:t>sensul</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definiției</w:t>
            </w:r>
            <w:proofErr w:type="spellEnd"/>
            <w:r w:rsidR="00003486" w:rsidRPr="00003486">
              <w:rPr>
                <w:rFonts w:ascii="Times New Roman" w:hAnsi="Times New Roman"/>
                <w:sz w:val="20"/>
                <w:szCs w:val="20"/>
                <w:lang w:val="fr-FR" w:eastAsia="ru-RU"/>
              </w:rPr>
              <w:t xml:space="preserve"> de la </w:t>
            </w:r>
            <w:proofErr w:type="spellStart"/>
            <w:r w:rsidR="00003486" w:rsidRPr="00003486">
              <w:rPr>
                <w:rFonts w:ascii="Times New Roman" w:hAnsi="Times New Roman"/>
                <w:sz w:val="20"/>
                <w:szCs w:val="20"/>
                <w:lang w:val="fr-FR" w:eastAsia="ru-RU"/>
              </w:rPr>
              <w:t>articolul</w:t>
            </w:r>
            <w:proofErr w:type="spellEnd"/>
            <w:r w:rsidR="00003486" w:rsidRPr="00003486">
              <w:rPr>
                <w:rFonts w:ascii="Times New Roman" w:hAnsi="Times New Roman"/>
                <w:sz w:val="20"/>
                <w:szCs w:val="20"/>
                <w:lang w:val="fr-FR" w:eastAsia="ru-RU"/>
              </w:rPr>
              <w:t xml:space="preserve"> 2 </w:t>
            </w:r>
            <w:proofErr w:type="spellStart"/>
            <w:r w:rsidR="00003486" w:rsidRPr="00003486">
              <w:rPr>
                <w:rFonts w:ascii="Times New Roman" w:hAnsi="Times New Roman"/>
                <w:sz w:val="20"/>
                <w:szCs w:val="20"/>
                <w:lang w:val="fr-FR" w:eastAsia="ru-RU"/>
              </w:rPr>
              <w:t>punctul</w:t>
            </w:r>
            <w:proofErr w:type="spellEnd"/>
            <w:r w:rsidR="00003486" w:rsidRPr="00003486">
              <w:rPr>
                <w:rFonts w:ascii="Times New Roman" w:hAnsi="Times New Roman"/>
                <w:sz w:val="20"/>
                <w:szCs w:val="20"/>
                <w:lang w:val="fr-FR" w:eastAsia="ru-RU"/>
              </w:rPr>
              <w:t xml:space="preserve"> 17 </w:t>
            </w:r>
            <w:proofErr w:type="spellStart"/>
            <w:r w:rsidR="00003486" w:rsidRPr="00003486">
              <w:rPr>
                <w:rFonts w:ascii="Times New Roman" w:hAnsi="Times New Roman"/>
                <w:sz w:val="20"/>
                <w:szCs w:val="20"/>
                <w:lang w:val="fr-FR" w:eastAsia="ru-RU"/>
              </w:rPr>
              <w:t>din</w:t>
            </w:r>
            <w:proofErr w:type="spellEnd"/>
            <w:r w:rsidR="00003486" w:rsidRPr="00003486">
              <w:rPr>
                <w:rFonts w:ascii="Times New Roman" w:hAnsi="Times New Roman"/>
                <w:sz w:val="20"/>
                <w:szCs w:val="20"/>
                <w:lang w:val="fr-FR" w:eastAsia="ru-RU"/>
              </w:rPr>
              <w:t xml:space="preserve"> </w:t>
            </w:r>
            <w:proofErr w:type="spellStart"/>
            <w:r w:rsidR="00003486" w:rsidRPr="00003486">
              <w:rPr>
                <w:rFonts w:ascii="Times New Roman" w:hAnsi="Times New Roman"/>
                <w:sz w:val="20"/>
                <w:szCs w:val="20"/>
                <w:lang w:val="fr-FR" w:eastAsia="ru-RU"/>
              </w:rPr>
              <w:t>Directiva</w:t>
            </w:r>
            <w:proofErr w:type="spellEnd"/>
            <w:r w:rsidR="00003486" w:rsidRPr="00003486">
              <w:rPr>
                <w:rFonts w:ascii="Times New Roman" w:hAnsi="Times New Roman"/>
                <w:sz w:val="20"/>
                <w:szCs w:val="20"/>
                <w:lang w:val="fr-FR" w:eastAsia="ru-RU"/>
              </w:rPr>
              <w:t xml:space="preserve"> 2012/27/UE;</w:t>
            </w:r>
          </w:p>
        </w:tc>
        <w:tc>
          <w:tcPr>
            <w:tcW w:w="4541" w:type="dxa"/>
            <w:shd w:val="clear" w:color="auto" w:fill="auto"/>
          </w:tcPr>
          <w:p w14:paraId="2B6D6792" w14:textId="4B73466D" w:rsidR="00833097" w:rsidRPr="00C951E7" w:rsidRDefault="00833097" w:rsidP="00833097">
            <w:pPr>
              <w:pStyle w:val="af5"/>
              <w:jc w:val="both"/>
              <w:rPr>
                <w:rFonts w:ascii="Times New Roman" w:hAnsi="Times New Roman"/>
                <w:color w:val="000000" w:themeColor="text1"/>
                <w:sz w:val="20"/>
                <w:szCs w:val="20"/>
              </w:rPr>
            </w:pPr>
          </w:p>
        </w:tc>
        <w:tc>
          <w:tcPr>
            <w:tcW w:w="1276" w:type="dxa"/>
            <w:shd w:val="clear" w:color="auto" w:fill="auto"/>
          </w:tcPr>
          <w:p w14:paraId="1F2B1FF6" w14:textId="4844C851" w:rsidR="00833097" w:rsidRPr="00C951E7" w:rsidRDefault="00B8482B" w:rsidP="00833097">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5475E4A0"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07F9811A" w14:textId="746EEAA1" w:rsidR="00BD4FA4" w:rsidRPr="00C951E7" w:rsidRDefault="00FF367F" w:rsidP="00BD4FA4">
            <w:pPr>
              <w:autoSpaceDE w:val="0"/>
              <w:spacing w:after="0" w:line="240" w:lineRule="auto"/>
              <w:rPr>
                <w:rFonts w:ascii="Times New Roman" w:eastAsia="Times New Roman" w:hAnsi="Times New Roman"/>
                <w:sz w:val="20"/>
                <w:szCs w:val="20"/>
                <w:lang w:val="ro-RO"/>
              </w:rPr>
            </w:pPr>
            <w:r w:rsidRPr="00E1678F">
              <w:rPr>
                <w:rFonts w:ascii="Times New Roman" w:hAnsi="Times New Roman"/>
                <w:sz w:val="20"/>
                <w:szCs w:val="20"/>
                <w:lang w:val="ro-RO"/>
              </w:rPr>
              <w:t xml:space="preserve">Noțiunea </w:t>
            </w:r>
            <w:r w:rsidR="00BD4FA4" w:rsidRPr="00003486">
              <w:rPr>
                <w:rFonts w:ascii="Times New Roman" w:hAnsi="Times New Roman"/>
                <w:sz w:val="20"/>
                <w:szCs w:val="20"/>
                <w:lang w:val="fr-FR"/>
              </w:rPr>
              <w:t>.</w:t>
            </w:r>
            <w:r w:rsidR="00BD4FA4" w:rsidRPr="00003486">
              <w:rPr>
                <w:rFonts w:ascii="Times New Roman" w:hAnsi="Times New Roman"/>
                <w:sz w:val="20"/>
                <w:szCs w:val="20"/>
                <w:lang w:val="fr-FR" w:eastAsia="ru-RU"/>
              </w:rPr>
              <w:t>„</w:t>
            </w:r>
            <w:proofErr w:type="spellStart"/>
            <w:proofErr w:type="gramStart"/>
            <w:r w:rsidR="00BD4FA4" w:rsidRPr="00003486">
              <w:rPr>
                <w:rFonts w:ascii="Times New Roman" w:hAnsi="Times New Roman"/>
                <w:sz w:val="20"/>
                <w:szCs w:val="20"/>
                <w:lang w:val="fr-FR" w:eastAsia="ru-RU"/>
              </w:rPr>
              <w:t>autoritate</w:t>
            </w:r>
            <w:proofErr w:type="spellEnd"/>
            <w:proofErr w:type="gramEnd"/>
            <w:r w:rsidR="00BD4FA4" w:rsidRPr="00003486">
              <w:rPr>
                <w:rFonts w:ascii="Times New Roman" w:hAnsi="Times New Roman"/>
                <w:sz w:val="20"/>
                <w:szCs w:val="20"/>
                <w:lang w:val="fr-FR" w:eastAsia="ru-RU"/>
              </w:rPr>
              <w:t xml:space="preserve"> </w:t>
            </w:r>
            <w:proofErr w:type="spellStart"/>
            <w:r w:rsidR="00BD4FA4" w:rsidRPr="00003486">
              <w:rPr>
                <w:rFonts w:ascii="Times New Roman" w:hAnsi="Times New Roman"/>
                <w:sz w:val="20"/>
                <w:szCs w:val="20"/>
                <w:lang w:val="fr-FR" w:eastAsia="ru-RU"/>
              </w:rPr>
              <w:t>publică</w:t>
            </w:r>
            <w:proofErr w:type="spellEnd"/>
            <w:r w:rsidR="00BD4FA4" w:rsidRPr="00003486">
              <w:rPr>
                <w:rFonts w:ascii="Times New Roman" w:hAnsi="Times New Roman"/>
                <w:sz w:val="20"/>
                <w:szCs w:val="20"/>
                <w:lang w:val="fr-FR" w:eastAsia="ru-RU"/>
              </w:rPr>
              <w:t xml:space="preserve"> de </w:t>
            </w:r>
            <w:proofErr w:type="spellStart"/>
            <w:r w:rsidR="00BD4FA4" w:rsidRPr="00003486">
              <w:rPr>
                <w:rFonts w:ascii="Times New Roman" w:hAnsi="Times New Roman"/>
                <w:sz w:val="20"/>
                <w:szCs w:val="20"/>
                <w:lang w:val="fr-FR" w:eastAsia="ru-RU"/>
              </w:rPr>
              <w:t>punere</w:t>
            </w:r>
            <w:proofErr w:type="spellEnd"/>
            <w:r w:rsidR="00BD4FA4" w:rsidRPr="00003486">
              <w:rPr>
                <w:rFonts w:ascii="Times New Roman" w:hAnsi="Times New Roman"/>
                <w:sz w:val="20"/>
                <w:szCs w:val="20"/>
                <w:lang w:val="fr-FR" w:eastAsia="ru-RU"/>
              </w:rPr>
              <w:t xml:space="preserve"> în </w:t>
            </w:r>
            <w:proofErr w:type="spellStart"/>
            <w:r w:rsidR="00BD4FA4" w:rsidRPr="00003486">
              <w:rPr>
                <w:rFonts w:ascii="Times New Roman" w:hAnsi="Times New Roman"/>
                <w:sz w:val="20"/>
                <w:szCs w:val="20"/>
                <w:lang w:val="fr-FR" w:eastAsia="ru-RU"/>
              </w:rPr>
              <w:t>aplicare</w:t>
            </w:r>
            <w:proofErr w:type="spellEnd"/>
            <w:r w:rsidR="00BD4FA4" w:rsidRPr="00003486">
              <w:rPr>
                <w:rFonts w:ascii="Times New Roman" w:hAnsi="Times New Roman"/>
                <w:sz w:val="20"/>
                <w:szCs w:val="20"/>
                <w:lang w:val="fr-FR" w:eastAsia="ru-RU"/>
              </w:rPr>
              <w:t xml:space="preserve">” </w:t>
            </w:r>
            <w:r w:rsidRPr="00E1678F">
              <w:rPr>
                <w:rFonts w:ascii="Times New Roman" w:hAnsi="Times New Roman"/>
                <w:sz w:val="20"/>
                <w:szCs w:val="20"/>
                <w:lang w:val="fr-FR" w:eastAsia="ru-RU"/>
              </w:rPr>
              <w:t xml:space="preserve"> </w:t>
            </w:r>
            <w:r w:rsidRPr="00E1678F">
              <w:rPr>
                <w:rFonts w:ascii="Times New Roman" w:hAnsi="Times New Roman"/>
                <w:sz w:val="20"/>
                <w:szCs w:val="20"/>
                <w:lang w:val="ro-RO"/>
              </w:rPr>
              <w:t xml:space="preserve">va fi transpusă </w:t>
            </w:r>
            <w:r w:rsidR="00BD4FA4" w:rsidRPr="00690865">
              <w:rPr>
                <w:rFonts w:ascii="Times New Roman" w:eastAsia="Times New Roman" w:hAnsi="Times New Roman"/>
                <w:sz w:val="20"/>
                <w:szCs w:val="20"/>
                <w:lang w:val="ro-RO"/>
              </w:rPr>
              <w:t xml:space="preserve">în </w:t>
            </w:r>
            <w:r w:rsidR="00BD4FA4" w:rsidRPr="00690865">
              <w:rPr>
                <w:rFonts w:ascii="Times New Roman" w:hAnsi="Times New Roman"/>
                <w:sz w:val="20"/>
                <w:szCs w:val="20"/>
                <w:shd w:val="clear" w:color="auto" w:fill="FFFFFF"/>
                <w:lang w:val="ro-RO"/>
              </w:rPr>
              <w:t xml:space="preserve"> Legea nr.139/2018 cu privire la eficiența energetică</w:t>
            </w:r>
          </w:p>
          <w:p w14:paraId="49D0BA2C" w14:textId="26A35939" w:rsidR="00833097" w:rsidRPr="00C951E7" w:rsidRDefault="00833097" w:rsidP="00FF367F">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78300F9" w14:textId="4C83B0DA" w:rsidR="00833097" w:rsidRPr="00C951E7" w:rsidRDefault="00FF367F" w:rsidP="00B8482B">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B8482B" w:rsidRPr="00A81801">
              <w:rPr>
                <w:rFonts w:ascii="Times New Roman" w:hAnsi="Times New Roman"/>
                <w:color w:val="000000" w:themeColor="text1"/>
                <w:sz w:val="20"/>
                <w:szCs w:val="20"/>
              </w:rPr>
              <w:t>Energiei</w:t>
            </w:r>
          </w:p>
        </w:tc>
      </w:tr>
      <w:tr w:rsidR="00C676BE" w:rsidRPr="007A690D" w14:paraId="6D56E097" w14:textId="77777777" w:rsidTr="009F5405">
        <w:trPr>
          <w:trHeight w:val="776"/>
        </w:trPr>
        <w:tc>
          <w:tcPr>
            <w:tcW w:w="4810" w:type="dxa"/>
            <w:shd w:val="clear" w:color="auto" w:fill="auto"/>
          </w:tcPr>
          <w:p w14:paraId="7AB27ED0" w14:textId="4F718065" w:rsidR="00C676BE" w:rsidRPr="00C676BE" w:rsidRDefault="00E41D66" w:rsidP="00833097">
            <w:pPr>
              <w:shd w:val="clear" w:color="auto" w:fill="FFFFFF"/>
              <w:tabs>
                <w:tab w:val="left" w:pos="1125"/>
              </w:tabs>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52)</w:t>
            </w:r>
            <w:r w:rsidR="00C676BE" w:rsidRPr="00C676BE">
              <w:rPr>
                <w:rFonts w:ascii="Times New Roman" w:hAnsi="Times New Roman"/>
                <w:sz w:val="20"/>
                <w:szCs w:val="20"/>
                <w:lang w:val="fr-FR" w:eastAsia="ru-RU"/>
              </w:rPr>
              <w:t>„</w:t>
            </w:r>
            <w:proofErr w:type="spellStart"/>
            <w:proofErr w:type="gramEnd"/>
            <w:r w:rsidR="00C676BE" w:rsidRPr="00C676BE">
              <w:rPr>
                <w:rFonts w:ascii="Times New Roman" w:hAnsi="Times New Roman"/>
                <w:sz w:val="20"/>
                <w:szCs w:val="20"/>
                <w:lang w:val="fr-FR" w:eastAsia="ru-RU"/>
              </w:rPr>
              <w:t>acțiune</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individuală</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înseamnă</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acțiune</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individuală</w:t>
            </w:r>
            <w:proofErr w:type="spellEnd"/>
            <w:r w:rsidR="00C676BE" w:rsidRPr="00C676BE">
              <w:rPr>
                <w:rFonts w:ascii="Times New Roman" w:hAnsi="Times New Roman"/>
                <w:sz w:val="20"/>
                <w:szCs w:val="20"/>
                <w:lang w:val="fr-FR" w:eastAsia="ru-RU"/>
              </w:rPr>
              <w:t xml:space="preserve"> în </w:t>
            </w:r>
            <w:proofErr w:type="spellStart"/>
            <w:r w:rsidR="00C676BE" w:rsidRPr="00C676BE">
              <w:rPr>
                <w:rFonts w:ascii="Times New Roman" w:hAnsi="Times New Roman"/>
                <w:sz w:val="20"/>
                <w:szCs w:val="20"/>
                <w:lang w:val="fr-FR" w:eastAsia="ru-RU"/>
              </w:rPr>
              <w:t>sensul</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definiției</w:t>
            </w:r>
            <w:proofErr w:type="spellEnd"/>
            <w:r w:rsidR="00C676BE" w:rsidRPr="00C676BE">
              <w:rPr>
                <w:rFonts w:ascii="Times New Roman" w:hAnsi="Times New Roman"/>
                <w:sz w:val="20"/>
                <w:szCs w:val="20"/>
                <w:lang w:val="fr-FR" w:eastAsia="ru-RU"/>
              </w:rPr>
              <w:t xml:space="preserve"> de la </w:t>
            </w:r>
            <w:proofErr w:type="spellStart"/>
            <w:r w:rsidR="00C676BE" w:rsidRPr="00C676BE">
              <w:rPr>
                <w:rFonts w:ascii="Times New Roman" w:hAnsi="Times New Roman"/>
                <w:sz w:val="20"/>
                <w:szCs w:val="20"/>
                <w:lang w:val="fr-FR" w:eastAsia="ru-RU"/>
              </w:rPr>
              <w:t>articolul</w:t>
            </w:r>
            <w:proofErr w:type="spellEnd"/>
            <w:r w:rsidR="00C676BE" w:rsidRPr="00C676BE">
              <w:rPr>
                <w:rFonts w:ascii="Times New Roman" w:hAnsi="Times New Roman"/>
                <w:sz w:val="20"/>
                <w:szCs w:val="20"/>
                <w:lang w:val="fr-FR" w:eastAsia="ru-RU"/>
              </w:rPr>
              <w:t xml:space="preserve"> 2 </w:t>
            </w:r>
            <w:proofErr w:type="spellStart"/>
            <w:r w:rsidR="00C676BE" w:rsidRPr="00C676BE">
              <w:rPr>
                <w:rFonts w:ascii="Times New Roman" w:hAnsi="Times New Roman"/>
                <w:sz w:val="20"/>
                <w:szCs w:val="20"/>
                <w:lang w:val="fr-FR" w:eastAsia="ru-RU"/>
              </w:rPr>
              <w:t>punctul</w:t>
            </w:r>
            <w:proofErr w:type="spellEnd"/>
            <w:r w:rsidR="00C676BE" w:rsidRPr="00C676BE">
              <w:rPr>
                <w:rFonts w:ascii="Times New Roman" w:hAnsi="Times New Roman"/>
                <w:sz w:val="20"/>
                <w:szCs w:val="20"/>
                <w:lang w:val="fr-FR" w:eastAsia="ru-RU"/>
              </w:rPr>
              <w:t xml:space="preserve"> 19 </w:t>
            </w:r>
            <w:proofErr w:type="spellStart"/>
            <w:r w:rsidR="00C676BE" w:rsidRPr="00C676BE">
              <w:rPr>
                <w:rFonts w:ascii="Times New Roman" w:hAnsi="Times New Roman"/>
                <w:sz w:val="20"/>
                <w:szCs w:val="20"/>
                <w:lang w:val="fr-FR" w:eastAsia="ru-RU"/>
              </w:rPr>
              <w:t>din</w:t>
            </w:r>
            <w:proofErr w:type="spellEnd"/>
            <w:r w:rsidR="00C676BE" w:rsidRPr="00C676BE">
              <w:rPr>
                <w:rFonts w:ascii="Times New Roman" w:hAnsi="Times New Roman"/>
                <w:sz w:val="20"/>
                <w:szCs w:val="20"/>
                <w:lang w:val="fr-FR" w:eastAsia="ru-RU"/>
              </w:rPr>
              <w:t xml:space="preserve"> </w:t>
            </w:r>
            <w:proofErr w:type="spellStart"/>
            <w:r w:rsidR="00C676BE" w:rsidRPr="00C676BE">
              <w:rPr>
                <w:rFonts w:ascii="Times New Roman" w:hAnsi="Times New Roman"/>
                <w:sz w:val="20"/>
                <w:szCs w:val="20"/>
                <w:lang w:val="fr-FR" w:eastAsia="ru-RU"/>
              </w:rPr>
              <w:t>Directiva</w:t>
            </w:r>
            <w:proofErr w:type="spellEnd"/>
            <w:r w:rsidR="00C676BE" w:rsidRPr="00C676BE">
              <w:rPr>
                <w:rFonts w:ascii="Times New Roman" w:hAnsi="Times New Roman"/>
                <w:sz w:val="20"/>
                <w:szCs w:val="20"/>
                <w:lang w:val="fr-FR" w:eastAsia="ru-RU"/>
              </w:rPr>
              <w:t xml:space="preserve"> 2012/27/UE;</w:t>
            </w:r>
          </w:p>
        </w:tc>
        <w:tc>
          <w:tcPr>
            <w:tcW w:w="4541" w:type="dxa"/>
            <w:shd w:val="clear" w:color="auto" w:fill="auto"/>
          </w:tcPr>
          <w:p w14:paraId="2CB7EA33" w14:textId="16D82A63" w:rsidR="00C676BE" w:rsidRPr="00C676BE" w:rsidRDefault="00C676BE" w:rsidP="00C676BE">
            <w:pPr>
              <w:pStyle w:val="af5"/>
              <w:jc w:val="both"/>
              <w:rPr>
                <w:rFonts w:ascii="Times New Roman" w:hAnsi="Times New Roman"/>
                <w:color w:val="000000" w:themeColor="text1"/>
                <w:sz w:val="20"/>
                <w:szCs w:val="20"/>
              </w:rPr>
            </w:pPr>
          </w:p>
        </w:tc>
        <w:tc>
          <w:tcPr>
            <w:tcW w:w="1276" w:type="dxa"/>
            <w:shd w:val="clear" w:color="auto" w:fill="auto"/>
          </w:tcPr>
          <w:p w14:paraId="26A06B17" w14:textId="03504690" w:rsidR="00C676BE" w:rsidRPr="00C951E7" w:rsidRDefault="00C676BE" w:rsidP="00833097">
            <w:pPr>
              <w:spacing w:after="0" w:line="240" w:lineRule="auto"/>
              <w:rPr>
                <w:rFonts w:ascii="Times New Roman" w:hAnsi="Times New Roman"/>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73390C8C" w14:textId="77777777" w:rsidR="00C676BE" w:rsidRPr="00C951E7" w:rsidRDefault="00C676BE" w:rsidP="00833097">
            <w:pPr>
              <w:spacing w:line="240" w:lineRule="auto"/>
              <w:jc w:val="both"/>
              <w:rPr>
                <w:rFonts w:ascii="Times New Roman" w:hAnsi="Times New Roman"/>
                <w:sz w:val="20"/>
                <w:szCs w:val="20"/>
                <w:lang w:val="ro-RO"/>
              </w:rPr>
            </w:pPr>
          </w:p>
        </w:tc>
        <w:tc>
          <w:tcPr>
            <w:tcW w:w="1701" w:type="dxa"/>
            <w:shd w:val="clear" w:color="auto" w:fill="auto"/>
          </w:tcPr>
          <w:p w14:paraId="6EA343BA" w14:textId="563E7C13" w:rsidR="00C676BE" w:rsidRPr="00E1678F" w:rsidRDefault="00C676BE" w:rsidP="00FF367F">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proofErr w:type="spellStart"/>
            <w:r w:rsidRPr="00C676BE">
              <w:rPr>
                <w:rFonts w:ascii="Times New Roman" w:hAnsi="Times New Roman"/>
                <w:sz w:val="20"/>
                <w:szCs w:val="20"/>
                <w:lang w:val="fr-FR" w:eastAsia="ru-RU"/>
              </w:rPr>
              <w:t>acțiune</w:t>
            </w:r>
            <w:proofErr w:type="spellEnd"/>
            <w:r w:rsidRPr="00C676BE">
              <w:rPr>
                <w:rFonts w:ascii="Times New Roman" w:hAnsi="Times New Roman"/>
                <w:sz w:val="20"/>
                <w:szCs w:val="20"/>
                <w:lang w:val="fr-FR" w:eastAsia="ru-RU"/>
              </w:rPr>
              <w:t xml:space="preserve"> </w:t>
            </w:r>
            <w:proofErr w:type="spellStart"/>
            <w:r w:rsidRPr="00C676BE">
              <w:rPr>
                <w:rFonts w:ascii="Times New Roman" w:hAnsi="Times New Roman"/>
                <w:sz w:val="20"/>
                <w:szCs w:val="20"/>
                <w:lang w:val="fr-FR" w:eastAsia="ru-RU"/>
              </w:rPr>
              <w:t>individuală</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086A33EE" w14:textId="73247DB9" w:rsidR="00C676BE" w:rsidRPr="003F755D" w:rsidRDefault="00847153" w:rsidP="002C413A">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2C413A" w:rsidRPr="00A81801">
              <w:rPr>
                <w:rFonts w:ascii="Times New Roman" w:hAnsi="Times New Roman"/>
                <w:color w:val="000000" w:themeColor="text1"/>
                <w:sz w:val="20"/>
                <w:szCs w:val="20"/>
              </w:rPr>
              <w:t>Energiei</w:t>
            </w:r>
          </w:p>
        </w:tc>
      </w:tr>
      <w:tr w:rsidR="00833097" w:rsidRPr="007A690D" w14:paraId="1C7D0669" w14:textId="77777777" w:rsidTr="009F5405">
        <w:trPr>
          <w:trHeight w:val="776"/>
        </w:trPr>
        <w:tc>
          <w:tcPr>
            <w:tcW w:w="4810" w:type="dxa"/>
            <w:shd w:val="clear" w:color="auto" w:fill="auto"/>
          </w:tcPr>
          <w:p w14:paraId="749CA08E" w14:textId="2901C0EA" w:rsidR="00847153" w:rsidRPr="00847153" w:rsidRDefault="00E41D66" w:rsidP="00847153">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53)</w:t>
            </w:r>
            <w:r w:rsidR="00847153" w:rsidRPr="00847153">
              <w:rPr>
                <w:rFonts w:ascii="Times New Roman" w:hAnsi="Times New Roman"/>
                <w:sz w:val="20"/>
                <w:szCs w:val="20"/>
                <w:lang w:val="fr-FR" w:eastAsia="ru-RU"/>
              </w:rPr>
              <w:t>„</w:t>
            </w:r>
            <w:proofErr w:type="spellStart"/>
            <w:proofErr w:type="gramEnd"/>
            <w:r w:rsidR="00847153" w:rsidRPr="00847153">
              <w:rPr>
                <w:rFonts w:ascii="Times New Roman" w:hAnsi="Times New Roman"/>
                <w:sz w:val="20"/>
                <w:szCs w:val="20"/>
                <w:lang w:val="fr-FR" w:eastAsia="ru-RU"/>
              </w:rPr>
              <w:t>distribuitor</w:t>
            </w:r>
            <w:proofErr w:type="spellEnd"/>
            <w:r w:rsidR="00847153" w:rsidRPr="00847153">
              <w:rPr>
                <w:rFonts w:ascii="Times New Roman" w:hAnsi="Times New Roman"/>
                <w:sz w:val="20"/>
                <w:szCs w:val="20"/>
                <w:lang w:val="fr-FR" w:eastAsia="ru-RU"/>
              </w:rPr>
              <w:t xml:space="preserve"> de </w:t>
            </w:r>
            <w:proofErr w:type="spellStart"/>
            <w:r w:rsidR="00847153" w:rsidRPr="00847153">
              <w:rPr>
                <w:rFonts w:ascii="Times New Roman" w:hAnsi="Times New Roman"/>
                <w:sz w:val="20"/>
                <w:szCs w:val="20"/>
                <w:lang w:val="fr-FR" w:eastAsia="ru-RU"/>
              </w:rPr>
              <w:t>energie</w:t>
            </w:r>
            <w:proofErr w:type="spellEnd"/>
            <w:r w:rsidR="00847153" w:rsidRPr="00847153">
              <w:rPr>
                <w:rFonts w:ascii="Times New Roman" w:hAnsi="Times New Roman"/>
                <w:sz w:val="20"/>
                <w:szCs w:val="20"/>
                <w:lang w:val="fr-FR" w:eastAsia="ru-RU"/>
              </w:rPr>
              <w:t xml:space="preserve">” </w:t>
            </w:r>
            <w:proofErr w:type="spellStart"/>
            <w:r w:rsidR="00847153" w:rsidRPr="00847153">
              <w:rPr>
                <w:rFonts w:ascii="Times New Roman" w:hAnsi="Times New Roman"/>
                <w:sz w:val="20"/>
                <w:szCs w:val="20"/>
                <w:lang w:val="fr-FR" w:eastAsia="ru-RU"/>
              </w:rPr>
              <w:t>înseamnă</w:t>
            </w:r>
            <w:proofErr w:type="spellEnd"/>
            <w:r w:rsidR="00847153" w:rsidRPr="00847153">
              <w:rPr>
                <w:rFonts w:ascii="Times New Roman" w:hAnsi="Times New Roman"/>
                <w:sz w:val="20"/>
                <w:szCs w:val="20"/>
                <w:lang w:val="fr-FR" w:eastAsia="ru-RU"/>
              </w:rPr>
              <w:t xml:space="preserve"> </w:t>
            </w:r>
            <w:proofErr w:type="spellStart"/>
            <w:r w:rsidR="00847153" w:rsidRPr="00847153">
              <w:rPr>
                <w:rFonts w:ascii="Times New Roman" w:hAnsi="Times New Roman"/>
                <w:sz w:val="20"/>
                <w:szCs w:val="20"/>
                <w:lang w:val="fr-FR" w:eastAsia="ru-RU"/>
              </w:rPr>
              <w:t>distribuitor</w:t>
            </w:r>
            <w:proofErr w:type="spellEnd"/>
            <w:r w:rsidR="00847153" w:rsidRPr="00847153">
              <w:rPr>
                <w:rFonts w:ascii="Times New Roman" w:hAnsi="Times New Roman"/>
                <w:sz w:val="20"/>
                <w:szCs w:val="20"/>
                <w:lang w:val="fr-FR" w:eastAsia="ru-RU"/>
              </w:rPr>
              <w:t xml:space="preserve"> de </w:t>
            </w:r>
            <w:proofErr w:type="spellStart"/>
            <w:r w:rsidR="00847153" w:rsidRPr="00847153">
              <w:rPr>
                <w:rFonts w:ascii="Times New Roman" w:hAnsi="Times New Roman"/>
                <w:sz w:val="20"/>
                <w:szCs w:val="20"/>
                <w:lang w:val="fr-FR" w:eastAsia="ru-RU"/>
              </w:rPr>
              <w:t>energie</w:t>
            </w:r>
            <w:proofErr w:type="spellEnd"/>
            <w:r w:rsidR="00847153" w:rsidRPr="00847153">
              <w:rPr>
                <w:rFonts w:ascii="Times New Roman" w:hAnsi="Times New Roman"/>
                <w:sz w:val="20"/>
                <w:szCs w:val="20"/>
                <w:lang w:val="fr-FR" w:eastAsia="ru-RU"/>
              </w:rPr>
              <w:t xml:space="preserve"> în </w:t>
            </w:r>
            <w:proofErr w:type="spellStart"/>
            <w:r w:rsidR="00847153" w:rsidRPr="00847153">
              <w:rPr>
                <w:rFonts w:ascii="Times New Roman" w:hAnsi="Times New Roman"/>
                <w:sz w:val="20"/>
                <w:szCs w:val="20"/>
                <w:lang w:val="fr-FR" w:eastAsia="ru-RU"/>
              </w:rPr>
              <w:t>sensul</w:t>
            </w:r>
            <w:proofErr w:type="spellEnd"/>
            <w:r w:rsidR="00847153" w:rsidRPr="00847153">
              <w:rPr>
                <w:rFonts w:ascii="Times New Roman" w:hAnsi="Times New Roman"/>
                <w:sz w:val="20"/>
                <w:szCs w:val="20"/>
                <w:lang w:val="fr-FR" w:eastAsia="ru-RU"/>
              </w:rPr>
              <w:t xml:space="preserve"> </w:t>
            </w:r>
            <w:proofErr w:type="spellStart"/>
            <w:r w:rsidR="00847153" w:rsidRPr="00847153">
              <w:rPr>
                <w:rFonts w:ascii="Times New Roman" w:hAnsi="Times New Roman"/>
                <w:sz w:val="20"/>
                <w:szCs w:val="20"/>
                <w:lang w:val="fr-FR" w:eastAsia="ru-RU"/>
              </w:rPr>
              <w:t>definiției</w:t>
            </w:r>
            <w:proofErr w:type="spellEnd"/>
            <w:r w:rsidR="00847153" w:rsidRPr="00847153">
              <w:rPr>
                <w:rFonts w:ascii="Times New Roman" w:hAnsi="Times New Roman"/>
                <w:sz w:val="20"/>
                <w:szCs w:val="20"/>
                <w:lang w:val="fr-FR" w:eastAsia="ru-RU"/>
              </w:rPr>
              <w:t xml:space="preserve"> de la </w:t>
            </w:r>
            <w:proofErr w:type="spellStart"/>
            <w:r w:rsidR="00847153" w:rsidRPr="00847153">
              <w:rPr>
                <w:rFonts w:ascii="Times New Roman" w:hAnsi="Times New Roman"/>
                <w:sz w:val="20"/>
                <w:szCs w:val="20"/>
                <w:lang w:val="fr-FR" w:eastAsia="ru-RU"/>
              </w:rPr>
              <w:t>articolul</w:t>
            </w:r>
            <w:proofErr w:type="spellEnd"/>
            <w:r w:rsidR="00847153" w:rsidRPr="00847153">
              <w:rPr>
                <w:rFonts w:ascii="Times New Roman" w:hAnsi="Times New Roman"/>
                <w:sz w:val="20"/>
                <w:szCs w:val="20"/>
                <w:lang w:val="fr-FR" w:eastAsia="ru-RU"/>
              </w:rPr>
              <w:t xml:space="preserve"> 2 </w:t>
            </w:r>
            <w:proofErr w:type="spellStart"/>
            <w:r w:rsidR="00847153" w:rsidRPr="00847153">
              <w:rPr>
                <w:rFonts w:ascii="Times New Roman" w:hAnsi="Times New Roman"/>
                <w:sz w:val="20"/>
                <w:szCs w:val="20"/>
                <w:lang w:val="fr-FR" w:eastAsia="ru-RU"/>
              </w:rPr>
              <w:t>punctul</w:t>
            </w:r>
            <w:proofErr w:type="spellEnd"/>
            <w:r w:rsidR="00847153" w:rsidRPr="00847153">
              <w:rPr>
                <w:rFonts w:ascii="Times New Roman" w:hAnsi="Times New Roman"/>
                <w:sz w:val="20"/>
                <w:szCs w:val="20"/>
                <w:lang w:val="fr-FR" w:eastAsia="ru-RU"/>
              </w:rPr>
              <w:t xml:space="preserve"> 20 </w:t>
            </w:r>
            <w:proofErr w:type="spellStart"/>
            <w:r w:rsidR="00847153" w:rsidRPr="00847153">
              <w:rPr>
                <w:rFonts w:ascii="Times New Roman" w:hAnsi="Times New Roman"/>
                <w:sz w:val="20"/>
                <w:szCs w:val="20"/>
                <w:lang w:val="fr-FR" w:eastAsia="ru-RU"/>
              </w:rPr>
              <w:t>din</w:t>
            </w:r>
            <w:proofErr w:type="spellEnd"/>
            <w:r w:rsidR="00847153" w:rsidRPr="00847153">
              <w:rPr>
                <w:rFonts w:ascii="Times New Roman" w:hAnsi="Times New Roman"/>
                <w:sz w:val="20"/>
                <w:szCs w:val="20"/>
                <w:lang w:val="fr-FR" w:eastAsia="ru-RU"/>
              </w:rPr>
              <w:t xml:space="preserve"> </w:t>
            </w:r>
            <w:proofErr w:type="spellStart"/>
            <w:r w:rsidR="00847153" w:rsidRPr="00847153">
              <w:rPr>
                <w:rFonts w:ascii="Times New Roman" w:hAnsi="Times New Roman"/>
                <w:sz w:val="20"/>
                <w:szCs w:val="20"/>
                <w:lang w:val="fr-FR" w:eastAsia="ru-RU"/>
              </w:rPr>
              <w:t>Directiva</w:t>
            </w:r>
            <w:proofErr w:type="spellEnd"/>
            <w:r w:rsidR="00847153" w:rsidRPr="00847153">
              <w:rPr>
                <w:rFonts w:ascii="Times New Roman" w:hAnsi="Times New Roman"/>
                <w:sz w:val="20"/>
                <w:szCs w:val="20"/>
                <w:lang w:val="fr-FR" w:eastAsia="ru-RU"/>
              </w:rPr>
              <w:t xml:space="preserve"> 2012/27/UE;</w:t>
            </w:r>
          </w:p>
          <w:p w14:paraId="6A7A8B75" w14:textId="1622DD23" w:rsidR="00833097" w:rsidRPr="00745D9A" w:rsidRDefault="00833097" w:rsidP="00833097">
            <w:pPr>
              <w:shd w:val="clear" w:color="auto" w:fill="FFFFFF"/>
              <w:spacing w:after="0" w:line="240" w:lineRule="auto"/>
              <w:jc w:val="both"/>
              <w:rPr>
                <w:rFonts w:ascii="Times New Roman" w:hAnsi="Times New Roman"/>
                <w:sz w:val="20"/>
                <w:szCs w:val="20"/>
                <w:lang w:val="fr-FR"/>
              </w:rPr>
            </w:pPr>
          </w:p>
        </w:tc>
        <w:tc>
          <w:tcPr>
            <w:tcW w:w="4541" w:type="dxa"/>
            <w:shd w:val="clear" w:color="auto" w:fill="auto"/>
          </w:tcPr>
          <w:p w14:paraId="7A44E65C" w14:textId="7DDEDE52" w:rsidR="00833097" w:rsidRPr="00C951E7" w:rsidRDefault="00833097" w:rsidP="00833097">
            <w:pPr>
              <w:pStyle w:val="af5"/>
              <w:jc w:val="both"/>
              <w:rPr>
                <w:rFonts w:ascii="Times New Roman" w:hAnsi="Times New Roman"/>
                <w:sz w:val="20"/>
                <w:szCs w:val="20"/>
                <w:shd w:val="clear" w:color="auto" w:fill="FFFFFF"/>
              </w:rPr>
            </w:pPr>
          </w:p>
        </w:tc>
        <w:tc>
          <w:tcPr>
            <w:tcW w:w="1276" w:type="dxa"/>
            <w:shd w:val="clear" w:color="auto" w:fill="auto"/>
          </w:tcPr>
          <w:p w14:paraId="404655FA" w14:textId="54A9E7FD" w:rsidR="00833097" w:rsidRPr="00C951E7" w:rsidRDefault="00BD4FA4" w:rsidP="00833097">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5" w:type="dxa"/>
            <w:shd w:val="clear" w:color="auto" w:fill="auto"/>
          </w:tcPr>
          <w:p w14:paraId="655D29B7" w14:textId="77777777" w:rsidR="00833097" w:rsidRPr="00C951E7" w:rsidRDefault="00833097" w:rsidP="00833097">
            <w:pPr>
              <w:spacing w:line="240" w:lineRule="auto"/>
              <w:jc w:val="both"/>
              <w:rPr>
                <w:rFonts w:ascii="Times New Roman" w:hAnsi="Times New Roman"/>
                <w:sz w:val="20"/>
                <w:szCs w:val="20"/>
                <w:lang w:val="ro-RO"/>
              </w:rPr>
            </w:pPr>
          </w:p>
        </w:tc>
        <w:tc>
          <w:tcPr>
            <w:tcW w:w="1701" w:type="dxa"/>
            <w:shd w:val="clear" w:color="auto" w:fill="auto"/>
          </w:tcPr>
          <w:p w14:paraId="42163FC6" w14:textId="731CD92E" w:rsidR="00833097" w:rsidRPr="00C951E7" w:rsidRDefault="00BD4FA4" w:rsidP="006A6261">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BD4FA4">
              <w:rPr>
                <w:rStyle w:val="af7"/>
                <w:rFonts w:ascii="Times New Roman" w:hAnsi="Times New Roman"/>
                <w:color w:val="0D0D0D"/>
                <w:sz w:val="20"/>
                <w:szCs w:val="20"/>
                <w:shd w:val="clear" w:color="auto" w:fill="FFFFFF"/>
                <w:lang w:val="fr-FR"/>
              </w:rPr>
              <w:t xml:space="preserve"> </w:t>
            </w:r>
            <w:proofErr w:type="spellStart"/>
            <w:r w:rsidRPr="00BD4FA4">
              <w:rPr>
                <w:rStyle w:val="af7"/>
                <w:rFonts w:ascii="Times New Roman" w:hAnsi="Times New Roman"/>
                <w:color w:val="0D0D0D"/>
                <w:sz w:val="20"/>
                <w:szCs w:val="20"/>
                <w:shd w:val="clear" w:color="auto" w:fill="FFFFFF"/>
                <w:lang w:val="fr-FR"/>
              </w:rPr>
              <w:t>distribuitor</w:t>
            </w:r>
            <w:proofErr w:type="spellEnd"/>
            <w:r w:rsidRPr="00BD4FA4">
              <w:rPr>
                <w:rStyle w:val="af7"/>
                <w:rFonts w:ascii="Times New Roman" w:hAnsi="Times New Roman"/>
                <w:color w:val="0D0D0D"/>
                <w:sz w:val="20"/>
                <w:szCs w:val="20"/>
                <w:shd w:val="clear" w:color="auto" w:fill="FFFFFF"/>
                <w:lang w:val="fr-FR"/>
              </w:rPr>
              <w:t xml:space="preserve"> de </w:t>
            </w:r>
            <w:proofErr w:type="spellStart"/>
            <w:r w:rsidRPr="00BD4FA4">
              <w:rPr>
                <w:rStyle w:val="af7"/>
                <w:rFonts w:ascii="Times New Roman" w:hAnsi="Times New Roman"/>
                <w:color w:val="0D0D0D"/>
                <w:sz w:val="20"/>
                <w:szCs w:val="20"/>
                <w:shd w:val="clear" w:color="auto" w:fill="FFFFFF"/>
                <w:lang w:val="fr-FR"/>
              </w:rPr>
              <w:t>energie</w:t>
            </w:r>
            <w:proofErr w:type="spellEnd"/>
            <w:r w:rsidRPr="00BD4FA4">
              <w:rPr>
                <w:rStyle w:val="af7"/>
                <w:rFonts w:ascii="Times New Roman" w:hAnsi="Times New Roman"/>
                <w:color w:val="0D0D0D"/>
                <w:sz w:val="20"/>
                <w:szCs w:val="20"/>
                <w:shd w:val="clear" w:color="auto" w:fill="FFFFFF"/>
                <w:lang w:val="fr-FR"/>
              </w:rPr>
              <w:t xml:space="preserve"> </w:t>
            </w:r>
            <w:proofErr w:type="spellStart"/>
            <w:r w:rsidRPr="00BD4FA4">
              <w:rPr>
                <w:rStyle w:val="af7"/>
                <w:rFonts w:ascii="Times New Roman" w:hAnsi="Times New Roman"/>
                <w:color w:val="0D0D0D"/>
                <w:sz w:val="20"/>
                <w:szCs w:val="20"/>
                <w:shd w:val="clear" w:color="auto" w:fill="FFFFFF"/>
                <w:lang w:val="fr-FR"/>
              </w:rPr>
              <w:t>termică</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6A997727" w14:textId="59F81CF0" w:rsidR="00833097" w:rsidRPr="00C951E7" w:rsidRDefault="006A6261" w:rsidP="002C413A">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2C413A" w:rsidRPr="00A81801">
              <w:rPr>
                <w:rFonts w:ascii="Times New Roman" w:hAnsi="Times New Roman"/>
                <w:color w:val="000000" w:themeColor="text1"/>
                <w:sz w:val="20"/>
                <w:szCs w:val="20"/>
              </w:rPr>
              <w:t>Energiei</w:t>
            </w:r>
          </w:p>
        </w:tc>
      </w:tr>
      <w:tr w:rsidR="00BD4FA4" w:rsidRPr="007A690D" w14:paraId="2665C58D" w14:textId="77777777" w:rsidTr="009F5405">
        <w:trPr>
          <w:trHeight w:val="776"/>
        </w:trPr>
        <w:tc>
          <w:tcPr>
            <w:tcW w:w="4810" w:type="dxa"/>
            <w:shd w:val="clear" w:color="auto" w:fill="auto"/>
          </w:tcPr>
          <w:p w14:paraId="7B325D42" w14:textId="55E3ED2C" w:rsidR="00BD4FA4" w:rsidRPr="00F81B62" w:rsidRDefault="00E41D66" w:rsidP="00BD4FA4">
            <w:pPr>
              <w:shd w:val="clear" w:color="auto" w:fill="FFFFFF"/>
              <w:spacing w:after="0" w:line="240" w:lineRule="auto"/>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54)</w:t>
            </w:r>
            <w:r w:rsidR="00BD4FA4" w:rsidRPr="00F81B62">
              <w:rPr>
                <w:rFonts w:ascii="Times New Roman" w:hAnsi="Times New Roman"/>
                <w:sz w:val="20"/>
                <w:szCs w:val="20"/>
                <w:lang w:val="fr-FR" w:eastAsia="ru-RU"/>
              </w:rPr>
              <w:t>„</w:t>
            </w:r>
            <w:proofErr w:type="spellStart"/>
            <w:proofErr w:type="gramEnd"/>
            <w:r w:rsidR="00BD4FA4" w:rsidRPr="00F81B62">
              <w:rPr>
                <w:rFonts w:ascii="Times New Roman" w:hAnsi="Times New Roman"/>
                <w:sz w:val="20"/>
                <w:szCs w:val="20"/>
                <w:lang w:val="fr-FR" w:eastAsia="ru-RU"/>
              </w:rPr>
              <w:t>operator</w:t>
            </w:r>
            <w:proofErr w:type="spellEnd"/>
            <w:r w:rsidR="00BD4FA4" w:rsidRPr="00F81B62">
              <w:rPr>
                <w:rFonts w:ascii="Times New Roman" w:hAnsi="Times New Roman"/>
                <w:sz w:val="20"/>
                <w:szCs w:val="20"/>
                <w:lang w:val="fr-FR" w:eastAsia="ru-RU"/>
              </w:rPr>
              <w:t xml:space="preserve"> de </w:t>
            </w:r>
            <w:proofErr w:type="spellStart"/>
            <w:r w:rsidR="00BD4FA4" w:rsidRPr="00F81B62">
              <w:rPr>
                <w:rFonts w:ascii="Times New Roman" w:hAnsi="Times New Roman"/>
                <w:sz w:val="20"/>
                <w:szCs w:val="20"/>
                <w:lang w:val="fr-FR" w:eastAsia="ru-RU"/>
              </w:rPr>
              <w:t>distribuție</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înseamnă</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operator</w:t>
            </w:r>
            <w:proofErr w:type="spellEnd"/>
            <w:r w:rsidR="00BD4FA4" w:rsidRPr="00F81B62">
              <w:rPr>
                <w:rFonts w:ascii="Times New Roman" w:hAnsi="Times New Roman"/>
                <w:sz w:val="20"/>
                <w:szCs w:val="20"/>
                <w:lang w:val="fr-FR" w:eastAsia="ru-RU"/>
              </w:rPr>
              <w:t xml:space="preserve"> de </w:t>
            </w:r>
            <w:proofErr w:type="spellStart"/>
            <w:r w:rsidR="00BD4FA4" w:rsidRPr="00F81B62">
              <w:rPr>
                <w:rFonts w:ascii="Times New Roman" w:hAnsi="Times New Roman"/>
                <w:sz w:val="20"/>
                <w:szCs w:val="20"/>
                <w:lang w:val="fr-FR" w:eastAsia="ru-RU"/>
              </w:rPr>
              <w:t>distribuție</w:t>
            </w:r>
            <w:proofErr w:type="spellEnd"/>
            <w:r w:rsidR="00BD4FA4" w:rsidRPr="00F81B62">
              <w:rPr>
                <w:rFonts w:ascii="Times New Roman" w:hAnsi="Times New Roman"/>
                <w:sz w:val="20"/>
                <w:szCs w:val="20"/>
                <w:lang w:val="fr-FR" w:eastAsia="ru-RU"/>
              </w:rPr>
              <w:t xml:space="preserve"> în </w:t>
            </w:r>
            <w:proofErr w:type="spellStart"/>
            <w:r w:rsidR="00BD4FA4" w:rsidRPr="00F81B62">
              <w:rPr>
                <w:rFonts w:ascii="Times New Roman" w:hAnsi="Times New Roman"/>
                <w:sz w:val="20"/>
                <w:szCs w:val="20"/>
                <w:lang w:val="fr-FR" w:eastAsia="ru-RU"/>
              </w:rPr>
              <w:t>sensul</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definiției</w:t>
            </w:r>
            <w:proofErr w:type="spellEnd"/>
            <w:r w:rsidR="00BD4FA4" w:rsidRPr="00F81B62">
              <w:rPr>
                <w:rFonts w:ascii="Times New Roman" w:hAnsi="Times New Roman"/>
                <w:sz w:val="20"/>
                <w:szCs w:val="20"/>
                <w:lang w:val="fr-FR" w:eastAsia="ru-RU"/>
              </w:rPr>
              <w:t xml:space="preserve"> de la </w:t>
            </w:r>
            <w:proofErr w:type="spellStart"/>
            <w:r w:rsidR="00BD4FA4" w:rsidRPr="00F81B62">
              <w:rPr>
                <w:rFonts w:ascii="Times New Roman" w:hAnsi="Times New Roman"/>
                <w:sz w:val="20"/>
                <w:szCs w:val="20"/>
                <w:lang w:val="fr-FR" w:eastAsia="ru-RU"/>
              </w:rPr>
              <w:t>articolul</w:t>
            </w:r>
            <w:proofErr w:type="spellEnd"/>
            <w:r w:rsidR="00BD4FA4" w:rsidRPr="00F81B62">
              <w:rPr>
                <w:rFonts w:ascii="Times New Roman" w:hAnsi="Times New Roman"/>
                <w:sz w:val="20"/>
                <w:szCs w:val="20"/>
                <w:lang w:val="fr-FR" w:eastAsia="ru-RU"/>
              </w:rPr>
              <w:t xml:space="preserve"> 2 </w:t>
            </w:r>
            <w:proofErr w:type="spellStart"/>
            <w:r w:rsidR="00BD4FA4" w:rsidRPr="00F81B62">
              <w:rPr>
                <w:rFonts w:ascii="Times New Roman" w:hAnsi="Times New Roman"/>
                <w:sz w:val="20"/>
                <w:szCs w:val="20"/>
                <w:lang w:val="fr-FR" w:eastAsia="ru-RU"/>
              </w:rPr>
              <w:t>punctul</w:t>
            </w:r>
            <w:proofErr w:type="spellEnd"/>
            <w:r w:rsidR="00BD4FA4" w:rsidRPr="00F81B62">
              <w:rPr>
                <w:rFonts w:ascii="Times New Roman" w:hAnsi="Times New Roman"/>
                <w:sz w:val="20"/>
                <w:szCs w:val="20"/>
                <w:lang w:val="fr-FR" w:eastAsia="ru-RU"/>
              </w:rPr>
              <w:t xml:space="preserve"> 6 </w:t>
            </w:r>
            <w:proofErr w:type="spellStart"/>
            <w:r w:rsidR="00BD4FA4" w:rsidRPr="00F81B62">
              <w:rPr>
                <w:rFonts w:ascii="Times New Roman" w:hAnsi="Times New Roman"/>
                <w:sz w:val="20"/>
                <w:szCs w:val="20"/>
                <w:lang w:val="fr-FR" w:eastAsia="ru-RU"/>
              </w:rPr>
              <w:t>din</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Directiva</w:t>
            </w:r>
            <w:proofErr w:type="spellEnd"/>
            <w:r w:rsidR="00BD4FA4" w:rsidRPr="00F81B62">
              <w:rPr>
                <w:rFonts w:ascii="Times New Roman" w:hAnsi="Times New Roman"/>
                <w:sz w:val="20"/>
                <w:szCs w:val="20"/>
                <w:lang w:val="fr-FR" w:eastAsia="ru-RU"/>
              </w:rPr>
              <w:t xml:space="preserve"> 2009/72/CE și de la </w:t>
            </w:r>
            <w:proofErr w:type="spellStart"/>
            <w:r w:rsidR="00BD4FA4" w:rsidRPr="00F81B62">
              <w:rPr>
                <w:rFonts w:ascii="Times New Roman" w:hAnsi="Times New Roman"/>
                <w:sz w:val="20"/>
                <w:szCs w:val="20"/>
                <w:lang w:val="fr-FR" w:eastAsia="ru-RU"/>
              </w:rPr>
              <w:t>articolul</w:t>
            </w:r>
            <w:proofErr w:type="spellEnd"/>
            <w:r w:rsidR="00BD4FA4" w:rsidRPr="00F81B62">
              <w:rPr>
                <w:rFonts w:ascii="Times New Roman" w:hAnsi="Times New Roman"/>
                <w:sz w:val="20"/>
                <w:szCs w:val="20"/>
                <w:lang w:val="fr-FR" w:eastAsia="ru-RU"/>
              </w:rPr>
              <w:t xml:space="preserve"> 2 </w:t>
            </w:r>
            <w:proofErr w:type="spellStart"/>
            <w:r w:rsidR="00BD4FA4" w:rsidRPr="00F81B62">
              <w:rPr>
                <w:rFonts w:ascii="Times New Roman" w:hAnsi="Times New Roman"/>
                <w:sz w:val="20"/>
                <w:szCs w:val="20"/>
                <w:lang w:val="fr-FR" w:eastAsia="ru-RU"/>
              </w:rPr>
              <w:t>punctul</w:t>
            </w:r>
            <w:proofErr w:type="spellEnd"/>
            <w:r w:rsidR="00BD4FA4" w:rsidRPr="00F81B62">
              <w:rPr>
                <w:rFonts w:ascii="Times New Roman" w:hAnsi="Times New Roman"/>
                <w:sz w:val="20"/>
                <w:szCs w:val="20"/>
                <w:lang w:val="fr-FR" w:eastAsia="ru-RU"/>
              </w:rPr>
              <w:t xml:space="preserve"> 6 </w:t>
            </w:r>
            <w:proofErr w:type="spellStart"/>
            <w:r w:rsidR="00BD4FA4" w:rsidRPr="00F81B62">
              <w:rPr>
                <w:rFonts w:ascii="Times New Roman" w:hAnsi="Times New Roman"/>
                <w:sz w:val="20"/>
                <w:szCs w:val="20"/>
                <w:lang w:val="fr-FR" w:eastAsia="ru-RU"/>
              </w:rPr>
              <w:t>din</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Directiva</w:t>
            </w:r>
            <w:proofErr w:type="spellEnd"/>
            <w:r w:rsidR="00BD4FA4" w:rsidRPr="00F81B62">
              <w:rPr>
                <w:rFonts w:ascii="Times New Roman" w:hAnsi="Times New Roman"/>
                <w:sz w:val="20"/>
                <w:szCs w:val="20"/>
                <w:lang w:val="fr-FR" w:eastAsia="ru-RU"/>
              </w:rPr>
              <w:t xml:space="preserve"> 2009/73/CE</w:t>
            </w:r>
          </w:p>
        </w:tc>
        <w:tc>
          <w:tcPr>
            <w:tcW w:w="4541" w:type="dxa"/>
            <w:shd w:val="clear" w:color="auto" w:fill="auto"/>
          </w:tcPr>
          <w:p w14:paraId="733C1A7C" w14:textId="7AB2EFF7" w:rsidR="00BD4FA4" w:rsidRPr="00BD4FA4" w:rsidRDefault="00BD4FA4" w:rsidP="00BD4FA4">
            <w:pPr>
              <w:spacing w:after="0" w:line="240" w:lineRule="auto"/>
              <w:jc w:val="both"/>
              <w:rPr>
                <w:rFonts w:ascii="Times New Roman" w:hAnsi="Times New Roman"/>
                <w:color w:val="000000" w:themeColor="text1"/>
                <w:sz w:val="20"/>
                <w:szCs w:val="20"/>
                <w:lang w:val="fr-FR"/>
              </w:rPr>
            </w:pPr>
          </w:p>
        </w:tc>
        <w:tc>
          <w:tcPr>
            <w:tcW w:w="1276" w:type="dxa"/>
            <w:shd w:val="clear" w:color="auto" w:fill="auto"/>
          </w:tcPr>
          <w:p w14:paraId="225427C6" w14:textId="48F7F4C5" w:rsidR="00BD4FA4" w:rsidRPr="00C951E7" w:rsidRDefault="00BD4FA4" w:rsidP="00BD4FA4">
            <w:pPr>
              <w:spacing w:after="0" w:line="240" w:lineRule="auto"/>
              <w:rPr>
                <w:rFonts w:ascii="Times New Roman" w:hAnsi="Times New Roman"/>
                <w:bCs/>
                <w:color w:val="000000" w:themeColor="text1"/>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5" w:type="dxa"/>
            <w:shd w:val="clear" w:color="auto" w:fill="auto"/>
          </w:tcPr>
          <w:p w14:paraId="1186986C" w14:textId="77777777" w:rsidR="00BD4FA4" w:rsidRPr="00C951E7" w:rsidRDefault="00BD4FA4" w:rsidP="00BD4FA4">
            <w:pPr>
              <w:spacing w:line="240" w:lineRule="auto"/>
              <w:jc w:val="both"/>
              <w:rPr>
                <w:rFonts w:ascii="Times New Roman" w:hAnsi="Times New Roman"/>
                <w:sz w:val="20"/>
                <w:szCs w:val="20"/>
                <w:lang w:val="ro-RO"/>
              </w:rPr>
            </w:pPr>
          </w:p>
        </w:tc>
        <w:tc>
          <w:tcPr>
            <w:tcW w:w="1701" w:type="dxa"/>
            <w:shd w:val="clear" w:color="auto" w:fill="auto"/>
          </w:tcPr>
          <w:p w14:paraId="73921144" w14:textId="1AEBF8C5" w:rsidR="00BD4FA4" w:rsidRPr="00C951E7" w:rsidRDefault="00BD4FA4" w:rsidP="00BD4FA4">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BD4FA4">
              <w:rPr>
                <w:rStyle w:val="af7"/>
                <w:rFonts w:ascii="Times New Roman" w:hAnsi="Times New Roman"/>
                <w:color w:val="0D0D0D"/>
                <w:sz w:val="20"/>
                <w:szCs w:val="20"/>
                <w:shd w:val="clear" w:color="auto" w:fill="FFFFFF"/>
                <w:lang w:val="fr-FR"/>
              </w:rPr>
              <w:t xml:space="preserve"> </w:t>
            </w:r>
            <w:proofErr w:type="spellStart"/>
            <w:r w:rsidRPr="00BD4FA4">
              <w:rPr>
                <w:rStyle w:val="af7"/>
                <w:rFonts w:ascii="Times New Roman" w:hAnsi="Times New Roman"/>
                <w:color w:val="0D0D0D"/>
                <w:sz w:val="20"/>
                <w:szCs w:val="20"/>
                <w:shd w:val="clear" w:color="auto" w:fill="FFFFFF"/>
                <w:lang w:val="fr-FR"/>
              </w:rPr>
              <w:t>distribuitor</w:t>
            </w:r>
            <w:proofErr w:type="spellEnd"/>
            <w:r w:rsidRPr="00BD4FA4">
              <w:rPr>
                <w:rStyle w:val="af7"/>
                <w:rFonts w:ascii="Times New Roman" w:hAnsi="Times New Roman"/>
                <w:color w:val="0D0D0D"/>
                <w:sz w:val="20"/>
                <w:szCs w:val="20"/>
                <w:shd w:val="clear" w:color="auto" w:fill="FFFFFF"/>
                <w:lang w:val="fr-FR"/>
              </w:rPr>
              <w:t xml:space="preserve"> de </w:t>
            </w:r>
            <w:proofErr w:type="spellStart"/>
            <w:r w:rsidRPr="00BD4FA4">
              <w:rPr>
                <w:rStyle w:val="af7"/>
                <w:rFonts w:ascii="Times New Roman" w:hAnsi="Times New Roman"/>
                <w:color w:val="0D0D0D"/>
                <w:sz w:val="20"/>
                <w:szCs w:val="20"/>
                <w:shd w:val="clear" w:color="auto" w:fill="FFFFFF"/>
                <w:lang w:val="fr-FR"/>
              </w:rPr>
              <w:t>energie</w:t>
            </w:r>
            <w:proofErr w:type="spellEnd"/>
            <w:r w:rsidRPr="00BD4FA4">
              <w:rPr>
                <w:rStyle w:val="af7"/>
                <w:rFonts w:ascii="Times New Roman" w:hAnsi="Times New Roman"/>
                <w:color w:val="0D0D0D"/>
                <w:sz w:val="20"/>
                <w:szCs w:val="20"/>
                <w:shd w:val="clear" w:color="auto" w:fill="FFFFFF"/>
                <w:lang w:val="fr-FR"/>
              </w:rPr>
              <w:t xml:space="preserve"> </w:t>
            </w:r>
            <w:proofErr w:type="spellStart"/>
            <w:r w:rsidRPr="00BD4FA4">
              <w:rPr>
                <w:rStyle w:val="af7"/>
                <w:rFonts w:ascii="Times New Roman" w:hAnsi="Times New Roman"/>
                <w:color w:val="0D0D0D"/>
                <w:sz w:val="20"/>
                <w:szCs w:val="20"/>
                <w:shd w:val="clear" w:color="auto" w:fill="FFFFFF"/>
                <w:lang w:val="fr-FR"/>
              </w:rPr>
              <w:t>termică</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w:t>
            </w:r>
            <w:r w:rsidRPr="00690865">
              <w:rPr>
                <w:rFonts w:ascii="Times New Roman" w:hAnsi="Times New Roman"/>
                <w:sz w:val="20"/>
                <w:szCs w:val="20"/>
                <w:shd w:val="clear" w:color="auto" w:fill="FFFFFF"/>
                <w:lang w:val="ro-RO"/>
              </w:rPr>
              <w:lastRenderedPageBreak/>
              <w:t>Legea nr.139/2018 cu privire la eficiența energetică</w:t>
            </w:r>
          </w:p>
        </w:tc>
        <w:tc>
          <w:tcPr>
            <w:tcW w:w="1464" w:type="dxa"/>
            <w:shd w:val="clear" w:color="auto" w:fill="auto"/>
          </w:tcPr>
          <w:p w14:paraId="45AD5A16" w14:textId="1E7B1142" w:rsidR="00BD4FA4" w:rsidRPr="00C951E7" w:rsidRDefault="00BD4FA4" w:rsidP="002C413A">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2C413A" w:rsidRPr="00A81801">
              <w:rPr>
                <w:rFonts w:ascii="Times New Roman" w:hAnsi="Times New Roman"/>
                <w:color w:val="000000" w:themeColor="text1"/>
                <w:sz w:val="20"/>
                <w:szCs w:val="20"/>
              </w:rPr>
              <w:t>Energiei</w:t>
            </w:r>
          </w:p>
        </w:tc>
      </w:tr>
      <w:tr w:rsidR="00BD4FA4" w:rsidRPr="007A690D" w14:paraId="60B1E7F1" w14:textId="77777777" w:rsidTr="009F5405">
        <w:trPr>
          <w:trHeight w:val="776"/>
        </w:trPr>
        <w:tc>
          <w:tcPr>
            <w:tcW w:w="4810" w:type="dxa"/>
            <w:shd w:val="clear" w:color="auto" w:fill="auto"/>
          </w:tcPr>
          <w:p w14:paraId="525E5ABE" w14:textId="10F5765A" w:rsidR="00BD4FA4" w:rsidRPr="00745D9A" w:rsidRDefault="00E41D66" w:rsidP="00BD4FA4">
            <w:pPr>
              <w:jc w:val="both"/>
              <w:rPr>
                <w:rFonts w:ascii="Times New Roman" w:hAnsi="Times New Roman"/>
                <w:sz w:val="20"/>
                <w:szCs w:val="20"/>
                <w:lang w:val="fr-FR"/>
              </w:rPr>
            </w:pPr>
            <w:r>
              <w:rPr>
                <w:rFonts w:ascii="Times New Roman" w:hAnsi="Times New Roman"/>
                <w:sz w:val="20"/>
                <w:szCs w:val="20"/>
                <w:lang w:val="fr-FR"/>
              </w:rPr>
              <w:t>(55)</w:t>
            </w:r>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furnizor</w:t>
            </w:r>
            <w:proofErr w:type="spellEnd"/>
            <w:r w:rsidR="00BD4FA4" w:rsidRPr="00F81B62">
              <w:rPr>
                <w:rFonts w:ascii="Times New Roman" w:hAnsi="Times New Roman"/>
                <w:sz w:val="20"/>
                <w:szCs w:val="20"/>
                <w:lang w:val="fr-FR" w:eastAsia="ru-RU"/>
              </w:rPr>
              <w:t xml:space="preserve"> de </w:t>
            </w:r>
            <w:proofErr w:type="spellStart"/>
            <w:r w:rsidR="00BD4FA4" w:rsidRPr="00F81B62">
              <w:rPr>
                <w:rFonts w:ascii="Times New Roman" w:hAnsi="Times New Roman"/>
                <w:sz w:val="20"/>
                <w:szCs w:val="20"/>
                <w:lang w:val="fr-FR" w:eastAsia="ru-RU"/>
              </w:rPr>
              <w:t>energie</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înseamnă</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furnizor</w:t>
            </w:r>
            <w:proofErr w:type="spellEnd"/>
            <w:r w:rsidR="00BD4FA4" w:rsidRPr="00F81B62">
              <w:rPr>
                <w:rFonts w:ascii="Times New Roman" w:hAnsi="Times New Roman"/>
                <w:sz w:val="20"/>
                <w:szCs w:val="20"/>
                <w:lang w:val="fr-FR" w:eastAsia="ru-RU"/>
              </w:rPr>
              <w:t xml:space="preserve"> de </w:t>
            </w:r>
            <w:proofErr w:type="spellStart"/>
            <w:r w:rsidR="00BD4FA4" w:rsidRPr="00F81B62">
              <w:rPr>
                <w:rFonts w:ascii="Times New Roman" w:hAnsi="Times New Roman"/>
                <w:sz w:val="20"/>
                <w:szCs w:val="20"/>
                <w:lang w:val="fr-FR" w:eastAsia="ru-RU"/>
              </w:rPr>
              <w:t>energie</w:t>
            </w:r>
            <w:proofErr w:type="spellEnd"/>
            <w:r w:rsidR="00BD4FA4" w:rsidRPr="00F81B62">
              <w:rPr>
                <w:rFonts w:ascii="Times New Roman" w:hAnsi="Times New Roman"/>
                <w:sz w:val="20"/>
                <w:szCs w:val="20"/>
                <w:lang w:val="fr-FR" w:eastAsia="ru-RU"/>
              </w:rPr>
              <w:t xml:space="preserve"> în </w:t>
            </w:r>
            <w:proofErr w:type="spellStart"/>
            <w:r w:rsidR="00BD4FA4" w:rsidRPr="00F81B62">
              <w:rPr>
                <w:rFonts w:ascii="Times New Roman" w:hAnsi="Times New Roman"/>
                <w:sz w:val="20"/>
                <w:szCs w:val="20"/>
                <w:lang w:val="fr-FR" w:eastAsia="ru-RU"/>
              </w:rPr>
              <w:t>sensul</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definiției</w:t>
            </w:r>
            <w:proofErr w:type="spellEnd"/>
            <w:r w:rsidR="00BD4FA4" w:rsidRPr="00F81B62">
              <w:rPr>
                <w:rFonts w:ascii="Times New Roman" w:hAnsi="Times New Roman"/>
                <w:sz w:val="20"/>
                <w:szCs w:val="20"/>
                <w:lang w:val="fr-FR" w:eastAsia="ru-RU"/>
              </w:rPr>
              <w:t xml:space="preserve"> de la </w:t>
            </w:r>
            <w:proofErr w:type="spellStart"/>
            <w:r w:rsidR="00BD4FA4" w:rsidRPr="00F81B62">
              <w:rPr>
                <w:rFonts w:ascii="Times New Roman" w:hAnsi="Times New Roman"/>
                <w:sz w:val="20"/>
                <w:szCs w:val="20"/>
                <w:lang w:val="fr-FR" w:eastAsia="ru-RU"/>
              </w:rPr>
              <w:t>articolul</w:t>
            </w:r>
            <w:proofErr w:type="spellEnd"/>
            <w:r w:rsidR="00BD4FA4">
              <w:rPr>
                <w:rFonts w:ascii="Times New Roman" w:hAnsi="Times New Roman"/>
                <w:sz w:val="20"/>
                <w:szCs w:val="20"/>
                <w:lang w:val="fr-FR" w:eastAsia="ru-RU"/>
              </w:rPr>
              <w:t xml:space="preserve"> </w:t>
            </w:r>
            <w:r w:rsidR="00BD4FA4" w:rsidRPr="00F81B62">
              <w:rPr>
                <w:rFonts w:ascii="Times New Roman" w:hAnsi="Times New Roman"/>
                <w:sz w:val="20"/>
                <w:szCs w:val="20"/>
                <w:lang w:val="fr-FR" w:eastAsia="ru-RU"/>
              </w:rPr>
              <w:t xml:space="preserve">2 </w:t>
            </w:r>
            <w:proofErr w:type="spellStart"/>
            <w:r w:rsidR="00BD4FA4" w:rsidRPr="00F81B62">
              <w:rPr>
                <w:rFonts w:ascii="Times New Roman" w:hAnsi="Times New Roman"/>
                <w:sz w:val="20"/>
                <w:szCs w:val="20"/>
                <w:lang w:val="fr-FR" w:eastAsia="ru-RU"/>
              </w:rPr>
              <w:t>punctul</w:t>
            </w:r>
            <w:proofErr w:type="spellEnd"/>
            <w:r w:rsidR="00BD4FA4">
              <w:rPr>
                <w:rFonts w:ascii="Times New Roman" w:hAnsi="Times New Roman"/>
                <w:sz w:val="20"/>
                <w:szCs w:val="20"/>
                <w:lang w:val="fr-FR" w:eastAsia="ru-RU"/>
              </w:rPr>
              <w:t xml:space="preserve"> </w:t>
            </w:r>
            <w:r w:rsidR="00BD4FA4" w:rsidRPr="00F81B62">
              <w:rPr>
                <w:rFonts w:ascii="Times New Roman" w:hAnsi="Times New Roman"/>
                <w:sz w:val="20"/>
                <w:szCs w:val="20"/>
                <w:lang w:val="fr-FR" w:eastAsia="ru-RU"/>
              </w:rPr>
              <w:t xml:space="preserve">22 </w:t>
            </w:r>
            <w:proofErr w:type="spellStart"/>
            <w:r w:rsidR="00BD4FA4" w:rsidRPr="00F81B62">
              <w:rPr>
                <w:rFonts w:ascii="Times New Roman" w:hAnsi="Times New Roman"/>
                <w:sz w:val="20"/>
                <w:szCs w:val="20"/>
                <w:lang w:val="fr-FR" w:eastAsia="ru-RU"/>
              </w:rPr>
              <w:t>din</w:t>
            </w:r>
            <w:proofErr w:type="spellEnd"/>
            <w:r w:rsidR="00BD4FA4" w:rsidRPr="00F81B62">
              <w:rPr>
                <w:rFonts w:ascii="Times New Roman" w:hAnsi="Times New Roman"/>
                <w:sz w:val="20"/>
                <w:szCs w:val="20"/>
                <w:lang w:val="fr-FR" w:eastAsia="ru-RU"/>
              </w:rPr>
              <w:t xml:space="preserve"> </w:t>
            </w:r>
            <w:proofErr w:type="spellStart"/>
            <w:r w:rsidR="00BD4FA4" w:rsidRPr="00F81B62">
              <w:rPr>
                <w:rFonts w:ascii="Times New Roman" w:hAnsi="Times New Roman"/>
                <w:sz w:val="20"/>
                <w:szCs w:val="20"/>
                <w:lang w:val="fr-FR" w:eastAsia="ru-RU"/>
              </w:rPr>
              <w:t>Directiva</w:t>
            </w:r>
            <w:proofErr w:type="spellEnd"/>
            <w:r w:rsidR="00BD4FA4">
              <w:rPr>
                <w:rFonts w:ascii="Times New Roman" w:hAnsi="Times New Roman"/>
                <w:sz w:val="20"/>
                <w:szCs w:val="20"/>
                <w:lang w:val="fr-FR" w:eastAsia="ru-RU"/>
              </w:rPr>
              <w:t xml:space="preserve"> </w:t>
            </w:r>
            <w:r w:rsidR="00BD4FA4" w:rsidRPr="00F81B62">
              <w:rPr>
                <w:rFonts w:ascii="Times New Roman" w:hAnsi="Times New Roman"/>
                <w:sz w:val="20"/>
                <w:szCs w:val="20"/>
                <w:lang w:val="fr-FR" w:eastAsia="ru-RU"/>
              </w:rPr>
              <w:t>2012/27/</w:t>
            </w:r>
            <w:proofErr w:type="gramStart"/>
            <w:r w:rsidR="00BD4FA4" w:rsidRPr="00F81B62">
              <w:rPr>
                <w:rFonts w:ascii="Times New Roman" w:hAnsi="Times New Roman"/>
                <w:sz w:val="20"/>
                <w:szCs w:val="20"/>
                <w:lang w:val="fr-FR" w:eastAsia="ru-RU"/>
              </w:rPr>
              <w:t>UE;</w:t>
            </w:r>
            <w:proofErr w:type="gramEnd"/>
          </w:p>
        </w:tc>
        <w:tc>
          <w:tcPr>
            <w:tcW w:w="4541" w:type="dxa"/>
            <w:shd w:val="clear" w:color="auto" w:fill="auto"/>
          </w:tcPr>
          <w:p w14:paraId="08CBFA4D" w14:textId="6EA2AE06" w:rsidR="00BD4FA4" w:rsidRPr="00F81B62" w:rsidRDefault="00BD4FA4" w:rsidP="00BD4FA4">
            <w:pPr>
              <w:pStyle w:val="af5"/>
              <w:ind w:left="113"/>
              <w:jc w:val="both"/>
              <w:rPr>
                <w:rFonts w:ascii="Times New Roman" w:hAnsi="Times New Roman"/>
                <w:sz w:val="20"/>
                <w:szCs w:val="20"/>
              </w:rPr>
            </w:pPr>
          </w:p>
        </w:tc>
        <w:tc>
          <w:tcPr>
            <w:tcW w:w="1276" w:type="dxa"/>
            <w:shd w:val="clear" w:color="auto" w:fill="auto"/>
          </w:tcPr>
          <w:p w14:paraId="144E1632" w14:textId="46A68F5E" w:rsidR="00BD4FA4" w:rsidRPr="00C951E7" w:rsidRDefault="00BD4FA4" w:rsidP="00BD4FA4">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12B634D0" w14:textId="77777777" w:rsidR="00BD4FA4" w:rsidRPr="00C951E7" w:rsidRDefault="00BD4FA4" w:rsidP="00BD4FA4">
            <w:pPr>
              <w:spacing w:line="240" w:lineRule="auto"/>
              <w:jc w:val="both"/>
              <w:rPr>
                <w:rFonts w:ascii="Times New Roman" w:hAnsi="Times New Roman"/>
                <w:sz w:val="20"/>
                <w:szCs w:val="20"/>
                <w:lang w:val="ro-RO"/>
              </w:rPr>
            </w:pPr>
          </w:p>
        </w:tc>
        <w:tc>
          <w:tcPr>
            <w:tcW w:w="1701" w:type="dxa"/>
            <w:shd w:val="clear" w:color="auto" w:fill="auto"/>
          </w:tcPr>
          <w:p w14:paraId="7314CF53" w14:textId="2BF4DA02" w:rsidR="00BD4FA4" w:rsidRPr="00C951E7" w:rsidRDefault="00BD4FA4" w:rsidP="00BD4FA4">
            <w:pPr>
              <w:autoSpaceDE w:val="0"/>
              <w:spacing w:after="0" w:line="240" w:lineRule="auto"/>
              <w:rPr>
                <w:rFonts w:ascii="Times New Roman" w:eastAsia="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F81B62">
              <w:rPr>
                <w:rFonts w:ascii="Times New Roman" w:hAnsi="Times New Roman"/>
                <w:sz w:val="20"/>
                <w:szCs w:val="20"/>
                <w:lang w:val="fr-FR" w:eastAsia="ru-RU"/>
              </w:rPr>
              <w:t xml:space="preserve"> </w:t>
            </w:r>
            <w:proofErr w:type="spellStart"/>
            <w:r w:rsidRPr="00F81B62">
              <w:rPr>
                <w:rFonts w:ascii="Times New Roman" w:hAnsi="Times New Roman"/>
                <w:sz w:val="20"/>
                <w:szCs w:val="20"/>
                <w:lang w:val="fr-FR" w:eastAsia="ru-RU"/>
              </w:rPr>
              <w:t>furnizor</w:t>
            </w:r>
            <w:proofErr w:type="spellEnd"/>
            <w:r w:rsidRPr="00F81B62">
              <w:rPr>
                <w:rFonts w:ascii="Times New Roman" w:hAnsi="Times New Roman"/>
                <w:sz w:val="20"/>
                <w:szCs w:val="20"/>
                <w:lang w:val="fr-FR" w:eastAsia="ru-RU"/>
              </w:rPr>
              <w:t xml:space="preserve"> de </w:t>
            </w:r>
            <w:proofErr w:type="spellStart"/>
            <w:r w:rsidRPr="00F81B62">
              <w:rPr>
                <w:rFonts w:ascii="Times New Roman" w:hAnsi="Times New Roman"/>
                <w:sz w:val="20"/>
                <w:szCs w:val="20"/>
                <w:lang w:val="fr-FR" w:eastAsia="ru-RU"/>
              </w:rPr>
              <w:t>energie</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00629319" w14:textId="7251E44B" w:rsidR="00BD4FA4" w:rsidRPr="00C951E7" w:rsidRDefault="00BD4FA4" w:rsidP="002C413A">
            <w:pPr>
              <w:autoSpaceDE w:val="0"/>
              <w:spacing w:after="0" w:line="240" w:lineRule="auto"/>
              <w:rPr>
                <w:rFonts w:ascii="Times New Roman" w:eastAsia="Times New Roman" w:hAnsi="Times New Roman"/>
                <w:sz w:val="20"/>
                <w:szCs w:val="20"/>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2C413A" w:rsidRPr="00A81801">
              <w:rPr>
                <w:rFonts w:ascii="Times New Roman" w:hAnsi="Times New Roman"/>
                <w:color w:val="000000" w:themeColor="text1"/>
                <w:sz w:val="20"/>
                <w:szCs w:val="20"/>
              </w:rPr>
              <w:t>Energiei</w:t>
            </w:r>
          </w:p>
        </w:tc>
      </w:tr>
      <w:tr w:rsidR="00BD4FA4" w:rsidRPr="007A690D" w14:paraId="1C261F2E" w14:textId="77777777" w:rsidTr="009F5405">
        <w:trPr>
          <w:trHeight w:val="776"/>
        </w:trPr>
        <w:tc>
          <w:tcPr>
            <w:tcW w:w="4810" w:type="dxa"/>
            <w:shd w:val="clear" w:color="auto" w:fill="auto"/>
          </w:tcPr>
          <w:p w14:paraId="3BEF9B07" w14:textId="06E5750A" w:rsidR="00BD4FA4" w:rsidRPr="00E543A8" w:rsidRDefault="00E41D66" w:rsidP="00BD4FA4">
            <w:pPr>
              <w:jc w:val="both"/>
              <w:rPr>
                <w:rFonts w:ascii="Times New Roman" w:hAnsi="Times New Roman"/>
                <w:sz w:val="20"/>
                <w:szCs w:val="20"/>
                <w:lang w:val="fr-FR"/>
              </w:rPr>
            </w:pPr>
            <w:r>
              <w:rPr>
                <w:rFonts w:ascii="Times New Roman" w:hAnsi="Times New Roman"/>
                <w:sz w:val="20"/>
                <w:szCs w:val="20"/>
                <w:lang w:val="fr-FR"/>
              </w:rPr>
              <w:t>(</w:t>
            </w:r>
            <w:proofErr w:type="gramStart"/>
            <w:r w:rsidR="00BD4FA4">
              <w:rPr>
                <w:rFonts w:ascii="Times New Roman" w:hAnsi="Times New Roman"/>
                <w:sz w:val="20"/>
                <w:szCs w:val="20"/>
                <w:lang w:val="fr-FR"/>
              </w:rPr>
              <w:t>56</w:t>
            </w:r>
            <w:r>
              <w:rPr>
                <w:rFonts w:ascii="Times New Roman" w:hAnsi="Times New Roman"/>
                <w:sz w:val="20"/>
                <w:szCs w:val="20"/>
                <w:lang w:val="fr-FR"/>
              </w:rPr>
              <w:t>)</w:t>
            </w:r>
            <w:r w:rsidR="00BD4FA4" w:rsidRPr="00E543A8">
              <w:rPr>
                <w:rFonts w:ascii="Times New Roman" w:hAnsi="Times New Roman"/>
                <w:sz w:val="20"/>
                <w:szCs w:val="20"/>
                <w:lang w:val="fr-FR" w:eastAsia="ru-RU"/>
              </w:rPr>
              <w:t>„</w:t>
            </w:r>
            <w:proofErr w:type="spellStart"/>
            <w:proofErr w:type="gramEnd"/>
            <w:r w:rsidR="00BD4FA4" w:rsidRPr="00E543A8">
              <w:rPr>
                <w:rFonts w:ascii="Times New Roman" w:hAnsi="Times New Roman"/>
                <w:sz w:val="20"/>
                <w:szCs w:val="20"/>
                <w:lang w:val="fr-FR" w:eastAsia="ru-RU"/>
              </w:rPr>
              <w:t>furnizor</w:t>
            </w:r>
            <w:proofErr w:type="spellEnd"/>
            <w:r w:rsidR="00BD4FA4" w:rsidRPr="00E543A8">
              <w:rPr>
                <w:rFonts w:ascii="Times New Roman" w:hAnsi="Times New Roman"/>
                <w:sz w:val="20"/>
                <w:szCs w:val="20"/>
                <w:lang w:val="fr-FR" w:eastAsia="ru-RU"/>
              </w:rPr>
              <w:t xml:space="preserve"> de </w:t>
            </w:r>
            <w:proofErr w:type="spellStart"/>
            <w:r w:rsidR="00BD4FA4" w:rsidRPr="00E543A8">
              <w:rPr>
                <w:rFonts w:ascii="Times New Roman" w:hAnsi="Times New Roman"/>
                <w:sz w:val="20"/>
                <w:szCs w:val="20"/>
                <w:lang w:val="fr-FR" w:eastAsia="ru-RU"/>
              </w:rPr>
              <w:t>servicii</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energetice</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înseamnă</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furnizor</w:t>
            </w:r>
            <w:proofErr w:type="spellEnd"/>
            <w:r w:rsidR="00BD4FA4" w:rsidRPr="00E543A8">
              <w:rPr>
                <w:rFonts w:ascii="Times New Roman" w:hAnsi="Times New Roman"/>
                <w:sz w:val="20"/>
                <w:szCs w:val="20"/>
                <w:lang w:val="fr-FR" w:eastAsia="ru-RU"/>
              </w:rPr>
              <w:t xml:space="preserve"> de </w:t>
            </w:r>
            <w:proofErr w:type="spellStart"/>
            <w:r w:rsidR="00BD4FA4" w:rsidRPr="00E543A8">
              <w:rPr>
                <w:rFonts w:ascii="Times New Roman" w:hAnsi="Times New Roman"/>
                <w:sz w:val="20"/>
                <w:szCs w:val="20"/>
                <w:lang w:val="fr-FR" w:eastAsia="ru-RU"/>
              </w:rPr>
              <w:t>servicii</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energetice</w:t>
            </w:r>
            <w:proofErr w:type="spellEnd"/>
            <w:r w:rsidR="00BD4FA4" w:rsidRPr="00E543A8">
              <w:rPr>
                <w:rFonts w:ascii="Times New Roman" w:hAnsi="Times New Roman"/>
                <w:sz w:val="20"/>
                <w:szCs w:val="20"/>
                <w:lang w:val="fr-FR" w:eastAsia="ru-RU"/>
              </w:rPr>
              <w:t xml:space="preserve"> în </w:t>
            </w:r>
            <w:proofErr w:type="spellStart"/>
            <w:r w:rsidR="00BD4FA4" w:rsidRPr="00E543A8">
              <w:rPr>
                <w:rFonts w:ascii="Times New Roman" w:hAnsi="Times New Roman"/>
                <w:sz w:val="20"/>
                <w:szCs w:val="20"/>
                <w:lang w:val="fr-FR" w:eastAsia="ru-RU"/>
              </w:rPr>
              <w:t>sensul</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definiției</w:t>
            </w:r>
            <w:proofErr w:type="spellEnd"/>
            <w:r w:rsidR="00BD4FA4" w:rsidRPr="00E543A8">
              <w:rPr>
                <w:rFonts w:ascii="Times New Roman" w:hAnsi="Times New Roman"/>
                <w:sz w:val="20"/>
                <w:szCs w:val="20"/>
                <w:lang w:val="fr-FR" w:eastAsia="ru-RU"/>
              </w:rPr>
              <w:t xml:space="preserve"> de la </w:t>
            </w:r>
            <w:proofErr w:type="spellStart"/>
            <w:r w:rsidR="00BD4FA4" w:rsidRPr="00E543A8">
              <w:rPr>
                <w:rFonts w:ascii="Times New Roman" w:hAnsi="Times New Roman"/>
                <w:sz w:val="20"/>
                <w:szCs w:val="20"/>
                <w:lang w:val="fr-FR" w:eastAsia="ru-RU"/>
              </w:rPr>
              <w:t>articolul</w:t>
            </w:r>
            <w:proofErr w:type="spellEnd"/>
            <w:r w:rsidR="00BD4FA4">
              <w:rPr>
                <w:rFonts w:ascii="Times New Roman" w:hAnsi="Times New Roman"/>
                <w:sz w:val="20"/>
                <w:szCs w:val="20"/>
                <w:lang w:val="fr-FR" w:eastAsia="ru-RU"/>
              </w:rPr>
              <w:t xml:space="preserve"> </w:t>
            </w:r>
            <w:r w:rsidR="00BD4FA4" w:rsidRPr="00E543A8">
              <w:rPr>
                <w:rFonts w:ascii="Times New Roman" w:hAnsi="Times New Roman"/>
                <w:sz w:val="20"/>
                <w:szCs w:val="20"/>
                <w:lang w:val="fr-FR" w:eastAsia="ru-RU"/>
              </w:rPr>
              <w:t xml:space="preserve">2 </w:t>
            </w:r>
            <w:proofErr w:type="spellStart"/>
            <w:r w:rsidR="00BD4FA4" w:rsidRPr="00E543A8">
              <w:rPr>
                <w:rFonts w:ascii="Times New Roman" w:hAnsi="Times New Roman"/>
                <w:sz w:val="20"/>
                <w:szCs w:val="20"/>
                <w:lang w:val="fr-FR" w:eastAsia="ru-RU"/>
              </w:rPr>
              <w:t>punctul</w:t>
            </w:r>
            <w:proofErr w:type="spellEnd"/>
            <w:r w:rsidR="00BD4FA4">
              <w:rPr>
                <w:rFonts w:ascii="Times New Roman" w:hAnsi="Times New Roman"/>
                <w:sz w:val="20"/>
                <w:szCs w:val="20"/>
                <w:lang w:val="fr-FR" w:eastAsia="ru-RU"/>
              </w:rPr>
              <w:t xml:space="preserve"> </w:t>
            </w:r>
            <w:r w:rsidR="00BD4FA4" w:rsidRPr="00E543A8">
              <w:rPr>
                <w:rFonts w:ascii="Times New Roman" w:hAnsi="Times New Roman"/>
                <w:sz w:val="20"/>
                <w:szCs w:val="20"/>
                <w:lang w:val="fr-FR" w:eastAsia="ru-RU"/>
              </w:rPr>
              <w:t xml:space="preserve">24 </w:t>
            </w:r>
            <w:proofErr w:type="spellStart"/>
            <w:r w:rsidR="00BD4FA4" w:rsidRPr="00E543A8">
              <w:rPr>
                <w:rFonts w:ascii="Times New Roman" w:hAnsi="Times New Roman"/>
                <w:sz w:val="20"/>
                <w:szCs w:val="20"/>
                <w:lang w:val="fr-FR" w:eastAsia="ru-RU"/>
              </w:rPr>
              <w:t>din</w:t>
            </w:r>
            <w:proofErr w:type="spellEnd"/>
            <w:r w:rsidR="00BD4FA4" w:rsidRPr="00E543A8">
              <w:rPr>
                <w:rFonts w:ascii="Times New Roman" w:hAnsi="Times New Roman"/>
                <w:sz w:val="20"/>
                <w:szCs w:val="20"/>
                <w:lang w:val="fr-FR" w:eastAsia="ru-RU"/>
              </w:rPr>
              <w:t xml:space="preserve"> </w:t>
            </w:r>
            <w:proofErr w:type="spellStart"/>
            <w:r w:rsidR="00BD4FA4" w:rsidRPr="00E543A8">
              <w:rPr>
                <w:rFonts w:ascii="Times New Roman" w:hAnsi="Times New Roman"/>
                <w:sz w:val="20"/>
                <w:szCs w:val="20"/>
                <w:lang w:val="fr-FR" w:eastAsia="ru-RU"/>
              </w:rPr>
              <w:t>Directiva</w:t>
            </w:r>
            <w:proofErr w:type="spellEnd"/>
            <w:r w:rsidR="00BD4FA4">
              <w:rPr>
                <w:rFonts w:ascii="Times New Roman" w:hAnsi="Times New Roman"/>
                <w:sz w:val="20"/>
                <w:szCs w:val="20"/>
                <w:lang w:val="fr-FR" w:eastAsia="ru-RU"/>
              </w:rPr>
              <w:t xml:space="preserve"> </w:t>
            </w:r>
            <w:r w:rsidR="00BD4FA4" w:rsidRPr="00E543A8">
              <w:rPr>
                <w:rFonts w:ascii="Times New Roman" w:hAnsi="Times New Roman"/>
                <w:sz w:val="20"/>
                <w:szCs w:val="20"/>
                <w:lang w:val="fr-FR" w:eastAsia="ru-RU"/>
              </w:rPr>
              <w:t>2012/27/UE;</w:t>
            </w:r>
          </w:p>
        </w:tc>
        <w:tc>
          <w:tcPr>
            <w:tcW w:w="4541" w:type="dxa"/>
            <w:shd w:val="clear" w:color="auto" w:fill="auto"/>
          </w:tcPr>
          <w:p w14:paraId="721B1E74" w14:textId="15D60F7C" w:rsidR="00BD4FA4" w:rsidRPr="00E543A8" w:rsidRDefault="00BD4FA4" w:rsidP="00BD4FA4">
            <w:pPr>
              <w:pStyle w:val="af5"/>
              <w:ind w:left="113"/>
              <w:jc w:val="both"/>
              <w:rPr>
                <w:rStyle w:val="af7"/>
                <w:rFonts w:ascii="Times New Roman" w:hAnsi="Times New Roman"/>
                <w:color w:val="000000"/>
                <w:sz w:val="20"/>
                <w:szCs w:val="20"/>
                <w:shd w:val="clear" w:color="auto" w:fill="FFFFFF"/>
              </w:rPr>
            </w:pPr>
          </w:p>
        </w:tc>
        <w:tc>
          <w:tcPr>
            <w:tcW w:w="1276" w:type="dxa"/>
            <w:shd w:val="clear" w:color="auto" w:fill="auto"/>
          </w:tcPr>
          <w:p w14:paraId="156C29DA" w14:textId="7F9EEAF2" w:rsidR="00BD4FA4" w:rsidRPr="00C951E7" w:rsidRDefault="00BD4FA4" w:rsidP="00BD4FA4">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718E3E46" w14:textId="77777777" w:rsidR="00BD4FA4" w:rsidRPr="00C951E7" w:rsidRDefault="00BD4FA4" w:rsidP="00BD4FA4">
            <w:pPr>
              <w:spacing w:line="240" w:lineRule="auto"/>
              <w:jc w:val="both"/>
              <w:rPr>
                <w:rFonts w:ascii="Times New Roman" w:hAnsi="Times New Roman"/>
                <w:sz w:val="20"/>
                <w:szCs w:val="20"/>
                <w:lang w:val="ro-RO"/>
              </w:rPr>
            </w:pPr>
          </w:p>
        </w:tc>
        <w:tc>
          <w:tcPr>
            <w:tcW w:w="1701" w:type="dxa"/>
            <w:shd w:val="clear" w:color="auto" w:fill="auto"/>
          </w:tcPr>
          <w:p w14:paraId="78F7F877" w14:textId="21E0DE94" w:rsidR="00BD4FA4" w:rsidRPr="00D37AB7" w:rsidRDefault="00BD4FA4" w:rsidP="00BD4FA4">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E543A8">
              <w:rPr>
                <w:rFonts w:ascii="Times New Roman" w:hAnsi="Times New Roman"/>
                <w:sz w:val="20"/>
                <w:szCs w:val="20"/>
                <w:lang w:val="fr-FR" w:eastAsia="ru-RU"/>
              </w:rPr>
              <w:t xml:space="preserve"> </w:t>
            </w:r>
            <w:proofErr w:type="spellStart"/>
            <w:r w:rsidRPr="00E543A8">
              <w:rPr>
                <w:rFonts w:ascii="Times New Roman" w:hAnsi="Times New Roman"/>
                <w:sz w:val="20"/>
                <w:szCs w:val="20"/>
                <w:lang w:val="fr-FR" w:eastAsia="ru-RU"/>
              </w:rPr>
              <w:t>furnizor</w:t>
            </w:r>
            <w:proofErr w:type="spellEnd"/>
            <w:r w:rsidRPr="00E543A8">
              <w:rPr>
                <w:rFonts w:ascii="Times New Roman" w:hAnsi="Times New Roman"/>
                <w:sz w:val="20"/>
                <w:szCs w:val="20"/>
                <w:lang w:val="fr-FR" w:eastAsia="ru-RU"/>
              </w:rPr>
              <w:t xml:space="preserve"> de </w:t>
            </w:r>
            <w:proofErr w:type="spellStart"/>
            <w:r w:rsidRPr="00E543A8">
              <w:rPr>
                <w:rFonts w:ascii="Times New Roman" w:hAnsi="Times New Roman"/>
                <w:sz w:val="20"/>
                <w:szCs w:val="20"/>
                <w:lang w:val="fr-FR" w:eastAsia="ru-RU"/>
              </w:rPr>
              <w:t>servicii</w:t>
            </w:r>
            <w:proofErr w:type="spellEnd"/>
            <w:r w:rsidRPr="00E543A8">
              <w:rPr>
                <w:rFonts w:ascii="Times New Roman" w:hAnsi="Times New Roman"/>
                <w:sz w:val="20"/>
                <w:szCs w:val="20"/>
                <w:lang w:val="fr-FR" w:eastAsia="ru-RU"/>
              </w:rPr>
              <w:t xml:space="preserve"> </w:t>
            </w:r>
            <w:proofErr w:type="spellStart"/>
            <w:r w:rsidRPr="00E543A8">
              <w:rPr>
                <w:rFonts w:ascii="Times New Roman" w:hAnsi="Times New Roman"/>
                <w:sz w:val="20"/>
                <w:szCs w:val="20"/>
                <w:lang w:val="fr-FR" w:eastAsia="ru-RU"/>
              </w:rPr>
              <w:t>energetice</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5C03E2F1" w14:textId="4AB010D9" w:rsidR="00BD4FA4" w:rsidRPr="003F755D" w:rsidRDefault="00BD4FA4" w:rsidP="003A2C08">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3A2C08" w:rsidRPr="00A81801">
              <w:rPr>
                <w:rFonts w:ascii="Times New Roman" w:hAnsi="Times New Roman"/>
                <w:color w:val="000000" w:themeColor="text1"/>
                <w:sz w:val="20"/>
                <w:szCs w:val="20"/>
              </w:rPr>
              <w:t>Energiei</w:t>
            </w:r>
          </w:p>
        </w:tc>
      </w:tr>
      <w:tr w:rsidR="00BD4FA4" w:rsidRPr="007A690D" w14:paraId="4EE62851" w14:textId="77777777" w:rsidTr="009F5405">
        <w:trPr>
          <w:trHeight w:val="776"/>
        </w:trPr>
        <w:tc>
          <w:tcPr>
            <w:tcW w:w="4810" w:type="dxa"/>
            <w:shd w:val="clear" w:color="auto" w:fill="auto"/>
          </w:tcPr>
          <w:p w14:paraId="2734B66C" w14:textId="7FA17936" w:rsidR="00BD4FA4" w:rsidRPr="0051795C" w:rsidRDefault="00E41D66" w:rsidP="00BD4FA4">
            <w:pPr>
              <w:jc w:val="both"/>
              <w:rPr>
                <w:rFonts w:ascii="Times New Roman" w:hAnsi="Times New Roman"/>
                <w:sz w:val="20"/>
                <w:szCs w:val="20"/>
                <w:lang w:val="fr-FR"/>
              </w:rPr>
            </w:pPr>
            <w:r>
              <w:rPr>
                <w:rFonts w:ascii="Times New Roman" w:hAnsi="Times New Roman"/>
                <w:sz w:val="20"/>
                <w:szCs w:val="20"/>
                <w:lang w:val="fr-FR" w:eastAsia="ru-RU"/>
              </w:rPr>
              <w:t>(</w:t>
            </w:r>
            <w:proofErr w:type="gramStart"/>
            <w:r>
              <w:rPr>
                <w:rFonts w:ascii="Times New Roman" w:hAnsi="Times New Roman"/>
                <w:sz w:val="20"/>
                <w:szCs w:val="20"/>
                <w:lang w:val="fr-FR" w:eastAsia="ru-RU"/>
              </w:rPr>
              <w:t>57)</w:t>
            </w:r>
            <w:r w:rsidR="00BD4FA4" w:rsidRPr="0051795C">
              <w:rPr>
                <w:rFonts w:ascii="Times New Roman" w:hAnsi="Times New Roman"/>
                <w:sz w:val="20"/>
                <w:szCs w:val="20"/>
                <w:lang w:val="fr-FR" w:eastAsia="ru-RU"/>
              </w:rPr>
              <w:t>„</w:t>
            </w:r>
            <w:proofErr w:type="spellStart"/>
            <w:proofErr w:type="gramEnd"/>
            <w:r w:rsidR="00BD4FA4" w:rsidRPr="0051795C">
              <w:rPr>
                <w:rFonts w:ascii="Times New Roman" w:hAnsi="Times New Roman"/>
                <w:sz w:val="20"/>
                <w:szCs w:val="20"/>
                <w:lang w:val="fr-FR" w:eastAsia="ru-RU"/>
              </w:rPr>
              <w:t>contract</w:t>
            </w:r>
            <w:proofErr w:type="spellEnd"/>
            <w:r w:rsidR="00BD4FA4" w:rsidRPr="0051795C">
              <w:rPr>
                <w:rFonts w:ascii="Times New Roman" w:hAnsi="Times New Roman"/>
                <w:sz w:val="20"/>
                <w:szCs w:val="20"/>
                <w:lang w:val="fr-FR" w:eastAsia="ru-RU"/>
              </w:rPr>
              <w:t xml:space="preserve"> de </w:t>
            </w:r>
            <w:proofErr w:type="spellStart"/>
            <w:r w:rsidR="00BD4FA4" w:rsidRPr="0051795C">
              <w:rPr>
                <w:rFonts w:ascii="Times New Roman" w:hAnsi="Times New Roman"/>
                <w:sz w:val="20"/>
                <w:szCs w:val="20"/>
                <w:lang w:val="fr-FR" w:eastAsia="ru-RU"/>
              </w:rPr>
              <w:t>performanță</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energetică</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înseamnă</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contract</w:t>
            </w:r>
            <w:proofErr w:type="spellEnd"/>
            <w:r w:rsidR="00BD4FA4" w:rsidRPr="0051795C">
              <w:rPr>
                <w:rFonts w:ascii="Times New Roman" w:hAnsi="Times New Roman"/>
                <w:sz w:val="20"/>
                <w:szCs w:val="20"/>
                <w:lang w:val="fr-FR" w:eastAsia="ru-RU"/>
              </w:rPr>
              <w:t xml:space="preserve"> de </w:t>
            </w:r>
            <w:proofErr w:type="spellStart"/>
            <w:r w:rsidR="00BD4FA4" w:rsidRPr="0051795C">
              <w:rPr>
                <w:rFonts w:ascii="Times New Roman" w:hAnsi="Times New Roman"/>
                <w:sz w:val="20"/>
                <w:szCs w:val="20"/>
                <w:lang w:val="fr-FR" w:eastAsia="ru-RU"/>
              </w:rPr>
              <w:t>performanță</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energetică</w:t>
            </w:r>
            <w:proofErr w:type="spellEnd"/>
            <w:r w:rsidR="00BD4FA4" w:rsidRPr="0051795C">
              <w:rPr>
                <w:rFonts w:ascii="Times New Roman" w:hAnsi="Times New Roman"/>
                <w:sz w:val="20"/>
                <w:szCs w:val="20"/>
                <w:lang w:val="fr-FR" w:eastAsia="ru-RU"/>
              </w:rPr>
              <w:t xml:space="preserve"> în </w:t>
            </w:r>
            <w:proofErr w:type="spellStart"/>
            <w:r w:rsidR="00BD4FA4" w:rsidRPr="0051795C">
              <w:rPr>
                <w:rFonts w:ascii="Times New Roman" w:hAnsi="Times New Roman"/>
                <w:sz w:val="20"/>
                <w:szCs w:val="20"/>
                <w:lang w:val="fr-FR" w:eastAsia="ru-RU"/>
              </w:rPr>
              <w:t>sensul</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definiției</w:t>
            </w:r>
            <w:proofErr w:type="spellEnd"/>
            <w:r w:rsidR="00BD4FA4" w:rsidRPr="0051795C">
              <w:rPr>
                <w:rFonts w:ascii="Times New Roman" w:hAnsi="Times New Roman"/>
                <w:sz w:val="20"/>
                <w:szCs w:val="20"/>
                <w:lang w:val="fr-FR" w:eastAsia="ru-RU"/>
              </w:rPr>
              <w:t xml:space="preserve"> de la </w:t>
            </w:r>
            <w:proofErr w:type="spellStart"/>
            <w:r w:rsidR="00BD4FA4" w:rsidRPr="0051795C">
              <w:rPr>
                <w:rFonts w:ascii="Times New Roman" w:hAnsi="Times New Roman"/>
                <w:sz w:val="20"/>
                <w:szCs w:val="20"/>
                <w:lang w:val="fr-FR" w:eastAsia="ru-RU"/>
              </w:rPr>
              <w:t>articolul</w:t>
            </w:r>
            <w:proofErr w:type="spellEnd"/>
            <w:r w:rsidR="00BD4FA4" w:rsidRPr="0051795C">
              <w:rPr>
                <w:rFonts w:ascii="Times New Roman" w:hAnsi="Times New Roman"/>
                <w:sz w:val="20"/>
                <w:szCs w:val="20"/>
                <w:lang w:val="fr-FR" w:eastAsia="ru-RU"/>
              </w:rPr>
              <w:t xml:space="preserve"> 2 </w:t>
            </w:r>
            <w:proofErr w:type="spellStart"/>
            <w:r w:rsidR="00BD4FA4" w:rsidRPr="0051795C">
              <w:rPr>
                <w:rFonts w:ascii="Times New Roman" w:hAnsi="Times New Roman"/>
                <w:sz w:val="20"/>
                <w:szCs w:val="20"/>
                <w:lang w:val="fr-FR" w:eastAsia="ru-RU"/>
              </w:rPr>
              <w:t>punctul</w:t>
            </w:r>
            <w:proofErr w:type="spellEnd"/>
            <w:r w:rsidR="00BD4FA4" w:rsidRPr="0051795C">
              <w:rPr>
                <w:rFonts w:ascii="Times New Roman" w:hAnsi="Times New Roman"/>
                <w:sz w:val="20"/>
                <w:szCs w:val="20"/>
                <w:lang w:val="fr-FR" w:eastAsia="ru-RU"/>
              </w:rPr>
              <w:t xml:space="preserve"> 27 </w:t>
            </w:r>
            <w:proofErr w:type="spellStart"/>
            <w:r w:rsidR="00BD4FA4" w:rsidRPr="0051795C">
              <w:rPr>
                <w:rFonts w:ascii="Times New Roman" w:hAnsi="Times New Roman"/>
                <w:sz w:val="20"/>
                <w:szCs w:val="20"/>
                <w:lang w:val="fr-FR" w:eastAsia="ru-RU"/>
              </w:rPr>
              <w:t>din</w:t>
            </w:r>
            <w:proofErr w:type="spellEnd"/>
            <w:r w:rsidR="00BD4FA4" w:rsidRPr="0051795C">
              <w:rPr>
                <w:rFonts w:ascii="Times New Roman" w:hAnsi="Times New Roman"/>
                <w:sz w:val="20"/>
                <w:szCs w:val="20"/>
                <w:lang w:val="fr-FR" w:eastAsia="ru-RU"/>
              </w:rPr>
              <w:t xml:space="preserve"> </w:t>
            </w:r>
            <w:proofErr w:type="spellStart"/>
            <w:r w:rsidR="00BD4FA4" w:rsidRPr="0051795C">
              <w:rPr>
                <w:rFonts w:ascii="Times New Roman" w:hAnsi="Times New Roman"/>
                <w:sz w:val="20"/>
                <w:szCs w:val="20"/>
                <w:lang w:val="fr-FR" w:eastAsia="ru-RU"/>
              </w:rPr>
              <w:t>Directiva</w:t>
            </w:r>
            <w:proofErr w:type="spellEnd"/>
            <w:r w:rsidR="00BD4FA4" w:rsidRPr="0051795C">
              <w:rPr>
                <w:rFonts w:ascii="Times New Roman" w:hAnsi="Times New Roman"/>
                <w:sz w:val="20"/>
                <w:szCs w:val="20"/>
                <w:lang w:val="fr-FR" w:eastAsia="ru-RU"/>
              </w:rPr>
              <w:t xml:space="preserve"> 2012/27/UE;</w:t>
            </w:r>
          </w:p>
        </w:tc>
        <w:tc>
          <w:tcPr>
            <w:tcW w:w="4541" w:type="dxa"/>
            <w:shd w:val="clear" w:color="auto" w:fill="auto"/>
          </w:tcPr>
          <w:p w14:paraId="2C470342" w14:textId="12B31E07" w:rsidR="00BD4FA4" w:rsidRPr="0051795C" w:rsidRDefault="00BD4FA4" w:rsidP="00BD4FA4">
            <w:pPr>
              <w:pStyle w:val="af5"/>
              <w:ind w:left="113"/>
              <w:jc w:val="both"/>
              <w:rPr>
                <w:rStyle w:val="af7"/>
                <w:rFonts w:ascii="Times New Roman" w:hAnsi="Times New Roman"/>
                <w:sz w:val="20"/>
                <w:szCs w:val="20"/>
                <w:shd w:val="clear" w:color="auto" w:fill="FFFFFF"/>
              </w:rPr>
            </w:pPr>
          </w:p>
        </w:tc>
        <w:tc>
          <w:tcPr>
            <w:tcW w:w="1276" w:type="dxa"/>
            <w:shd w:val="clear" w:color="auto" w:fill="auto"/>
          </w:tcPr>
          <w:p w14:paraId="3B54D364" w14:textId="2E57D8BB" w:rsidR="00BD4FA4" w:rsidRPr="00C951E7" w:rsidRDefault="00BD4FA4" w:rsidP="00BD4FA4">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tc>
        <w:tc>
          <w:tcPr>
            <w:tcW w:w="1275" w:type="dxa"/>
            <w:shd w:val="clear" w:color="auto" w:fill="auto"/>
          </w:tcPr>
          <w:p w14:paraId="403E8A0E" w14:textId="77777777" w:rsidR="00BD4FA4" w:rsidRPr="00C951E7" w:rsidRDefault="00BD4FA4" w:rsidP="00BD4FA4">
            <w:pPr>
              <w:spacing w:line="240" w:lineRule="auto"/>
              <w:jc w:val="both"/>
              <w:rPr>
                <w:rFonts w:ascii="Times New Roman" w:hAnsi="Times New Roman"/>
                <w:sz w:val="20"/>
                <w:szCs w:val="20"/>
                <w:lang w:val="ro-RO"/>
              </w:rPr>
            </w:pPr>
          </w:p>
        </w:tc>
        <w:tc>
          <w:tcPr>
            <w:tcW w:w="1701" w:type="dxa"/>
            <w:shd w:val="clear" w:color="auto" w:fill="auto"/>
          </w:tcPr>
          <w:p w14:paraId="3A43160D" w14:textId="1592D85C" w:rsidR="00BD4FA4" w:rsidRPr="00D37AB7" w:rsidRDefault="00BD4FA4" w:rsidP="00BD4FA4">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9F5405">
              <w:rPr>
                <w:rFonts w:ascii="Times New Roman" w:hAnsi="Times New Roman"/>
                <w:sz w:val="20"/>
                <w:szCs w:val="20"/>
                <w:lang w:val="ro-RO" w:eastAsia="ru-RU"/>
              </w:rPr>
              <w:t>„</w:t>
            </w:r>
            <w:r w:rsidRPr="0051795C">
              <w:rPr>
                <w:rFonts w:ascii="Times New Roman" w:hAnsi="Times New Roman"/>
                <w:sz w:val="20"/>
                <w:szCs w:val="20"/>
                <w:lang w:val="fr-FR" w:eastAsia="ru-RU"/>
              </w:rPr>
              <w:t xml:space="preserve"> </w:t>
            </w:r>
            <w:proofErr w:type="spellStart"/>
            <w:r w:rsidRPr="0051795C">
              <w:rPr>
                <w:rFonts w:ascii="Times New Roman" w:hAnsi="Times New Roman"/>
                <w:sz w:val="20"/>
                <w:szCs w:val="20"/>
                <w:lang w:val="fr-FR" w:eastAsia="ru-RU"/>
              </w:rPr>
              <w:t>contract</w:t>
            </w:r>
            <w:proofErr w:type="spellEnd"/>
            <w:r w:rsidRPr="0051795C">
              <w:rPr>
                <w:rFonts w:ascii="Times New Roman" w:hAnsi="Times New Roman"/>
                <w:sz w:val="20"/>
                <w:szCs w:val="20"/>
                <w:lang w:val="fr-FR" w:eastAsia="ru-RU"/>
              </w:rPr>
              <w:t xml:space="preserve"> de </w:t>
            </w:r>
            <w:proofErr w:type="spellStart"/>
            <w:r w:rsidRPr="0051795C">
              <w:rPr>
                <w:rFonts w:ascii="Times New Roman" w:hAnsi="Times New Roman"/>
                <w:sz w:val="20"/>
                <w:szCs w:val="20"/>
                <w:lang w:val="fr-FR" w:eastAsia="ru-RU"/>
              </w:rPr>
              <w:t>performanță</w:t>
            </w:r>
            <w:proofErr w:type="spellEnd"/>
            <w:r w:rsidRPr="0051795C">
              <w:rPr>
                <w:rFonts w:ascii="Times New Roman" w:hAnsi="Times New Roman"/>
                <w:sz w:val="20"/>
                <w:szCs w:val="20"/>
                <w:lang w:val="fr-FR" w:eastAsia="ru-RU"/>
              </w:rPr>
              <w:t xml:space="preserve"> </w:t>
            </w:r>
            <w:proofErr w:type="spellStart"/>
            <w:r w:rsidRPr="0051795C">
              <w:rPr>
                <w:rFonts w:ascii="Times New Roman" w:hAnsi="Times New Roman"/>
                <w:sz w:val="20"/>
                <w:szCs w:val="20"/>
                <w:lang w:val="fr-FR" w:eastAsia="ru-RU"/>
              </w:rPr>
              <w:t>energetică</w:t>
            </w:r>
            <w:proofErr w:type="spellEnd"/>
            <w:r w:rsidRPr="009F5405">
              <w:rPr>
                <w:rFonts w:ascii="Times New Roman" w:hAnsi="Times New Roman"/>
                <w:sz w:val="20"/>
                <w:szCs w:val="20"/>
                <w:lang w:val="ro-RO" w:eastAsia="ru-RU"/>
              </w:rPr>
              <w:t xml:space="preserve">” </w:t>
            </w:r>
            <w:r w:rsidRPr="00690865">
              <w:rPr>
                <w:rFonts w:ascii="Times New Roman" w:eastAsia="Times New Roman" w:hAnsi="Times New Roman"/>
                <w:sz w:val="20"/>
                <w:szCs w:val="20"/>
                <w:lang w:val="ro-RO"/>
              </w:rPr>
              <w:t xml:space="preserve">este transpusă în </w:t>
            </w:r>
            <w:r w:rsidRPr="00690865">
              <w:rPr>
                <w:rFonts w:ascii="Times New Roman" w:hAnsi="Times New Roman"/>
                <w:sz w:val="20"/>
                <w:szCs w:val="20"/>
                <w:shd w:val="clear" w:color="auto" w:fill="FFFFFF"/>
                <w:lang w:val="ro-RO"/>
              </w:rPr>
              <w:t xml:space="preserve"> Legea nr.139/2018 cu privire la eficiența energetică</w:t>
            </w:r>
          </w:p>
        </w:tc>
        <w:tc>
          <w:tcPr>
            <w:tcW w:w="1464" w:type="dxa"/>
            <w:shd w:val="clear" w:color="auto" w:fill="auto"/>
          </w:tcPr>
          <w:p w14:paraId="3AB1B7D5" w14:textId="6FA7DE94" w:rsidR="00BD4FA4" w:rsidRPr="003F755D" w:rsidRDefault="00BD4FA4" w:rsidP="003A2C08">
            <w:pPr>
              <w:spacing w:after="0" w:line="240" w:lineRule="auto"/>
              <w:jc w:val="center"/>
              <w:rPr>
                <w:rFonts w:ascii="Times New Roman" w:hAnsi="Times New Roman"/>
                <w:sz w:val="20"/>
                <w:szCs w:val="20"/>
                <w:lang w:val="fr-FR"/>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3A2C08" w:rsidRPr="00A81801">
              <w:rPr>
                <w:rFonts w:ascii="Times New Roman" w:hAnsi="Times New Roman"/>
                <w:color w:val="000000" w:themeColor="text1"/>
                <w:sz w:val="20"/>
                <w:szCs w:val="20"/>
              </w:rPr>
              <w:t>Energiei</w:t>
            </w:r>
            <w:r w:rsidR="003A2C08" w:rsidRPr="00B8482B">
              <w:rPr>
                <w:rFonts w:ascii="Times New Roman" w:hAnsi="Times New Roman"/>
                <w:b/>
                <w:sz w:val="20"/>
                <w:szCs w:val="20"/>
                <w:shd w:val="clear" w:color="auto" w:fill="FFFFFF"/>
                <w:lang w:val="ro-RO"/>
              </w:rPr>
              <w:t xml:space="preserve"> </w:t>
            </w:r>
          </w:p>
        </w:tc>
      </w:tr>
    </w:tbl>
    <w:tbl>
      <w:tblPr>
        <w:tblStyle w:val="a3"/>
        <w:tblW w:w="15098" w:type="dxa"/>
        <w:tblInd w:w="-176" w:type="dxa"/>
        <w:tblLayout w:type="fixed"/>
        <w:tblLook w:val="04A0" w:firstRow="1" w:lastRow="0" w:firstColumn="1" w:lastColumn="0" w:noHBand="0" w:noVBand="1"/>
      </w:tblPr>
      <w:tblGrid>
        <w:gridCol w:w="4945"/>
        <w:gridCol w:w="4440"/>
        <w:gridCol w:w="1276"/>
        <w:gridCol w:w="1276"/>
        <w:gridCol w:w="1701"/>
        <w:gridCol w:w="1460"/>
      </w:tblGrid>
      <w:tr w:rsidR="005608B2" w:rsidRPr="00745D9A" w14:paraId="177D7152" w14:textId="77777777" w:rsidTr="00A90105">
        <w:tc>
          <w:tcPr>
            <w:tcW w:w="4945" w:type="dxa"/>
          </w:tcPr>
          <w:p w14:paraId="27275D7D" w14:textId="63056F33" w:rsidR="005608B2" w:rsidRPr="003357AA" w:rsidRDefault="003357AA" w:rsidP="00D65968">
            <w:pPr>
              <w:rPr>
                <w:rFonts w:ascii="Times New Roman" w:hAnsi="Times New Roman"/>
                <w:sz w:val="20"/>
                <w:szCs w:val="20"/>
                <w:lang w:val="ro-MD" w:eastAsia="ru-RU"/>
              </w:rPr>
            </w:pPr>
            <w:r w:rsidRPr="003357AA">
              <w:rPr>
                <w:rFonts w:ascii="Times New Roman" w:hAnsi="Times New Roman"/>
                <w:sz w:val="20"/>
                <w:szCs w:val="20"/>
                <w:lang w:val="ro-MD" w:eastAsia="ru-RU"/>
              </w:rPr>
              <w:t>58.</w:t>
            </w:r>
            <w:r w:rsidRPr="003357AA">
              <w:rPr>
                <w:rFonts w:ascii="Times New Roman" w:hAnsi="Times New Roman"/>
                <w:sz w:val="20"/>
                <w:szCs w:val="20"/>
                <w:lang w:val="en-US" w:eastAsia="ru-RU"/>
              </w:rPr>
              <w:t xml:space="preserve"> „</w:t>
            </w:r>
            <w:proofErr w:type="spellStart"/>
            <w:r w:rsidRPr="003357AA">
              <w:rPr>
                <w:rFonts w:ascii="Times New Roman" w:hAnsi="Times New Roman"/>
                <w:sz w:val="20"/>
                <w:szCs w:val="20"/>
                <w:lang w:val="en-US" w:eastAsia="ru-RU"/>
              </w:rPr>
              <w:t>cogenerare</w:t>
            </w:r>
            <w:proofErr w:type="spellEnd"/>
            <w:r w:rsidRPr="003357AA">
              <w:rPr>
                <w:rFonts w:ascii="Times New Roman" w:hAnsi="Times New Roman"/>
                <w:sz w:val="20"/>
                <w:szCs w:val="20"/>
                <w:lang w:val="en-US" w:eastAsia="ru-RU"/>
              </w:rPr>
              <w:t xml:space="preserve">” </w:t>
            </w:r>
            <w:proofErr w:type="spellStart"/>
            <w:r w:rsidRPr="003357AA">
              <w:rPr>
                <w:rFonts w:ascii="Times New Roman" w:hAnsi="Times New Roman"/>
                <w:sz w:val="20"/>
                <w:szCs w:val="20"/>
                <w:lang w:val="en-US" w:eastAsia="ru-RU"/>
              </w:rPr>
              <w:t>înseamnă</w:t>
            </w:r>
            <w:proofErr w:type="spellEnd"/>
            <w:r w:rsidRPr="003357AA">
              <w:rPr>
                <w:rFonts w:ascii="Times New Roman" w:hAnsi="Times New Roman"/>
                <w:sz w:val="20"/>
                <w:szCs w:val="20"/>
                <w:lang w:val="en-US" w:eastAsia="ru-RU"/>
              </w:rPr>
              <w:t xml:space="preserve"> </w:t>
            </w:r>
            <w:proofErr w:type="spellStart"/>
            <w:r w:rsidRPr="003357AA">
              <w:rPr>
                <w:rFonts w:ascii="Times New Roman" w:hAnsi="Times New Roman"/>
                <w:sz w:val="20"/>
                <w:szCs w:val="20"/>
                <w:lang w:val="en-US" w:eastAsia="ru-RU"/>
              </w:rPr>
              <w:t>cogenerare</w:t>
            </w:r>
            <w:proofErr w:type="spellEnd"/>
            <w:r w:rsidRPr="003357AA">
              <w:rPr>
                <w:rFonts w:ascii="Times New Roman" w:hAnsi="Times New Roman"/>
                <w:sz w:val="20"/>
                <w:szCs w:val="20"/>
                <w:lang w:val="en-US" w:eastAsia="ru-RU"/>
              </w:rPr>
              <w:t xml:space="preserve"> în </w:t>
            </w:r>
            <w:proofErr w:type="spellStart"/>
            <w:r w:rsidRPr="003357AA">
              <w:rPr>
                <w:rFonts w:ascii="Times New Roman" w:hAnsi="Times New Roman"/>
                <w:sz w:val="20"/>
                <w:szCs w:val="20"/>
                <w:lang w:val="en-US" w:eastAsia="ru-RU"/>
              </w:rPr>
              <w:t>sensul</w:t>
            </w:r>
            <w:proofErr w:type="spellEnd"/>
            <w:r w:rsidRPr="003357AA">
              <w:rPr>
                <w:rFonts w:ascii="Times New Roman" w:hAnsi="Times New Roman"/>
                <w:sz w:val="20"/>
                <w:szCs w:val="20"/>
                <w:lang w:val="en-US" w:eastAsia="ru-RU"/>
              </w:rPr>
              <w:t xml:space="preserve"> </w:t>
            </w:r>
            <w:proofErr w:type="spellStart"/>
            <w:r w:rsidRPr="003357AA">
              <w:rPr>
                <w:rFonts w:ascii="Times New Roman" w:hAnsi="Times New Roman"/>
                <w:sz w:val="20"/>
                <w:szCs w:val="20"/>
                <w:lang w:val="en-US" w:eastAsia="ru-RU"/>
              </w:rPr>
              <w:t>definiției</w:t>
            </w:r>
            <w:proofErr w:type="spellEnd"/>
            <w:r w:rsidRPr="003357AA">
              <w:rPr>
                <w:rFonts w:ascii="Times New Roman" w:hAnsi="Times New Roman"/>
                <w:sz w:val="20"/>
                <w:szCs w:val="20"/>
                <w:lang w:val="en-US" w:eastAsia="ru-RU"/>
              </w:rPr>
              <w:t xml:space="preserve"> de la </w:t>
            </w:r>
            <w:proofErr w:type="spellStart"/>
            <w:r w:rsidRPr="003357AA">
              <w:rPr>
                <w:rFonts w:ascii="Times New Roman" w:hAnsi="Times New Roman"/>
                <w:sz w:val="20"/>
                <w:szCs w:val="20"/>
                <w:lang w:val="en-US" w:eastAsia="ru-RU"/>
              </w:rPr>
              <w:t>articolul</w:t>
            </w:r>
            <w:proofErr w:type="spellEnd"/>
            <w:r>
              <w:rPr>
                <w:rFonts w:ascii="Times New Roman" w:hAnsi="Times New Roman"/>
                <w:sz w:val="20"/>
                <w:szCs w:val="20"/>
                <w:lang w:val="en-US" w:eastAsia="ru-RU"/>
              </w:rPr>
              <w:t xml:space="preserve"> </w:t>
            </w:r>
            <w:r w:rsidRPr="003357AA">
              <w:rPr>
                <w:rFonts w:ascii="Times New Roman" w:hAnsi="Times New Roman"/>
                <w:sz w:val="20"/>
                <w:szCs w:val="20"/>
                <w:lang w:val="en-US" w:eastAsia="ru-RU"/>
              </w:rPr>
              <w:t xml:space="preserve">2 </w:t>
            </w:r>
            <w:proofErr w:type="spellStart"/>
            <w:r w:rsidRPr="003357AA">
              <w:rPr>
                <w:rFonts w:ascii="Times New Roman" w:hAnsi="Times New Roman"/>
                <w:sz w:val="20"/>
                <w:szCs w:val="20"/>
                <w:lang w:val="en-US" w:eastAsia="ru-RU"/>
              </w:rPr>
              <w:t>punctul</w:t>
            </w:r>
            <w:proofErr w:type="spellEnd"/>
            <w:r>
              <w:rPr>
                <w:rFonts w:ascii="Times New Roman" w:hAnsi="Times New Roman"/>
                <w:sz w:val="20"/>
                <w:szCs w:val="20"/>
                <w:lang w:val="en-US" w:eastAsia="ru-RU"/>
              </w:rPr>
              <w:t xml:space="preserve"> </w:t>
            </w:r>
            <w:r w:rsidRPr="003357AA">
              <w:rPr>
                <w:rFonts w:ascii="Times New Roman" w:hAnsi="Times New Roman"/>
                <w:sz w:val="20"/>
                <w:szCs w:val="20"/>
                <w:lang w:val="en-US" w:eastAsia="ru-RU"/>
              </w:rPr>
              <w:t xml:space="preserve">30 din </w:t>
            </w:r>
            <w:proofErr w:type="spellStart"/>
            <w:r w:rsidRPr="003357AA">
              <w:rPr>
                <w:rFonts w:ascii="Times New Roman" w:hAnsi="Times New Roman"/>
                <w:sz w:val="20"/>
                <w:szCs w:val="20"/>
                <w:lang w:val="en-US" w:eastAsia="ru-RU"/>
              </w:rPr>
              <w:t>Directiva</w:t>
            </w:r>
            <w:proofErr w:type="spellEnd"/>
            <w:r>
              <w:rPr>
                <w:rFonts w:ascii="Times New Roman" w:hAnsi="Times New Roman"/>
                <w:sz w:val="20"/>
                <w:szCs w:val="20"/>
                <w:lang w:val="en-US" w:eastAsia="ru-RU"/>
              </w:rPr>
              <w:t xml:space="preserve"> </w:t>
            </w:r>
            <w:r w:rsidRPr="003357AA">
              <w:rPr>
                <w:rFonts w:ascii="Times New Roman" w:hAnsi="Times New Roman"/>
                <w:sz w:val="20"/>
                <w:szCs w:val="20"/>
                <w:lang w:val="en-US" w:eastAsia="ru-RU"/>
              </w:rPr>
              <w:t>2012/27/UE;</w:t>
            </w:r>
          </w:p>
        </w:tc>
        <w:tc>
          <w:tcPr>
            <w:tcW w:w="4440" w:type="dxa"/>
          </w:tcPr>
          <w:p w14:paraId="2C3A4560" w14:textId="4674E84F" w:rsidR="005608B2" w:rsidRPr="003D20CB" w:rsidRDefault="005608B2" w:rsidP="00565581">
            <w:pPr>
              <w:pStyle w:val="ColorfulList-Accent11"/>
              <w:spacing w:after="0" w:line="240" w:lineRule="auto"/>
              <w:ind w:left="0"/>
              <w:jc w:val="both"/>
              <w:rPr>
                <w:rFonts w:ascii="Times New Roman" w:hAnsi="Times New Roman"/>
                <w:sz w:val="20"/>
                <w:szCs w:val="20"/>
                <w:lang w:val="ro-MD"/>
              </w:rPr>
            </w:pPr>
          </w:p>
        </w:tc>
        <w:tc>
          <w:tcPr>
            <w:tcW w:w="1276" w:type="dxa"/>
          </w:tcPr>
          <w:p w14:paraId="2FE3BC01" w14:textId="77777777" w:rsidR="003357AA" w:rsidRPr="00C951E7" w:rsidRDefault="003357AA" w:rsidP="003357AA">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528439DB" w14:textId="77777777" w:rsidR="005608B2" w:rsidRPr="00745D9A" w:rsidRDefault="005608B2" w:rsidP="00565581">
            <w:pPr>
              <w:pStyle w:val="ColorfulList-Accent11"/>
              <w:spacing w:after="0" w:line="240" w:lineRule="auto"/>
              <w:ind w:left="0"/>
              <w:jc w:val="both"/>
              <w:rPr>
                <w:lang w:val="fr-FR"/>
              </w:rPr>
            </w:pPr>
          </w:p>
        </w:tc>
        <w:tc>
          <w:tcPr>
            <w:tcW w:w="1276" w:type="dxa"/>
          </w:tcPr>
          <w:p w14:paraId="35AC796D" w14:textId="77777777" w:rsidR="005608B2" w:rsidRPr="00745D9A" w:rsidRDefault="005608B2" w:rsidP="00565581">
            <w:pPr>
              <w:pStyle w:val="ColorfulList-Accent11"/>
              <w:spacing w:after="0" w:line="240" w:lineRule="auto"/>
              <w:ind w:left="0"/>
              <w:jc w:val="both"/>
              <w:rPr>
                <w:lang w:val="fr-FR"/>
              </w:rPr>
            </w:pPr>
          </w:p>
        </w:tc>
        <w:tc>
          <w:tcPr>
            <w:tcW w:w="1701" w:type="dxa"/>
          </w:tcPr>
          <w:p w14:paraId="34BB0F88" w14:textId="75DAF3A6" w:rsidR="005608B2" w:rsidRPr="003357AA" w:rsidRDefault="003357AA" w:rsidP="003357AA">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3357AA">
              <w:rPr>
                <w:rFonts w:ascii="Times New Roman" w:hAnsi="Times New Roman"/>
                <w:sz w:val="20"/>
                <w:szCs w:val="20"/>
                <w:lang w:val="en-US" w:eastAsia="ru-RU"/>
              </w:rPr>
              <w:t>„</w:t>
            </w:r>
            <w:proofErr w:type="spellStart"/>
            <w:r w:rsidRPr="003357AA">
              <w:rPr>
                <w:rFonts w:ascii="Times New Roman" w:hAnsi="Times New Roman"/>
                <w:sz w:val="20"/>
                <w:szCs w:val="20"/>
                <w:lang w:val="en-US" w:eastAsia="ru-RU"/>
              </w:rPr>
              <w:t>cogenerare</w:t>
            </w:r>
            <w:proofErr w:type="spellEnd"/>
            <w:r w:rsidRPr="003357AA">
              <w:rPr>
                <w:rFonts w:ascii="Times New Roman" w:hAnsi="Times New Roman"/>
                <w:sz w:val="20"/>
                <w:szCs w:val="20"/>
                <w:lang w:val="en-US" w:eastAsia="ru-RU"/>
              </w:rPr>
              <w:t xml:space="preserve">” </w:t>
            </w:r>
            <w:r w:rsidRPr="00D37AB7">
              <w:rPr>
                <w:rFonts w:ascii="Times New Roman" w:eastAsia="Times New Roman" w:hAnsi="Times New Roman"/>
                <w:sz w:val="20"/>
                <w:szCs w:val="20"/>
                <w:lang w:val="ro-RO"/>
              </w:rPr>
              <w:t>este transpusă în</w:t>
            </w:r>
            <w:r>
              <w:rPr>
                <w:rFonts w:ascii="Times New Roman" w:eastAsia="Times New Roman" w:hAnsi="Times New Roman"/>
                <w:sz w:val="20"/>
                <w:szCs w:val="20"/>
                <w:lang w:val="ro-RO"/>
              </w:rPr>
              <w:t xml:space="preserve"> </w:t>
            </w:r>
            <w:r w:rsidRPr="003357AA">
              <w:rPr>
                <w:rFonts w:ascii="Times New Roman" w:eastAsia="Times New Roman" w:hAnsi="Times New Roman"/>
                <w:sz w:val="20"/>
                <w:szCs w:val="20"/>
                <w:lang w:val="ro-MD" w:eastAsia="ro-MD"/>
              </w:rPr>
              <w:t xml:space="preserve">Legea nr.92/2014 </w:t>
            </w:r>
            <w:r w:rsidRPr="003357AA">
              <w:rPr>
                <w:rFonts w:ascii="Times New Roman" w:hAnsi="Times New Roman"/>
                <w:sz w:val="20"/>
                <w:szCs w:val="20"/>
              </w:rPr>
              <w:t xml:space="preserve">cu </w:t>
            </w:r>
            <w:proofErr w:type="spellStart"/>
            <w:r w:rsidRPr="003357AA">
              <w:rPr>
                <w:rFonts w:ascii="Times New Roman" w:hAnsi="Times New Roman"/>
                <w:sz w:val="20"/>
                <w:szCs w:val="20"/>
              </w:rPr>
              <w:t>privire</w:t>
            </w:r>
            <w:proofErr w:type="spellEnd"/>
            <w:r w:rsidRPr="003357AA">
              <w:rPr>
                <w:rFonts w:ascii="Times New Roman" w:hAnsi="Times New Roman"/>
                <w:sz w:val="20"/>
                <w:szCs w:val="20"/>
              </w:rPr>
              <w:t xml:space="preserve"> la </w:t>
            </w:r>
            <w:proofErr w:type="spellStart"/>
            <w:r w:rsidRPr="003357AA">
              <w:rPr>
                <w:rFonts w:ascii="Times New Roman" w:hAnsi="Times New Roman"/>
                <w:sz w:val="20"/>
                <w:szCs w:val="20"/>
              </w:rPr>
              <w:t>energia</w:t>
            </w:r>
            <w:proofErr w:type="spellEnd"/>
            <w:r w:rsidRPr="003357AA">
              <w:rPr>
                <w:rFonts w:ascii="Times New Roman" w:hAnsi="Times New Roman"/>
                <w:sz w:val="20"/>
                <w:szCs w:val="20"/>
              </w:rPr>
              <w:t xml:space="preserve"> </w:t>
            </w:r>
            <w:proofErr w:type="spellStart"/>
            <w:r w:rsidRPr="003357AA">
              <w:rPr>
                <w:rFonts w:ascii="Times New Roman" w:hAnsi="Times New Roman"/>
                <w:sz w:val="20"/>
                <w:szCs w:val="20"/>
              </w:rPr>
              <w:t>termică</w:t>
            </w:r>
            <w:proofErr w:type="spellEnd"/>
            <w:r w:rsidRPr="003357AA">
              <w:rPr>
                <w:rFonts w:ascii="Times New Roman" w:hAnsi="Times New Roman"/>
                <w:sz w:val="20"/>
                <w:szCs w:val="20"/>
              </w:rPr>
              <w:t xml:space="preserve"> şi </w:t>
            </w:r>
            <w:proofErr w:type="spellStart"/>
            <w:r w:rsidRPr="003357AA">
              <w:rPr>
                <w:rFonts w:ascii="Times New Roman" w:hAnsi="Times New Roman"/>
                <w:sz w:val="20"/>
                <w:szCs w:val="20"/>
              </w:rPr>
              <w:t>promovarea</w:t>
            </w:r>
            <w:proofErr w:type="spellEnd"/>
            <w:r w:rsidRPr="003357AA">
              <w:rPr>
                <w:rFonts w:ascii="Times New Roman" w:hAnsi="Times New Roman"/>
                <w:sz w:val="20"/>
                <w:szCs w:val="20"/>
              </w:rPr>
              <w:t xml:space="preserve"> </w:t>
            </w:r>
            <w:proofErr w:type="spellStart"/>
            <w:r w:rsidRPr="003357AA">
              <w:rPr>
                <w:rFonts w:ascii="Times New Roman" w:hAnsi="Times New Roman"/>
                <w:sz w:val="20"/>
                <w:szCs w:val="20"/>
              </w:rPr>
              <w:t>cogenerării</w:t>
            </w:r>
            <w:proofErr w:type="spellEnd"/>
          </w:p>
        </w:tc>
        <w:tc>
          <w:tcPr>
            <w:tcW w:w="1460" w:type="dxa"/>
          </w:tcPr>
          <w:p w14:paraId="5AB62C17" w14:textId="1612B9F8" w:rsidR="003357AA" w:rsidRPr="003F755D" w:rsidRDefault="003357AA" w:rsidP="003357AA">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3A2C08" w:rsidRPr="00A81801">
              <w:rPr>
                <w:rFonts w:ascii="Times New Roman" w:hAnsi="Times New Roman"/>
                <w:color w:val="000000" w:themeColor="text1"/>
                <w:sz w:val="20"/>
                <w:szCs w:val="20"/>
              </w:rPr>
              <w:t>Energiei</w:t>
            </w:r>
          </w:p>
          <w:p w14:paraId="074FB272" w14:textId="77777777" w:rsidR="005608B2" w:rsidRPr="00745D9A" w:rsidRDefault="005608B2" w:rsidP="00565581">
            <w:pPr>
              <w:pStyle w:val="ColorfulList-Accent11"/>
              <w:spacing w:after="0" w:line="240" w:lineRule="auto"/>
              <w:ind w:left="0"/>
              <w:jc w:val="both"/>
              <w:rPr>
                <w:lang w:val="fr-FR"/>
              </w:rPr>
            </w:pPr>
          </w:p>
        </w:tc>
      </w:tr>
      <w:tr w:rsidR="005608B2" w:rsidRPr="005608B2" w14:paraId="2279467F" w14:textId="77777777" w:rsidTr="00A90105">
        <w:tc>
          <w:tcPr>
            <w:tcW w:w="4945" w:type="dxa"/>
          </w:tcPr>
          <w:p w14:paraId="3238B479" w14:textId="3E6E303B" w:rsidR="005608B2" w:rsidRPr="005608B2" w:rsidRDefault="00E41D66" w:rsidP="005608B2">
            <w:pPr>
              <w:jc w:val="both"/>
              <w:rPr>
                <w:rFonts w:ascii="Times New Roman" w:hAnsi="Times New Roman"/>
                <w:sz w:val="20"/>
                <w:szCs w:val="20"/>
                <w:lang w:val="ro-MD" w:eastAsia="ru-RU"/>
              </w:rPr>
            </w:pPr>
            <w:r>
              <w:rPr>
                <w:rFonts w:ascii="Times New Roman" w:hAnsi="Times New Roman"/>
                <w:sz w:val="20"/>
                <w:szCs w:val="20"/>
                <w:lang w:val="ro-MD" w:eastAsia="ru-RU"/>
              </w:rPr>
              <w:t>(59)</w:t>
            </w:r>
            <w:r w:rsidR="005608B2" w:rsidRPr="005608B2">
              <w:rPr>
                <w:rFonts w:ascii="Times New Roman" w:hAnsi="Times New Roman"/>
                <w:sz w:val="20"/>
                <w:szCs w:val="20"/>
                <w:lang w:val="fr-FR" w:eastAsia="ru-RU"/>
              </w:rPr>
              <w:t xml:space="preserve"> „</w:t>
            </w:r>
            <w:proofErr w:type="spellStart"/>
            <w:r w:rsidR="005608B2" w:rsidRPr="005608B2">
              <w:rPr>
                <w:rFonts w:ascii="Times New Roman" w:hAnsi="Times New Roman"/>
                <w:sz w:val="20"/>
                <w:szCs w:val="20"/>
                <w:lang w:val="fr-FR" w:eastAsia="ru-RU"/>
              </w:rPr>
              <w:t>clădire</w:t>
            </w:r>
            <w:proofErr w:type="spellEnd"/>
            <w:r w:rsidR="005608B2" w:rsidRPr="005608B2">
              <w:rPr>
                <w:rFonts w:ascii="Times New Roman" w:hAnsi="Times New Roman"/>
                <w:sz w:val="20"/>
                <w:szCs w:val="20"/>
                <w:lang w:val="fr-FR" w:eastAsia="ru-RU"/>
              </w:rPr>
              <w:t xml:space="preserve">” </w:t>
            </w:r>
            <w:proofErr w:type="spellStart"/>
            <w:r w:rsidR="005608B2" w:rsidRPr="005608B2">
              <w:rPr>
                <w:rFonts w:ascii="Times New Roman" w:hAnsi="Times New Roman"/>
                <w:sz w:val="20"/>
                <w:szCs w:val="20"/>
                <w:lang w:val="fr-FR" w:eastAsia="ru-RU"/>
              </w:rPr>
              <w:t>înseamnă</w:t>
            </w:r>
            <w:proofErr w:type="spellEnd"/>
            <w:r w:rsidR="005608B2" w:rsidRPr="005608B2">
              <w:rPr>
                <w:rFonts w:ascii="Times New Roman" w:hAnsi="Times New Roman"/>
                <w:sz w:val="20"/>
                <w:szCs w:val="20"/>
                <w:lang w:val="fr-FR" w:eastAsia="ru-RU"/>
              </w:rPr>
              <w:t xml:space="preserve"> o </w:t>
            </w:r>
            <w:proofErr w:type="spellStart"/>
            <w:r w:rsidR="005608B2" w:rsidRPr="005608B2">
              <w:rPr>
                <w:rFonts w:ascii="Times New Roman" w:hAnsi="Times New Roman"/>
                <w:sz w:val="20"/>
                <w:szCs w:val="20"/>
                <w:lang w:val="fr-FR" w:eastAsia="ru-RU"/>
              </w:rPr>
              <w:t>clădire</w:t>
            </w:r>
            <w:proofErr w:type="spellEnd"/>
            <w:r w:rsidR="005608B2" w:rsidRPr="005608B2">
              <w:rPr>
                <w:rFonts w:ascii="Times New Roman" w:hAnsi="Times New Roman"/>
                <w:sz w:val="20"/>
                <w:szCs w:val="20"/>
                <w:lang w:val="fr-FR" w:eastAsia="ru-RU"/>
              </w:rPr>
              <w:t xml:space="preserve"> în </w:t>
            </w:r>
            <w:proofErr w:type="spellStart"/>
            <w:r w:rsidR="005608B2" w:rsidRPr="005608B2">
              <w:rPr>
                <w:rFonts w:ascii="Times New Roman" w:hAnsi="Times New Roman"/>
                <w:sz w:val="20"/>
                <w:szCs w:val="20"/>
                <w:lang w:val="fr-FR" w:eastAsia="ru-RU"/>
              </w:rPr>
              <w:t>sensul</w:t>
            </w:r>
            <w:proofErr w:type="spellEnd"/>
            <w:r w:rsidR="005608B2" w:rsidRPr="005608B2">
              <w:rPr>
                <w:rFonts w:ascii="Times New Roman" w:hAnsi="Times New Roman"/>
                <w:sz w:val="20"/>
                <w:szCs w:val="20"/>
                <w:lang w:val="fr-FR" w:eastAsia="ru-RU"/>
              </w:rPr>
              <w:t xml:space="preserve"> </w:t>
            </w:r>
            <w:proofErr w:type="spellStart"/>
            <w:r w:rsidR="005608B2" w:rsidRPr="005608B2">
              <w:rPr>
                <w:rFonts w:ascii="Times New Roman" w:hAnsi="Times New Roman"/>
                <w:sz w:val="20"/>
                <w:szCs w:val="20"/>
                <w:lang w:val="fr-FR" w:eastAsia="ru-RU"/>
              </w:rPr>
              <w:t>definiției</w:t>
            </w:r>
            <w:proofErr w:type="spellEnd"/>
            <w:r w:rsidR="005608B2" w:rsidRPr="005608B2">
              <w:rPr>
                <w:rFonts w:ascii="Times New Roman" w:hAnsi="Times New Roman"/>
                <w:sz w:val="20"/>
                <w:szCs w:val="20"/>
                <w:lang w:val="fr-FR" w:eastAsia="ru-RU"/>
              </w:rPr>
              <w:t xml:space="preserve"> de la </w:t>
            </w:r>
            <w:proofErr w:type="spellStart"/>
            <w:r w:rsidR="005608B2" w:rsidRPr="005608B2">
              <w:rPr>
                <w:rFonts w:ascii="Times New Roman" w:hAnsi="Times New Roman"/>
                <w:sz w:val="20"/>
                <w:szCs w:val="20"/>
                <w:lang w:val="fr-FR" w:eastAsia="ru-RU"/>
              </w:rPr>
              <w:t>articolul</w:t>
            </w:r>
            <w:proofErr w:type="spellEnd"/>
            <w:r w:rsidR="005608B2">
              <w:rPr>
                <w:rFonts w:ascii="Times New Roman" w:hAnsi="Times New Roman"/>
                <w:sz w:val="20"/>
                <w:szCs w:val="20"/>
                <w:lang w:val="fr-FR" w:eastAsia="ru-RU"/>
              </w:rPr>
              <w:t xml:space="preserve"> </w:t>
            </w:r>
            <w:r w:rsidR="005608B2" w:rsidRPr="005608B2">
              <w:rPr>
                <w:rFonts w:ascii="Times New Roman" w:hAnsi="Times New Roman"/>
                <w:sz w:val="20"/>
                <w:szCs w:val="20"/>
                <w:lang w:val="fr-FR" w:eastAsia="ru-RU"/>
              </w:rPr>
              <w:t xml:space="preserve">2 </w:t>
            </w:r>
            <w:proofErr w:type="spellStart"/>
            <w:r w:rsidR="005608B2" w:rsidRPr="005608B2">
              <w:rPr>
                <w:rFonts w:ascii="Times New Roman" w:hAnsi="Times New Roman"/>
                <w:sz w:val="20"/>
                <w:szCs w:val="20"/>
                <w:lang w:val="fr-FR" w:eastAsia="ru-RU"/>
              </w:rPr>
              <w:t>punctul</w:t>
            </w:r>
            <w:proofErr w:type="spellEnd"/>
            <w:r w:rsidR="005608B2">
              <w:rPr>
                <w:rFonts w:ascii="Times New Roman" w:hAnsi="Times New Roman"/>
                <w:sz w:val="20"/>
                <w:szCs w:val="20"/>
                <w:lang w:val="fr-FR" w:eastAsia="ru-RU"/>
              </w:rPr>
              <w:t xml:space="preserve"> </w:t>
            </w:r>
            <w:r w:rsidR="005608B2" w:rsidRPr="005608B2">
              <w:rPr>
                <w:rFonts w:ascii="Times New Roman" w:hAnsi="Times New Roman"/>
                <w:sz w:val="20"/>
                <w:szCs w:val="20"/>
                <w:lang w:val="fr-FR" w:eastAsia="ru-RU"/>
              </w:rPr>
              <w:t xml:space="preserve">1 </w:t>
            </w:r>
            <w:proofErr w:type="spellStart"/>
            <w:r w:rsidR="005608B2" w:rsidRPr="005608B2">
              <w:rPr>
                <w:rFonts w:ascii="Times New Roman" w:hAnsi="Times New Roman"/>
                <w:sz w:val="20"/>
                <w:szCs w:val="20"/>
                <w:lang w:val="fr-FR" w:eastAsia="ru-RU"/>
              </w:rPr>
              <w:t>din</w:t>
            </w:r>
            <w:proofErr w:type="spellEnd"/>
            <w:r w:rsidR="005608B2" w:rsidRPr="005608B2">
              <w:rPr>
                <w:rFonts w:ascii="Times New Roman" w:hAnsi="Times New Roman"/>
                <w:sz w:val="20"/>
                <w:szCs w:val="20"/>
                <w:lang w:val="fr-FR" w:eastAsia="ru-RU"/>
              </w:rPr>
              <w:t xml:space="preserve"> </w:t>
            </w:r>
            <w:proofErr w:type="spellStart"/>
            <w:r w:rsidR="005608B2" w:rsidRPr="005608B2">
              <w:rPr>
                <w:rFonts w:ascii="Times New Roman" w:hAnsi="Times New Roman"/>
                <w:sz w:val="20"/>
                <w:szCs w:val="20"/>
                <w:lang w:val="fr-FR" w:eastAsia="ru-RU"/>
              </w:rPr>
              <w:t>Directiva</w:t>
            </w:r>
            <w:proofErr w:type="spellEnd"/>
            <w:r w:rsidR="005608B2">
              <w:rPr>
                <w:rFonts w:ascii="Times New Roman" w:hAnsi="Times New Roman"/>
                <w:sz w:val="20"/>
                <w:szCs w:val="20"/>
                <w:lang w:val="fr-FR" w:eastAsia="ru-RU"/>
              </w:rPr>
              <w:t xml:space="preserve"> </w:t>
            </w:r>
            <w:r w:rsidR="005608B2" w:rsidRPr="005608B2">
              <w:rPr>
                <w:rFonts w:ascii="Times New Roman" w:hAnsi="Times New Roman"/>
                <w:sz w:val="20"/>
                <w:szCs w:val="20"/>
                <w:lang w:val="fr-FR" w:eastAsia="ru-RU"/>
              </w:rPr>
              <w:t>2010/31/UE;</w:t>
            </w:r>
          </w:p>
        </w:tc>
        <w:tc>
          <w:tcPr>
            <w:tcW w:w="4440" w:type="dxa"/>
          </w:tcPr>
          <w:p w14:paraId="4470572E" w14:textId="0E00FC4A" w:rsidR="005608B2" w:rsidRPr="005608B2" w:rsidRDefault="005608B2" w:rsidP="005608B2">
            <w:pPr>
              <w:pStyle w:val="ColorfulList-Accent11"/>
              <w:spacing w:after="0" w:line="240" w:lineRule="auto"/>
              <w:ind w:left="0"/>
              <w:jc w:val="both"/>
              <w:rPr>
                <w:rFonts w:ascii="Times New Roman" w:hAnsi="Times New Roman"/>
                <w:sz w:val="20"/>
                <w:szCs w:val="20"/>
                <w:lang w:val="ro-MD"/>
              </w:rPr>
            </w:pPr>
          </w:p>
        </w:tc>
        <w:tc>
          <w:tcPr>
            <w:tcW w:w="1276" w:type="dxa"/>
          </w:tcPr>
          <w:p w14:paraId="3D5CC6DE" w14:textId="77777777" w:rsidR="005608B2" w:rsidRPr="00C951E7" w:rsidRDefault="005608B2" w:rsidP="005608B2">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24CD55A8" w14:textId="77777777" w:rsidR="005608B2" w:rsidRPr="005608B2" w:rsidRDefault="005608B2" w:rsidP="00565581">
            <w:pPr>
              <w:pStyle w:val="ColorfulList-Accent11"/>
              <w:spacing w:after="0" w:line="240" w:lineRule="auto"/>
              <w:ind w:left="0"/>
              <w:jc w:val="both"/>
              <w:rPr>
                <w:lang w:val="ro-MD"/>
              </w:rPr>
            </w:pPr>
          </w:p>
        </w:tc>
        <w:tc>
          <w:tcPr>
            <w:tcW w:w="1276" w:type="dxa"/>
          </w:tcPr>
          <w:p w14:paraId="745BCE9E" w14:textId="77777777" w:rsidR="005608B2" w:rsidRPr="005608B2" w:rsidRDefault="005608B2" w:rsidP="00565581">
            <w:pPr>
              <w:pStyle w:val="ColorfulList-Accent11"/>
              <w:spacing w:after="0" w:line="240" w:lineRule="auto"/>
              <w:ind w:left="0"/>
              <w:jc w:val="both"/>
              <w:rPr>
                <w:lang w:val="ro-MD"/>
              </w:rPr>
            </w:pPr>
          </w:p>
        </w:tc>
        <w:tc>
          <w:tcPr>
            <w:tcW w:w="1701" w:type="dxa"/>
          </w:tcPr>
          <w:p w14:paraId="3D3ABF5B" w14:textId="4A20C974" w:rsidR="005608B2" w:rsidRPr="00D37AB7" w:rsidRDefault="005608B2" w:rsidP="005608B2">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00924D0C" w:rsidRPr="00F13819">
              <w:rPr>
                <w:rFonts w:ascii="Times New Roman" w:hAnsi="Times New Roman"/>
                <w:sz w:val="20"/>
                <w:szCs w:val="20"/>
                <w:lang w:val="en-US" w:eastAsia="ru-RU"/>
              </w:rPr>
              <w:t>„</w:t>
            </w:r>
            <w:proofErr w:type="spellStart"/>
            <w:r w:rsidR="00924D0C" w:rsidRPr="00F13819">
              <w:rPr>
                <w:rFonts w:ascii="Times New Roman" w:hAnsi="Times New Roman"/>
                <w:sz w:val="20"/>
                <w:szCs w:val="20"/>
                <w:lang w:val="en-US" w:eastAsia="ru-RU"/>
              </w:rPr>
              <w:t>clădire</w:t>
            </w:r>
            <w:proofErr w:type="spellEnd"/>
            <w:r w:rsidR="00924D0C" w:rsidRPr="00F13819">
              <w:rPr>
                <w:rFonts w:ascii="Times New Roman" w:hAnsi="Times New Roman"/>
                <w:sz w:val="20"/>
                <w:szCs w:val="20"/>
                <w:lang w:val="en-US" w:eastAsia="ru-RU"/>
              </w:rPr>
              <w:t xml:space="preserve"> ” </w:t>
            </w:r>
            <w:r w:rsidRPr="00D37AB7">
              <w:rPr>
                <w:rFonts w:ascii="Times New Roman" w:eastAsia="Times New Roman" w:hAnsi="Times New Roman"/>
                <w:sz w:val="20"/>
                <w:szCs w:val="20"/>
                <w:lang w:val="ro-RO"/>
              </w:rPr>
              <w:t>este transpusă în</w:t>
            </w:r>
          </w:p>
          <w:p w14:paraId="01127345" w14:textId="11CBECF0" w:rsidR="005608B2" w:rsidRPr="005608B2" w:rsidRDefault="005608B2" w:rsidP="005608B2">
            <w:pPr>
              <w:pStyle w:val="ColorfulList-Accent11"/>
              <w:spacing w:after="0" w:line="240" w:lineRule="auto"/>
              <w:ind w:left="0"/>
              <w:jc w:val="both"/>
              <w:rPr>
                <w:lang w:val="ro-MD"/>
              </w:rPr>
            </w:pPr>
            <w:r w:rsidRPr="00D37AB7">
              <w:rPr>
                <w:rFonts w:ascii="Times New Roman" w:eastAsia="Times New Roman" w:hAnsi="Times New Roman"/>
                <w:sz w:val="20"/>
                <w:szCs w:val="20"/>
                <w:lang w:val="ro-MD" w:eastAsia="ro-MD"/>
              </w:rPr>
              <w:t>Legea nr.128/2014 privind performanța energetică a clădirilor</w:t>
            </w:r>
          </w:p>
        </w:tc>
        <w:tc>
          <w:tcPr>
            <w:tcW w:w="1460" w:type="dxa"/>
          </w:tcPr>
          <w:p w14:paraId="0684CE61" w14:textId="67752FA4" w:rsidR="005608B2" w:rsidRPr="003F755D" w:rsidRDefault="005608B2" w:rsidP="005608B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3BDCD8E3" w14:textId="77F8371F" w:rsidR="005608B2" w:rsidRPr="005608B2" w:rsidRDefault="003A2C08" w:rsidP="00565581">
            <w:pPr>
              <w:pStyle w:val="ColorfulList-Accent11"/>
              <w:spacing w:after="0" w:line="240" w:lineRule="auto"/>
              <w:ind w:left="0"/>
              <w:jc w:val="both"/>
              <w:rPr>
                <w:lang w:val="ro-MD"/>
              </w:rPr>
            </w:pPr>
            <w:r w:rsidRPr="00A81801">
              <w:rPr>
                <w:rFonts w:ascii="Times New Roman" w:hAnsi="Times New Roman"/>
                <w:color w:val="000000" w:themeColor="text1"/>
                <w:sz w:val="20"/>
                <w:szCs w:val="20"/>
              </w:rPr>
              <w:t>Energiei</w:t>
            </w:r>
          </w:p>
        </w:tc>
      </w:tr>
      <w:tr w:rsidR="00FD628C" w:rsidRPr="00FD628C" w14:paraId="6ACBD92F" w14:textId="77777777" w:rsidTr="00A90105">
        <w:tc>
          <w:tcPr>
            <w:tcW w:w="4945" w:type="dxa"/>
          </w:tcPr>
          <w:p w14:paraId="5AC1F58A" w14:textId="7324EEE2" w:rsidR="00FD628C" w:rsidRPr="00FD628C" w:rsidRDefault="00E41D66" w:rsidP="00FD628C">
            <w:pPr>
              <w:jc w:val="both"/>
              <w:rPr>
                <w:rFonts w:ascii="Times New Roman" w:hAnsi="Times New Roman"/>
                <w:sz w:val="20"/>
                <w:szCs w:val="20"/>
                <w:lang w:val="ro-MD" w:eastAsia="ru-RU"/>
              </w:rPr>
            </w:pPr>
            <w:r>
              <w:rPr>
                <w:rFonts w:ascii="Times New Roman" w:hAnsi="Times New Roman"/>
                <w:sz w:val="20"/>
                <w:szCs w:val="20"/>
                <w:lang w:val="ro-MD" w:eastAsia="ru-RU"/>
              </w:rPr>
              <w:lastRenderedPageBreak/>
              <w:t>(60)</w:t>
            </w:r>
            <w:r w:rsidR="00FD628C" w:rsidRPr="00FD628C">
              <w:rPr>
                <w:rFonts w:ascii="Times New Roman" w:hAnsi="Times New Roman"/>
                <w:sz w:val="20"/>
                <w:szCs w:val="20"/>
                <w:lang w:val="fr-FR" w:eastAsia="ru-RU"/>
              </w:rPr>
              <w:t>„</w:t>
            </w:r>
            <w:proofErr w:type="spellStart"/>
            <w:r w:rsidR="00FD628C" w:rsidRPr="00FD628C">
              <w:rPr>
                <w:rFonts w:ascii="Times New Roman" w:hAnsi="Times New Roman"/>
                <w:sz w:val="20"/>
                <w:szCs w:val="20"/>
                <w:lang w:val="fr-FR" w:eastAsia="ru-RU"/>
              </w:rPr>
              <w:t>clădire</w:t>
            </w:r>
            <w:proofErr w:type="spellEnd"/>
            <w:r w:rsidR="00FD628C" w:rsidRPr="00FD628C">
              <w:rPr>
                <w:rFonts w:ascii="Times New Roman" w:hAnsi="Times New Roman"/>
                <w:sz w:val="20"/>
                <w:szCs w:val="20"/>
                <w:lang w:val="fr-FR" w:eastAsia="ru-RU"/>
              </w:rPr>
              <w:t xml:space="preserve"> al </w:t>
            </w:r>
            <w:proofErr w:type="spellStart"/>
            <w:r w:rsidR="00FD628C" w:rsidRPr="00FD628C">
              <w:rPr>
                <w:rFonts w:ascii="Times New Roman" w:hAnsi="Times New Roman"/>
                <w:sz w:val="20"/>
                <w:szCs w:val="20"/>
                <w:lang w:val="fr-FR" w:eastAsia="ru-RU"/>
              </w:rPr>
              <w:t>cărei</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consum</w:t>
            </w:r>
            <w:proofErr w:type="spellEnd"/>
            <w:r w:rsidR="00FD628C" w:rsidRPr="00FD628C">
              <w:rPr>
                <w:rFonts w:ascii="Times New Roman" w:hAnsi="Times New Roman"/>
                <w:sz w:val="20"/>
                <w:szCs w:val="20"/>
                <w:lang w:val="fr-FR" w:eastAsia="ru-RU"/>
              </w:rPr>
              <w:t xml:space="preserve"> de </w:t>
            </w:r>
            <w:proofErr w:type="spellStart"/>
            <w:r w:rsidR="00FD628C" w:rsidRPr="00FD628C">
              <w:rPr>
                <w:rFonts w:ascii="Times New Roman" w:hAnsi="Times New Roman"/>
                <w:sz w:val="20"/>
                <w:szCs w:val="20"/>
                <w:lang w:val="fr-FR" w:eastAsia="ru-RU"/>
              </w:rPr>
              <w:t>energie</w:t>
            </w:r>
            <w:proofErr w:type="spellEnd"/>
            <w:r w:rsidR="00FD628C" w:rsidRPr="00FD628C">
              <w:rPr>
                <w:rFonts w:ascii="Times New Roman" w:hAnsi="Times New Roman"/>
                <w:sz w:val="20"/>
                <w:szCs w:val="20"/>
                <w:lang w:val="fr-FR" w:eastAsia="ru-RU"/>
              </w:rPr>
              <w:t xml:space="preserve"> este </w:t>
            </w:r>
            <w:proofErr w:type="spellStart"/>
            <w:r w:rsidR="00FD628C" w:rsidRPr="00FD628C">
              <w:rPr>
                <w:rFonts w:ascii="Times New Roman" w:hAnsi="Times New Roman"/>
                <w:sz w:val="20"/>
                <w:szCs w:val="20"/>
                <w:lang w:val="fr-FR" w:eastAsia="ru-RU"/>
              </w:rPr>
              <w:t>aproape</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egal</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cu</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zero</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înseamnă</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clădire</w:t>
            </w:r>
            <w:proofErr w:type="spellEnd"/>
            <w:r w:rsidR="00FD628C" w:rsidRPr="00FD628C">
              <w:rPr>
                <w:rFonts w:ascii="Times New Roman" w:hAnsi="Times New Roman"/>
                <w:sz w:val="20"/>
                <w:szCs w:val="20"/>
                <w:lang w:val="fr-FR" w:eastAsia="ru-RU"/>
              </w:rPr>
              <w:t xml:space="preserve"> al </w:t>
            </w:r>
            <w:proofErr w:type="spellStart"/>
            <w:r w:rsidR="00FD628C" w:rsidRPr="00FD628C">
              <w:rPr>
                <w:rFonts w:ascii="Times New Roman" w:hAnsi="Times New Roman"/>
                <w:sz w:val="20"/>
                <w:szCs w:val="20"/>
                <w:lang w:val="fr-FR" w:eastAsia="ru-RU"/>
              </w:rPr>
              <w:t>cărei</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consum</w:t>
            </w:r>
            <w:proofErr w:type="spellEnd"/>
            <w:r w:rsidR="00FD628C" w:rsidRPr="00FD628C">
              <w:rPr>
                <w:rFonts w:ascii="Times New Roman" w:hAnsi="Times New Roman"/>
                <w:sz w:val="20"/>
                <w:szCs w:val="20"/>
                <w:lang w:val="fr-FR" w:eastAsia="ru-RU"/>
              </w:rPr>
              <w:t xml:space="preserve"> de </w:t>
            </w:r>
            <w:proofErr w:type="spellStart"/>
            <w:r w:rsidR="00FD628C" w:rsidRPr="00FD628C">
              <w:rPr>
                <w:rFonts w:ascii="Times New Roman" w:hAnsi="Times New Roman"/>
                <w:sz w:val="20"/>
                <w:szCs w:val="20"/>
                <w:lang w:val="fr-FR" w:eastAsia="ru-RU"/>
              </w:rPr>
              <w:t>energie</w:t>
            </w:r>
            <w:proofErr w:type="spellEnd"/>
            <w:r w:rsidR="00FD628C" w:rsidRPr="00FD628C">
              <w:rPr>
                <w:rFonts w:ascii="Times New Roman" w:hAnsi="Times New Roman"/>
                <w:sz w:val="20"/>
                <w:szCs w:val="20"/>
                <w:lang w:val="fr-FR" w:eastAsia="ru-RU"/>
              </w:rPr>
              <w:t xml:space="preserve"> este </w:t>
            </w:r>
            <w:proofErr w:type="spellStart"/>
            <w:r w:rsidR="00FD628C" w:rsidRPr="00FD628C">
              <w:rPr>
                <w:rFonts w:ascii="Times New Roman" w:hAnsi="Times New Roman"/>
                <w:sz w:val="20"/>
                <w:szCs w:val="20"/>
                <w:lang w:val="fr-FR" w:eastAsia="ru-RU"/>
              </w:rPr>
              <w:t>aproape</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egal</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cu</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zero</w:t>
            </w:r>
            <w:proofErr w:type="spellEnd"/>
            <w:r w:rsidR="00FD628C" w:rsidRPr="00FD628C">
              <w:rPr>
                <w:rFonts w:ascii="Times New Roman" w:hAnsi="Times New Roman"/>
                <w:sz w:val="20"/>
                <w:szCs w:val="20"/>
                <w:lang w:val="fr-FR" w:eastAsia="ru-RU"/>
              </w:rPr>
              <w:t xml:space="preserve"> în </w:t>
            </w:r>
            <w:proofErr w:type="spellStart"/>
            <w:r w:rsidR="00FD628C" w:rsidRPr="00FD628C">
              <w:rPr>
                <w:rFonts w:ascii="Times New Roman" w:hAnsi="Times New Roman"/>
                <w:sz w:val="20"/>
                <w:szCs w:val="20"/>
                <w:lang w:val="fr-FR" w:eastAsia="ru-RU"/>
              </w:rPr>
              <w:t>sensul</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definiției</w:t>
            </w:r>
            <w:proofErr w:type="spellEnd"/>
            <w:r w:rsidR="00FD628C" w:rsidRPr="00FD628C">
              <w:rPr>
                <w:rFonts w:ascii="Times New Roman" w:hAnsi="Times New Roman"/>
                <w:sz w:val="20"/>
                <w:szCs w:val="20"/>
                <w:lang w:val="fr-FR" w:eastAsia="ru-RU"/>
              </w:rPr>
              <w:t xml:space="preserve"> de la </w:t>
            </w:r>
            <w:proofErr w:type="spellStart"/>
            <w:r w:rsidR="00FD628C" w:rsidRPr="00FD628C">
              <w:rPr>
                <w:rFonts w:ascii="Times New Roman" w:hAnsi="Times New Roman"/>
                <w:sz w:val="20"/>
                <w:szCs w:val="20"/>
                <w:lang w:val="fr-FR" w:eastAsia="ru-RU"/>
              </w:rPr>
              <w:t>articolul</w:t>
            </w:r>
            <w:proofErr w:type="spellEnd"/>
            <w:r w:rsidR="00FD628C" w:rsidRPr="00FD628C">
              <w:rPr>
                <w:rFonts w:ascii="Times New Roman" w:hAnsi="Times New Roman"/>
                <w:sz w:val="20"/>
                <w:szCs w:val="20"/>
                <w:lang w:val="fr-FR" w:eastAsia="ru-RU"/>
              </w:rPr>
              <w:t xml:space="preserve"> 2 </w:t>
            </w:r>
            <w:proofErr w:type="spellStart"/>
            <w:r w:rsidR="00FD628C" w:rsidRPr="00FD628C">
              <w:rPr>
                <w:rFonts w:ascii="Times New Roman" w:hAnsi="Times New Roman"/>
                <w:sz w:val="20"/>
                <w:szCs w:val="20"/>
                <w:lang w:val="fr-FR" w:eastAsia="ru-RU"/>
              </w:rPr>
              <w:t>punctul</w:t>
            </w:r>
            <w:proofErr w:type="spellEnd"/>
            <w:r w:rsidR="00FD628C" w:rsidRPr="00FD628C">
              <w:rPr>
                <w:rFonts w:ascii="Times New Roman" w:hAnsi="Times New Roman"/>
                <w:sz w:val="20"/>
                <w:szCs w:val="20"/>
                <w:lang w:val="fr-FR" w:eastAsia="ru-RU"/>
              </w:rPr>
              <w:t xml:space="preserve"> 2 </w:t>
            </w:r>
            <w:proofErr w:type="spellStart"/>
            <w:r w:rsidR="00FD628C" w:rsidRPr="00FD628C">
              <w:rPr>
                <w:rFonts w:ascii="Times New Roman" w:hAnsi="Times New Roman"/>
                <w:sz w:val="20"/>
                <w:szCs w:val="20"/>
                <w:lang w:val="fr-FR" w:eastAsia="ru-RU"/>
              </w:rPr>
              <w:t>din</w:t>
            </w:r>
            <w:proofErr w:type="spellEnd"/>
            <w:r w:rsidR="00FD628C" w:rsidRPr="00FD628C">
              <w:rPr>
                <w:rFonts w:ascii="Times New Roman" w:hAnsi="Times New Roman"/>
                <w:sz w:val="20"/>
                <w:szCs w:val="20"/>
                <w:lang w:val="fr-FR" w:eastAsia="ru-RU"/>
              </w:rPr>
              <w:t xml:space="preserve"> </w:t>
            </w:r>
            <w:proofErr w:type="spellStart"/>
            <w:r w:rsidR="00FD628C" w:rsidRPr="00FD628C">
              <w:rPr>
                <w:rFonts w:ascii="Times New Roman" w:hAnsi="Times New Roman"/>
                <w:sz w:val="20"/>
                <w:szCs w:val="20"/>
                <w:lang w:val="fr-FR" w:eastAsia="ru-RU"/>
              </w:rPr>
              <w:t>Directiva</w:t>
            </w:r>
            <w:proofErr w:type="spellEnd"/>
            <w:r w:rsidR="00FD628C" w:rsidRPr="00FD628C">
              <w:rPr>
                <w:rFonts w:ascii="Times New Roman" w:hAnsi="Times New Roman"/>
                <w:sz w:val="20"/>
                <w:szCs w:val="20"/>
                <w:lang w:val="fr-FR" w:eastAsia="ru-RU"/>
              </w:rPr>
              <w:t xml:space="preserve"> 2010/31/UE;</w:t>
            </w:r>
          </w:p>
        </w:tc>
        <w:tc>
          <w:tcPr>
            <w:tcW w:w="4440" w:type="dxa"/>
          </w:tcPr>
          <w:p w14:paraId="5DF597A8" w14:textId="56DB5156" w:rsidR="00FD628C" w:rsidRPr="00FD628C" w:rsidRDefault="00FD628C" w:rsidP="00565581">
            <w:pPr>
              <w:pStyle w:val="ColorfulList-Accent11"/>
              <w:spacing w:after="0" w:line="240" w:lineRule="auto"/>
              <w:ind w:left="0"/>
              <w:jc w:val="both"/>
              <w:rPr>
                <w:rFonts w:ascii="Times New Roman" w:hAnsi="Times New Roman"/>
                <w:sz w:val="20"/>
                <w:szCs w:val="20"/>
                <w:lang w:val="ro-MD"/>
              </w:rPr>
            </w:pPr>
          </w:p>
        </w:tc>
        <w:tc>
          <w:tcPr>
            <w:tcW w:w="1276" w:type="dxa"/>
          </w:tcPr>
          <w:p w14:paraId="541F5039" w14:textId="77777777" w:rsidR="00FD628C" w:rsidRPr="00C951E7" w:rsidRDefault="00FD628C" w:rsidP="00FD628C">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31C7F0C8" w14:textId="77777777" w:rsidR="00FD628C" w:rsidRPr="00745D9A" w:rsidRDefault="00FD628C" w:rsidP="00565581">
            <w:pPr>
              <w:pStyle w:val="ColorfulList-Accent11"/>
              <w:spacing w:after="0" w:line="240" w:lineRule="auto"/>
              <w:ind w:left="0"/>
              <w:jc w:val="both"/>
              <w:rPr>
                <w:lang w:val="fr-FR"/>
              </w:rPr>
            </w:pPr>
          </w:p>
        </w:tc>
        <w:tc>
          <w:tcPr>
            <w:tcW w:w="1276" w:type="dxa"/>
          </w:tcPr>
          <w:p w14:paraId="5E6CFFF2" w14:textId="77777777" w:rsidR="00FD628C" w:rsidRPr="00745D9A" w:rsidRDefault="00FD628C" w:rsidP="00565581">
            <w:pPr>
              <w:pStyle w:val="ColorfulList-Accent11"/>
              <w:spacing w:after="0" w:line="240" w:lineRule="auto"/>
              <w:ind w:left="0"/>
              <w:jc w:val="both"/>
              <w:rPr>
                <w:lang w:val="fr-FR"/>
              </w:rPr>
            </w:pPr>
          </w:p>
        </w:tc>
        <w:tc>
          <w:tcPr>
            <w:tcW w:w="1701" w:type="dxa"/>
          </w:tcPr>
          <w:p w14:paraId="4577549B" w14:textId="513F6095" w:rsidR="00FD628C" w:rsidRPr="00D37AB7" w:rsidRDefault="00FD628C" w:rsidP="00FD628C">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005608B2" w:rsidRPr="00FD628C">
              <w:rPr>
                <w:rFonts w:ascii="Times New Roman" w:hAnsi="Times New Roman"/>
                <w:sz w:val="20"/>
                <w:szCs w:val="20"/>
                <w:lang w:val="fr-FR" w:eastAsia="ru-RU"/>
              </w:rPr>
              <w:t>„</w:t>
            </w:r>
            <w:proofErr w:type="spellStart"/>
            <w:r w:rsidR="005608B2" w:rsidRPr="00FD628C">
              <w:rPr>
                <w:rFonts w:ascii="Times New Roman" w:hAnsi="Times New Roman"/>
                <w:sz w:val="20"/>
                <w:szCs w:val="20"/>
                <w:lang w:val="fr-FR" w:eastAsia="ru-RU"/>
              </w:rPr>
              <w:t>clădire</w:t>
            </w:r>
            <w:proofErr w:type="spellEnd"/>
            <w:r w:rsidR="005608B2" w:rsidRPr="00FD628C">
              <w:rPr>
                <w:rFonts w:ascii="Times New Roman" w:hAnsi="Times New Roman"/>
                <w:sz w:val="20"/>
                <w:szCs w:val="20"/>
                <w:lang w:val="fr-FR" w:eastAsia="ru-RU"/>
              </w:rPr>
              <w:t xml:space="preserve"> al </w:t>
            </w:r>
            <w:proofErr w:type="spellStart"/>
            <w:r w:rsidR="005608B2" w:rsidRPr="00FD628C">
              <w:rPr>
                <w:rFonts w:ascii="Times New Roman" w:hAnsi="Times New Roman"/>
                <w:sz w:val="20"/>
                <w:szCs w:val="20"/>
                <w:lang w:val="fr-FR" w:eastAsia="ru-RU"/>
              </w:rPr>
              <w:t>cărei</w:t>
            </w:r>
            <w:proofErr w:type="spellEnd"/>
            <w:r w:rsidR="005608B2" w:rsidRPr="00FD628C">
              <w:rPr>
                <w:rFonts w:ascii="Times New Roman" w:hAnsi="Times New Roman"/>
                <w:sz w:val="20"/>
                <w:szCs w:val="20"/>
                <w:lang w:val="fr-FR" w:eastAsia="ru-RU"/>
              </w:rPr>
              <w:t xml:space="preserve"> </w:t>
            </w:r>
            <w:proofErr w:type="spellStart"/>
            <w:r w:rsidR="005608B2" w:rsidRPr="00FD628C">
              <w:rPr>
                <w:rFonts w:ascii="Times New Roman" w:hAnsi="Times New Roman"/>
                <w:sz w:val="20"/>
                <w:szCs w:val="20"/>
                <w:lang w:val="fr-FR" w:eastAsia="ru-RU"/>
              </w:rPr>
              <w:t>consum</w:t>
            </w:r>
            <w:proofErr w:type="spellEnd"/>
            <w:r w:rsidR="005608B2" w:rsidRPr="00FD628C">
              <w:rPr>
                <w:rFonts w:ascii="Times New Roman" w:hAnsi="Times New Roman"/>
                <w:sz w:val="20"/>
                <w:szCs w:val="20"/>
                <w:lang w:val="fr-FR" w:eastAsia="ru-RU"/>
              </w:rPr>
              <w:t xml:space="preserve"> de </w:t>
            </w:r>
            <w:proofErr w:type="spellStart"/>
            <w:r w:rsidR="005608B2" w:rsidRPr="00FD628C">
              <w:rPr>
                <w:rFonts w:ascii="Times New Roman" w:hAnsi="Times New Roman"/>
                <w:sz w:val="20"/>
                <w:szCs w:val="20"/>
                <w:lang w:val="fr-FR" w:eastAsia="ru-RU"/>
              </w:rPr>
              <w:t>energie</w:t>
            </w:r>
            <w:proofErr w:type="spellEnd"/>
            <w:r w:rsidR="005608B2" w:rsidRPr="00FD628C">
              <w:rPr>
                <w:rFonts w:ascii="Times New Roman" w:hAnsi="Times New Roman"/>
                <w:sz w:val="20"/>
                <w:szCs w:val="20"/>
                <w:lang w:val="fr-FR" w:eastAsia="ru-RU"/>
              </w:rPr>
              <w:t xml:space="preserve"> este </w:t>
            </w:r>
            <w:proofErr w:type="spellStart"/>
            <w:r w:rsidR="005608B2" w:rsidRPr="00FD628C">
              <w:rPr>
                <w:rFonts w:ascii="Times New Roman" w:hAnsi="Times New Roman"/>
                <w:sz w:val="20"/>
                <w:szCs w:val="20"/>
                <w:lang w:val="fr-FR" w:eastAsia="ru-RU"/>
              </w:rPr>
              <w:t>aproape</w:t>
            </w:r>
            <w:proofErr w:type="spellEnd"/>
            <w:r w:rsidR="005608B2" w:rsidRPr="00FD628C">
              <w:rPr>
                <w:rFonts w:ascii="Times New Roman" w:hAnsi="Times New Roman"/>
                <w:sz w:val="20"/>
                <w:szCs w:val="20"/>
                <w:lang w:val="fr-FR" w:eastAsia="ru-RU"/>
              </w:rPr>
              <w:t xml:space="preserve"> </w:t>
            </w:r>
            <w:proofErr w:type="spellStart"/>
            <w:r w:rsidR="005608B2" w:rsidRPr="00FD628C">
              <w:rPr>
                <w:rFonts w:ascii="Times New Roman" w:hAnsi="Times New Roman"/>
                <w:sz w:val="20"/>
                <w:szCs w:val="20"/>
                <w:lang w:val="fr-FR" w:eastAsia="ru-RU"/>
              </w:rPr>
              <w:t>egal</w:t>
            </w:r>
            <w:proofErr w:type="spellEnd"/>
            <w:r w:rsidR="005608B2" w:rsidRPr="00FD628C">
              <w:rPr>
                <w:rFonts w:ascii="Times New Roman" w:hAnsi="Times New Roman"/>
                <w:sz w:val="20"/>
                <w:szCs w:val="20"/>
                <w:lang w:val="fr-FR" w:eastAsia="ru-RU"/>
              </w:rPr>
              <w:t xml:space="preserve"> </w:t>
            </w:r>
            <w:proofErr w:type="spellStart"/>
            <w:r w:rsidR="005608B2" w:rsidRPr="00FD628C">
              <w:rPr>
                <w:rFonts w:ascii="Times New Roman" w:hAnsi="Times New Roman"/>
                <w:sz w:val="20"/>
                <w:szCs w:val="20"/>
                <w:lang w:val="fr-FR" w:eastAsia="ru-RU"/>
              </w:rPr>
              <w:t>cu</w:t>
            </w:r>
            <w:proofErr w:type="spellEnd"/>
            <w:r w:rsidR="005608B2" w:rsidRPr="00FD628C">
              <w:rPr>
                <w:rFonts w:ascii="Times New Roman" w:hAnsi="Times New Roman"/>
                <w:sz w:val="20"/>
                <w:szCs w:val="20"/>
                <w:lang w:val="fr-FR" w:eastAsia="ru-RU"/>
              </w:rPr>
              <w:t xml:space="preserve"> </w:t>
            </w:r>
            <w:proofErr w:type="spellStart"/>
            <w:r w:rsidR="005608B2" w:rsidRPr="00FD628C">
              <w:rPr>
                <w:rFonts w:ascii="Times New Roman" w:hAnsi="Times New Roman"/>
                <w:sz w:val="20"/>
                <w:szCs w:val="20"/>
                <w:lang w:val="fr-FR" w:eastAsia="ru-RU"/>
              </w:rPr>
              <w:t>zero</w:t>
            </w:r>
            <w:proofErr w:type="spellEnd"/>
            <w:r w:rsidR="005608B2" w:rsidRPr="00FD628C">
              <w:rPr>
                <w:rFonts w:ascii="Times New Roman" w:hAnsi="Times New Roman"/>
                <w:sz w:val="20"/>
                <w:szCs w:val="20"/>
                <w:lang w:val="fr-FR" w:eastAsia="ru-RU"/>
              </w:rPr>
              <w:t xml:space="preserve">” </w:t>
            </w:r>
            <w:r w:rsidRPr="00D37AB7">
              <w:rPr>
                <w:rFonts w:ascii="Times New Roman" w:eastAsia="Times New Roman" w:hAnsi="Times New Roman"/>
                <w:sz w:val="20"/>
                <w:szCs w:val="20"/>
                <w:lang w:val="ro-RO"/>
              </w:rPr>
              <w:t>este transpusă în</w:t>
            </w:r>
          </w:p>
          <w:p w14:paraId="16A3D835" w14:textId="0DF59574" w:rsidR="00FD628C" w:rsidRPr="00FD628C" w:rsidRDefault="00FD628C" w:rsidP="00FD628C">
            <w:pPr>
              <w:pStyle w:val="ColorfulList-Accent11"/>
              <w:spacing w:after="0" w:line="240" w:lineRule="auto"/>
              <w:ind w:left="0"/>
              <w:jc w:val="both"/>
              <w:rPr>
                <w:lang w:val="en-US"/>
              </w:rPr>
            </w:pPr>
            <w:r w:rsidRPr="00D37AB7">
              <w:rPr>
                <w:rFonts w:ascii="Times New Roman" w:eastAsia="Times New Roman" w:hAnsi="Times New Roman"/>
                <w:sz w:val="20"/>
                <w:szCs w:val="20"/>
                <w:lang w:val="ro-MD" w:eastAsia="ro-MD"/>
              </w:rPr>
              <w:t>Legea nr.128/2014 privind performanța energetică a clădirilor</w:t>
            </w:r>
          </w:p>
        </w:tc>
        <w:tc>
          <w:tcPr>
            <w:tcW w:w="1460" w:type="dxa"/>
          </w:tcPr>
          <w:p w14:paraId="336D9D0B" w14:textId="4343FA04" w:rsidR="00FD628C" w:rsidRPr="003F755D" w:rsidRDefault="00FD628C" w:rsidP="00FD628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3A2C08" w:rsidRPr="00A81801">
              <w:rPr>
                <w:rFonts w:ascii="Times New Roman" w:hAnsi="Times New Roman"/>
                <w:color w:val="000000" w:themeColor="text1"/>
                <w:sz w:val="20"/>
                <w:szCs w:val="20"/>
              </w:rPr>
              <w:t>Energiei</w:t>
            </w:r>
          </w:p>
          <w:p w14:paraId="26AA354F" w14:textId="77777777" w:rsidR="00FD628C" w:rsidRPr="00FD628C" w:rsidRDefault="00FD628C" w:rsidP="00565581">
            <w:pPr>
              <w:pStyle w:val="ColorfulList-Accent11"/>
              <w:spacing w:after="0" w:line="240" w:lineRule="auto"/>
              <w:ind w:left="0"/>
              <w:jc w:val="both"/>
              <w:rPr>
                <w:lang w:val="en-US"/>
              </w:rPr>
            </w:pPr>
          </w:p>
        </w:tc>
      </w:tr>
      <w:tr w:rsidR="00D37AB7" w:rsidRPr="00D37AB7" w14:paraId="1D694FFD" w14:textId="77777777" w:rsidTr="00A90105">
        <w:tc>
          <w:tcPr>
            <w:tcW w:w="4945" w:type="dxa"/>
          </w:tcPr>
          <w:p w14:paraId="1C4CA90B" w14:textId="7BC52190" w:rsidR="00D37AB7" w:rsidRDefault="00E41D66" w:rsidP="00D37AB7">
            <w:pPr>
              <w:jc w:val="both"/>
              <w:rPr>
                <w:rFonts w:ascii="Times New Roman" w:hAnsi="Times New Roman"/>
                <w:sz w:val="20"/>
                <w:szCs w:val="20"/>
                <w:lang w:val="fr-FR" w:eastAsia="ru-RU"/>
              </w:rPr>
            </w:pPr>
            <w:r>
              <w:rPr>
                <w:rFonts w:ascii="Times New Roman" w:hAnsi="Times New Roman"/>
                <w:sz w:val="20"/>
                <w:szCs w:val="20"/>
                <w:lang w:val="ro-MD" w:eastAsia="ru-RU"/>
              </w:rPr>
              <w:t>(61)</w:t>
            </w:r>
            <w:r w:rsidR="00D37AB7" w:rsidRPr="00072145">
              <w:rPr>
                <w:rFonts w:ascii="Times New Roman" w:hAnsi="Times New Roman"/>
                <w:sz w:val="20"/>
                <w:szCs w:val="20"/>
                <w:lang w:val="fr-FR" w:eastAsia="ru-RU"/>
              </w:rPr>
              <w:t>„</w:t>
            </w:r>
            <w:proofErr w:type="spellStart"/>
            <w:r w:rsidR="00D37AB7" w:rsidRPr="00072145">
              <w:rPr>
                <w:rFonts w:ascii="Times New Roman" w:hAnsi="Times New Roman"/>
                <w:sz w:val="20"/>
                <w:szCs w:val="20"/>
                <w:lang w:val="fr-FR" w:eastAsia="ru-RU"/>
              </w:rPr>
              <w:t>pompă</w:t>
            </w:r>
            <w:proofErr w:type="spellEnd"/>
            <w:r w:rsidR="00D37AB7" w:rsidRPr="00072145">
              <w:rPr>
                <w:rFonts w:ascii="Times New Roman" w:hAnsi="Times New Roman"/>
                <w:sz w:val="20"/>
                <w:szCs w:val="20"/>
                <w:lang w:val="fr-FR" w:eastAsia="ru-RU"/>
              </w:rPr>
              <w:t xml:space="preserve"> de </w:t>
            </w:r>
            <w:proofErr w:type="spellStart"/>
            <w:r w:rsidR="00D37AB7" w:rsidRPr="00072145">
              <w:rPr>
                <w:rFonts w:ascii="Times New Roman" w:hAnsi="Times New Roman"/>
                <w:sz w:val="20"/>
                <w:szCs w:val="20"/>
                <w:lang w:val="fr-FR" w:eastAsia="ru-RU"/>
              </w:rPr>
              <w:t>căldură</w:t>
            </w:r>
            <w:proofErr w:type="spellEnd"/>
            <w:r w:rsidR="00D37AB7" w:rsidRPr="00072145">
              <w:rPr>
                <w:rFonts w:ascii="Times New Roman" w:hAnsi="Times New Roman"/>
                <w:sz w:val="20"/>
                <w:szCs w:val="20"/>
                <w:lang w:val="fr-FR" w:eastAsia="ru-RU"/>
              </w:rPr>
              <w:t xml:space="preserve">” </w:t>
            </w:r>
            <w:proofErr w:type="spellStart"/>
            <w:r w:rsidR="00D37AB7" w:rsidRPr="00072145">
              <w:rPr>
                <w:rFonts w:ascii="Times New Roman" w:hAnsi="Times New Roman"/>
                <w:sz w:val="20"/>
                <w:szCs w:val="20"/>
                <w:lang w:val="fr-FR" w:eastAsia="ru-RU"/>
              </w:rPr>
              <w:t>înseamnă</w:t>
            </w:r>
            <w:proofErr w:type="spellEnd"/>
            <w:r w:rsidR="00D37AB7" w:rsidRPr="00072145">
              <w:rPr>
                <w:rFonts w:ascii="Times New Roman" w:hAnsi="Times New Roman"/>
                <w:sz w:val="20"/>
                <w:szCs w:val="20"/>
                <w:lang w:val="fr-FR" w:eastAsia="ru-RU"/>
              </w:rPr>
              <w:t xml:space="preserve"> </w:t>
            </w:r>
            <w:proofErr w:type="spellStart"/>
            <w:r w:rsidR="00D37AB7" w:rsidRPr="00072145">
              <w:rPr>
                <w:rFonts w:ascii="Times New Roman" w:hAnsi="Times New Roman"/>
                <w:sz w:val="20"/>
                <w:szCs w:val="20"/>
                <w:lang w:val="fr-FR" w:eastAsia="ru-RU"/>
              </w:rPr>
              <w:t>pompă</w:t>
            </w:r>
            <w:proofErr w:type="spellEnd"/>
            <w:r w:rsidR="00D37AB7" w:rsidRPr="00072145">
              <w:rPr>
                <w:rFonts w:ascii="Times New Roman" w:hAnsi="Times New Roman"/>
                <w:sz w:val="20"/>
                <w:szCs w:val="20"/>
                <w:lang w:val="fr-FR" w:eastAsia="ru-RU"/>
              </w:rPr>
              <w:t xml:space="preserve"> de </w:t>
            </w:r>
            <w:proofErr w:type="spellStart"/>
            <w:r w:rsidR="00D37AB7" w:rsidRPr="00072145">
              <w:rPr>
                <w:rFonts w:ascii="Times New Roman" w:hAnsi="Times New Roman"/>
                <w:sz w:val="20"/>
                <w:szCs w:val="20"/>
                <w:lang w:val="fr-FR" w:eastAsia="ru-RU"/>
              </w:rPr>
              <w:t>căldură</w:t>
            </w:r>
            <w:proofErr w:type="spellEnd"/>
            <w:r w:rsidR="00D37AB7" w:rsidRPr="00072145">
              <w:rPr>
                <w:rFonts w:ascii="Times New Roman" w:hAnsi="Times New Roman"/>
                <w:sz w:val="20"/>
                <w:szCs w:val="20"/>
                <w:lang w:val="fr-FR" w:eastAsia="ru-RU"/>
              </w:rPr>
              <w:t xml:space="preserve"> în </w:t>
            </w:r>
            <w:proofErr w:type="spellStart"/>
            <w:r w:rsidR="00D37AB7" w:rsidRPr="00072145">
              <w:rPr>
                <w:rFonts w:ascii="Times New Roman" w:hAnsi="Times New Roman"/>
                <w:sz w:val="20"/>
                <w:szCs w:val="20"/>
                <w:lang w:val="fr-FR" w:eastAsia="ru-RU"/>
              </w:rPr>
              <w:t>sensul</w:t>
            </w:r>
            <w:proofErr w:type="spellEnd"/>
            <w:r w:rsidR="00D37AB7" w:rsidRPr="00072145">
              <w:rPr>
                <w:rFonts w:ascii="Times New Roman" w:hAnsi="Times New Roman"/>
                <w:sz w:val="20"/>
                <w:szCs w:val="20"/>
                <w:lang w:val="fr-FR" w:eastAsia="ru-RU"/>
              </w:rPr>
              <w:t xml:space="preserve"> </w:t>
            </w:r>
            <w:proofErr w:type="spellStart"/>
            <w:r w:rsidR="00D37AB7" w:rsidRPr="00072145">
              <w:rPr>
                <w:rFonts w:ascii="Times New Roman" w:hAnsi="Times New Roman"/>
                <w:sz w:val="20"/>
                <w:szCs w:val="20"/>
                <w:lang w:val="fr-FR" w:eastAsia="ru-RU"/>
              </w:rPr>
              <w:t>definiției</w:t>
            </w:r>
            <w:proofErr w:type="spellEnd"/>
            <w:r w:rsidR="00D37AB7" w:rsidRPr="00072145">
              <w:rPr>
                <w:rFonts w:ascii="Times New Roman" w:hAnsi="Times New Roman"/>
                <w:sz w:val="20"/>
                <w:szCs w:val="20"/>
                <w:lang w:val="fr-FR" w:eastAsia="ru-RU"/>
              </w:rPr>
              <w:t xml:space="preserve"> de la </w:t>
            </w:r>
            <w:proofErr w:type="spellStart"/>
            <w:r w:rsidR="00D37AB7" w:rsidRPr="00072145">
              <w:rPr>
                <w:rFonts w:ascii="Times New Roman" w:hAnsi="Times New Roman"/>
                <w:sz w:val="20"/>
                <w:szCs w:val="20"/>
                <w:lang w:val="fr-FR" w:eastAsia="ru-RU"/>
              </w:rPr>
              <w:t>articolul</w:t>
            </w:r>
            <w:proofErr w:type="spellEnd"/>
            <w:r w:rsidR="00D37AB7">
              <w:rPr>
                <w:rFonts w:ascii="Times New Roman" w:hAnsi="Times New Roman"/>
                <w:sz w:val="20"/>
                <w:szCs w:val="20"/>
                <w:lang w:val="fr-FR" w:eastAsia="ru-RU"/>
              </w:rPr>
              <w:t xml:space="preserve"> </w:t>
            </w:r>
            <w:r w:rsidR="00D37AB7" w:rsidRPr="00072145">
              <w:rPr>
                <w:rFonts w:ascii="Times New Roman" w:hAnsi="Times New Roman"/>
                <w:sz w:val="20"/>
                <w:szCs w:val="20"/>
                <w:lang w:val="fr-FR" w:eastAsia="ru-RU"/>
              </w:rPr>
              <w:t xml:space="preserve">2 </w:t>
            </w:r>
            <w:proofErr w:type="spellStart"/>
            <w:r w:rsidR="00D37AB7" w:rsidRPr="00072145">
              <w:rPr>
                <w:rFonts w:ascii="Times New Roman" w:hAnsi="Times New Roman"/>
                <w:sz w:val="20"/>
                <w:szCs w:val="20"/>
                <w:lang w:val="fr-FR" w:eastAsia="ru-RU"/>
              </w:rPr>
              <w:t>punctul</w:t>
            </w:r>
            <w:proofErr w:type="spellEnd"/>
            <w:r w:rsidR="00D37AB7">
              <w:rPr>
                <w:rFonts w:ascii="Times New Roman" w:hAnsi="Times New Roman"/>
                <w:sz w:val="20"/>
                <w:szCs w:val="20"/>
                <w:lang w:val="fr-FR" w:eastAsia="ru-RU"/>
              </w:rPr>
              <w:t xml:space="preserve"> </w:t>
            </w:r>
            <w:r w:rsidR="00D37AB7" w:rsidRPr="00072145">
              <w:rPr>
                <w:rFonts w:ascii="Times New Roman" w:hAnsi="Times New Roman"/>
                <w:sz w:val="20"/>
                <w:szCs w:val="20"/>
                <w:lang w:val="fr-FR" w:eastAsia="ru-RU"/>
              </w:rPr>
              <w:t xml:space="preserve">18 </w:t>
            </w:r>
            <w:proofErr w:type="spellStart"/>
            <w:r w:rsidR="00D37AB7" w:rsidRPr="00072145">
              <w:rPr>
                <w:rFonts w:ascii="Times New Roman" w:hAnsi="Times New Roman"/>
                <w:sz w:val="20"/>
                <w:szCs w:val="20"/>
                <w:lang w:val="fr-FR" w:eastAsia="ru-RU"/>
              </w:rPr>
              <w:t>din</w:t>
            </w:r>
            <w:proofErr w:type="spellEnd"/>
            <w:r w:rsidR="00D37AB7" w:rsidRPr="00072145">
              <w:rPr>
                <w:rFonts w:ascii="Times New Roman" w:hAnsi="Times New Roman"/>
                <w:sz w:val="20"/>
                <w:szCs w:val="20"/>
                <w:lang w:val="fr-FR" w:eastAsia="ru-RU"/>
              </w:rPr>
              <w:t xml:space="preserve"> </w:t>
            </w:r>
            <w:proofErr w:type="spellStart"/>
            <w:r w:rsidR="00D37AB7" w:rsidRPr="00072145">
              <w:rPr>
                <w:rFonts w:ascii="Times New Roman" w:hAnsi="Times New Roman"/>
                <w:sz w:val="20"/>
                <w:szCs w:val="20"/>
                <w:lang w:val="fr-FR" w:eastAsia="ru-RU"/>
              </w:rPr>
              <w:t>Directiva</w:t>
            </w:r>
            <w:proofErr w:type="spellEnd"/>
            <w:r w:rsidR="00D37AB7">
              <w:rPr>
                <w:rFonts w:ascii="Times New Roman" w:hAnsi="Times New Roman"/>
                <w:sz w:val="20"/>
                <w:szCs w:val="20"/>
                <w:lang w:val="fr-FR" w:eastAsia="ru-RU"/>
              </w:rPr>
              <w:t xml:space="preserve"> </w:t>
            </w:r>
            <w:r w:rsidR="00D37AB7" w:rsidRPr="00072145">
              <w:rPr>
                <w:rFonts w:ascii="Times New Roman" w:hAnsi="Times New Roman"/>
                <w:sz w:val="20"/>
                <w:szCs w:val="20"/>
                <w:lang w:val="fr-FR" w:eastAsia="ru-RU"/>
              </w:rPr>
              <w:t>2010/31/UE;</w:t>
            </w:r>
          </w:p>
          <w:p w14:paraId="66124668" w14:textId="3DF6A173" w:rsidR="00D37AB7" w:rsidRPr="003C0BCE" w:rsidRDefault="00D37AB7" w:rsidP="00D37AB7">
            <w:pPr>
              <w:jc w:val="both"/>
              <w:rPr>
                <w:rFonts w:ascii="Times New Roman" w:hAnsi="Times New Roman"/>
                <w:sz w:val="20"/>
                <w:szCs w:val="20"/>
                <w:lang w:val="fr-FR" w:eastAsia="ru-RU"/>
              </w:rPr>
            </w:pPr>
          </w:p>
        </w:tc>
        <w:tc>
          <w:tcPr>
            <w:tcW w:w="4440" w:type="dxa"/>
          </w:tcPr>
          <w:p w14:paraId="6623F5D2" w14:textId="36CC41C2" w:rsidR="00D37AB7" w:rsidRPr="003C0BCE" w:rsidRDefault="00D37AB7" w:rsidP="00D37AB7">
            <w:pPr>
              <w:pStyle w:val="ColorfulList-Accent11"/>
              <w:spacing w:after="0" w:line="240" w:lineRule="auto"/>
              <w:ind w:left="0"/>
              <w:jc w:val="both"/>
              <w:rPr>
                <w:rFonts w:ascii="Times New Roman" w:hAnsi="Times New Roman"/>
                <w:sz w:val="20"/>
                <w:szCs w:val="20"/>
                <w:lang w:val="fr-FR"/>
              </w:rPr>
            </w:pPr>
          </w:p>
        </w:tc>
        <w:tc>
          <w:tcPr>
            <w:tcW w:w="1276" w:type="dxa"/>
          </w:tcPr>
          <w:p w14:paraId="288CB8A4" w14:textId="77777777" w:rsidR="00D37AB7" w:rsidRPr="00C951E7" w:rsidRDefault="00D37AB7" w:rsidP="00D37AB7">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C9A64AA" w14:textId="77777777" w:rsidR="00D37AB7" w:rsidRPr="00745D9A" w:rsidRDefault="00D37AB7" w:rsidP="00D37AB7">
            <w:pPr>
              <w:pStyle w:val="ColorfulList-Accent11"/>
              <w:spacing w:after="0" w:line="240" w:lineRule="auto"/>
              <w:ind w:left="0"/>
              <w:jc w:val="both"/>
              <w:rPr>
                <w:lang w:val="fr-FR"/>
              </w:rPr>
            </w:pPr>
          </w:p>
        </w:tc>
        <w:tc>
          <w:tcPr>
            <w:tcW w:w="1276" w:type="dxa"/>
          </w:tcPr>
          <w:p w14:paraId="1A148C67" w14:textId="77777777" w:rsidR="00D37AB7" w:rsidRPr="00745D9A" w:rsidRDefault="00D37AB7" w:rsidP="00D37AB7">
            <w:pPr>
              <w:pStyle w:val="ColorfulList-Accent11"/>
              <w:spacing w:after="0" w:line="240" w:lineRule="auto"/>
              <w:ind w:left="0"/>
              <w:jc w:val="both"/>
              <w:rPr>
                <w:lang w:val="fr-FR"/>
              </w:rPr>
            </w:pPr>
          </w:p>
        </w:tc>
        <w:tc>
          <w:tcPr>
            <w:tcW w:w="1701" w:type="dxa"/>
          </w:tcPr>
          <w:p w14:paraId="0E5292C1" w14:textId="29629E98" w:rsidR="00D37AB7" w:rsidRPr="00D37AB7" w:rsidRDefault="00D37AB7" w:rsidP="00D37AB7">
            <w:pPr>
              <w:autoSpaceDE w:val="0"/>
              <w:spacing w:after="0" w:line="240" w:lineRule="auto"/>
              <w:rPr>
                <w:rFonts w:ascii="Times New Roman" w:hAnsi="Times New Roman"/>
                <w:sz w:val="20"/>
                <w:szCs w:val="20"/>
                <w:lang w:val="ro-RO"/>
              </w:rPr>
            </w:pPr>
            <w:r w:rsidRPr="00D37AB7">
              <w:rPr>
                <w:rFonts w:ascii="Times New Roman" w:hAnsi="Times New Roman"/>
                <w:sz w:val="20"/>
                <w:szCs w:val="20"/>
                <w:lang w:val="ro-RO"/>
              </w:rPr>
              <w:t xml:space="preserve">Noțiunea </w:t>
            </w:r>
            <w:r w:rsidRPr="00072145">
              <w:rPr>
                <w:rFonts w:ascii="Times New Roman" w:hAnsi="Times New Roman"/>
                <w:sz w:val="20"/>
                <w:szCs w:val="20"/>
                <w:lang w:val="fr-FR" w:eastAsia="ru-RU"/>
              </w:rPr>
              <w:t>„</w:t>
            </w:r>
            <w:proofErr w:type="spellStart"/>
            <w:r w:rsidRPr="00072145">
              <w:rPr>
                <w:rFonts w:ascii="Times New Roman" w:hAnsi="Times New Roman"/>
                <w:sz w:val="20"/>
                <w:szCs w:val="20"/>
                <w:lang w:val="fr-FR" w:eastAsia="ru-RU"/>
              </w:rPr>
              <w:t>pompă</w:t>
            </w:r>
            <w:proofErr w:type="spellEnd"/>
            <w:r w:rsidRPr="00072145">
              <w:rPr>
                <w:rFonts w:ascii="Times New Roman" w:hAnsi="Times New Roman"/>
                <w:sz w:val="20"/>
                <w:szCs w:val="20"/>
                <w:lang w:val="fr-FR" w:eastAsia="ru-RU"/>
              </w:rPr>
              <w:t xml:space="preserve"> de </w:t>
            </w:r>
            <w:proofErr w:type="spellStart"/>
            <w:r w:rsidRPr="00072145">
              <w:rPr>
                <w:rFonts w:ascii="Times New Roman" w:hAnsi="Times New Roman"/>
                <w:sz w:val="20"/>
                <w:szCs w:val="20"/>
                <w:lang w:val="fr-FR" w:eastAsia="ru-RU"/>
              </w:rPr>
              <w:t>căldură</w:t>
            </w:r>
            <w:proofErr w:type="spellEnd"/>
            <w:r w:rsidRPr="00072145">
              <w:rPr>
                <w:rFonts w:ascii="Times New Roman" w:hAnsi="Times New Roman"/>
                <w:sz w:val="20"/>
                <w:szCs w:val="20"/>
                <w:lang w:val="fr-FR" w:eastAsia="ru-RU"/>
              </w:rPr>
              <w:t xml:space="preserve">” </w:t>
            </w:r>
            <w:r w:rsidRPr="00D37AB7">
              <w:rPr>
                <w:rFonts w:ascii="Times New Roman" w:eastAsia="Times New Roman" w:hAnsi="Times New Roman"/>
                <w:sz w:val="20"/>
                <w:szCs w:val="20"/>
                <w:lang w:val="ro-RO"/>
              </w:rPr>
              <w:t>este transpusă în</w:t>
            </w:r>
          </w:p>
          <w:p w14:paraId="215AF934" w14:textId="1DC8A472" w:rsidR="00D37AB7" w:rsidRPr="00D37AB7" w:rsidRDefault="00D37AB7" w:rsidP="00D37AB7">
            <w:pPr>
              <w:pStyle w:val="ColorfulList-Accent11"/>
              <w:spacing w:after="0" w:line="240" w:lineRule="auto"/>
              <w:ind w:left="0"/>
              <w:jc w:val="both"/>
              <w:rPr>
                <w:sz w:val="20"/>
                <w:szCs w:val="20"/>
                <w:lang w:val="en-US"/>
              </w:rPr>
            </w:pPr>
            <w:r w:rsidRPr="00D37AB7">
              <w:rPr>
                <w:rFonts w:ascii="Times New Roman" w:eastAsia="Times New Roman" w:hAnsi="Times New Roman"/>
                <w:sz w:val="20"/>
                <w:szCs w:val="20"/>
                <w:lang w:val="ro-MD" w:eastAsia="ro-MD"/>
              </w:rPr>
              <w:t>Legea nr.128/2014 privind performanța energetică a clădirilor</w:t>
            </w:r>
          </w:p>
        </w:tc>
        <w:tc>
          <w:tcPr>
            <w:tcW w:w="1460" w:type="dxa"/>
          </w:tcPr>
          <w:p w14:paraId="02A04C30" w14:textId="5A97876E" w:rsidR="003A2C08" w:rsidRPr="003F755D" w:rsidRDefault="00D37AB7" w:rsidP="003A2C0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003A2C08" w:rsidRPr="00A81801">
              <w:rPr>
                <w:rFonts w:ascii="Times New Roman" w:hAnsi="Times New Roman"/>
                <w:color w:val="000000" w:themeColor="text1"/>
                <w:sz w:val="20"/>
                <w:szCs w:val="20"/>
              </w:rPr>
              <w:t xml:space="preserve"> Energiei</w:t>
            </w:r>
          </w:p>
          <w:p w14:paraId="3A16F2B1" w14:textId="65CBFA1B" w:rsidR="00D37AB7" w:rsidRPr="00D37AB7" w:rsidRDefault="00D37AB7" w:rsidP="003A2C08">
            <w:pPr>
              <w:autoSpaceDE w:val="0"/>
              <w:spacing w:after="0" w:line="240" w:lineRule="auto"/>
              <w:rPr>
                <w:lang w:val="fr-FR"/>
              </w:rPr>
            </w:pPr>
            <w:r w:rsidRPr="003F755D">
              <w:rPr>
                <w:rFonts w:ascii="Times New Roman" w:hAnsi="Times New Roman"/>
                <w:sz w:val="20"/>
                <w:szCs w:val="20"/>
                <w:lang w:val="fr-FR"/>
              </w:rPr>
              <w:t xml:space="preserve"> </w:t>
            </w:r>
          </w:p>
        </w:tc>
      </w:tr>
      <w:tr w:rsidR="00D37AB7" w:rsidRPr="007A690D" w14:paraId="15A7F881" w14:textId="77777777" w:rsidTr="00A90105">
        <w:tc>
          <w:tcPr>
            <w:tcW w:w="4945" w:type="dxa"/>
          </w:tcPr>
          <w:p w14:paraId="22FE46BA" w14:textId="6BAE872C" w:rsidR="00D37AB7" w:rsidRPr="00E534F8" w:rsidRDefault="00E41D66" w:rsidP="00D37AB7">
            <w:pPr>
              <w:pStyle w:val="ColorfulList-Accent11"/>
              <w:spacing w:after="0" w:line="240" w:lineRule="auto"/>
              <w:ind w:left="0"/>
              <w:jc w:val="both"/>
              <w:rPr>
                <w:rFonts w:ascii="Times New Roman" w:hAnsi="Times New Roman"/>
                <w:sz w:val="20"/>
                <w:szCs w:val="20"/>
                <w:lang w:val="fr-FR"/>
              </w:rPr>
            </w:pPr>
            <w:r>
              <w:rPr>
                <w:rFonts w:ascii="Times New Roman" w:hAnsi="Times New Roman"/>
                <w:sz w:val="20"/>
                <w:szCs w:val="20"/>
                <w:lang w:val="fr-FR"/>
              </w:rPr>
              <w:t>(</w:t>
            </w:r>
            <w:proofErr w:type="gramStart"/>
            <w:r>
              <w:rPr>
                <w:rFonts w:ascii="Times New Roman" w:hAnsi="Times New Roman"/>
                <w:sz w:val="20"/>
                <w:szCs w:val="20"/>
                <w:lang w:val="fr-FR"/>
              </w:rPr>
              <w:t>62)</w:t>
            </w:r>
            <w:r w:rsidR="00D37AB7" w:rsidRPr="00E534F8">
              <w:rPr>
                <w:rFonts w:ascii="Times New Roman" w:hAnsi="Times New Roman"/>
                <w:sz w:val="20"/>
                <w:szCs w:val="20"/>
                <w:lang w:val="fr-FR" w:eastAsia="ru-RU"/>
              </w:rPr>
              <w:t>„</w:t>
            </w:r>
            <w:proofErr w:type="spellStart"/>
            <w:proofErr w:type="gramEnd"/>
            <w:r w:rsidR="00D37AB7" w:rsidRPr="00E534F8">
              <w:rPr>
                <w:rFonts w:ascii="Times New Roman" w:hAnsi="Times New Roman"/>
                <w:sz w:val="20"/>
                <w:szCs w:val="20"/>
                <w:lang w:val="fr-FR" w:eastAsia="ru-RU"/>
              </w:rPr>
              <w:t>combustibili</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fosili</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înseamnă</w:t>
            </w:r>
            <w:proofErr w:type="spellEnd"/>
            <w:r w:rsidR="00D37AB7" w:rsidRPr="00E534F8">
              <w:rPr>
                <w:rFonts w:ascii="Times New Roman" w:hAnsi="Times New Roman"/>
                <w:sz w:val="20"/>
                <w:szCs w:val="20"/>
                <w:lang w:val="fr-FR" w:eastAsia="ru-RU"/>
              </w:rPr>
              <w:t xml:space="preserve"> surse de </w:t>
            </w:r>
            <w:proofErr w:type="spellStart"/>
            <w:r w:rsidR="00D37AB7" w:rsidRPr="00E534F8">
              <w:rPr>
                <w:rFonts w:ascii="Times New Roman" w:hAnsi="Times New Roman"/>
                <w:sz w:val="20"/>
                <w:szCs w:val="20"/>
                <w:lang w:val="fr-FR" w:eastAsia="ru-RU"/>
              </w:rPr>
              <w:t>energie</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neregenerabile</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pe</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bază</w:t>
            </w:r>
            <w:proofErr w:type="spellEnd"/>
            <w:r w:rsidR="00D37AB7" w:rsidRPr="00E534F8">
              <w:rPr>
                <w:rFonts w:ascii="Times New Roman" w:hAnsi="Times New Roman"/>
                <w:sz w:val="20"/>
                <w:szCs w:val="20"/>
                <w:lang w:val="fr-FR" w:eastAsia="ru-RU"/>
              </w:rPr>
              <w:t xml:space="preserve"> de carbon, cum </w:t>
            </w:r>
            <w:proofErr w:type="spellStart"/>
            <w:r w:rsidR="00D37AB7" w:rsidRPr="00E534F8">
              <w:rPr>
                <w:rFonts w:ascii="Times New Roman" w:hAnsi="Times New Roman"/>
                <w:sz w:val="20"/>
                <w:szCs w:val="20"/>
                <w:lang w:val="fr-FR" w:eastAsia="ru-RU"/>
              </w:rPr>
              <w:t>ar</w:t>
            </w:r>
            <w:proofErr w:type="spellEnd"/>
            <w:r w:rsidR="00D37AB7" w:rsidRPr="00E534F8">
              <w:rPr>
                <w:rFonts w:ascii="Times New Roman" w:hAnsi="Times New Roman"/>
                <w:sz w:val="20"/>
                <w:szCs w:val="20"/>
                <w:lang w:val="fr-FR" w:eastAsia="ru-RU"/>
              </w:rPr>
              <w:t xml:space="preserve"> fi </w:t>
            </w:r>
            <w:proofErr w:type="spellStart"/>
            <w:r w:rsidR="00D37AB7" w:rsidRPr="00E534F8">
              <w:rPr>
                <w:rFonts w:ascii="Times New Roman" w:hAnsi="Times New Roman"/>
                <w:sz w:val="20"/>
                <w:szCs w:val="20"/>
                <w:lang w:val="fr-FR" w:eastAsia="ru-RU"/>
              </w:rPr>
              <w:t>combustibili</w:t>
            </w:r>
            <w:proofErr w:type="spellEnd"/>
            <w:r w:rsidR="00D37AB7" w:rsidRPr="00E534F8">
              <w:rPr>
                <w:rFonts w:ascii="Times New Roman" w:hAnsi="Times New Roman"/>
                <w:sz w:val="20"/>
                <w:szCs w:val="20"/>
                <w:lang w:val="fr-FR" w:eastAsia="ru-RU"/>
              </w:rPr>
              <w:t xml:space="preserve"> </w:t>
            </w:r>
            <w:proofErr w:type="spellStart"/>
            <w:r w:rsidR="00D37AB7" w:rsidRPr="00E534F8">
              <w:rPr>
                <w:rFonts w:ascii="Times New Roman" w:hAnsi="Times New Roman"/>
                <w:sz w:val="20"/>
                <w:szCs w:val="20"/>
                <w:lang w:val="fr-FR" w:eastAsia="ru-RU"/>
              </w:rPr>
              <w:t>solizi</w:t>
            </w:r>
            <w:proofErr w:type="spellEnd"/>
            <w:r w:rsidR="00D37AB7" w:rsidRPr="00E534F8">
              <w:rPr>
                <w:rFonts w:ascii="Times New Roman" w:hAnsi="Times New Roman"/>
                <w:sz w:val="20"/>
                <w:szCs w:val="20"/>
                <w:lang w:val="fr-FR" w:eastAsia="ru-RU"/>
              </w:rPr>
              <w:t xml:space="preserve">, gaze naturale și </w:t>
            </w:r>
            <w:proofErr w:type="spellStart"/>
            <w:r w:rsidR="00D37AB7" w:rsidRPr="00E534F8">
              <w:rPr>
                <w:rFonts w:ascii="Times New Roman" w:hAnsi="Times New Roman"/>
                <w:sz w:val="20"/>
                <w:szCs w:val="20"/>
                <w:lang w:val="fr-FR" w:eastAsia="ru-RU"/>
              </w:rPr>
              <w:t>petrol</w:t>
            </w:r>
            <w:proofErr w:type="spellEnd"/>
            <w:r w:rsidR="00D37AB7" w:rsidRPr="00E534F8">
              <w:rPr>
                <w:rFonts w:ascii="Times New Roman" w:hAnsi="Times New Roman"/>
                <w:sz w:val="20"/>
                <w:szCs w:val="20"/>
                <w:lang w:val="fr-FR" w:eastAsia="ru-RU"/>
              </w:rPr>
              <w:t>.</w:t>
            </w:r>
          </w:p>
        </w:tc>
        <w:tc>
          <w:tcPr>
            <w:tcW w:w="4440" w:type="dxa"/>
          </w:tcPr>
          <w:p w14:paraId="0FEBFFDA" w14:textId="6E54A868" w:rsidR="00D37AB7" w:rsidRPr="00A90105" w:rsidRDefault="00A90105" w:rsidP="00A90105">
            <w:pPr>
              <w:contextualSpacing/>
              <w:jc w:val="both"/>
              <w:rPr>
                <w:sz w:val="28"/>
                <w:szCs w:val="28"/>
                <w:lang w:val="ro-MD"/>
              </w:rPr>
            </w:pPr>
            <w:r w:rsidRPr="00A90105">
              <w:rPr>
                <w:rFonts w:ascii="Times New Roman" w:hAnsi="Times New Roman"/>
                <w:i/>
                <w:iCs/>
                <w:sz w:val="20"/>
                <w:szCs w:val="20"/>
                <w:lang w:val="ro-MD"/>
              </w:rPr>
              <w:t xml:space="preserve">combustibili fosili – </w:t>
            </w:r>
            <w:r w:rsidRPr="00A90105">
              <w:rPr>
                <w:rFonts w:ascii="Times New Roman" w:hAnsi="Times New Roman"/>
                <w:sz w:val="20"/>
                <w:szCs w:val="20"/>
                <w:lang w:val="ro-MD"/>
              </w:rPr>
              <w:t>surse de energie neregenerabile pe bază de carbon, cum ar fi combustibili solizi, gaze naturale și petrol;</w:t>
            </w:r>
          </w:p>
        </w:tc>
        <w:tc>
          <w:tcPr>
            <w:tcW w:w="1276" w:type="dxa"/>
          </w:tcPr>
          <w:p w14:paraId="6BC2FD19" w14:textId="3901628D" w:rsidR="00D37AB7" w:rsidRPr="00745D9A" w:rsidRDefault="008C5AE2" w:rsidP="00D37AB7">
            <w:pPr>
              <w:pStyle w:val="ColorfulList-Accent11"/>
              <w:spacing w:after="0" w:line="240" w:lineRule="auto"/>
              <w:ind w:left="0"/>
              <w:jc w:val="both"/>
              <w:rPr>
                <w:lang w:val="fr-FR"/>
              </w:rPr>
            </w:pPr>
            <w:r>
              <w:rPr>
                <w:rFonts w:ascii="Times New Roman" w:hAnsi="Times New Roman"/>
                <w:bCs/>
                <w:color w:val="000000" w:themeColor="text1"/>
                <w:sz w:val="20"/>
                <w:szCs w:val="20"/>
                <w:lang w:val="ro-RO"/>
              </w:rPr>
              <w:t>C</w:t>
            </w:r>
            <w:r w:rsidR="00EB1B1F" w:rsidRPr="00C951E7">
              <w:rPr>
                <w:rFonts w:ascii="Times New Roman" w:hAnsi="Times New Roman"/>
                <w:bCs/>
                <w:color w:val="000000" w:themeColor="text1"/>
                <w:sz w:val="20"/>
                <w:szCs w:val="20"/>
                <w:lang w:val="ro-RO"/>
              </w:rPr>
              <w:t>ompatibil</w:t>
            </w:r>
          </w:p>
        </w:tc>
        <w:tc>
          <w:tcPr>
            <w:tcW w:w="1276" w:type="dxa"/>
          </w:tcPr>
          <w:p w14:paraId="32749D0C" w14:textId="77777777" w:rsidR="00D37AB7" w:rsidRPr="00745D9A" w:rsidRDefault="00D37AB7" w:rsidP="00D37AB7">
            <w:pPr>
              <w:pStyle w:val="ColorfulList-Accent11"/>
              <w:spacing w:after="0" w:line="240" w:lineRule="auto"/>
              <w:ind w:left="0"/>
              <w:jc w:val="both"/>
              <w:rPr>
                <w:lang w:val="fr-FR"/>
              </w:rPr>
            </w:pPr>
          </w:p>
        </w:tc>
        <w:tc>
          <w:tcPr>
            <w:tcW w:w="1701" w:type="dxa"/>
          </w:tcPr>
          <w:p w14:paraId="3EB99DAA" w14:textId="68F227E4" w:rsidR="00D37AB7" w:rsidRPr="00F13819" w:rsidRDefault="00D37AB7" w:rsidP="00EB1B1F">
            <w:pPr>
              <w:pStyle w:val="ColorfulList-Accent11"/>
              <w:spacing w:after="0" w:line="240" w:lineRule="auto"/>
              <w:ind w:left="0"/>
              <w:jc w:val="both"/>
              <w:rPr>
                <w:lang w:val="ro-RO"/>
              </w:rPr>
            </w:pPr>
          </w:p>
        </w:tc>
        <w:tc>
          <w:tcPr>
            <w:tcW w:w="1460" w:type="dxa"/>
          </w:tcPr>
          <w:p w14:paraId="53194A1C" w14:textId="7BFAC209" w:rsidR="003A2C08" w:rsidRPr="003F755D" w:rsidRDefault="00EB1B1F" w:rsidP="003A2C0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roofErr w:type="spellStart"/>
            <w:r w:rsidR="00AA4195">
              <w:rPr>
                <w:rFonts w:ascii="Times New Roman" w:hAnsi="Times New Roman"/>
                <w:color w:val="000000" w:themeColor="text1"/>
                <w:sz w:val="20"/>
                <w:szCs w:val="20"/>
              </w:rPr>
              <w:t>Mediului</w:t>
            </w:r>
            <w:proofErr w:type="spellEnd"/>
          </w:p>
          <w:p w14:paraId="71E26775" w14:textId="0233776F" w:rsidR="00D37AB7" w:rsidRPr="008C5AE2" w:rsidRDefault="00D37AB7" w:rsidP="003A2C08">
            <w:pPr>
              <w:autoSpaceDE w:val="0"/>
              <w:spacing w:after="0" w:line="240" w:lineRule="auto"/>
              <w:rPr>
                <w:rFonts w:ascii="Times New Roman" w:hAnsi="Times New Roman"/>
                <w:sz w:val="20"/>
                <w:szCs w:val="20"/>
                <w:shd w:val="clear" w:color="auto" w:fill="FFFFFF"/>
                <w:lang w:val="ro-RO"/>
              </w:rPr>
            </w:pPr>
          </w:p>
        </w:tc>
      </w:tr>
      <w:tr w:rsidR="004865ED" w:rsidRPr="00862467" w14:paraId="1DB0B20D" w14:textId="77777777" w:rsidTr="00A90105">
        <w:tc>
          <w:tcPr>
            <w:tcW w:w="4945" w:type="dxa"/>
          </w:tcPr>
          <w:p w14:paraId="4128CA3D" w14:textId="77777777" w:rsidR="004865ED" w:rsidRDefault="00000000" w:rsidP="00D37AB7">
            <w:pPr>
              <w:pStyle w:val="ColorfulList-Accent11"/>
              <w:spacing w:after="0" w:line="240" w:lineRule="auto"/>
              <w:ind w:left="0"/>
              <w:jc w:val="both"/>
              <w:rPr>
                <w:rFonts w:ascii="Times New Roman" w:hAnsi="Times New Roman"/>
                <w:sz w:val="20"/>
                <w:szCs w:val="20"/>
              </w:rPr>
            </w:pPr>
            <w:hyperlink r:id="rId13" w:tooltip="32023R0839: INSERTED" w:history="1">
              <w:r w:rsidR="004865ED" w:rsidRPr="004865ED">
                <w:rPr>
                  <w:rStyle w:val="af6"/>
                  <w:rFonts w:ascii="Times New Roman" w:eastAsia="Arial Unicode MS" w:hAnsi="Times New Roman"/>
                  <w:b/>
                  <w:bCs/>
                  <w:color w:val="23527C"/>
                  <w:sz w:val="20"/>
                  <w:szCs w:val="20"/>
                  <w:shd w:val="clear" w:color="auto" w:fill="FFFFFF"/>
                </w:rPr>
                <w:t>▼M3</w:t>
              </w:r>
            </w:hyperlink>
          </w:p>
          <w:p w14:paraId="0AE95962" w14:textId="6E9E0731" w:rsidR="004865ED" w:rsidRPr="004865ED" w:rsidRDefault="004865ED" w:rsidP="00D37AB7">
            <w:pPr>
              <w:pStyle w:val="ColorfulList-Accent11"/>
              <w:spacing w:after="0" w:line="240" w:lineRule="auto"/>
              <w:ind w:left="0"/>
              <w:jc w:val="both"/>
              <w:rPr>
                <w:rFonts w:ascii="Times New Roman" w:hAnsi="Times New Roman"/>
                <w:sz w:val="20"/>
                <w:szCs w:val="20"/>
                <w:lang w:val="en-US"/>
              </w:rPr>
            </w:pPr>
            <w:r w:rsidRPr="004865ED">
              <w:rPr>
                <w:rFonts w:ascii="Times New Roman" w:hAnsi="Times New Roman"/>
                <w:sz w:val="20"/>
                <w:szCs w:val="20"/>
                <w:lang w:val="en-US"/>
              </w:rPr>
              <w:t>(</w:t>
            </w:r>
            <w:proofErr w:type="gramStart"/>
            <w:r w:rsidRPr="004865ED">
              <w:rPr>
                <w:rFonts w:ascii="Times New Roman" w:hAnsi="Times New Roman"/>
                <w:sz w:val="20"/>
                <w:szCs w:val="20"/>
                <w:lang w:val="en-US"/>
              </w:rPr>
              <w:t>63)</w:t>
            </w:r>
            <w:r w:rsidRPr="004865ED">
              <w:rPr>
                <w:rFonts w:ascii="Times New Roman" w:eastAsia="Arial Unicode MS" w:hAnsi="Times New Roman"/>
                <w:color w:val="333333"/>
                <w:sz w:val="20"/>
                <w:szCs w:val="20"/>
                <w:shd w:val="clear" w:color="auto" w:fill="FFFFFF"/>
              </w:rPr>
              <w:t>„</w:t>
            </w:r>
            <w:proofErr w:type="spellStart"/>
            <w:proofErr w:type="gramEnd"/>
            <w:r w:rsidRPr="004865ED">
              <w:rPr>
                <w:rFonts w:ascii="Times New Roman" w:eastAsia="Arial Unicode MS" w:hAnsi="Times New Roman"/>
                <w:color w:val="333333"/>
                <w:sz w:val="20"/>
                <w:szCs w:val="20"/>
                <w:shd w:val="clear" w:color="auto" w:fill="FFFFFF"/>
              </w:rPr>
              <w:t>sistem</w:t>
            </w:r>
            <w:proofErr w:type="spellEnd"/>
            <w:r w:rsidRPr="004865ED">
              <w:rPr>
                <w:rFonts w:ascii="Times New Roman" w:eastAsia="Arial Unicode MS" w:hAnsi="Times New Roman"/>
                <w:color w:val="333333"/>
                <w:sz w:val="20"/>
                <w:szCs w:val="20"/>
                <w:shd w:val="clear" w:color="auto" w:fill="FFFFFF"/>
              </w:rPr>
              <w:t xml:space="preserve"> de </w:t>
            </w:r>
            <w:proofErr w:type="spellStart"/>
            <w:r w:rsidRPr="004865ED">
              <w:rPr>
                <w:rFonts w:ascii="Times New Roman" w:eastAsia="Arial Unicode MS" w:hAnsi="Times New Roman"/>
                <w:color w:val="333333"/>
                <w:sz w:val="20"/>
                <w:szCs w:val="20"/>
                <w:shd w:val="clear" w:color="auto" w:fill="FFFFFF"/>
              </w:rPr>
              <w:t>informații</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geografice</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înseamnă</w:t>
            </w:r>
            <w:proofErr w:type="spellEnd"/>
            <w:r w:rsidRPr="004865ED">
              <w:rPr>
                <w:rFonts w:ascii="Times New Roman" w:eastAsia="Arial Unicode MS" w:hAnsi="Times New Roman"/>
                <w:color w:val="333333"/>
                <w:sz w:val="20"/>
                <w:szCs w:val="20"/>
                <w:shd w:val="clear" w:color="auto" w:fill="FFFFFF"/>
              </w:rPr>
              <w:t xml:space="preserve"> un </w:t>
            </w:r>
            <w:proofErr w:type="spellStart"/>
            <w:r w:rsidRPr="004865ED">
              <w:rPr>
                <w:rFonts w:ascii="Times New Roman" w:eastAsia="Arial Unicode MS" w:hAnsi="Times New Roman"/>
                <w:color w:val="333333"/>
                <w:sz w:val="20"/>
                <w:szCs w:val="20"/>
                <w:shd w:val="clear" w:color="auto" w:fill="FFFFFF"/>
              </w:rPr>
              <w:t>sistem</w:t>
            </w:r>
            <w:proofErr w:type="spellEnd"/>
            <w:r w:rsidRPr="004865ED">
              <w:rPr>
                <w:rFonts w:ascii="Times New Roman" w:eastAsia="Arial Unicode MS" w:hAnsi="Times New Roman"/>
                <w:color w:val="333333"/>
                <w:sz w:val="20"/>
                <w:szCs w:val="20"/>
                <w:shd w:val="clear" w:color="auto" w:fill="FFFFFF"/>
              </w:rPr>
              <w:t xml:space="preserve"> informatic care </w:t>
            </w:r>
            <w:proofErr w:type="spellStart"/>
            <w:r w:rsidRPr="004865ED">
              <w:rPr>
                <w:rFonts w:ascii="Times New Roman" w:eastAsia="Arial Unicode MS" w:hAnsi="Times New Roman"/>
                <w:color w:val="333333"/>
                <w:sz w:val="20"/>
                <w:szCs w:val="20"/>
                <w:shd w:val="clear" w:color="auto" w:fill="FFFFFF"/>
              </w:rPr>
              <w:t>permite</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captarea</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stocarea</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analizarea</w:t>
            </w:r>
            <w:proofErr w:type="spellEnd"/>
            <w:r w:rsidRPr="004865ED">
              <w:rPr>
                <w:rFonts w:ascii="Times New Roman" w:eastAsia="Arial Unicode MS" w:hAnsi="Times New Roman"/>
                <w:color w:val="333333"/>
                <w:sz w:val="20"/>
                <w:szCs w:val="20"/>
                <w:shd w:val="clear" w:color="auto" w:fill="FFFFFF"/>
              </w:rPr>
              <w:t xml:space="preserve"> și </w:t>
            </w:r>
            <w:proofErr w:type="spellStart"/>
            <w:r w:rsidRPr="004865ED">
              <w:rPr>
                <w:rFonts w:ascii="Times New Roman" w:eastAsia="Arial Unicode MS" w:hAnsi="Times New Roman"/>
                <w:color w:val="333333"/>
                <w:sz w:val="20"/>
                <w:szCs w:val="20"/>
                <w:shd w:val="clear" w:color="auto" w:fill="FFFFFF"/>
              </w:rPr>
              <w:t>afișarea</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informațiilor</w:t>
            </w:r>
            <w:proofErr w:type="spellEnd"/>
            <w:r w:rsidRPr="004865ED">
              <w:rPr>
                <w:rFonts w:ascii="Times New Roman" w:eastAsia="Arial Unicode MS" w:hAnsi="Times New Roman"/>
                <w:color w:val="333333"/>
                <w:sz w:val="20"/>
                <w:szCs w:val="20"/>
                <w:shd w:val="clear" w:color="auto" w:fill="FFFFFF"/>
              </w:rPr>
              <w:t xml:space="preserve"> </w:t>
            </w:r>
            <w:proofErr w:type="spellStart"/>
            <w:r w:rsidRPr="004865ED">
              <w:rPr>
                <w:rFonts w:ascii="Times New Roman" w:eastAsia="Arial Unicode MS" w:hAnsi="Times New Roman"/>
                <w:color w:val="333333"/>
                <w:sz w:val="20"/>
                <w:szCs w:val="20"/>
                <w:shd w:val="clear" w:color="auto" w:fill="FFFFFF"/>
              </w:rPr>
              <w:t>georeferențiate</w:t>
            </w:r>
            <w:proofErr w:type="spellEnd"/>
            <w:r w:rsidRPr="004865ED">
              <w:rPr>
                <w:rFonts w:ascii="Times New Roman" w:eastAsia="Arial Unicode MS" w:hAnsi="Times New Roman"/>
                <w:color w:val="333333"/>
                <w:sz w:val="20"/>
                <w:szCs w:val="20"/>
                <w:shd w:val="clear" w:color="auto" w:fill="FFFFFF"/>
              </w:rPr>
              <w:t>;</w:t>
            </w:r>
          </w:p>
        </w:tc>
        <w:tc>
          <w:tcPr>
            <w:tcW w:w="4440" w:type="dxa"/>
          </w:tcPr>
          <w:p w14:paraId="3516C2DE" w14:textId="4837566C" w:rsidR="004865ED" w:rsidRPr="003A2C08" w:rsidRDefault="004865ED" w:rsidP="003A2C08">
            <w:pPr>
              <w:shd w:val="clear" w:color="auto" w:fill="FFFFFF"/>
              <w:spacing w:after="0" w:line="240" w:lineRule="auto"/>
              <w:jc w:val="both"/>
              <w:rPr>
                <w:rFonts w:ascii="Times New Roman" w:hAnsi="Times New Roman"/>
                <w:i/>
                <w:iCs/>
                <w:sz w:val="20"/>
                <w:szCs w:val="20"/>
                <w:lang w:val="ro-RO" w:eastAsia="ru-RU"/>
              </w:rPr>
            </w:pPr>
          </w:p>
        </w:tc>
        <w:tc>
          <w:tcPr>
            <w:tcW w:w="1276" w:type="dxa"/>
          </w:tcPr>
          <w:p w14:paraId="453E9651" w14:textId="6A70416B" w:rsidR="004865ED" w:rsidRDefault="003F2E09" w:rsidP="00D37AB7">
            <w:pPr>
              <w:pStyle w:val="ColorfulList-Accent11"/>
              <w:spacing w:after="0" w:line="240" w:lineRule="auto"/>
              <w:ind w:left="0"/>
              <w:jc w:val="both"/>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6" w:type="dxa"/>
          </w:tcPr>
          <w:p w14:paraId="0D1968D6" w14:textId="77777777" w:rsidR="004865ED" w:rsidRPr="004865ED" w:rsidRDefault="004865ED" w:rsidP="00D37AB7">
            <w:pPr>
              <w:pStyle w:val="ColorfulList-Accent11"/>
              <w:spacing w:after="0" w:line="240" w:lineRule="auto"/>
              <w:ind w:left="0"/>
              <w:jc w:val="both"/>
              <w:rPr>
                <w:lang w:val="en-US"/>
              </w:rPr>
            </w:pPr>
          </w:p>
        </w:tc>
        <w:tc>
          <w:tcPr>
            <w:tcW w:w="1701" w:type="dxa"/>
          </w:tcPr>
          <w:p w14:paraId="22D79131" w14:textId="0625388A" w:rsidR="004865ED" w:rsidRPr="00392AA9" w:rsidRDefault="00392AA9" w:rsidP="00862467">
            <w:pPr>
              <w:pStyle w:val="4"/>
              <w:shd w:val="clear" w:color="auto" w:fill="FFFFFF"/>
              <w:spacing w:before="165" w:beforeAutospacing="0" w:after="165" w:afterAutospacing="0"/>
              <w:jc w:val="both"/>
              <w:rPr>
                <w:b w:val="0"/>
                <w:bCs w:val="0"/>
                <w:color w:val="333333"/>
                <w:sz w:val="20"/>
                <w:szCs w:val="20"/>
              </w:rPr>
            </w:pPr>
            <w:r w:rsidRPr="00392AA9">
              <w:rPr>
                <w:b w:val="0"/>
                <w:bCs w:val="0"/>
                <w:sz w:val="20"/>
                <w:szCs w:val="20"/>
              </w:rPr>
              <w:t>Noțiunea „sistem de informații geografice” va fi transpusă în Legea nr.71/2023 cu privire la aprovizionarea sau serviciile</w:t>
            </w:r>
          </w:p>
        </w:tc>
        <w:tc>
          <w:tcPr>
            <w:tcW w:w="1460" w:type="dxa"/>
          </w:tcPr>
          <w:p w14:paraId="42E9C829" w14:textId="77777777" w:rsidR="004865ED" w:rsidRPr="00862467" w:rsidRDefault="004865ED" w:rsidP="003F2E09">
            <w:pPr>
              <w:autoSpaceDE w:val="0"/>
              <w:spacing w:after="0" w:line="240" w:lineRule="auto"/>
              <w:rPr>
                <w:rFonts w:ascii="Times New Roman" w:hAnsi="Times New Roman"/>
                <w:sz w:val="20"/>
                <w:szCs w:val="20"/>
                <w:lang w:val="en-US"/>
              </w:rPr>
            </w:pPr>
          </w:p>
        </w:tc>
      </w:tr>
      <w:tr w:rsidR="004865ED" w:rsidRPr="00862467" w14:paraId="04C0E7EC" w14:textId="77777777" w:rsidTr="00A90105">
        <w:tc>
          <w:tcPr>
            <w:tcW w:w="4945" w:type="dxa"/>
          </w:tcPr>
          <w:p w14:paraId="18BA6D18" w14:textId="0716E034" w:rsidR="004865ED" w:rsidRPr="004865ED" w:rsidRDefault="004865ED" w:rsidP="00D37AB7">
            <w:pPr>
              <w:pStyle w:val="ColorfulList-Accent11"/>
              <w:spacing w:after="0" w:line="240" w:lineRule="auto"/>
              <w:ind w:left="0"/>
              <w:jc w:val="both"/>
              <w:rPr>
                <w:rFonts w:ascii="Times New Roman" w:hAnsi="Times New Roman"/>
                <w:sz w:val="20"/>
                <w:szCs w:val="20"/>
              </w:rPr>
            </w:pPr>
            <w:r w:rsidRPr="004865ED">
              <w:rPr>
                <w:rFonts w:ascii="Times New Roman" w:hAnsi="Times New Roman"/>
                <w:sz w:val="20"/>
                <w:szCs w:val="20"/>
                <w:lang w:val="en-US"/>
              </w:rPr>
              <w:t>(</w:t>
            </w:r>
            <w:proofErr w:type="gramStart"/>
            <w:r w:rsidRPr="004865ED">
              <w:rPr>
                <w:rFonts w:ascii="Times New Roman" w:hAnsi="Times New Roman"/>
                <w:sz w:val="20"/>
                <w:szCs w:val="20"/>
                <w:lang w:val="en-US"/>
              </w:rPr>
              <w:t>64)</w:t>
            </w:r>
            <w:r w:rsidRPr="004865ED">
              <w:rPr>
                <w:rFonts w:ascii="Times New Roman" w:eastAsia="Arial Unicode MS" w:hAnsi="Times New Roman"/>
                <w:sz w:val="20"/>
                <w:szCs w:val="20"/>
                <w:shd w:val="clear" w:color="auto" w:fill="FFFFFF"/>
              </w:rPr>
              <w:t>„</w:t>
            </w:r>
            <w:proofErr w:type="spellStart"/>
            <w:proofErr w:type="gramEnd"/>
            <w:r w:rsidRPr="004865ED">
              <w:rPr>
                <w:rFonts w:ascii="Times New Roman" w:eastAsia="Arial Unicode MS" w:hAnsi="Times New Roman"/>
                <w:sz w:val="20"/>
                <w:szCs w:val="20"/>
                <w:shd w:val="clear" w:color="auto" w:fill="FFFFFF"/>
              </w:rPr>
              <w:t>cerere</w:t>
            </w:r>
            <w:proofErr w:type="spellEnd"/>
            <w:r w:rsidRPr="004865ED">
              <w:rPr>
                <w:rFonts w:ascii="Times New Roman" w:eastAsia="Arial Unicode MS" w:hAnsi="Times New Roman"/>
                <w:sz w:val="20"/>
                <w:szCs w:val="20"/>
                <w:shd w:val="clear" w:color="auto" w:fill="FFFFFF"/>
              </w:rPr>
              <w:t xml:space="preserve"> cu </w:t>
            </w:r>
            <w:proofErr w:type="spellStart"/>
            <w:r w:rsidRPr="004865ED">
              <w:rPr>
                <w:rFonts w:ascii="Times New Roman" w:eastAsia="Arial Unicode MS" w:hAnsi="Times New Roman"/>
                <w:sz w:val="20"/>
                <w:szCs w:val="20"/>
                <w:shd w:val="clear" w:color="auto" w:fill="FFFFFF"/>
              </w:rPr>
              <w:t>informații</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geospațiale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înseamnă</w:t>
            </w:r>
            <w:proofErr w:type="spellEnd"/>
            <w:r w:rsidRPr="004865ED">
              <w:rPr>
                <w:rFonts w:ascii="Times New Roman" w:eastAsia="Arial Unicode MS" w:hAnsi="Times New Roman"/>
                <w:sz w:val="20"/>
                <w:szCs w:val="20"/>
                <w:shd w:val="clear" w:color="auto" w:fill="FFFFFF"/>
              </w:rPr>
              <w:t xml:space="preserve"> un formular electronic de </w:t>
            </w:r>
            <w:proofErr w:type="spellStart"/>
            <w:r w:rsidRPr="004865ED">
              <w:rPr>
                <w:rFonts w:ascii="Times New Roman" w:eastAsia="Arial Unicode MS" w:hAnsi="Times New Roman"/>
                <w:sz w:val="20"/>
                <w:szCs w:val="20"/>
                <w:shd w:val="clear" w:color="auto" w:fill="FFFFFF"/>
              </w:rPr>
              <w:t>cerere</w:t>
            </w:r>
            <w:proofErr w:type="spellEnd"/>
            <w:r w:rsidRPr="004865ED">
              <w:rPr>
                <w:rFonts w:ascii="Times New Roman" w:eastAsia="Arial Unicode MS" w:hAnsi="Times New Roman"/>
                <w:sz w:val="20"/>
                <w:szCs w:val="20"/>
                <w:shd w:val="clear" w:color="auto" w:fill="FFFFFF"/>
              </w:rPr>
              <w:t xml:space="preserve"> care include o </w:t>
            </w:r>
            <w:proofErr w:type="spellStart"/>
            <w:r w:rsidRPr="004865ED">
              <w:rPr>
                <w:rFonts w:ascii="Times New Roman" w:eastAsia="Arial Unicode MS" w:hAnsi="Times New Roman"/>
                <w:sz w:val="20"/>
                <w:szCs w:val="20"/>
                <w:shd w:val="clear" w:color="auto" w:fill="FFFFFF"/>
              </w:rPr>
              <w:t>aplicație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informatică</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bazată</w:t>
            </w:r>
            <w:proofErr w:type="spellEnd"/>
            <w:r w:rsidRPr="004865ED">
              <w:rPr>
                <w:rFonts w:ascii="Times New Roman" w:eastAsia="Arial Unicode MS" w:hAnsi="Times New Roman"/>
                <w:sz w:val="20"/>
                <w:szCs w:val="20"/>
                <w:shd w:val="clear" w:color="auto" w:fill="FFFFFF"/>
              </w:rPr>
              <w:t xml:space="preserve"> pe un </w:t>
            </w:r>
            <w:proofErr w:type="spellStart"/>
            <w:r w:rsidRPr="004865ED">
              <w:rPr>
                <w:rFonts w:ascii="Times New Roman" w:eastAsia="Arial Unicode MS" w:hAnsi="Times New Roman"/>
                <w:sz w:val="20"/>
                <w:szCs w:val="20"/>
                <w:shd w:val="clear" w:color="auto" w:fill="FFFFFF"/>
              </w:rPr>
              <w:t>sistem</w:t>
            </w:r>
            <w:proofErr w:type="spellEnd"/>
            <w:r w:rsidRPr="004865ED">
              <w:rPr>
                <w:rFonts w:ascii="Times New Roman" w:eastAsia="Arial Unicode MS" w:hAnsi="Times New Roman"/>
                <w:sz w:val="20"/>
                <w:szCs w:val="20"/>
                <w:shd w:val="clear" w:color="auto" w:fill="FFFFFF"/>
              </w:rPr>
              <w:t xml:space="preserve"> de </w:t>
            </w:r>
            <w:proofErr w:type="spellStart"/>
            <w:r w:rsidRPr="004865ED">
              <w:rPr>
                <w:rFonts w:ascii="Times New Roman" w:eastAsia="Arial Unicode MS" w:hAnsi="Times New Roman"/>
                <w:sz w:val="20"/>
                <w:szCs w:val="20"/>
                <w:shd w:val="clear" w:color="auto" w:fill="FFFFFF"/>
              </w:rPr>
              <w:t>informații</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geografice</w:t>
            </w:r>
            <w:proofErr w:type="spellEnd"/>
            <w:r w:rsidRPr="004865ED">
              <w:rPr>
                <w:rFonts w:ascii="Times New Roman" w:eastAsia="Arial Unicode MS" w:hAnsi="Times New Roman"/>
                <w:sz w:val="20"/>
                <w:szCs w:val="20"/>
                <w:shd w:val="clear" w:color="auto" w:fill="FFFFFF"/>
              </w:rPr>
              <w:t xml:space="preserve"> care le </w:t>
            </w:r>
            <w:proofErr w:type="spellStart"/>
            <w:r w:rsidRPr="004865ED">
              <w:rPr>
                <w:rFonts w:ascii="Times New Roman" w:eastAsia="Arial Unicode MS" w:hAnsi="Times New Roman"/>
                <w:sz w:val="20"/>
                <w:szCs w:val="20"/>
                <w:shd w:val="clear" w:color="auto" w:fill="FFFFFF"/>
              </w:rPr>
              <w:t>permite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beneficiarilor</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să</w:t>
            </w:r>
            <w:proofErr w:type="spellEnd"/>
            <w:r w:rsidRPr="004865ED">
              <w:rPr>
                <w:rFonts w:ascii="Times New Roman" w:eastAsia="Arial Unicode MS" w:hAnsi="Times New Roman"/>
                <w:sz w:val="20"/>
                <w:szCs w:val="20"/>
                <w:shd w:val="clear" w:color="auto" w:fill="FFFFFF"/>
              </w:rPr>
              <w:t xml:space="preserve"> declare, </w:t>
            </w:r>
            <w:proofErr w:type="spellStart"/>
            <w:r w:rsidRPr="004865ED">
              <w:rPr>
                <w:rFonts w:ascii="Times New Roman" w:eastAsia="Arial Unicode MS" w:hAnsi="Times New Roman"/>
                <w:sz w:val="20"/>
                <w:szCs w:val="20"/>
                <w:shd w:val="clear" w:color="auto" w:fill="FFFFFF"/>
              </w:rPr>
              <w:t>prin</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situarea</w:t>
            </w:r>
            <w:proofErr w:type="spellEnd"/>
            <w:r w:rsidRPr="004865ED">
              <w:rPr>
                <w:rFonts w:ascii="Times New Roman" w:eastAsia="Arial Unicode MS" w:hAnsi="Times New Roman"/>
                <w:sz w:val="20"/>
                <w:szCs w:val="20"/>
                <w:shd w:val="clear" w:color="auto" w:fill="FFFFFF"/>
              </w:rPr>
              <w:t xml:space="preserve"> în </w:t>
            </w:r>
            <w:proofErr w:type="spellStart"/>
            <w:r w:rsidRPr="004865ED">
              <w:rPr>
                <w:rFonts w:ascii="Times New Roman" w:eastAsia="Arial Unicode MS" w:hAnsi="Times New Roman"/>
                <w:sz w:val="20"/>
                <w:szCs w:val="20"/>
                <w:shd w:val="clear" w:color="auto" w:fill="FFFFFF"/>
              </w:rPr>
              <w:t>spațiu</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parcelele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agricole</w:t>
            </w:r>
            <w:proofErr w:type="spellEnd"/>
            <w:r w:rsidRPr="004865ED">
              <w:rPr>
                <w:rFonts w:ascii="Times New Roman" w:eastAsia="Arial Unicode MS" w:hAnsi="Times New Roman"/>
                <w:sz w:val="20"/>
                <w:szCs w:val="20"/>
                <w:shd w:val="clear" w:color="auto" w:fill="FFFFFF"/>
              </w:rPr>
              <w:t xml:space="preserve"> ale </w:t>
            </w:r>
            <w:proofErr w:type="spellStart"/>
            <w:r w:rsidRPr="004865ED">
              <w:rPr>
                <w:rFonts w:ascii="Times New Roman" w:eastAsia="Arial Unicode MS" w:hAnsi="Times New Roman"/>
                <w:sz w:val="20"/>
                <w:szCs w:val="20"/>
                <w:shd w:val="clear" w:color="auto" w:fill="FFFFFF"/>
              </w:rPr>
              <w:t>exploatației</w:t>
            </w:r>
            <w:proofErr w:type="spellEnd"/>
            <w:r w:rsidRPr="004865ED">
              <w:rPr>
                <w:rFonts w:ascii="Times New Roman" w:eastAsia="Arial Unicode MS" w:hAnsi="Times New Roman"/>
                <w:sz w:val="20"/>
                <w:szCs w:val="20"/>
                <w:shd w:val="clear" w:color="auto" w:fill="FFFFFF"/>
              </w:rPr>
              <w:t xml:space="preserve"> și </w:t>
            </w:r>
            <w:proofErr w:type="spellStart"/>
            <w:r w:rsidRPr="004865ED">
              <w:rPr>
                <w:rFonts w:ascii="Times New Roman" w:eastAsia="Arial Unicode MS" w:hAnsi="Times New Roman"/>
                <w:sz w:val="20"/>
                <w:szCs w:val="20"/>
                <w:shd w:val="clear" w:color="auto" w:fill="FFFFFF"/>
              </w:rPr>
              <w:t>suprafețele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neagricole</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pentru</w:t>
            </w:r>
            <w:proofErr w:type="spellEnd"/>
            <w:r w:rsidRPr="004865ED">
              <w:rPr>
                <w:rFonts w:ascii="Times New Roman" w:eastAsia="Arial Unicode MS" w:hAnsi="Times New Roman"/>
                <w:sz w:val="20"/>
                <w:szCs w:val="20"/>
                <w:shd w:val="clear" w:color="auto" w:fill="FFFFFF"/>
              </w:rPr>
              <w:t xml:space="preserve"> care </w:t>
            </w:r>
            <w:proofErr w:type="spellStart"/>
            <w:r w:rsidRPr="004865ED">
              <w:rPr>
                <w:rFonts w:ascii="Times New Roman" w:eastAsia="Arial Unicode MS" w:hAnsi="Times New Roman"/>
                <w:sz w:val="20"/>
                <w:szCs w:val="20"/>
                <w:shd w:val="clear" w:color="auto" w:fill="FFFFFF"/>
              </w:rPr>
              <w:t>solicită</w:t>
            </w:r>
            <w:proofErr w:type="spellEnd"/>
            <w:r w:rsidRPr="004865ED">
              <w:rPr>
                <w:rFonts w:ascii="Times New Roman" w:eastAsia="Arial Unicode MS" w:hAnsi="Times New Roman"/>
                <w:sz w:val="20"/>
                <w:szCs w:val="20"/>
                <w:shd w:val="clear" w:color="auto" w:fill="FFFFFF"/>
              </w:rPr>
              <w:t xml:space="preserve"> </w:t>
            </w:r>
            <w:proofErr w:type="spellStart"/>
            <w:r w:rsidRPr="004865ED">
              <w:rPr>
                <w:rFonts w:ascii="Times New Roman" w:eastAsia="Arial Unicode MS" w:hAnsi="Times New Roman"/>
                <w:sz w:val="20"/>
                <w:szCs w:val="20"/>
                <w:shd w:val="clear" w:color="auto" w:fill="FFFFFF"/>
              </w:rPr>
              <w:t>plăți</w:t>
            </w:r>
            <w:proofErr w:type="spellEnd"/>
            <w:r w:rsidRPr="004865ED">
              <w:rPr>
                <w:rFonts w:ascii="Times New Roman" w:eastAsia="Arial Unicode MS" w:hAnsi="Times New Roman"/>
                <w:sz w:val="20"/>
                <w:szCs w:val="20"/>
                <w:shd w:val="clear" w:color="auto" w:fill="FFFFFF"/>
              </w:rPr>
              <w:t>.</w:t>
            </w:r>
          </w:p>
        </w:tc>
        <w:tc>
          <w:tcPr>
            <w:tcW w:w="4440" w:type="dxa"/>
          </w:tcPr>
          <w:p w14:paraId="42F7E57F" w14:textId="0DFB3CE3" w:rsidR="004865ED" w:rsidRPr="003A2C08" w:rsidRDefault="004865ED" w:rsidP="003A2C08">
            <w:pPr>
              <w:shd w:val="clear" w:color="auto" w:fill="FFFFFF"/>
              <w:spacing w:after="0" w:line="240" w:lineRule="auto"/>
              <w:jc w:val="both"/>
              <w:rPr>
                <w:rFonts w:ascii="Times New Roman" w:hAnsi="Times New Roman"/>
                <w:i/>
                <w:iCs/>
                <w:sz w:val="20"/>
                <w:szCs w:val="20"/>
                <w:lang w:val="ro-RO" w:eastAsia="ru-RU"/>
              </w:rPr>
            </w:pPr>
          </w:p>
        </w:tc>
        <w:tc>
          <w:tcPr>
            <w:tcW w:w="1276" w:type="dxa"/>
          </w:tcPr>
          <w:p w14:paraId="3B2C0052" w14:textId="6F8A8507" w:rsidR="004865ED" w:rsidRDefault="003F2E09" w:rsidP="00D37AB7">
            <w:pPr>
              <w:pStyle w:val="ColorfulList-Accent11"/>
              <w:spacing w:after="0" w:line="240" w:lineRule="auto"/>
              <w:ind w:left="0"/>
              <w:jc w:val="both"/>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6" w:type="dxa"/>
          </w:tcPr>
          <w:p w14:paraId="221512B2" w14:textId="77777777" w:rsidR="004865ED" w:rsidRPr="00367298" w:rsidRDefault="004865ED" w:rsidP="00D37AB7">
            <w:pPr>
              <w:pStyle w:val="ColorfulList-Accent11"/>
              <w:spacing w:after="0" w:line="240" w:lineRule="auto"/>
              <w:ind w:left="0"/>
              <w:jc w:val="both"/>
              <w:rPr>
                <w:lang w:val="ro-RO"/>
              </w:rPr>
            </w:pPr>
          </w:p>
        </w:tc>
        <w:tc>
          <w:tcPr>
            <w:tcW w:w="1701" w:type="dxa"/>
          </w:tcPr>
          <w:p w14:paraId="1D7B0664" w14:textId="4E8545F9" w:rsidR="004865ED" w:rsidRPr="00392AA9" w:rsidRDefault="00392AA9" w:rsidP="00EB1B1F">
            <w:pPr>
              <w:pStyle w:val="ColorfulList-Accent11"/>
              <w:spacing w:after="0" w:line="240" w:lineRule="auto"/>
              <w:ind w:left="0"/>
              <w:jc w:val="both"/>
              <w:rPr>
                <w:rFonts w:ascii="Times New Roman" w:hAnsi="Times New Roman"/>
                <w:sz w:val="20"/>
                <w:szCs w:val="20"/>
                <w:lang w:val="ro-RO"/>
              </w:rPr>
            </w:pPr>
            <w:r w:rsidRPr="00392AA9">
              <w:rPr>
                <w:rFonts w:ascii="Times New Roman" w:hAnsi="Times New Roman"/>
                <w:sz w:val="20"/>
                <w:szCs w:val="20"/>
              </w:rPr>
              <w:t>„</w:t>
            </w:r>
            <w:proofErr w:type="spellStart"/>
            <w:r w:rsidRPr="00392AA9">
              <w:rPr>
                <w:rFonts w:ascii="Times New Roman" w:hAnsi="Times New Roman"/>
                <w:sz w:val="20"/>
                <w:szCs w:val="20"/>
              </w:rPr>
              <w:t>Noțiunea</w:t>
            </w:r>
            <w:proofErr w:type="spellEnd"/>
            <w:r w:rsidRPr="00392AA9">
              <w:rPr>
                <w:rFonts w:ascii="Times New Roman" w:hAnsi="Times New Roman"/>
                <w:sz w:val="20"/>
                <w:szCs w:val="20"/>
              </w:rPr>
              <w:t xml:space="preserve"> </w:t>
            </w:r>
            <w:proofErr w:type="spellStart"/>
            <w:r w:rsidRPr="00392AA9">
              <w:rPr>
                <w:rFonts w:ascii="Times New Roman" w:hAnsi="Times New Roman"/>
                <w:sz w:val="20"/>
                <w:szCs w:val="20"/>
              </w:rPr>
              <w:t>va</w:t>
            </w:r>
            <w:proofErr w:type="spellEnd"/>
            <w:r w:rsidRPr="00392AA9">
              <w:rPr>
                <w:rFonts w:ascii="Times New Roman" w:hAnsi="Times New Roman"/>
                <w:sz w:val="20"/>
                <w:szCs w:val="20"/>
              </w:rPr>
              <w:t xml:space="preserve"> fi </w:t>
            </w:r>
            <w:proofErr w:type="spellStart"/>
            <w:r w:rsidRPr="00392AA9">
              <w:rPr>
                <w:rFonts w:ascii="Times New Roman" w:hAnsi="Times New Roman"/>
                <w:sz w:val="20"/>
                <w:szCs w:val="20"/>
              </w:rPr>
              <w:t>transpusa</w:t>
            </w:r>
            <w:proofErr w:type="spellEnd"/>
            <w:r w:rsidRPr="00392AA9">
              <w:rPr>
                <w:rFonts w:ascii="Times New Roman" w:hAnsi="Times New Roman"/>
                <w:sz w:val="20"/>
                <w:szCs w:val="20"/>
              </w:rPr>
              <w:t xml:space="preserve">̆ </w:t>
            </w:r>
            <w:proofErr w:type="spellStart"/>
            <w:r w:rsidRPr="00392AA9">
              <w:rPr>
                <w:rFonts w:ascii="Times New Roman" w:hAnsi="Times New Roman"/>
                <w:sz w:val="20"/>
                <w:szCs w:val="20"/>
              </w:rPr>
              <w:t>în</w:t>
            </w:r>
            <w:proofErr w:type="spellEnd"/>
            <w:r w:rsidRPr="00392AA9">
              <w:rPr>
                <w:rFonts w:ascii="Times New Roman" w:hAnsi="Times New Roman"/>
                <w:sz w:val="20"/>
                <w:szCs w:val="20"/>
              </w:rPr>
              <w:t xml:space="preserve"> </w:t>
            </w:r>
            <w:proofErr w:type="spellStart"/>
            <w:r w:rsidRPr="00392AA9">
              <w:rPr>
                <w:rFonts w:ascii="Times New Roman" w:hAnsi="Times New Roman"/>
                <w:sz w:val="20"/>
                <w:szCs w:val="20"/>
              </w:rPr>
              <w:t>Legea</w:t>
            </w:r>
            <w:proofErr w:type="spellEnd"/>
            <w:r w:rsidRPr="00392AA9">
              <w:rPr>
                <w:rFonts w:ascii="Times New Roman" w:hAnsi="Times New Roman"/>
                <w:sz w:val="20"/>
                <w:szCs w:val="20"/>
              </w:rPr>
              <w:t xml:space="preserve"> nr. 254/2016 cu </w:t>
            </w:r>
            <w:proofErr w:type="spellStart"/>
            <w:r w:rsidRPr="00392AA9">
              <w:rPr>
                <w:rFonts w:ascii="Times New Roman" w:hAnsi="Times New Roman"/>
                <w:sz w:val="20"/>
                <w:szCs w:val="20"/>
              </w:rPr>
              <w:t>privire</w:t>
            </w:r>
            <w:proofErr w:type="spellEnd"/>
            <w:r w:rsidRPr="00392AA9">
              <w:rPr>
                <w:rFonts w:ascii="Times New Roman" w:hAnsi="Times New Roman"/>
                <w:sz w:val="20"/>
                <w:szCs w:val="20"/>
              </w:rPr>
              <w:t xml:space="preserve"> la </w:t>
            </w:r>
            <w:proofErr w:type="spellStart"/>
            <w:r w:rsidRPr="00392AA9">
              <w:rPr>
                <w:rFonts w:ascii="Times New Roman" w:hAnsi="Times New Roman"/>
                <w:sz w:val="20"/>
                <w:szCs w:val="20"/>
              </w:rPr>
              <w:t>infrastructura</w:t>
            </w:r>
            <w:proofErr w:type="spellEnd"/>
            <w:r w:rsidRPr="00392AA9">
              <w:rPr>
                <w:rFonts w:ascii="Times New Roman" w:hAnsi="Times New Roman"/>
                <w:sz w:val="20"/>
                <w:szCs w:val="20"/>
              </w:rPr>
              <w:t xml:space="preserve"> </w:t>
            </w:r>
            <w:proofErr w:type="spellStart"/>
            <w:r w:rsidRPr="00392AA9">
              <w:rPr>
                <w:rFonts w:ascii="Times New Roman" w:hAnsi="Times New Roman"/>
                <w:sz w:val="20"/>
                <w:szCs w:val="20"/>
              </w:rPr>
              <w:t>naționala</w:t>
            </w:r>
            <w:proofErr w:type="spellEnd"/>
            <w:r w:rsidRPr="00392AA9">
              <w:rPr>
                <w:rFonts w:ascii="Times New Roman" w:hAnsi="Times New Roman"/>
                <w:sz w:val="20"/>
                <w:szCs w:val="20"/>
              </w:rPr>
              <w:t xml:space="preserve">̆ de date </w:t>
            </w:r>
            <w:proofErr w:type="spellStart"/>
            <w:r w:rsidRPr="00392AA9">
              <w:rPr>
                <w:rFonts w:ascii="Times New Roman" w:hAnsi="Times New Roman"/>
                <w:sz w:val="20"/>
                <w:szCs w:val="20"/>
              </w:rPr>
              <w:t>spațiale</w:t>
            </w:r>
            <w:proofErr w:type="spellEnd"/>
            <w:r w:rsidRPr="00392AA9">
              <w:rPr>
                <w:rFonts w:ascii="Times New Roman" w:hAnsi="Times New Roman"/>
                <w:sz w:val="20"/>
                <w:szCs w:val="20"/>
              </w:rPr>
              <w:t>”</w:t>
            </w:r>
          </w:p>
        </w:tc>
        <w:tc>
          <w:tcPr>
            <w:tcW w:w="1460" w:type="dxa"/>
          </w:tcPr>
          <w:p w14:paraId="13B0E7FF" w14:textId="77777777" w:rsidR="004865ED" w:rsidRPr="00862467" w:rsidRDefault="004865ED" w:rsidP="003F2E09">
            <w:pPr>
              <w:autoSpaceDE w:val="0"/>
              <w:spacing w:after="0" w:line="240" w:lineRule="auto"/>
              <w:rPr>
                <w:rFonts w:ascii="Times New Roman" w:hAnsi="Times New Roman"/>
                <w:sz w:val="20"/>
                <w:szCs w:val="20"/>
                <w:lang w:val="ro-RO"/>
              </w:rPr>
            </w:pPr>
          </w:p>
        </w:tc>
      </w:tr>
      <w:tr w:rsidR="00D37AB7" w:rsidRPr="00C84630" w14:paraId="3C50A748" w14:textId="77777777" w:rsidTr="00A90105">
        <w:tc>
          <w:tcPr>
            <w:tcW w:w="4945" w:type="dxa"/>
            <w:shd w:val="clear" w:color="auto" w:fill="auto"/>
          </w:tcPr>
          <w:p w14:paraId="7BDBD0FE" w14:textId="77777777" w:rsidR="00D37AB7" w:rsidRPr="00822601" w:rsidRDefault="00D37AB7" w:rsidP="00D37AB7">
            <w:pPr>
              <w:spacing w:after="0" w:line="240" w:lineRule="auto"/>
              <w:jc w:val="center"/>
              <w:rPr>
                <w:rFonts w:ascii="Times New Roman" w:hAnsi="Times New Roman"/>
                <w:b/>
                <w:bCs/>
                <w:sz w:val="20"/>
                <w:szCs w:val="20"/>
                <w:lang w:val="en-US" w:eastAsia="ru-RU"/>
              </w:rPr>
            </w:pPr>
            <w:r w:rsidRPr="00822601">
              <w:rPr>
                <w:rFonts w:ascii="Times New Roman" w:hAnsi="Times New Roman"/>
                <w:b/>
                <w:bCs/>
                <w:sz w:val="20"/>
                <w:szCs w:val="20"/>
                <w:lang w:val="en-US" w:eastAsia="ru-RU"/>
              </w:rPr>
              <w:t>CAPITOLUL 2</w:t>
            </w:r>
          </w:p>
          <w:p w14:paraId="3AED9EE7" w14:textId="77777777" w:rsidR="00D37AB7" w:rsidRPr="00822601" w:rsidRDefault="00D37AB7" w:rsidP="00D37AB7">
            <w:pPr>
              <w:spacing w:after="0" w:line="240" w:lineRule="auto"/>
              <w:jc w:val="center"/>
              <w:rPr>
                <w:rFonts w:ascii="Times New Roman" w:hAnsi="Times New Roman"/>
                <w:b/>
                <w:bCs/>
                <w:sz w:val="20"/>
                <w:szCs w:val="20"/>
                <w:lang w:val="en-US" w:eastAsia="ru-RU"/>
              </w:rPr>
            </w:pPr>
            <w:proofErr w:type="spellStart"/>
            <w:r w:rsidRPr="00822601">
              <w:rPr>
                <w:rFonts w:ascii="Times New Roman" w:hAnsi="Times New Roman"/>
                <w:b/>
                <w:bCs/>
                <w:sz w:val="20"/>
                <w:szCs w:val="20"/>
                <w:lang w:val="en-US" w:eastAsia="ru-RU"/>
              </w:rPr>
              <w:t>Planurile</w:t>
            </w:r>
            <w:proofErr w:type="spellEnd"/>
            <w:r w:rsidRPr="00822601">
              <w:rPr>
                <w:rFonts w:ascii="Times New Roman" w:hAnsi="Times New Roman"/>
                <w:b/>
                <w:bCs/>
                <w:sz w:val="20"/>
                <w:szCs w:val="20"/>
                <w:lang w:val="en-US" w:eastAsia="ru-RU"/>
              </w:rPr>
              <w:t xml:space="preserve"> </w:t>
            </w:r>
            <w:proofErr w:type="spellStart"/>
            <w:r w:rsidRPr="00822601">
              <w:rPr>
                <w:rFonts w:ascii="Times New Roman" w:hAnsi="Times New Roman"/>
                <w:b/>
                <w:bCs/>
                <w:sz w:val="20"/>
                <w:szCs w:val="20"/>
                <w:lang w:val="en-US" w:eastAsia="ru-RU"/>
              </w:rPr>
              <w:t>naționale</w:t>
            </w:r>
            <w:proofErr w:type="spellEnd"/>
            <w:r w:rsidRPr="00822601">
              <w:rPr>
                <w:rFonts w:ascii="Times New Roman" w:hAnsi="Times New Roman"/>
                <w:b/>
                <w:bCs/>
                <w:sz w:val="20"/>
                <w:szCs w:val="20"/>
                <w:lang w:val="en-US" w:eastAsia="ru-RU"/>
              </w:rPr>
              <w:t xml:space="preserve"> integrate </w:t>
            </w:r>
            <w:proofErr w:type="spellStart"/>
            <w:r w:rsidRPr="00822601">
              <w:rPr>
                <w:rFonts w:ascii="Times New Roman" w:hAnsi="Times New Roman"/>
                <w:b/>
                <w:bCs/>
                <w:sz w:val="20"/>
                <w:szCs w:val="20"/>
                <w:lang w:val="en-US" w:eastAsia="ru-RU"/>
              </w:rPr>
              <w:t>privind</w:t>
            </w:r>
            <w:proofErr w:type="spellEnd"/>
            <w:r w:rsidRPr="00822601">
              <w:rPr>
                <w:rFonts w:ascii="Times New Roman" w:hAnsi="Times New Roman"/>
                <w:b/>
                <w:bCs/>
                <w:sz w:val="20"/>
                <w:szCs w:val="20"/>
                <w:lang w:val="en-US" w:eastAsia="ru-RU"/>
              </w:rPr>
              <w:t xml:space="preserve"> </w:t>
            </w:r>
            <w:proofErr w:type="spellStart"/>
            <w:r w:rsidRPr="00822601">
              <w:rPr>
                <w:rFonts w:ascii="Times New Roman" w:hAnsi="Times New Roman"/>
                <w:b/>
                <w:bCs/>
                <w:sz w:val="20"/>
                <w:szCs w:val="20"/>
                <w:lang w:val="en-US" w:eastAsia="ru-RU"/>
              </w:rPr>
              <w:t>energia</w:t>
            </w:r>
            <w:proofErr w:type="spellEnd"/>
            <w:r w:rsidRPr="00822601">
              <w:rPr>
                <w:rFonts w:ascii="Times New Roman" w:hAnsi="Times New Roman"/>
                <w:b/>
                <w:bCs/>
                <w:sz w:val="20"/>
                <w:szCs w:val="20"/>
                <w:lang w:val="en-US" w:eastAsia="ru-RU"/>
              </w:rPr>
              <w:t xml:space="preserve"> și </w:t>
            </w:r>
            <w:proofErr w:type="spellStart"/>
            <w:r w:rsidRPr="00822601">
              <w:rPr>
                <w:rFonts w:ascii="Times New Roman" w:hAnsi="Times New Roman"/>
                <w:b/>
                <w:bCs/>
                <w:sz w:val="20"/>
                <w:szCs w:val="20"/>
                <w:lang w:val="en-US" w:eastAsia="ru-RU"/>
              </w:rPr>
              <w:t>clima</w:t>
            </w:r>
            <w:proofErr w:type="spellEnd"/>
          </w:p>
          <w:p w14:paraId="48F5DCDC" w14:textId="77777777" w:rsidR="00D37AB7" w:rsidRPr="00822601" w:rsidRDefault="00D37AB7" w:rsidP="00D37AB7">
            <w:pPr>
              <w:spacing w:after="0" w:line="240" w:lineRule="auto"/>
              <w:jc w:val="center"/>
              <w:rPr>
                <w:rFonts w:ascii="Times New Roman" w:hAnsi="Times New Roman"/>
                <w:b/>
                <w:bCs/>
                <w:sz w:val="20"/>
                <w:szCs w:val="20"/>
                <w:lang w:val="en-US" w:eastAsia="ru-RU"/>
              </w:rPr>
            </w:pPr>
            <w:proofErr w:type="spellStart"/>
            <w:r w:rsidRPr="00822601">
              <w:rPr>
                <w:rFonts w:ascii="Times New Roman" w:hAnsi="Times New Roman"/>
                <w:b/>
                <w:bCs/>
                <w:sz w:val="20"/>
                <w:szCs w:val="20"/>
                <w:lang w:val="en-US" w:eastAsia="ru-RU"/>
              </w:rPr>
              <w:t>Articolul</w:t>
            </w:r>
            <w:proofErr w:type="spellEnd"/>
            <w:r w:rsidRPr="00822601">
              <w:rPr>
                <w:rFonts w:ascii="Times New Roman" w:hAnsi="Times New Roman"/>
                <w:b/>
                <w:bCs/>
                <w:sz w:val="20"/>
                <w:szCs w:val="20"/>
                <w:lang w:val="en-US" w:eastAsia="ru-RU"/>
              </w:rPr>
              <w:t xml:space="preserve"> 3</w:t>
            </w:r>
          </w:p>
          <w:p w14:paraId="1B26AEB4" w14:textId="77777777" w:rsidR="00D37AB7" w:rsidRPr="00822601" w:rsidRDefault="00D37AB7" w:rsidP="00D37AB7">
            <w:pPr>
              <w:spacing w:after="0" w:line="240" w:lineRule="auto"/>
              <w:jc w:val="both"/>
              <w:rPr>
                <w:rFonts w:ascii="Times New Roman" w:hAnsi="Times New Roman"/>
                <w:sz w:val="20"/>
                <w:szCs w:val="20"/>
                <w:lang w:val="en-US" w:eastAsia="ru-RU"/>
              </w:rPr>
            </w:pPr>
            <w:proofErr w:type="spellStart"/>
            <w:r w:rsidRPr="00822601">
              <w:rPr>
                <w:rFonts w:ascii="Times New Roman" w:hAnsi="Times New Roman"/>
                <w:sz w:val="20"/>
                <w:szCs w:val="20"/>
                <w:lang w:val="en-US" w:eastAsia="ru-RU"/>
              </w:rPr>
              <w:t>Planurile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naționale</w:t>
            </w:r>
            <w:proofErr w:type="spellEnd"/>
            <w:r w:rsidRPr="00822601">
              <w:rPr>
                <w:rFonts w:ascii="Times New Roman" w:hAnsi="Times New Roman"/>
                <w:sz w:val="20"/>
                <w:szCs w:val="20"/>
                <w:lang w:val="en-US" w:eastAsia="ru-RU"/>
              </w:rPr>
              <w:t xml:space="preserve"> integrate </w:t>
            </w:r>
            <w:proofErr w:type="spellStart"/>
            <w:r w:rsidRPr="00822601">
              <w:rPr>
                <w:rFonts w:ascii="Times New Roman" w:hAnsi="Times New Roman"/>
                <w:sz w:val="20"/>
                <w:szCs w:val="20"/>
                <w:lang w:val="en-US" w:eastAsia="ru-RU"/>
              </w:rPr>
              <w:t>privind</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energia</w:t>
            </w:r>
            <w:proofErr w:type="spellEnd"/>
            <w:r w:rsidRPr="00822601">
              <w:rPr>
                <w:rFonts w:ascii="Times New Roman" w:hAnsi="Times New Roman"/>
                <w:sz w:val="20"/>
                <w:szCs w:val="20"/>
                <w:lang w:val="en-US" w:eastAsia="ru-RU"/>
              </w:rPr>
              <w:t xml:space="preserve"> și </w:t>
            </w:r>
            <w:proofErr w:type="spellStart"/>
            <w:r w:rsidRPr="00822601">
              <w:rPr>
                <w:rFonts w:ascii="Times New Roman" w:hAnsi="Times New Roman"/>
                <w:sz w:val="20"/>
                <w:szCs w:val="20"/>
                <w:lang w:val="en-US" w:eastAsia="ru-RU"/>
              </w:rPr>
              <w:t>clima</w:t>
            </w:r>
            <w:proofErr w:type="spellEnd"/>
          </w:p>
          <w:p w14:paraId="4987A0FB" w14:textId="7681898A" w:rsidR="00D37AB7" w:rsidRPr="00EB1B1F" w:rsidRDefault="00D37AB7" w:rsidP="000C5A3B">
            <w:pPr>
              <w:pStyle w:val="af3"/>
              <w:numPr>
                <w:ilvl w:val="0"/>
                <w:numId w:val="85"/>
              </w:numPr>
              <w:spacing w:after="0" w:line="240" w:lineRule="auto"/>
              <w:jc w:val="both"/>
              <w:rPr>
                <w:rFonts w:ascii="Times New Roman" w:hAnsi="Times New Roman"/>
                <w:sz w:val="20"/>
                <w:szCs w:val="20"/>
                <w:lang w:val="fr-FR" w:eastAsia="ru-RU"/>
              </w:rPr>
            </w:pPr>
            <w:proofErr w:type="spellStart"/>
            <w:r w:rsidRPr="00822601">
              <w:rPr>
                <w:rFonts w:ascii="Times New Roman" w:hAnsi="Times New Roman"/>
                <w:sz w:val="20"/>
                <w:szCs w:val="20"/>
                <w:lang w:val="en-US" w:eastAsia="ru-RU"/>
              </w:rPr>
              <w:t>Până</w:t>
            </w:r>
            <w:proofErr w:type="spellEnd"/>
            <w:r w:rsidRPr="00822601">
              <w:rPr>
                <w:rFonts w:ascii="Times New Roman" w:hAnsi="Times New Roman"/>
                <w:sz w:val="20"/>
                <w:szCs w:val="20"/>
                <w:lang w:val="en-US" w:eastAsia="ru-RU"/>
              </w:rPr>
              <w:t xml:space="preserve"> la 31 </w:t>
            </w:r>
            <w:proofErr w:type="spellStart"/>
            <w:r w:rsidRPr="00822601">
              <w:rPr>
                <w:rFonts w:ascii="Times New Roman" w:hAnsi="Times New Roman"/>
                <w:sz w:val="20"/>
                <w:szCs w:val="20"/>
                <w:lang w:val="en-US" w:eastAsia="ru-RU"/>
              </w:rPr>
              <w:t>decembrie</w:t>
            </w:r>
            <w:proofErr w:type="spellEnd"/>
            <w:r w:rsidRPr="00822601">
              <w:rPr>
                <w:rFonts w:ascii="Times New Roman" w:hAnsi="Times New Roman"/>
                <w:sz w:val="20"/>
                <w:szCs w:val="20"/>
                <w:lang w:val="en-US" w:eastAsia="ru-RU"/>
              </w:rPr>
              <w:t xml:space="preserve"> 2019 și </w:t>
            </w:r>
            <w:proofErr w:type="spellStart"/>
            <w:r w:rsidRPr="00822601">
              <w:rPr>
                <w:rFonts w:ascii="Times New Roman" w:hAnsi="Times New Roman"/>
                <w:sz w:val="20"/>
                <w:szCs w:val="20"/>
                <w:lang w:val="en-US" w:eastAsia="ru-RU"/>
              </w:rPr>
              <w:t>apoi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până</w:t>
            </w:r>
            <w:proofErr w:type="spellEnd"/>
            <w:r w:rsidRPr="00822601">
              <w:rPr>
                <w:rFonts w:ascii="Times New Roman" w:hAnsi="Times New Roman"/>
                <w:sz w:val="20"/>
                <w:szCs w:val="20"/>
                <w:lang w:val="en-US" w:eastAsia="ru-RU"/>
              </w:rPr>
              <w:t xml:space="preserve"> la 1 </w:t>
            </w:r>
            <w:proofErr w:type="spellStart"/>
            <w:r w:rsidRPr="00822601">
              <w:rPr>
                <w:rFonts w:ascii="Times New Roman" w:hAnsi="Times New Roman"/>
                <w:sz w:val="20"/>
                <w:szCs w:val="20"/>
                <w:lang w:val="en-US" w:eastAsia="ru-RU"/>
              </w:rPr>
              <w:t>ianuarie</w:t>
            </w:r>
            <w:proofErr w:type="spellEnd"/>
            <w:r w:rsidRPr="00822601">
              <w:rPr>
                <w:rFonts w:ascii="Times New Roman" w:hAnsi="Times New Roman"/>
                <w:sz w:val="20"/>
                <w:szCs w:val="20"/>
                <w:lang w:val="en-US" w:eastAsia="ru-RU"/>
              </w:rPr>
              <w:t xml:space="preserve"> 2029 și, ulterior, la </w:t>
            </w:r>
            <w:proofErr w:type="spellStart"/>
            <w:r w:rsidRPr="00822601">
              <w:rPr>
                <w:rFonts w:ascii="Times New Roman" w:hAnsi="Times New Roman"/>
                <w:sz w:val="20"/>
                <w:szCs w:val="20"/>
                <w:lang w:val="en-US" w:eastAsia="ru-RU"/>
              </w:rPr>
              <w:t>fiecare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zece</w:t>
            </w:r>
            <w:proofErr w:type="spellEnd"/>
            <w:r w:rsidRPr="00822601">
              <w:rPr>
                <w:rFonts w:ascii="Times New Roman" w:hAnsi="Times New Roman"/>
                <w:sz w:val="20"/>
                <w:szCs w:val="20"/>
                <w:lang w:val="en-US" w:eastAsia="ru-RU"/>
              </w:rPr>
              <w:t xml:space="preserve"> ani, </w:t>
            </w:r>
            <w:proofErr w:type="spellStart"/>
            <w:r w:rsidRPr="00822601">
              <w:rPr>
                <w:rFonts w:ascii="Times New Roman" w:hAnsi="Times New Roman"/>
                <w:sz w:val="20"/>
                <w:szCs w:val="20"/>
                <w:lang w:val="en-US" w:eastAsia="ru-RU"/>
              </w:rPr>
              <w:lastRenderedPageBreak/>
              <w:t>fiecare</w:t>
            </w:r>
            <w:proofErr w:type="spellEnd"/>
            <w:r w:rsidRPr="00822601">
              <w:rPr>
                <w:rFonts w:ascii="Times New Roman" w:hAnsi="Times New Roman"/>
                <w:sz w:val="20"/>
                <w:szCs w:val="20"/>
                <w:lang w:val="en-US" w:eastAsia="ru-RU"/>
              </w:rPr>
              <w:t xml:space="preserve"> stat </w:t>
            </w:r>
            <w:proofErr w:type="spellStart"/>
            <w:r w:rsidRPr="00822601">
              <w:rPr>
                <w:rFonts w:ascii="Times New Roman" w:hAnsi="Times New Roman"/>
                <w:sz w:val="20"/>
                <w:szCs w:val="20"/>
                <w:lang w:val="en-US" w:eastAsia="ru-RU"/>
              </w:rPr>
              <w:t>membru</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îi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notifică</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Comisiei</w:t>
            </w:r>
            <w:proofErr w:type="spellEnd"/>
            <w:r w:rsidRPr="00822601">
              <w:rPr>
                <w:rFonts w:ascii="Times New Roman" w:hAnsi="Times New Roman"/>
                <w:sz w:val="20"/>
                <w:szCs w:val="20"/>
                <w:lang w:val="en-US" w:eastAsia="ru-RU"/>
              </w:rPr>
              <w:t xml:space="preserve"> un plan </w:t>
            </w:r>
            <w:proofErr w:type="spellStart"/>
            <w:r w:rsidRPr="00822601">
              <w:rPr>
                <w:rFonts w:ascii="Times New Roman" w:hAnsi="Times New Roman"/>
                <w:sz w:val="20"/>
                <w:szCs w:val="20"/>
                <w:lang w:val="en-US" w:eastAsia="ru-RU"/>
              </w:rPr>
              <w:t>național</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integrat</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privind</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energia</w:t>
            </w:r>
            <w:proofErr w:type="spellEnd"/>
            <w:r w:rsidRPr="00822601">
              <w:rPr>
                <w:rFonts w:ascii="Times New Roman" w:hAnsi="Times New Roman"/>
                <w:sz w:val="20"/>
                <w:szCs w:val="20"/>
                <w:lang w:val="en-US" w:eastAsia="ru-RU"/>
              </w:rPr>
              <w:t xml:space="preserve"> și </w:t>
            </w:r>
            <w:proofErr w:type="spellStart"/>
            <w:r w:rsidRPr="00822601">
              <w:rPr>
                <w:rFonts w:ascii="Times New Roman" w:hAnsi="Times New Roman"/>
                <w:sz w:val="20"/>
                <w:szCs w:val="20"/>
                <w:lang w:val="en-US" w:eastAsia="ru-RU"/>
              </w:rPr>
              <w:t>clima</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fr-FR" w:eastAsia="ru-RU"/>
              </w:rPr>
              <w:t>Planurile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conțin</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elementele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stabilite</w:t>
            </w:r>
            <w:proofErr w:type="spellEnd"/>
            <w:r w:rsidRPr="00822601">
              <w:rPr>
                <w:rFonts w:ascii="Times New Roman" w:hAnsi="Times New Roman"/>
                <w:sz w:val="20"/>
                <w:szCs w:val="20"/>
                <w:lang w:val="fr-FR" w:eastAsia="ru-RU"/>
              </w:rPr>
              <w:t xml:space="preserve"> la </w:t>
            </w:r>
            <w:proofErr w:type="spellStart"/>
            <w:r w:rsidRPr="00822601">
              <w:rPr>
                <w:rFonts w:ascii="Times New Roman" w:hAnsi="Times New Roman"/>
                <w:sz w:val="20"/>
                <w:szCs w:val="20"/>
                <w:lang w:val="fr-FR" w:eastAsia="ru-RU"/>
              </w:rPr>
              <w:t>alineatul</w:t>
            </w:r>
            <w:proofErr w:type="spellEnd"/>
            <w:r w:rsidRPr="00822601">
              <w:rPr>
                <w:rFonts w:ascii="Times New Roman" w:hAnsi="Times New Roman"/>
                <w:sz w:val="20"/>
                <w:szCs w:val="20"/>
                <w:lang w:val="fr-FR" w:eastAsia="ru-RU"/>
              </w:rPr>
              <w:t xml:space="preserve"> (2) </w:t>
            </w:r>
            <w:proofErr w:type="spellStart"/>
            <w:r w:rsidRPr="00822601">
              <w:rPr>
                <w:rFonts w:ascii="Times New Roman" w:hAnsi="Times New Roman"/>
                <w:sz w:val="20"/>
                <w:szCs w:val="20"/>
                <w:lang w:val="fr-FR" w:eastAsia="ru-RU"/>
              </w:rPr>
              <w:t>din</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prezentul</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articol</w:t>
            </w:r>
            <w:proofErr w:type="spellEnd"/>
            <w:r w:rsidRPr="00822601">
              <w:rPr>
                <w:rFonts w:ascii="Times New Roman" w:hAnsi="Times New Roman"/>
                <w:sz w:val="20"/>
                <w:szCs w:val="20"/>
                <w:lang w:val="fr-FR" w:eastAsia="ru-RU"/>
              </w:rPr>
              <w:t xml:space="preserve"> și în </w:t>
            </w:r>
            <w:proofErr w:type="spellStart"/>
            <w:r w:rsidRPr="00822601">
              <w:rPr>
                <w:rFonts w:ascii="Times New Roman" w:hAnsi="Times New Roman"/>
                <w:sz w:val="20"/>
                <w:szCs w:val="20"/>
                <w:lang w:val="fr-FR" w:eastAsia="ru-RU"/>
              </w:rPr>
              <w:t>anexa</w:t>
            </w:r>
            <w:proofErr w:type="spellEnd"/>
            <w:r w:rsidRPr="00822601">
              <w:rPr>
                <w:rFonts w:ascii="Times New Roman" w:hAnsi="Times New Roman"/>
                <w:sz w:val="20"/>
                <w:szCs w:val="20"/>
                <w:lang w:val="fr-FR" w:eastAsia="ru-RU"/>
              </w:rPr>
              <w:t xml:space="preserve"> I. </w:t>
            </w:r>
            <w:proofErr w:type="spellStart"/>
            <w:r w:rsidRPr="00822601">
              <w:rPr>
                <w:rFonts w:ascii="Times New Roman" w:hAnsi="Times New Roman"/>
                <w:sz w:val="20"/>
                <w:szCs w:val="20"/>
                <w:lang w:val="fr-FR" w:eastAsia="ru-RU"/>
              </w:rPr>
              <w:t>Primul</w:t>
            </w:r>
            <w:proofErr w:type="spellEnd"/>
            <w:r w:rsidRPr="00822601">
              <w:rPr>
                <w:rFonts w:ascii="Times New Roman" w:hAnsi="Times New Roman"/>
                <w:sz w:val="20"/>
                <w:szCs w:val="20"/>
                <w:lang w:val="fr-FR" w:eastAsia="ru-RU"/>
              </w:rPr>
              <w:t xml:space="preserve"> plan </w:t>
            </w:r>
            <w:proofErr w:type="spellStart"/>
            <w:r w:rsidRPr="00822601">
              <w:rPr>
                <w:rFonts w:ascii="Times New Roman" w:hAnsi="Times New Roman"/>
                <w:sz w:val="20"/>
                <w:szCs w:val="20"/>
                <w:lang w:val="fr-FR" w:eastAsia="ru-RU"/>
              </w:rPr>
              <w:t>vizează</w:t>
            </w:r>
            <w:proofErr w:type="spellEnd"/>
            <w:r w:rsidRPr="00822601">
              <w:rPr>
                <w:rFonts w:ascii="Times New Roman" w:hAnsi="Times New Roman"/>
                <w:sz w:val="20"/>
                <w:szCs w:val="20"/>
                <w:lang w:val="fr-FR" w:eastAsia="ru-RU"/>
              </w:rPr>
              <w:t xml:space="preserve"> perioada 2021-2030, </w:t>
            </w:r>
            <w:proofErr w:type="spellStart"/>
            <w:r w:rsidRPr="00822601">
              <w:rPr>
                <w:rFonts w:ascii="Times New Roman" w:hAnsi="Times New Roman"/>
                <w:sz w:val="20"/>
                <w:szCs w:val="20"/>
                <w:lang w:val="fr-FR" w:eastAsia="ru-RU"/>
              </w:rPr>
              <w:t>ținând</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seama</w:t>
            </w:r>
            <w:proofErr w:type="spellEnd"/>
            <w:r w:rsidRPr="00822601">
              <w:rPr>
                <w:rFonts w:ascii="Times New Roman" w:hAnsi="Times New Roman"/>
                <w:sz w:val="20"/>
                <w:szCs w:val="20"/>
                <w:lang w:val="fr-FR" w:eastAsia="ru-RU"/>
              </w:rPr>
              <w:t xml:space="preserve"> de </w:t>
            </w:r>
            <w:proofErr w:type="spellStart"/>
            <w:r w:rsidRPr="00822601">
              <w:rPr>
                <w:rFonts w:ascii="Times New Roman" w:hAnsi="Times New Roman"/>
                <w:sz w:val="20"/>
                <w:szCs w:val="20"/>
                <w:lang w:val="fr-FR" w:eastAsia="ru-RU"/>
              </w:rPr>
              <w:t>perspectiva</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pe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termen</w:t>
            </w:r>
            <w:proofErr w:type="spellEnd"/>
            <w:r w:rsidRPr="00822601">
              <w:rPr>
                <w:rFonts w:ascii="Times New Roman" w:hAnsi="Times New Roman"/>
                <w:sz w:val="20"/>
                <w:szCs w:val="20"/>
                <w:lang w:val="fr-FR" w:eastAsia="ru-RU"/>
              </w:rPr>
              <w:t xml:space="preserve"> mai </w:t>
            </w:r>
            <w:proofErr w:type="spellStart"/>
            <w:r w:rsidRPr="00822601">
              <w:rPr>
                <w:rFonts w:ascii="Times New Roman" w:hAnsi="Times New Roman"/>
                <w:sz w:val="20"/>
                <w:szCs w:val="20"/>
                <w:lang w:val="fr-FR" w:eastAsia="ru-RU"/>
              </w:rPr>
              <w:t>lung</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Planurile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ulterioare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vizează</w:t>
            </w:r>
            <w:proofErr w:type="spellEnd"/>
            <w:r w:rsidRPr="00822601">
              <w:rPr>
                <w:rFonts w:ascii="Times New Roman" w:hAnsi="Times New Roman"/>
                <w:sz w:val="20"/>
                <w:szCs w:val="20"/>
                <w:lang w:val="fr-FR" w:eastAsia="ru-RU"/>
              </w:rPr>
              <w:t xml:space="preserve"> perioada de </w:t>
            </w:r>
            <w:proofErr w:type="spellStart"/>
            <w:r w:rsidRPr="00822601">
              <w:rPr>
                <w:rFonts w:ascii="Times New Roman" w:hAnsi="Times New Roman"/>
                <w:sz w:val="20"/>
                <w:szCs w:val="20"/>
                <w:lang w:val="fr-FR" w:eastAsia="ru-RU"/>
              </w:rPr>
              <w:t>zece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ani</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imediat</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următoare</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sfârșitului</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perioadei</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vizate</w:t>
            </w:r>
            <w:proofErr w:type="spellEnd"/>
            <w:r w:rsidRPr="00822601">
              <w:rPr>
                <w:rFonts w:ascii="Times New Roman" w:hAnsi="Times New Roman"/>
                <w:sz w:val="20"/>
                <w:szCs w:val="20"/>
                <w:lang w:val="fr-FR" w:eastAsia="ru-RU"/>
              </w:rPr>
              <w:t xml:space="preserve"> de </w:t>
            </w:r>
            <w:proofErr w:type="spellStart"/>
            <w:r w:rsidRPr="00822601">
              <w:rPr>
                <w:rFonts w:ascii="Times New Roman" w:hAnsi="Times New Roman"/>
                <w:sz w:val="20"/>
                <w:szCs w:val="20"/>
                <w:lang w:val="fr-FR" w:eastAsia="ru-RU"/>
              </w:rPr>
              <w:t>planul</w:t>
            </w:r>
            <w:proofErr w:type="spellEnd"/>
            <w:r w:rsidRPr="00822601">
              <w:rPr>
                <w:rFonts w:ascii="Times New Roman" w:hAnsi="Times New Roman"/>
                <w:sz w:val="20"/>
                <w:szCs w:val="20"/>
                <w:lang w:val="fr-FR" w:eastAsia="ru-RU"/>
              </w:rPr>
              <w:t xml:space="preserve"> </w:t>
            </w:r>
            <w:proofErr w:type="spellStart"/>
            <w:r w:rsidRPr="00822601">
              <w:rPr>
                <w:rFonts w:ascii="Times New Roman" w:hAnsi="Times New Roman"/>
                <w:sz w:val="20"/>
                <w:szCs w:val="20"/>
                <w:lang w:val="fr-FR" w:eastAsia="ru-RU"/>
              </w:rPr>
              <w:t>anterior</w:t>
            </w:r>
            <w:proofErr w:type="spellEnd"/>
            <w:r w:rsidRPr="00822601">
              <w:rPr>
                <w:rFonts w:ascii="Times New Roman" w:hAnsi="Times New Roman"/>
                <w:sz w:val="20"/>
                <w:szCs w:val="20"/>
                <w:lang w:val="fr-FR" w:eastAsia="ru-RU"/>
              </w:rPr>
              <w:t>.</w:t>
            </w:r>
          </w:p>
        </w:tc>
        <w:tc>
          <w:tcPr>
            <w:tcW w:w="4440" w:type="dxa"/>
          </w:tcPr>
          <w:p w14:paraId="7337A40F" w14:textId="770F8544" w:rsidR="00D37AB7" w:rsidRPr="00C53960" w:rsidRDefault="00D37AB7" w:rsidP="00822601">
            <w:pPr>
              <w:shd w:val="clear" w:color="auto" w:fill="FFFFFF"/>
              <w:suppressAutoHyphens w:val="0"/>
              <w:autoSpaceDN/>
              <w:adjustRightInd w:val="0"/>
              <w:spacing w:after="0" w:line="240" w:lineRule="auto"/>
              <w:jc w:val="both"/>
              <w:textAlignment w:val="top"/>
              <w:rPr>
                <w:rFonts w:ascii="Times New Roman" w:hAnsi="Times New Roman"/>
                <w:color w:val="000000" w:themeColor="text1"/>
                <w:sz w:val="20"/>
                <w:szCs w:val="20"/>
                <w:lang w:val="ro-RO"/>
              </w:rPr>
            </w:pPr>
          </w:p>
        </w:tc>
        <w:tc>
          <w:tcPr>
            <w:tcW w:w="1276" w:type="dxa"/>
          </w:tcPr>
          <w:p w14:paraId="389DBC59" w14:textId="28BE0F2D" w:rsidR="00D37AB7" w:rsidRPr="00C84630" w:rsidRDefault="00822601" w:rsidP="00D37AB7">
            <w:pPr>
              <w:pStyle w:val="ColorfulList-Accent11"/>
              <w:spacing w:after="0" w:line="240" w:lineRule="auto"/>
              <w:ind w:left="0"/>
              <w:jc w:val="both"/>
              <w:rPr>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7FD4CB60" w14:textId="77777777" w:rsidR="00D37AB7" w:rsidRPr="00C951E7" w:rsidRDefault="00D37AB7" w:rsidP="00D37AB7">
            <w:pPr>
              <w:widowControl w:val="0"/>
              <w:autoSpaceDE w:val="0"/>
              <w:adjustRightInd w:val="0"/>
              <w:spacing w:after="240" w:line="240" w:lineRule="auto"/>
              <w:rPr>
                <w:rFonts w:ascii="Times New Roman" w:hAnsi="Times New Roman"/>
                <w:sz w:val="20"/>
                <w:szCs w:val="20"/>
                <w:lang w:val="ro-RO"/>
              </w:rPr>
            </w:pPr>
            <w:r w:rsidRPr="00C951E7">
              <w:rPr>
                <w:rFonts w:ascii="Times New Roman" w:hAnsi="Times New Roman"/>
                <w:sz w:val="20"/>
                <w:szCs w:val="20"/>
                <w:lang w:val="ro-RO"/>
              </w:rPr>
              <w:t xml:space="preserve">Prevederi cu specific </w:t>
            </w:r>
            <w:proofErr w:type="spellStart"/>
            <w:r w:rsidRPr="00C951E7">
              <w:rPr>
                <w:rFonts w:ascii="Times New Roman" w:hAnsi="Times New Roman"/>
                <w:sz w:val="20"/>
                <w:szCs w:val="20"/>
                <w:lang w:val="ro-RO"/>
              </w:rPr>
              <w:t>național</w:t>
            </w:r>
            <w:proofErr w:type="spellEnd"/>
            <w:r w:rsidRPr="00C951E7">
              <w:rPr>
                <w:rFonts w:ascii="Times New Roman" w:hAnsi="Times New Roman"/>
                <w:sz w:val="20"/>
                <w:szCs w:val="20"/>
                <w:lang w:val="ro-RO"/>
              </w:rPr>
              <w:t xml:space="preserve">, elaborate în conformitate cu tehnica </w:t>
            </w:r>
            <w:r w:rsidRPr="00C951E7">
              <w:rPr>
                <w:rFonts w:ascii="Times New Roman" w:hAnsi="Times New Roman"/>
                <w:sz w:val="20"/>
                <w:szCs w:val="20"/>
                <w:lang w:val="ro-RO"/>
              </w:rPr>
              <w:lastRenderedPageBreak/>
              <w:t>legislativă națională.</w:t>
            </w:r>
          </w:p>
          <w:p w14:paraId="164F8790" w14:textId="77777777" w:rsidR="00D37AB7" w:rsidRPr="00C84630" w:rsidRDefault="00D37AB7" w:rsidP="00D37AB7">
            <w:pPr>
              <w:pStyle w:val="ColorfulList-Accent11"/>
              <w:spacing w:after="0" w:line="240" w:lineRule="auto"/>
              <w:ind w:left="0"/>
              <w:jc w:val="both"/>
              <w:rPr>
                <w:lang w:val="ro-RO"/>
              </w:rPr>
            </w:pPr>
          </w:p>
        </w:tc>
        <w:tc>
          <w:tcPr>
            <w:tcW w:w="1701" w:type="dxa"/>
          </w:tcPr>
          <w:p w14:paraId="5C4D75E6" w14:textId="41311D3F" w:rsidR="00BF0AB7" w:rsidRPr="00F13819" w:rsidRDefault="00993150" w:rsidP="00BF0AB7">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lastRenderedPageBreak/>
              <w:t>Prevederile privind termen</w:t>
            </w:r>
            <w:r w:rsidR="00CB126B">
              <w:rPr>
                <w:rFonts w:ascii="Times New Roman" w:hAnsi="Times New Roman"/>
                <w:sz w:val="20"/>
                <w:szCs w:val="20"/>
                <w:lang w:val="ro-RO"/>
              </w:rPr>
              <w:t>ele</w:t>
            </w:r>
            <w:r>
              <w:rPr>
                <w:rFonts w:ascii="Times New Roman" w:hAnsi="Times New Roman"/>
                <w:sz w:val="20"/>
                <w:szCs w:val="20"/>
                <w:lang w:val="ro-RO"/>
              </w:rPr>
              <w:t xml:space="preserve"> și angajamentele din Regulamentul </w:t>
            </w:r>
            <w:r w:rsidR="00AE5D4F" w:rsidRPr="00AE5D4F">
              <w:rPr>
                <w:rFonts w:ascii="Times New Roman" w:hAnsi="Times New Roman"/>
                <w:sz w:val="20"/>
                <w:szCs w:val="20"/>
                <w:shd w:val="clear" w:color="auto" w:fill="FFFFFF"/>
                <w:lang w:val="ro-RO"/>
              </w:rPr>
              <w:t>(UE) 2018/1999</w:t>
            </w:r>
            <w:r w:rsidR="00AE5D4F"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w:t>
            </w:r>
            <w:r>
              <w:rPr>
                <w:rFonts w:ascii="Times New Roman" w:hAnsi="Times New Roman"/>
                <w:sz w:val="20"/>
                <w:szCs w:val="20"/>
                <w:lang w:val="ro-RO"/>
              </w:rPr>
              <w:lastRenderedPageBreak/>
              <w:t xml:space="preserve">concordanță </w:t>
            </w:r>
            <w:r w:rsidR="00BF0AB7">
              <w:rPr>
                <w:rFonts w:ascii="Times New Roman" w:hAnsi="Times New Roman"/>
                <w:sz w:val="20"/>
                <w:szCs w:val="20"/>
                <w:lang w:val="ro-RO"/>
              </w:rPr>
              <w:t xml:space="preserve">cu </w:t>
            </w:r>
            <w:r w:rsidR="00BF0AB7" w:rsidRPr="00F13819">
              <w:rPr>
                <w:rFonts w:ascii="Times New Roman" w:eastAsia="Times New Roman" w:hAnsi="Times New Roman"/>
                <w:sz w:val="20"/>
                <w:szCs w:val="20"/>
                <w:lang w:val="ro-RO"/>
              </w:rPr>
              <w:t>Decizi</w:t>
            </w:r>
            <w:r w:rsidR="00BF0AB7">
              <w:rPr>
                <w:rFonts w:ascii="Times New Roman" w:eastAsia="Times New Roman" w:hAnsi="Times New Roman"/>
                <w:sz w:val="20"/>
                <w:szCs w:val="20"/>
                <w:lang w:val="ro-RO"/>
              </w:rPr>
              <w:t>a</w:t>
            </w:r>
            <w:r w:rsidR="00BF0AB7" w:rsidRPr="00F13819">
              <w:rPr>
                <w:rFonts w:ascii="Times New Roman" w:eastAsia="Times New Roman" w:hAnsi="Times New Roman"/>
                <w:sz w:val="20"/>
                <w:szCs w:val="20"/>
                <w:lang w:val="ro-RO"/>
              </w:rPr>
              <w:t xml:space="preserve"> Consiliului Ministerial al Comunității Energetice nr. D/2021/14/MC-</w:t>
            </w:r>
            <w:proofErr w:type="spellStart"/>
            <w:r w:rsidR="00BF0AB7" w:rsidRPr="00F13819">
              <w:rPr>
                <w:rFonts w:ascii="Times New Roman" w:eastAsia="Times New Roman" w:hAnsi="Times New Roman"/>
                <w:sz w:val="20"/>
                <w:szCs w:val="20"/>
                <w:lang w:val="ro-RO"/>
              </w:rPr>
              <w:t>EnC</w:t>
            </w:r>
            <w:proofErr w:type="spellEnd"/>
            <w:r w:rsidR="00BF0AB7" w:rsidRPr="00F13819">
              <w:rPr>
                <w:rFonts w:ascii="Times New Roman" w:eastAsia="Times New Roman" w:hAnsi="Times New Roman"/>
                <w:sz w:val="20"/>
                <w:szCs w:val="20"/>
                <w:lang w:val="ro-RO"/>
              </w:rPr>
              <w:t xml:space="preserve"> din 30.11.2021</w:t>
            </w:r>
            <w:r w:rsidR="005B25B7">
              <w:rPr>
                <w:rFonts w:ascii="Times New Roman" w:eastAsia="Times New Roman" w:hAnsi="Times New Roman"/>
                <w:sz w:val="20"/>
                <w:szCs w:val="20"/>
                <w:lang w:val="ro-RO"/>
              </w:rPr>
              <w:t xml:space="preserve"> și </w:t>
            </w:r>
            <w:r w:rsidR="005B25B7" w:rsidRPr="00F13819">
              <w:rPr>
                <w:rFonts w:ascii="Times New Roman" w:eastAsia="Times New Roman" w:hAnsi="Times New Roman"/>
                <w:sz w:val="20"/>
                <w:szCs w:val="20"/>
                <w:lang w:val="ro-RO"/>
              </w:rPr>
              <w:t>D/202</w:t>
            </w:r>
            <w:r w:rsidR="005B25B7">
              <w:rPr>
                <w:rFonts w:ascii="Times New Roman" w:eastAsia="Times New Roman" w:hAnsi="Times New Roman"/>
                <w:sz w:val="20"/>
                <w:szCs w:val="20"/>
                <w:lang w:val="ro-RO"/>
              </w:rPr>
              <w:t>2</w:t>
            </w:r>
            <w:r w:rsidR="005B25B7" w:rsidRPr="00F13819">
              <w:rPr>
                <w:rFonts w:ascii="Times New Roman" w:eastAsia="Times New Roman" w:hAnsi="Times New Roman"/>
                <w:sz w:val="20"/>
                <w:szCs w:val="20"/>
                <w:lang w:val="ro-RO"/>
              </w:rPr>
              <w:t>/</w:t>
            </w:r>
            <w:r w:rsidR="005B25B7">
              <w:rPr>
                <w:rFonts w:ascii="Times New Roman" w:eastAsia="Times New Roman" w:hAnsi="Times New Roman"/>
                <w:sz w:val="20"/>
                <w:szCs w:val="20"/>
                <w:lang w:val="ro-RO"/>
              </w:rPr>
              <w:t>02</w:t>
            </w:r>
            <w:r w:rsidR="005B25B7" w:rsidRPr="00F13819">
              <w:rPr>
                <w:rFonts w:ascii="Times New Roman" w:eastAsia="Times New Roman" w:hAnsi="Times New Roman"/>
                <w:sz w:val="20"/>
                <w:szCs w:val="20"/>
                <w:lang w:val="ro-RO"/>
              </w:rPr>
              <w:t>/MC-</w:t>
            </w:r>
            <w:proofErr w:type="spellStart"/>
            <w:r w:rsidR="005B25B7" w:rsidRPr="00F13819">
              <w:rPr>
                <w:rFonts w:ascii="Times New Roman" w:eastAsia="Times New Roman" w:hAnsi="Times New Roman"/>
                <w:sz w:val="20"/>
                <w:szCs w:val="20"/>
                <w:lang w:val="ro-RO"/>
              </w:rPr>
              <w:t>EnC</w:t>
            </w:r>
            <w:proofErr w:type="spellEnd"/>
            <w:r w:rsidR="005B25B7" w:rsidRPr="00F13819">
              <w:rPr>
                <w:rFonts w:ascii="Times New Roman" w:eastAsia="Times New Roman" w:hAnsi="Times New Roman"/>
                <w:sz w:val="20"/>
                <w:szCs w:val="20"/>
                <w:lang w:val="ro-RO"/>
              </w:rPr>
              <w:t xml:space="preserve"> din </w:t>
            </w:r>
            <w:r w:rsidR="005B25B7">
              <w:rPr>
                <w:rFonts w:ascii="Times New Roman" w:eastAsia="Times New Roman" w:hAnsi="Times New Roman"/>
                <w:sz w:val="20"/>
                <w:szCs w:val="20"/>
                <w:lang w:val="ro-RO"/>
              </w:rPr>
              <w:t>15</w:t>
            </w:r>
            <w:r w:rsidR="005B25B7" w:rsidRPr="00F13819">
              <w:rPr>
                <w:rFonts w:ascii="Times New Roman" w:eastAsia="Times New Roman" w:hAnsi="Times New Roman"/>
                <w:sz w:val="20"/>
                <w:szCs w:val="20"/>
                <w:lang w:val="ro-RO"/>
              </w:rPr>
              <w:t>.1</w:t>
            </w:r>
            <w:r w:rsidR="005B25B7">
              <w:rPr>
                <w:rFonts w:ascii="Times New Roman" w:eastAsia="Times New Roman" w:hAnsi="Times New Roman"/>
                <w:sz w:val="20"/>
                <w:szCs w:val="20"/>
                <w:lang w:val="ro-RO"/>
              </w:rPr>
              <w:t>2</w:t>
            </w:r>
            <w:r w:rsidR="005B25B7" w:rsidRPr="00F13819">
              <w:rPr>
                <w:rFonts w:ascii="Times New Roman" w:eastAsia="Times New Roman" w:hAnsi="Times New Roman"/>
                <w:sz w:val="20"/>
                <w:szCs w:val="20"/>
                <w:lang w:val="ro-RO"/>
              </w:rPr>
              <w:t>.202</w:t>
            </w:r>
            <w:r w:rsidR="005B25B7">
              <w:rPr>
                <w:rFonts w:ascii="Times New Roman" w:eastAsia="Times New Roman" w:hAnsi="Times New Roman"/>
                <w:sz w:val="20"/>
                <w:szCs w:val="20"/>
                <w:lang w:val="ro-RO"/>
              </w:rPr>
              <w:t>2</w:t>
            </w:r>
            <w:r w:rsidR="00BF0AB7">
              <w:rPr>
                <w:rFonts w:ascii="Times New Roman" w:eastAsia="Times New Roman" w:hAnsi="Times New Roman"/>
                <w:sz w:val="20"/>
                <w:szCs w:val="20"/>
                <w:lang w:val="ro-RO"/>
              </w:rPr>
              <w:t xml:space="preserve">. </w:t>
            </w:r>
          </w:p>
          <w:p w14:paraId="297E69D5" w14:textId="5FF8C1FB" w:rsidR="00237F95" w:rsidRPr="007E64AF" w:rsidRDefault="00237F95" w:rsidP="00237F95">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514FAA">
              <w:rPr>
                <w:rFonts w:ascii="Times New Roman" w:eastAsia="Times New Roman" w:hAnsi="Times New Roman"/>
                <w:sz w:val="20"/>
                <w:szCs w:val="20"/>
                <w:lang w:val="ro-RO" w:eastAsia="ru-RU"/>
              </w:rPr>
              <w:t>la pct.</w:t>
            </w:r>
            <w:r>
              <w:rPr>
                <w:rFonts w:ascii="Times New Roman" w:eastAsia="Times New Roman" w:hAnsi="Times New Roman"/>
                <w:sz w:val="20"/>
                <w:szCs w:val="20"/>
                <w:lang w:val="ro-RO" w:eastAsia="ru-RU"/>
              </w:rPr>
              <w:t xml:space="preserve"> </w:t>
            </w:r>
            <w:r w:rsidR="00514FAA">
              <w:rPr>
                <w:rFonts w:ascii="Times New Roman" w:eastAsia="Times New Roman" w:hAnsi="Times New Roman"/>
                <w:sz w:val="20"/>
                <w:szCs w:val="20"/>
                <w:lang w:val="ro-RO" w:eastAsia="ru-RU"/>
              </w:rPr>
              <w:t>5 și pct.6 din</w:t>
            </w:r>
          </w:p>
          <w:p w14:paraId="04106201" w14:textId="61A46F72" w:rsidR="00D37AB7" w:rsidRPr="00515AD7" w:rsidRDefault="00237F95" w:rsidP="00D37AB7">
            <w:pPr>
              <w:pStyle w:val="ColorfulList-Accent11"/>
              <w:spacing w:after="0" w:line="240" w:lineRule="auto"/>
              <w:ind w:left="0"/>
              <w:jc w:val="both"/>
              <w:rPr>
                <w:color w:val="FF0000"/>
                <w:sz w:val="20"/>
                <w:szCs w:val="20"/>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038C66CE" w14:textId="6D225EAA" w:rsidR="00D37AB7" w:rsidRPr="00C84630" w:rsidRDefault="00D37AB7" w:rsidP="00822601">
            <w:pPr>
              <w:autoSpaceDE w:val="0"/>
              <w:spacing w:after="0" w:line="240" w:lineRule="auto"/>
              <w:rPr>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822601" w:rsidRPr="00A81801">
              <w:rPr>
                <w:rFonts w:ascii="Times New Roman" w:hAnsi="Times New Roman"/>
                <w:color w:val="000000" w:themeColor="text1"/>
                <w:sz w:val="20"/>
                <w:szCs w:val="20"/>
              </w:rPr>
              <w:t>Energiei</w:t>
            </w:r>
          </w:p>
        </w:tc>
      </w:tr>
      <w:tr w:rsidR="00D37AB7" w:rsidRPr="00E10E0F" w14:paraId="7B45D4C1" w14:textId="77777777" w:rsidTr="00A90105">
        <w:tc>
          <w:tcPr>
            <w:tcW w:w="4945" w:type="dxa"/>
          </w:tcPr>
          <w:p w14:paraId="05EAE0B7" w14:textId="27A35825" w:rsidR="00D37AB7" w:rsidRPr="00822601" w:rsidRDefault="00D37AB7" w:rsidP="00ED3A3F">
            <w:pPr>
              <w:spacing w:after="0"/>
              <w:ind w:left="170"/>
              <w:rPr>
                <w:rFonts w:ascii="Times New Roman" w:hAnsi="Times New Roman"/>
                <w:sz w:val="20"/>
                <w:szCs w:val="20"/>
                <w:lang w:val="en-US" w:eastAsia="ru-RU"/>
              </w:rPr>
            </w:pPr>
            <w:r w:rsidRPr="00822601">
              <w:rPr>
                <w:rFonts w:ascii="Times New Roman" w:hAnsi="Times New Roman"/>
                <w:sz w:val="20"/>
                <w:szCs w:val="20"/>
                <w:lang w:val="en-US" w:eastAsia="ru-RU"/>
              </w:rPr>
              <w:t>(2)</w:t>
            </w:r>
            <w:r w:rsidR="00EB1B1F"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Planurile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naționale</w:t>
            </w:r>
            <w:proofErr w:type="spellEnd"/>
            <w:r w:rsidRPr="00822601">
              <w:rPr>
                <w:rFonts w:ascii="Times New Roman" w:hAnsi="Times New Roman"/>
                <w:sz w:val="20"/>
                <w:szCs w:val="20"/>
                <w:lang w:val="en-US" w:eastAsia="ru-RU"/>
              </w:rPr>
              <w:t xml:space="preserve"> integrate </w:t>
            </w:r>
            <w:proofErr w:type="spellStart"/>
            <w:r w:rsidRPr="00822601">
              <w:rPr>
                <w:rFonts w:ascii="Times New Roman" w:hAnsi="Times New Roman"/>
                <w:sz w:val="20"/>
                <w:szCs w:val="20"/>
                <w:lang w:val="en-US" w:eastAsia="ru-RU"/>
              </w:rPr>
              <w:t>privind</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energia</w:t>
            </w:r>
            <w:proofErr w:type="spellEnd"/>
            <w:r w:rsidRPr="00822601">
              <w:rPr>
                <w:rFonts w:ascii="Times New Roman" w:hAnsi="Times New Roman"/>
                <w:sz w:val="20"/>
                <w:szCs w:val="20"/>
                <w:lang w:val="en-US" w:eastAsia="ru-RU"/>
              </w:rPr>
              <w:t xml:space="preserve"> și </w:t>
            </w:r>
            <w:proofErr w:type="spellStart"/>
            <w:r w:rsidRPr="00822601">
              <w:rPr>
                <w:rFonts w:ascii="Times New Roman" w:hAnsi="Times New Roman"/>
                <w:sz w:val="20"/>
                <w:szCs w:val="20"/>
                <w:lang w:val="en-US" w:eastAsia="ru-RU"/>
              </w:rPr>
              <w:t>clima</w:t>
            </w:r>
            <w:proofErr w:type="spellEnd"/>
            <w:r w:rsidRPr="00822601">
              <w:rPr>
                <w:rFonts w:ascii="Times New Roman" w:hAnsi="Times New Roman"/>
                <w:sz w:val="20"/>
                <w:szCs w:val="20"/>
                <w:lang w:val="en-US" w:eastAsia="ru-RU"/>
              </w:rPr>
              <w:t xml:space="preserve"> sunt </w:t>
            </w:r>
            <w:proofErr w:type="spellStart"/>
            <w:r w:rsidRPr="00822601">
              <w:rPr>
                <w:rFonts w:ascii="Times New Roman" w:hAnsi="Times New Roman"/>
                <w:sz w:val="20"/>
                <w:szCs w:val="20"/>
                <w:lang w:val="en-US" w:eastAsia="ru-RU"/>
              </w:rPr>
              <w:t>compuse</w:t>
            </w:r>
            <w:proofErr w:type="spellEnd"/>
            <w:r w:rsidRPr="00822601">
              <w:rPr>
                <w:rFonts w:ascii="Times New Roman" w:hAnsi="Times New Roman"/>
                <w:sz w:val="20"/>
                <w:szCs w:val="20"/>
                <w:lang w:val="en-US" w:eastAsia="ru-RU"/>
              </w:rPr>
              <w:t xml:space="preserve"> din </w:t>
            </w:r>
            <w:proofErr w:type="spellStart"/>
            <w:r w:rsidRPr="00822601">
              <w:rPr>
                <w:rFonts w:ascii="Times New Roman" w:hAnsi="Times New Roman"/>
                <w:sz w:val="20"/>
                <w:szCs w:val="20"/>
                <w:lang w:val="en-US" w:eastAsia="ru-RU"/>
              </w:rPr>
              <w:t>următoarele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secțiuni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principale</w:t>
            </w:r>
            <w:proofErr w:type="spellEnd"/>
            <w:r w:rsidRPr="00822601">
              <w:rPr>
                <w:rFonts w:ascii="Times New Roman" w:hAnsi="Times New Roman"/>
                <w:sz w:val="20"/>
                <w:szCs w:val="20"/>
                <w:lang w:val="en-US" w:eastAsia="ru-RU"/>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568"/>
            </w:tblGrid>
            <w:tr w:rsidR="00EB1B1F" w:rsidRPr="007A690D" w14:paraId="58F21AD2" w14:textId="77777777" w:rsidTr="00D65968">
              <w:tc>
                <w:tcPr>
                  <w:tcW w:w="300" w:type="dxa"/>
                  <w:shd w:val="clear" w:color="auto" w:fill="FFFFFF"/>
                  <w:hideMark/>
                </w:tcPr>
                <w:p w14:paraId="1EBB6E6D" w14:textId="77777777" w:rsidR="00D37AB7" w:rsidRPr="00822601" w:rsidRDefault="00D37AB7" w:rsidP="00ED3A3F">
                  <w:pPr>
                    <w:spacing w:after="0"/>
                    <w:ind w:left="170"/>
                    <w:rPr>
                      <w:rFonts w:ascii="Times New Roman" w:hAnsi="Times New Roman"/>
                      <w:sz w:val="20"/>
                      <w:szCs w:val="20"/>
                      <w:lang w:val="ru-RU" w:eastAsia="ru-RU"/>
                    </w:rPr>
                  </w:pPr>
                  <w:r w:rsidRPr="00822601">
                    <w:rPr>
                      <w:rFonts w:ascii="Times New Roman" w:hAnsi="Times New Roman"/>
                      <w:sz w:val="20"/>
                      <w:szCs w:val="20"/>
                      <w:lang w:val="ru-RU" w:eastAsia="ru-RU"/>
                    </w:rPr>
                    <w:t>(a)</w:t>
                  </w:r>
                </w:p>
              </w:tc>
              <w:tc>
                <w:tcPr>
                  <w:tcW w:w="9055" w:type="dxa"/>
                  <w:shd w:val="clear" w:color="auto" w:fill="FFFFFF"/>
                  <w:hideMark/>
                </w:tcPr>
                <w:p w14:paraId="6AF2C1D9" w14:textId="54EBC178" w:rsidR="00D37AB7" w:rsidRPr="007A2B9D" w:rsidRDefault="00D37AB7" w:rsidP="000C5A3B">
                  <w:pPr>
                    <w:pStyle w:val="af3"/>
                    <w:numPr>
                      <w:ilvl w:val="0"/>
                      <w:numId w:val="86"/>
                    </w:numPr>
                    <w:spacing w:after="0"/>
                    <w:ind w:left="57" w:firstLine="0"/>
                    <w:jc w:val="both"/>
                    <w:rPr>
                      <w:rFonts w:ascii="Times New Roman" w:hAnsi="Times New Roman"/>
                      <w:sz w:val="20"/>
                      <w:szCs w:val="20"/>
                      <w:lang w:val="en-US" w:eastAsia="ru-RU"/>
                    </w:rPr>
                  </w:pPr>
                  <w:proofErr w:type="spellStart"/>
                  <w:r w:rsidRPr="00822601">
                    <w:rPr>
                      <w:rFonts w:ascii="Times New Roman" w:hAnsi="Times New Roman"/>
                      <w:sz w:val="20"/>
                      <w:szCs w:val="20"/>
                      <w:lang w:val="en-US" w:eastAsia="ru-RU"/>
                    </w:rPr>
                    <w:t>prezentare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general</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procesului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urmat</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pentru</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stabilirea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planului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na</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ional</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integrat</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privind</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energia</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clima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const</w:t>
                  </w:r>
                  <w:r w:rsidRPr="007A2B9D">
                    <w:rPr>
                      <w:rFonts w:ascii="Times New Roman" w:hAnsi="Times New Roman"/>
                      <w:sz w:val="20"/>
                      <w:szCs w:val="20"/>
                      <w:lang w:val="en-US" w:eastAsia="ru-RU"/>
                    </w:rPr>
                    <w:t>â</w:t>
                  </w:r>
                  <w:r w:rsidRPr="00822601">
                    <w:rPr>
                      <w:rFonts w:ascii="Times New Roman" w:hAnsi="Times New Roman"/>
                      <w:sz w:val="20"/>
                      <w:szCs w:val="20"/>
                      <w:lang w:val="en-US" w:eastAsia="ru-RU"/>
                    </w:rPr>
                    <w:t>nd</w:t>
                  </w:r>
                  <w:proofErr w:type="spellEnd"/>
                  <w:r w:rsidRPr="007A2B9D">
                    <w:rPr>
                      <w:rFonts w:ascii="Times New Roman" w:hAnsi="Times New Roman"/>
                      <w:sz w:val="20"/>
                      <w:szCs w:val="20"/>
                      <w:lang w:val="en-US" w:eastAsia="ru-RU"/>
                    </w:rPr>
                    <w:t xml:space="preserve"> </w:t>
                  </w:r>
                  <w:proofErr w:type="spellStart"/>
                  <w:r w:rsidRPr="007A2B9D">
                    <w:rPr>
                      <w:rFonts w:ascii="Times New Roman" w:hAnsi="Times New Roman"/>
                      <w:sz w:val="20"/>
                      <w:szCs w:val="20"/>
                      <w:lang w:val="en-US" w:eastAsia="ru-RU"/>
                    </w:rPr>
                    <w:t>î</w:t>
                  </w:r>
                  <w:r w:rsidRPr="00822601">
                    <w:rPr>
                      <w:rFonts w:ascii="Times New Roman" w:hAnsi="Times New Roman"/>
                      <w:sz w:val="20"/>
                      <w:szCs w:val="20"/>
                      <w:lang w:val="en-US" w:eastAsia="ru-RU"/>
                    </w:rPr>
                    <w:t>ntr</w:t>
                  </w:r>
                  <w:proofErr w:type="spellEnd"/>
                  <w:r w:rsidRPr="007A2B9D">
                    <w:rPr>
                      <w:rFonts w:ascii="Times New Roman" w:hAnsi="Times New Roman"/>
                      <w:sz w:val="20"/>
                      <w:szCs w:val="20"/>
                      <w:lang w:val="en-US" w:eastAsia="ru-RU"/>
                    </w:rPr>
                    <w:t>-</w:t>
                  </w:r>
                  <w:r w:rsidRPr="00822601">
                    <w:rPr>
                      <w:rFonts w:ascii="Times New Roman" w:hAnsi="Times New Roman"/>
                      <w:sz w:val="20"/>
                      <w:szCs w:val="20"/>
                      <w:lang w:val="en-US" w:eastAsia="ru-RU"/>
                    </w:rPr>
                    <w:t>un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rezumat</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descriere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consult</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rii</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implic</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rii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publice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r</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interesate</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rezultatelor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acestora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precum</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cooper</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rii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regionale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alte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state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membre</w:t>
                  </w:r>
                  <w:proofErr w:type="spellEnd"/>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procesul</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elaborare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planului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astfel</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cum</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se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stabile</w:t>
                  </w:r>
                  <w:r w:rsidRPr="007A2B9D">
                    <w:rPr>
                      <w:rFonts w:ascii="Times New Roman" w:hAnsi="Times New Roman"/>
                      <w:sz w:val="20"/>
                      <w:szCs w:val="20"/>
                      <w:lang w:val="en-US" w:eastAsia="ru-RU"/>
                    </w:rPr>
                    <w:t>ș</w:t>
                  </w:r>
                  <w:r w:rsidRPr="00822601">
                    <w:rPr>
                      <w:rFonts w:ascii="Times New Roman" w:hAnsi="Times New Roman"/>
                      <w:sz w:val="20"/>
                      <w:szCs w:val="20"/>
                      <w:lang w:val="en-US" w:eastAsia="ru-RU"/>
                    </w:rPr>
                    <w:t>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articolele</w:t>
                  </w:r>
                  <w:proofErr w:type="spellEnd"/>
                  <w:r w:rsidR="00ED3A3F" w:rsidRPr="007A2B9D">
                    <w:rPr>
                      <w:rFonts w:ascii="Times New Roman" w:hAnsi="Times New Roman"/>
                      <w:sz w:val="20"/>
                      <w:szCs w:val="20"/>
                      <w:lang w:val="en-US" w:eastAsia="ru-RU"/>
                    </w:rPr>
                    <w:t xml:space="preserve"> </w:t>
                  </w:r>
                  <w:r w:rsidRPr="007A2B9D">
                    <w:rPr>
                      <w:rFonts w:ascii="Times New Roman" w:hAnsi="Times New Roman"/>
                      <w:sz w:val="20"/>
                      <w:szCs w:val="20"/>
                      <w:lang w:val="en-US" w:eastAsia="ru-RU"/>
                    </w:rPr>
                    <w:t>10, 11 ș</w:t>
                  </w:r>
                  <w:r w:rsidRPr="00822601">
                    <w:rPr>
                      <w:rFonts w:ascii="Times New Roman" w:hAnsi="Times New Roman"/>
                      <w:sz w:val="20"/>
                      <w:szCs w:val="20"/>
                      <w:lang w:val="en-US" w:eastAsia="ru-RU"/>
                    </w:rPr>
                    <w:t>i</w:t>
                  </w:r>
                  <w:r w:rsidR="00ED3A3F" w:rsidRPr="007A2B9D">
                    <w:rPr>
                      <w:rFonts w:ascii="Times New Roman" w:hAnsi="Times New Roman"/>
                      <w:sz w:val="20"/>
                      <w:szCs w:val="20"/>
                      <w:lang w:val="en-US" w:eastAsia="ru-RU"/>
                    </w:rPr>
                    <w:t xml:space="preserve"> </w:t>
                  </w:r>
                  <w:r w:rsidRPr="007A2B9D">
                    <w:rPr>
                      <w:rFonts w:ascii="Times New Roman" w:hAnsi="Times New Roman"/>
                      <w:sz w:val="20"/>
                      <w:szCs w:val="20"/>
                      <w:lang w:val="en-US" w:eastAsia="ru-RU"/>
                    </w:rPr>
                    <w:t>12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partea</w:t>
                  </w:r>
                  <w:proofErr w:type="spellEnd"/>
                  <w:r w:rsidR="006C0100" w:rsidRPr="007A2B9D">
                    <w:rPr>
                      <w:rFonts w:ascii="Times New Roman" w:hAnsi="Times New Roman"/>
                      <w:sz w:val="20"/>
                      <w:szCs w:val="20"/>
                      <w:lang w:val="en-US" w:eastAsia="ru-RU"/>
                    </w:rPr>
                    <w:t xml:space="preserve"> </w:t>
                  </w:r>
                  <w:r w:rsidRPr="007A2B9D">
                    <w:rPr>
                      <w:rFonts w:ascii="Times New Roman" w:hAnsi="Times New Roman"/>
                      <w:sz w:val="20"/>
                      <w:szCs w:val="20"/>
                      <w:lang w:val="en-US" w:eastAsia="ru-RU"/>
                    </w:rPr>
                    <w:t xml:space="preserve">1 </w:t>
                  </w:r>
                  <w:proofErr w:type="spellStart"/>
                  <w:r w:rsidRPr="00822601">
                    <w:rPr>
                      <w:rFonts w:ascii="Times New Roman" w:hAnsi="Times New Roman"/>
                      <w:sz w:val="20"/>
                      <w:szCs w:val="20"/>
                      <w:lang w:val="en-US" w:eastAsia="ru-RU"/>
                    </w:rPr>
                    <w:t>sec</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iunea</w:t>
                  </w:r>
                  <w:proofErr w:type="spellEnd"/>
                  <w:r w:rsidR="00ED3A3F"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punctul</w:t>
                  </w:r>
                  <w:proofErr w:type="spellEnd"/>
                  <w:r w:rsidR="00ED3A3F" w:rsidRPr="007A2B9D">
                    <w:rPr>
                      <w:rFonts w:ascii="Times New Roman" w:hAnsi="Times New Roman"/>
                      <w:sz w:val="20"/>
                      <w:szCs w:val="20"/>
                      <w:lang w:val="en-US" w:eastAsia="ru-RU"/>
                    </w:rPr>
                    <w:t xml:space="preserve"> </w:t>
                  </w:r>
                  <w:r w:rsidRPr="007A2B9D">
                    <w:rPr>
                      <w:rFonts w:ascii="Times New Roman" w:hAnsi="Times New Roman"/>
                      <w:sz w:val="20"/>
                      <w:szCs w:val="20"/>
                      <w:lang w:val="en-US" w:eastAsia="ru-RU"/>
                    </w:rPr>
                    <w:t xml:space="preserve">1 </w:t>
                  </w:r>
                  <w:r w:rsidRPr="00822601">
                    <w:rPr>
                      <w:rFonts w:ascii="Times New Roman" w:hAnsi="Times New Roman"/>
                      <w:sz w:val="20"/>
                      <w:szCs w:val="20"/>
                      <w:lang w:val="en-US" w:eastAsia="ru-RU"/>
                    </w:rPr>
                    <w:t>din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anexa</w:t>
                  </w:r>
                  <w:proofErr w:type="spellEnd"/>
                  <w:r w:rsidR="00ED3A3F"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w:t>
                  </w:r>
                </w:p>
                <w:p w14:paraId="3D094A6E" w14:textId="77777777" w:rsidR="00ED3A3F" w:rsidRPr="007A2B9D"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descriere</w:t>
                  </w:r>
                  <w:proofErr w:type="spellEnd"/>
                  <w:r w:rsidRPr="007A2B9D">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obiectivelor</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contribu</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na</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ionale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referitoare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dimensiunile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uniunii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energetice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astfel</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cum</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se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prevede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articolul</w:t>
                  </w:r>
                  <w:proofErr w:type="spellEnd"/>
                  <w:r w:rsidRPr="007A2B9D">
                    <w:rPr>
                      <w:rFonts w:ascii="Times New Roman" w:hAnsi="Times New Roman"/>
                      <w:sz w:val="20"/>
                      <w:szCs w:val="20"/>
                      <w:lang w:val="en-US" w:eastAsia="ru-RU"/>
                    </w:rPr>
                    <w:t xml:space="preserve"> 4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anexa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w:t>
                  </w:r>
                </w:p>
                <w:p w14:paraId="6538E68E" w14:textId="77777777" w:rsidR="00ED3A3F" w:rsidRPr="007A2B9D"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descriere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politicilor</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surilor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planificate</w:t>
                  </w:r>
                  <w:proofErr w:type="spellEnd"/>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raport</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obiectivele</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contribu</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corespunz</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toare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stabilite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litera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b</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precum</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prezentare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general</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investi</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necesare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pentru</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realizarea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obiectivelor</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contribu</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corespunz</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toare</w:t>
                  </w:r>
                  <w:proofErr w:type="spellEnd"/>
                  <w:r w:rsidRPr="007A2B9D">
                    <w:rPr>
                      <w:rFonts w:ascii="Times New Roman" w:hAnsi="Times New Roman"/>
                      <w:sz w:val="20"/>
                      <w:szCs w:val="20"/>
                      <w:lang w:val="en-US" w:eastAsia="ru-RU"/>
                    </w:rPr>
                    <w:t>;</w:t>
                  </w:r>
                </w:p>
                <w:p w14:paraId="33A6D59A" w14:textId="77777777" w:rsidR="00ED3A3F" w:rsidRPr="007A2B9D"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descriere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situa</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iei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actuale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celor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cinci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dimensiuni</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ale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uniunii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energetice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inclusiv</w:t>
                  </w:r>
                  <w:proofErr w:type="spellEnd"/>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ceea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prive</w:t>
                  </w:r>
                  <w:r w:rsidRPr="007A2B9D">
                    <w:rPr>
                      <w:rFonts w:ascii="Times New Roman" w:hAnsi="Times New Roman"/>
                      <w:sz w:val="20"/>
                      <w:szCs w:val="20"/>
                      <w:lang w:val="en-US" w:eastAsia="ru-RU"/>
                    </w:rPr>
                    <w:t>ș</w:t>
                  </w:r>
                  <w:r w:rsidRPr="00822601">
                    <w:rPr>
                      <w:rFonts w:ascii="Times New Roman" w:hAnsi="Times New Roman"/>
                      <w:sz w:val="20"/>
                      <w:szCs w:val="20"/>
                      <w:lang w:val="en-US" w:eastAsia="ru-RU"/>
                    </w:rPr>
                    <w:t>te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sistemul</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energetic</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emisiile</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absorb</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gaze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efect</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ser</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precum</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prognozele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legate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lastRenderedPageBreak/>
                    <w:t>obiectivele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men</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ionate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litera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b</w:t>
                  </w:r>
                  <w:r w:rsidRPr="007A2B9D">
                    <w:rPr>
                      <w:rFonts w:ascii="Times New Roman" w:hAnsi="Times New Roman"/>
                      <w:sz w:val="20"/>
                      <w:szCs w:val="20"/>
                      <w:lang w:val="en-US" w:eastAsia="ru-RU"/>
                    </w:rPr>
                    <w:t>)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raport</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politicile</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surile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deja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existente</w:t>
                  </w:r>
                  <w:proofErr w:type="spellEnd"/>
                  <w:r w:rsidRPr="007A2B9D">
                    <w:rPr>
                      <w:rFonts w:ascii="Times New Roman" w:hAnsi="Times New Roman"/>
                      <w:sz w:val="20"/>
                      <w:szCs w:val="20"/>
                      <w:lang w:val="en-US" w:eastAsia="ru-RU"/>
                    </w:rPr>
                    <w:t>;</w:t>
                  </w:r>
                </w:p>
                <w:p w14:paraId="11B8A5A8" w14:textId="77777777" w:rsidR="00ED3A3F" w:rsidRPr="007A2B9D" w:rsidRDefault="00ED3A3F" w:rsidP="000C5A3B">
                  <w:pPr>
                    <w:pStyle w:val="af3"/>
                    <w:numPr>
                      <w:ilvl w:val="0"/>
                      <w:numId w:val="86"/>
                    </w:numPr>
                    <w:spacing w:after="0"/>
                    <w:ind w:left="57" w:firstLine="0"/>
                    <w:jc w:val="both"/>
                    <w:rPr>
                      <w:rFonts w:ascii="Times New Roman" w:hAnsi="Times New Roman"/>
                      <w:sz w:val="20"/>
                      <w:szCs w:val="20"/>
                      <w:lang w:val="en-US" w:eastAsia="ru-RU"/>
                    </w:rPr>
                  </w:pPr>
                  <w:proofErr w:type="spellStart"/>
                  <w:r w:rsidRPr="00822601">
                    <w:rPr>
                      <w:rFonts w:ascii="Times New Roman" w:hAnsi="Times New Roman"/>
                      <w:sz w:val="20"/>
                      <w:szCs w:val="20"/>
                      <w:lang w:val="en-US" w:eastAsia="ru-RU"/>
                    </w:rPr>
                    <w:t>dac</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este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cazul</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descriere</w:t>
                  </w:r>
                  <w:proofErr w:type="spellEnd"/>
                  <w:r w:rsidRPr="007A2B9D">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obstacolelor</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barierelor</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normative</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alt</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natur</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calea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realiz</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rii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sau</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contribu</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iilor</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legate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energia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din</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surse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regenerabile</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eficien</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energetic</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w:t>
                  </w:r>
                </w:p>
                <w:p w14:paraId="72CDE8D7" w14:textId="2E13F909" w:rsidR="00646AFF" w:rsidRPr="00646AFF" w:rsidRDefault="00000000" w:rsidP="00646AFF">
                  <w:pPr>
                    <w:pStyle w:val="af3"/>
                    <w:spacing w:after="0"/>
                    <w:ind w:left="57"/>
                    <w:jc w:val="both"/>
                    <w:rPr>
                      <w:rFonts w:ascii="Times New Roman" w:hAnsi="Times New Roman"/>
                      <w:sz w:val="20"/>
                      <w:szCs w:val="20"/>
                      <w:lang w:val="ru-RU" w:eastAsia="ru-RU"/>
                    </w:rPr>
                  </w:pPr>
                  <w:hyperlink r:id="rId14" w:tooltip="32021R1119: REPLACED" w:history="1">
                    <w:r w:rsidR="00646AFF" w:rsidRPr="00646AFF">
                      <w:rPr>
                        <w:rStyle w:val="af6"/>
                        <w:rFonts w:ascii="Times New Roman" w:eastAsia="Arial Unicode MS" w:hAnsi="Times New Roman"/>
                        <w:b/>
                        <w:bCs/>
                        <w:color w:val="23527C"/>
                        <w:sz w:val="20"/>
                        <w:szCs w:val="20"/>
                        <w:shd w:val="clear" w:color="auto" w:fill="FFFFFF"/>
                      </w:rPr>
                      <w:t>▼M2</w:t>
                    </w:r>
                  </w:hyperlink>
                </w:p>
                <w:p w14:paraId="43116FF7" w14:textId="68D51C3F" w:rsidR="00ED3A3F" w:rsidRPr="007A2B9D"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o</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evaluare</w:t>
                  </w:r>
                  <w:proofErr w:type="spellEnd"/>
                  <w:r w:rsidRPr="007A2B9D">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impactului</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politicilor</w:t>
                  </w:r>
                  <w:proofErr w:type="spellEnd"/>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w:t>
                  </w:r>
                  <w:r w:rsidRPr="007A2B9D">
                    <w:rPr>
                      <w:rFonts w:ascii="Times New Roman" w:hAnsi="Times New Roman"/>
                      <w:sz w:val="20"/>
                      <w:szCs w:val="20"/>
                      <w:lang w:val="en-US" w:eastAsia="ru-RU"/>
                    </w:rPr>
                    <w:t>ă</w:t>
                  </w:r>
                  <w:r w:rsidRPr="00822601">
                    <w:rPr>
                      <w:rFonts w:ascii="Times New Roman" w:hAnsi="Times New Roman"/>
                      <w:sz w:val="20"/>
                      <w:szCs w:val="20"/>
                      <w:lang w:val="en-US" w:eastAsia="ru-RU"/>
                    </w:rPr>
                    <w:t>surilor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planificate</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pentru</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realizarea</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obiectivelor</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men</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ionate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litera</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b</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inclusiv</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coeren</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ei</w:t>
                  </w:r>
                  <w:proofErr w:type="spellEnd"/>
                  <w:r w:rsidRPr="007A2B9D">
                    <w:rPr>
                      <w:rFonts w:ascii="Times New Roman" w:hAnsi="Times New Roman"/>
                      <w:sz w:val="20"/>
                      <w:szCs w:val="20"/>
                      <w:lang w:val="en-US" w:eastAsia="ru-RU"/>
                    </w:rPr>
                    <w:t xml:space="preserve"> </w:t>
                  </w:r>
                  <w:r w:rsidRPr="00646AFF">
                    <w:rPr>
                      <w:rFonts w:ascii="Times New Roman" w:hAnsi="Times New Roman"/>
                      <w:sz w:val="20"/>
                      <w:szCs w:val="20"/>
                      <w:lang w:val="en-US" w:eastAsia="ru-RU"/>
                    </w:rPr>
                    <w:t>lor</w:t>
                  </w:r>
                  <w:r w:rsidRPr="007A2B9D">
                    <w:rPr>
                      <w:rFonts w:ascii="Times New Roman" w:hAnsi="Times New Roman"/>
                      <w:sz w:val="20"/>
                      <w:szCs w:val="20"/>
                      <w:lang w:val="en-US" w:eastAsia="ru-RU"/>
                    </w:rPr>
                    <w:t xml:space="preserve"> </w:t>
                  </w:r>
                  <w:bookmarkStart w:id="1" w:name="_Hlk139799692"/>
                  <w:r w:rsidR="00646AFF" w:rsidRPr="00646AFF">
                    <w:rPr>
                      <w:rFonts w:ascii="Times New Roman" w:eastAsia="Arial Unicode MS" w:hAnsi="Times New Roman"/>
                      <w:sz w:val="20"/>
                      <w:szCs w:val="20"/>
                      <w:shd w:val="clear" w:color="auto" w:fill="FFFFFF"/>
                    </w:rPr>
                    <w:t>cu</w:t>
                  </w:r>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obiectivul</w:t>
                  </w:r>
                  <w:proofErr w:type="spellEnd"/>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Uniunii</w:t>
                  </w:r>
                  <w:proofErr w:type="spellEnd"/>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privind</w:t>
                  </w:r>
                  <w:proofErr w:type="spellEnd"/>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neutralitatea</w:t>
                  </w:r>
                  <w:proofErr w:type="spellEnd"/>
                  <w:r w:rsidR="00646AFF" w:rsidRPr="007A2B9D">
                    <w:rPr>
                      <w:rFonts w:ascii="Times New Roman" w:eastAsia="Arial Unicode MS" w:hAnsi="Times New Roman"/>
                      <w:sz w:val="20"/>
                      <w:szCs w:val="20"/>
                      <w:shd w:val="clear" w:color="auto" w:fill="FFFFFF"/>
                      <w:lang w:val="en-US"/>
                    </w:rPr>
                    <w:t xml:space="preserve"> </w:t>
                  </w:r>
                  <w:r w:rsidR="00646AFF" w:rsidRPr="00646AFF">
                    <w:rPr>
                      <w:rFonts w:ascii="Times New Roman" w:eastAsia="Arial Unicode MS" w:hAnsi="Times New Roman"/>
                      <w:sz w:val="20"/>
                      <w:szCs w:val="20"/>
                      <w:shd w:val="clear" w:color="auto" w:fill="FFFFFF"/>
                    </w:rPr>
                    <w:t>climatic</w:t>
                  </w:r>
                  <w:r w:rsidR="00646AFF" w:rsidRPr="007A2B9D">
                    <w:rPr>
                      <w:rFonts w:ascii="Times New Roman" w:eastAsia="Arial Unicode MS" w:hAnsi="Times New Roman"/>
                      <w:sz w:val="20"/>
                      <w:szCs w:val="20"/>
                      <w:shd w:val="clear" w:color="auto" w:fill="FFFFFF"/>
                      <w:lang w:val="en-US"/>
                    </w:rPr>
                    <w:t xml:space="preserve">ă </w:t>
                  </w:r>
                  <w:bookmarkEnd w:id="1"/>
                  <w:proofErr w:type="spellStart"/>
                  <w:r w:rsidR="00646AFF" w:rsidRPr="00646AFF">
                    <w:rPr>
                      <w:rFonts w:ascii="Times New Roman" w:eastAsia="Arial Unicode MS" w:hAnsi="Times New Roman"/>
                      <w:sz w:val="20"/>
                      <w:szCs w:val="20"/>
                      <w:shd w:val="clear" w:color="auto" w:fill="FFFFFF"/>
                    </w:rPr>
                    <w:t>prev</w:t>
                  </w:r>
                  <w:proofErr w:type="spellEnd"/>
                  <w:r w:rsidR="00646AFF" w:rsidRPr="007A2B9D">
                    <w:rPr>
                      <w:rFonts w:ascii="Times New Roman" w:eastAsia="Arial Unicode MS" w:hAnsi="Times New Roman"/>
                      <w:sz w:val="20"/>
                      <w:szCs w:val="20"/>
                      <w:shd w:val="clear" w:color="auto" w:fill="FFFFFF"/>
                      <w:lang w:val="en-US"/>
                    </w:rPr>
                    <w:t>ă</w:t>
                  </w:r>
                  <w:proofErr w:type="spellStart"/>
                  <w:r w:rsidR="00646AFF" w:rsidRPr="00646AFF">
                    <w:rPr>
                      <w:rFonts w:ascii="Times New Roman" w:eastAsia="Arial Unicode MS" w:hAnsi="Times New Roman"/>
                      <w:sz w:val="20"/>
                      <w:szCs w:val="20"/>
                      <w:shd w:val="clear" w:color="auto" w:fill="FFFFFF"/>
                    </w:rPr>
                    <w:t>zut</w:t>
                  </w:r>
                  <w:proofErr w:type="spellEnd"/>
                  <w:r w:rsidR="00646AFF" w:rsidRPr="007A2B9D">
                    <w:rPr>
                      <w:rFonts w:ascii="Times New Roman" w:eastAsia="Arial Unicode MS" w:hAnsi="Times New Roman"/>
                      <w:sz w:val="20"/>
                      <w:szCs w:val="20"/>
                      <w:shd w:val="clear" w:color="auto" w:fill="FFFFFF"/>
                      <w:lang w:val="en-US"/>
                    </w:rPr>
                    <w:t xml:space="preserve"> </w:t>
                  </w:r>
                  <w:r w:rsidR="00646AFF" w:rsidRPr="00646AFF">
                    <w:rPr>
                      <w:rFonts w:ascii="Times New Roman" w:eastAsia="Arial Unicode MS" w:hAnsi="Times New Roman"/>
                      <w:sz w:val="20"/>
                      <w:szCs w:val="20"/>
                      <w:shd w:val="clear" w:color="auto" w:fill="FFFFFF"/>
                    </w:rPr>
                    <w:t>la</w:t>
                  </w:r>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articolul</w:t>
                  </w:r>
                  <w:proofErr w:type="spellEnd"/>
                  <w:r w:rsidR="00646AFF" w:rsidRPr="007A2B9D">
                    <w:rPr>
                      <w:rFonts w:ascii="Times New Roman" w:eastAsia="Arial Unicode MS" w:hAnsi="Times New Roman"/>
                      <w:sz w:val="20"/>
                      <w:szCs w:val="20"/>
                      <w:shd w:val="clear" w:color="auto" w:fill="FFFFFF"/>
                      <w:lang w:val="en-US"/>
                    </w:rPr>
                    <w:t xml:space="preserve"> 2 </w:t>
                  </w:r>
                  <w:proofErr w:type="spellStart"/>
                  <w:r w:rsidR="00646AFF" w:rsidRPr="00646AFF">
                    <w:rPr>
                      <w:rFonts w:ascii="Times New Roman" w:eastAsia="Arial Unicode MS" w:hAnsi="Times New Roman"/>
                      <w:sz w:val="20"/>
                      <w:szCs w:val="20"/>
                      <w:shd w:val="clear" w:color="auto" w:fill="FFFFFF"/>
                    </w:rPr>
                    <w:t>alineatul</w:t>
                  </w:r>
                  <w:proofErr w:type="spellEnd"/>
                  <w:r w:rsidR="00646AFF" w:rsidRPr="007A2B9D">
                    <w:rPr>
                      <w:rFonts w:ascii="Times New Roman" w:eastAsia="Arial Unicode MS" w:hAnsi="Times New Roman"/>
                      <w:sz w:val="20"/>
                      <w:szCs w:val="20"/>
                      <w:shd w:val="clear" w:color="auto" w:fill="FFFFFF"/>
                      <w:lang w:val="en-US"/>
                    </w:rPr>
                    <w:t xml:space="preserve"> (1) </w:t>
                  </w:r>
                  <w:r w:rsidR="00646AFF" w:rsidRPr="00646AFF">
                    <w:rPr>
                      <w:rFonts w:ascii="Times New Roman" w:eastAsia="Arial Unicode MS" w:hAnsi="Times New Roman"/>
                      <w:sz w:val="20"/>
                      <w:szCs w:val="20"/>
                      <w:shd w:val="clear" w:color="auto" w:fill="FFFFFF"/>
                    </w:rPr>
                    <w:t>din</w:t>
                  </w:r>
                  <w:r w:rsidR="00646AFF" w:rsidRPr="007A2B9D">
                    <w:rPr>
                      <w:rFonts w:ascii="Times New Roman" w:eastAsia="Arial Unicode MS" w:hAnsi="Times New Roman"/>
                      <w:sz w:val="20"/>
                      <w:szCs w:val="20"/>
                      <w:shd w:val="clear" w:color="auto" w:fill="FFFFFF"/>
                      <w:lang w:val="en-US"/>
                    </w:rPr>
                    <w:t xml:space="preserve"> </w:t>
                  </w:r>
                  <w:proofErr w:type="spellStart"/>
                  <w:r w:rsidR="00646AFF" w:rsidRPr="00646AFF">
                    <w:rPr>
                      <w:rFonts w:ascii="Times New Roman" w:eastAsia="Arial Unicode MS" w:hAnsi="Times New Roman"/>
                      <w:sz w:val="20"/>
                      <w:szCs w:val="20"/>
                      <w:shd w:val="clear" w:color="auto" w:fill="FFFFFF"/>
                    </w:rPr>
                    <w:t>Regulamentul</w:t>
                  </w:r>
                  <w:proofErr w:type="spellEnd"/>
                  <w:r w:rsidR="00646AFF" w:rsidRPr="007A2B9D">
                    <w:rPr>
                      <w:rFonts w:ascii="Times New Roman" w:eastAsia="Arial Unicode MS" w:hAnsi="Times New Roman"/>
                      <w:sz w:val="20"/>
                      <w:szCs w:val="20"/>
                      <w:shd w:val="clear" w:color="auto" w:fill="FFFFFF"/>
                      <w:lang w:val="en-US"/>
                    </w:rPr>
                    <w:t xml:space="preserve"> (</w:t>
                  </w:r>
                  <w:r w:rsidR="00646AFF" w:rsidRPr="00646AFF">
                    <w:rPr>
                      <w:rFonts w:ascii="Times New Roman" w:eastAsia="Arial Unicode MS" w:hAnsi="Times New Roman"/>
                      <w:sz w:val="20"/>
                      <w:szCs w:val="20"/>
                      <w:shd w:val="clear" w:color="auto" w:fill="FFFFFF"/>
                    </w:rPr>
                    <w:t>UE</w:t>
                  </w:r>
                  <w:r w:rsidR="00646AFF" w:rsidRPr="007A2B9D">
                    <w:rPr>
                      <w:rFonts w:ascii="Times New Roman" w:eastAsia="Arial Unicode MS" w:hAnsi="Times New Roman"/>
                      <w:sz w:val="20"/>
                      <w:szCs w:val="20"/>
                      <w:shd w:val="clear" w:color="auto" w:fill="FFFFFF"/>
                      <w:lang w:val="en-US"/>
                    </w:rPr>
                    <w:t>) 2021/1119</w:t>
                  </w:r>
                  <w:r w:rsidR="00646AFF" w:rsidRPr="00646AFF">
                    <w:rPr>
                      <w:rFonts w:ascii="Times New Roman" w:eastAsia="Arial Unicode MS" w:hAnsi="Times New Roman"/>
                      <w:sz w:val="20"/>
                      <w:szCs w:val="20"/>
                      <w:shd w:val="clear" w:color="auto" w:fill="FFFFFF"/>
                      <w:lang w:val="ro-MD"/>
                    </w:rPr>
                    <w:t>,</w:t>
                  </w:r>
                  <w:r w:rsidR="00646AFF" w:rsidRPr="00646AFF">
                    <w:rPr>
                      <w:rFonts w:ascii="Arial Unicode MS" w:eastAsia="Arial Unicode MS" w:hAnsi="Arial Unicode MS" w:cs="Arial Unicode MS"/>
                      <w:sz w:val="21"/>
                      <w:szCs w:val="21"/>
                      <w:shd w:val="clear" w:color="auto" w:fill="FFFFFF"/>
                      <w:lang w:val="ro-MD"/>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obiectivele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termen</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lung</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reducere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emisiilor</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gaze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efect</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ser</w:t>
                  </w:r>
                  <w:r w:rsidRPr="007A2B9D">
                    <w:rPr>
                      <w:rFonts w:ascii="Times New Roman" w:hAnsi="Times New Roman"/>
                      <w:sz w:val="20"/>
                      <w:szCs w:val="20"/>
                      <w:lang w:val="en-US" w:eastAsia="ru-RU"/>
                    </w:rPr>
                    <w:t>ă</w:t>
                  </w:r>
                  <w:proofErr w:type="spellEnd"/>
                  <w:r w:rsidRPr="007A2B9D">
                    <w:rPr>
                      <w:rFonts w:ascii="Times New Roman" w:hAnsi="Times New Roman"/>
                      <w:sz w:val="20"/>
                      <w:szCs w:val="20"/>
                      <w:lang w:val="en-US" w:eastAsia="ru-RU"/>
                    </w:rPr>
                    <w:t xml:space="preserve"> î</w:t>
                  </w:r>
                  <w:r w:rsidRPr="00822601">
                    <w:rPr>
                      <w:rFonts w:ascii="Times New Roman" w:hAnsi="Times New Roman"/>
                      <w:sz w:val="20"/>
                      <w:szCs w:val="20"/>
                      <w:lang w:val="en-US" w:eastAsia="ru-RU"/>
                    </w:rPr>
                    <w:t>n</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temeiul</w:t>
                  </w:r>
                  <w:proofErr w:type="spellEnd"/>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Acordului</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de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Paris</w:t>
                  </w:r>
                  <w:r w:rsidRPr="007A2B9D">
                    <w:rPr>
                      <w:rFonts w:ascii="Times New Roman" w:hAnsi="Times New Roman"/>
                      <w:sz w:val="20"/>
                      <w:szCs w:val="20"/>
                      <w:lang w:val="en-US" w:eastAsia="ru-RU"/>
                    </w:rPr>
                    <w:t xml:space="preserve"> ș</w:t>
                  </w:r>
                  <w:r w:rsidRPr="00822601">
                    <w:rPr>
                      <w:rFonts w:ascii="Times New Roman" w:hAnsi="Times New Roman"/>
                      <w:sz w:val="20"/>
                      <w:szCs w:val="20"/>
                      <w:lang w:val="en-US" w:eastAsia="ru-RU"/>
                    </w:rPr>
                    <w:t>i</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cu</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strategiile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pe</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termen</w:t>
                  </w:r>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lung</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men</w:t>
                  </w:r>
                  <w:r w:rsidRPr="007A2B9D">
                    <w:rPr>
                      <w:rFonts w:ascii="Times New Roman" w:hAnsi="Times New Roman"/>
                      <w:sz w:val="20"/>
                      <w:szCs w:val="20"/>
                      <w:lang w:val="en-US" w:eastAsia="ru-RU"/>
                    </w:rPr>
                    <w:t>ț</w:t>
                  </w:r>
                  <w:r w:rsidRPr="00822601">
                    <w:rPr>
                      <w:rFonts w:ascii="Times New Roman" w:hAnsi="Times New Roman"/>
                      <w:sz w:val="20"/>
                      <w:szCs w:val="20"/>
                      <w:lang w:val="en-US" w:eastAsia="ru-RU"/>
                    </w:rPr>
                    <w:t>ionate</w:t>
                  </w:r>
                  <w:proofErr w:type="spellEnd"/>
                  <w:r w:rsidRPr="007A2B9D">
                    <w:rPr>
                      <w:rFonts w:ascii="Times New Roman" w:hAnsi="Times New Roman"/>
                      <w:sz w:val="20"/>
                      <w:szCs w:val="20"/>
                      <w:lang w:val="en-US" w:eastAsia="ru-RU"/>
                    </w:rPr>
                    <w:t xml:space="preserve"> </w:t>
                  </w:r>
                  <w:r w:rsidRPr="00822601">
                    <w:rPr>
                      <w:rFonts w:ascii="Times New Roman" w:hAnsi="Times New Roman"/>
                      <w:sz w:val="20"/>
                      <w:szCs w:val="20"/>
                      <w:lang w:val="en-US" w:eastAsia="ru-RU"/>
                    </w:rPr>
                    <w:t>la</w:t>
                  </w:r>
                  <w:r w:rsidRPr="007A2B9D">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articolul</w:t>
                  </w:r>
                  <w:proofErr w:type="spellEnd"/>
                  <w:r w:rsidRPr="007A2B9D">
                    <w:rPr>
                      <w:rFonts w:ascii="Times New Roman" w:hAnsi="Times New Roman"/>
                      <w:sz w:val="20"/>
                      <w:szCs w:val="20"/>
                      <w:lang w:val="en-US" w:eastAsia="ru-RU"/>
                    </w:rPr>
                    <w:t xml:space="preserve"> 15;</w:t>
                  </w:r>
                </w:p>
                <w:p w14:paraId="3F867E52" w14:textId="6A107F93" w:rsidR="00646AFF" w:rsidRPr="00646AFF" w:rsidRDefault="00000000" w:rsidP="00646AFF">
                  <w:pPr>
                    <w:pStyle w:val="af3"/>
                    <w:spacing w:after="0"/>
                    <w:ind w:left="57"/>
                    <w:jc w:val="both"/>
                    <w:rPr>
                      <w:rFonts w:ascii="Times New Roman" w:hAnsi="Times New Roman"/>
                      <w:sz w:val="20"/>
                      <w:szCs w:val="20"/>
                      <w:lang w:val="ru-RU" w:eastAsia="ru-RU"/>
                    </w:rPr>
                  </w:pPr>
                  <w:hyperlink r:id="rId15" w:tooltip="32018R1999" w:history="1">
                    <w:r w:rsidR="00646AFF" w:rsidRPr="00646AFF">
                      <w:rPr>
                        <w:rStyle w:val="af6"/>
                        <w:rFonts w:ascii="Times New Roman" w:eastAsia="Arial Unicode MS" w:hAnsi="Times New Roman"/>
                        <w:b/>
                        <w:bCs/>
                        <w:color w:val="23527C"/>
                        <w:sz w:val="20"/>
                        <w:szCs w:val="20"/>
                        <w:shd w:val="clear" w:color="auto" w:fill="FFFFFF"/>
                      </w:rPr>
                      <w:t>▼B</w:t>
                    </w:r>
                  </w:hyperlink>
                </w:p>
                <w:p w14:paraId="1CFC1171" w14:textId="77777777" w:rsidR="00ED3A3F" w:rsidRPr="00822601"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 xml:space="preserve">o </w:t>
                  </w:r>
                  <w:proofErr w:type="spellStart"/>
                  <w:r w:rsidRPr="00822601">
                    <w:rPr>
                      <w:rFonts w:ascii="Times New Roman" w:hAnsi="Times New Roman"/>
                      <w:sz w:val="20"/>
                      <w:szCs w:val="20"/>
                      <w:lang w:val="en-US" w:eastAsia="ru-RU"/>
                    </w:rPr>
                    <w:t>evaluare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generală</w:t>
                  </w:r>
                  <w:proofErr w:type="spellEnd"/>
                  <w:r w:rsidRPr="00822601">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impactului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politicilor</w:t>
                  </w:r>
                  <w:proofErr w:type="spellEnd"/>
                  <w:r w:rsidRPr="00822601">
                    <w:rPr>
                      <w:rFonts w:ascii="Times New Roman" w:hAnsi="Times New Roman"/>
                      <w:sz w:val="20"/>
                      <w:szCs w:val="20"/>
                      <w:lang w:val="en-US" w:eastAsia="ru-RU"/>
                    </w:rPr>
                    <w:t xml:space="preserve"> și </w:t>
                  </w:r>
                  <w:proofErr w:type="spellStart"/>
                  <w:r w:rsidRPr="00822601">
                    <w:rPr>
                      <w:rFonts w:ascii="Times New Roman" w:hAnsi="Times New Roman"/>
                      <w:sz w:val="20"/>
                      <w:szCs w:val="20"/>
                      <w:lang w:val="en-US" w:eastAsia="ru-RU"/>
                    </w:rPr>
                    <w:t>măsurilor</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planificate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asupra</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competitivității</w:t>
                  </w:r>
                  <w:proofErr w:type="spellEnd"/>
                  <w:r w:rsidRPr="00822601">
                    <w:rPr>
                      <w:rFonts w:ascii="Times New Roman" w:hAnsi="Times New Roman"/>
                      <w:sz w:val="20"/>
                      <w:szCs w:val="20"/>
                      <w:lang w:val="en-US" w:eastAsia="ru-RU"/>
                    </w:rPr>
                    <w:t xml:space="preserve"> legate de </w:t>
                  </w:r>
                  <w:proofErr w:type="spellStart"/>
                  <w:r w:rsidRPr="00822601">
                    <w:rPr>
                      <w:rFonts w:ascii="Times New Roman" w:hAnsi="Times New Roman"/>
                      <w:sz w:val="20"/>
                      <w:szCs w:val="20"/>
                      <w:lang w:val="en-US" w:eastAsia="ru-RU"/>
                    </w:rPr>
                    <w:t>cele</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cinci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dimensiuni</w:t>
                  </w:r>
                  <w:proofErr w:type="spellEnd"/>
                  <w:r w:rsidRPr="00822601">
                    <w:rPr>
                      <w:rFonts w:ascii="Times New Roman" w:hAnsi="Times New Roman"/>
                      <w:sz w:val="20"/>
                      <w:szCs w:val="20"/>
                      <w:lang w:val="en-US" w:eastAsia="ru-RU"/>
                    </w:rPr>
                    <w:t xml:space="preserve"> ale </w:t>
                  </w:r>
                  <w:proofErr w:type="spellStart"/>
                  <w:r w:rsidRPr="00822601">
                    <w:rPr>
                      <w:rFonts w:ascii="Times New Roman" w:hAnsi="Times New Roman"/>
                      <w:sz w:val="20"/>
                      <w:szCs w:val="20"/>
                      <w:lang w:val="en-US" w:eastAsia="ru-RU"/>
                    </w:rPr>
                    <w:t>uniunii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energetice</w:t>
                  </w:r>
                  <w:proofErr w:type="spellEnd"/>
                  <w:r w:rsidRPr="00822601">
                    <w:rPr>
                      <w:rFonts w:ascii="Times New Roman" w:hAnsi="Times New Roman"/>
                      <w:sz w:val="20"/>
                      <w:szCs w:val="20"/>
                      <w:lang w:val="en-US" w:eastAsia="ru-RU"/>
                    </w:rPr>
                    <w:t>;</w:t>
                  </w:r>
                </w:p>
                <w:p w14:paraId="178809F1" w14:textId="1AE835D2" w:rsidR="00ED3A3F" w:rsidRPr="00822601" w:rsidRDefault="00ED3A3F" w:rsidP="000C5A3B">
                  <w:pPr>
                    <w:pStyle w:val="af3"/>
                    <w:numPr>
                      <w:ilvl w:val="0"/>
                      <w:numId w:val="86"/>
                    </w:numPr>
                    <w:spacing w:after="0"/>
                    <w:ind w:left="57" w:firstLine="0"/>
                    <w:jc w:val="both"/>
                    <w:rPr>
                      <w:rFonts w:ascii="Times New Roman" w:hAnsi="Times New Roman"/>
                      <w:sz w:val="20"/>
                      <w:szCs w:val="20"/>
                      <w:lang w:val="en-US" w:eastAsia="ru-RU"/>
                    </w:rPr>
                  </w:pPr>
                  <w:r w:rsidRPr="00822601">
                    <w:rPr>
                      <w:rFonts w:ascii="Times New Roman" w:hAnsi="Times New Roman"/>
                      <w:sz w:val="20"/>
                      <w:szCs w:val="20"/>
                      <w:lang w:val="en-US" w:eastAsia="ru-RU"/>
                    </w:rPr>
                    <w:t xml:space="preserve">o </w:t>
                  </w:r>
                  <w:proofErr w:type="spellStart"/>
                  <w:r w:rsidRPr="00822601">
                    <w:rPr>
                      <w:rFonts w:ascii="Times New Roman" w:hAnsi="Times New Roman"/>
                      <w:sz w:val="20"/>
                      <w:szCs w:val="20"/>
                      <w:lang w:val="en-US" w:eastAsia="ru-RU"/>
                    </w:rPr>
                    <w:t>anexă</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întocmită</w:t>
                  </w:r>
                  <w:proofErr w:type="spellEnd"/>
                  <w:r w:rsidRPr="00822601">
                    <w:rPr>
                      <w:rFonts w:ascii="Times New Roman" w:hAnsi="Times New Roman"/>
                      <w:sz w:val="20"/>
                      <w:szCs w:val="20"/>
                      <w:lang w:val="en-US" w:eastAsia="ru-RU"/>
                    </w:rPr>
                    <w:t xml:space="preserve"> în conformitate cu </w:t>
                  </w:r>
                  <w:proofErr w:type="spellStart"/>
                  <w:r w:rsidRPr="00822601">
                    <w:rPr>
                      <w:rFonts w:ascii="Times New Roman" w:hAnsi="Times New Roman"/>
                      <w:sz w:val="20"/>
                      <w:szCs w:val="20"/>
                      <w:lang w:val="en-US" w:eastAsia="ru-RU"/>
                    </w:rPr>
                    <w:t>cerințele</w:t>
                  </w:r>
                  <w:proofErr w:type="spellEnd"/>
                  <w:r w:rsidRPr="00822601">
                    <w:rPr>
                      <w:rFonts w:ascii="Times New Roman" w:hAnsi="Times New Roman"/>
                      <w:sz w:val="20"/>
                      <w:szCs w:val="20"/>
                      <w:lang w:val="en-US" w:eastAsia="ru-RU"/>
                    </w:rPr>
                    <w:t xml:space="preserve"> și cu </w:t>
                  </w:r>
                  <w:proofErr w:type="spellStart"/>
                  <w:r w:rsidRPr="00822601">
                    <w:rPr>
                      <w:rFonts w:ascii="Times New Roman" w:hAnsi="Times New Roman"/>
                      <w:sz w:val="20"/>
                      <w:szCs w:val="20"/>
                      <w:lang w:val="en-US" w:eastAsia="ru-RU"/>
                    </w:rPr>
                    <w:t>structura</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prevăzute</w:t>
                  </w:r>
                  <w:proofErr w:type="spellEnd"/>
                  <w:r w:rsidRPr="00822601">
                    <w:rPr>
                      <w:rFonts w:ascii="Times New Roman" w:hAnsi="Times New Roman"/>
                      <w:sz w:val="20"/>
                      <w:szCs w:val="20"/>
                      <w:lang w:val="en-US" w:eastAsia="ru-RU"/>
                    </w:rPr>
                    <w:t xml:space="preserve"> în </w:t>
                  </w:r>
                  <w:proofErr w:type="spellStart"/>
                  <w:r w:rsidRPr="00822601">
                    <w:rPr>
                      <w:rFonts w:ascii="Times New Roman" w:hAnsi="Times New Roman"/>
                      <w:sz w:val="20"/>
                      <w:szCs w:val="20"/>
                      <w:lang w:val="en-US" w:eastAsia="ru-RU"/>
                    </w:rPr>
                    <w:t>anexa</w:t>
                  </w:r>
                  <w:proofErr w:type="spellEnd"/>
                  <w:r w:rsidRPr="00822601">
                    <w:rPr>
                      <w:rFonts w:ascii="Times New Roman" w:hAnsi="Times New Roman"/>
                      <w:sz w:val="20"/>
                      <w:szCs w:val="20"/>
                      <w:lang w:val="ro-MD" w:eastAsia="ru-RU"/>
                    </w:rPr>
                    <w:t xml:space="preserve"> </w:t>
                  </w:r>
                  <w:r w:rsidRPr="00822601">
                    <w:rPr>
                      <w:rFonts w:ascii="Times New Roman" w:hAnsi="Times New Roman"/>
                      <w:sz w:val="20"/>
                      <w:szCs w:val="20"/>
                      <w:lang w:val="en-US" w:eastAsia="ru-RU"/>
                    </w:rPr>
                    <w:t xml:space="preserve">III la </w:t>
                  </w:r>
                  <w:proofErr w:type="spellStart"/>
                  <w:r w:rsidRPr="00822601">
                    <w:rPr>
                      <w:rFonts w:ascii="Times New Roman" w:hAnsi="Times New Roman"/>
                      <w:sz w:val="20"/>
                      <w:szCs w:val="20"/>
                      <w:lang w:val="en-US" w:eastAsia="ru-RU"/>
                    </w:rPr>
                    <w:t>prezentul</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regulament</w:t>
                  </w:r>
                  <w:proofErr w:type="spellEnd"/>
                  <w:r w:rsidRPr="00822601">
                    <w:rPr>
                      <w:rFonts w:ascii="Times New Roman" w:hAnsi="Times New Roman"/>
                      <w:sz w:val="20"/>
                      <w:szCs w:val="20"/>
                      <w:lang w:val="en-US" w:eastAsia="ru-RU"/>
                    </w:rPr>
                    <w:t xml:space="preserve">, care </w:t>
                  </w:r>
                  <w:proofErr w:type="spellStart"/>
                  <w:r w:rsidRPr="00822601">
                    <w:rPr>
                      <w:rFonts w:ascii="Times New Roman" w:hAnsi="Times New Roman"/>
                      <w:sz w:val="20"/>
                      <w:szCs w:val="20"/>
                      <w:lang w:val="en-US" w:eastAsia="ru-RU"/>
                    </w:rPr>
                    <w:t>să</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stabilească</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metodologiile</w:t>
                  </w:r>
                  <w:proofErr w:type="spellEnd"/>
                  <w:r w:rsidRPr="00822601">
                    <w:rPr>
                      <w:rFonts w:ascii="Times New Roman" w:hAnsi="Times New Roman"/>
                      <w:sz w:val="20"/>
                      <w:szCs w:val="20"/>
                      <w:lang w:val="en-US" w:eastAsia="ru-RU"/>
                    </w:rPr>
                    <w:t xml:space="preserve"> și </w:t>
                  </w:r>
                  <w:proofErr w:type="spellStart"/>
                  <w:r w:rsidRPr="00822601">
                    <w:rPr>
                      <w:rFonts w:ascii="Times New Roman" w:hAnsi="Times New Roman"/>
                      <w:sz w:val="20"/>
                      <w:szCs w:val="20"/>
                      <w:lang w:val="en-US" w:eastAsia="ru-RU"/>
                    </w:rPr>
                    <w:t>măsurile</w:t>
                  </w:r>
                  <w:proofErr w:type="spellEnd"/>
                  <w:r w:rsidRPr="00822601">
                    <w:rPr>
                      <w:rFonts w:ascii="Times New Roman" w:hAnsi="Times New Roman"/>
                      <w:sz w:val="20"/>
                      <w:szCs w:val="20"/>
                      <w:lang w:val="en-US" w:eastAsia="ru-RU"/>
                    </w:rPr>
                    <w:t xml:space="preserve"> de </w:t>
                  </w:r>
                  <w:proofErr w:type="spellStart"/>
                  <w:r w:rsidRPr="00822601">
                    <w:rPr>
                      <w:rFonts w:ascii="Times New Roman" w:hAnsi="Times New Roman"/>
                      <w:sz w:val="20"/>
                      <w:szCs w:val="20"/>
                      <w:lang w:val="en-US" w:eastAsia="ru-RU"/>
                    </w:rPr>
                    <w:t>politică</w:t>
                  </w:r>
                  <w:proofErr w:type="spellEnd"/>
                  <w:r w:rsidRPr="00822601">
                    <w:rPr>
                      <w:rFonts w:ascii="Times New Roman" w:hAnsi="Times New Roman"/>
                      <w:sz w:val="20"/>
                      <w:szCs w:val="20"/>
                      <w:lang w:val="en-US" w:eastAsia="ru-RU"/>
                    </w:rPr>
                    <w:t xml:space="preserve"> ale </w:t>
                  </w:r>
                  <w:proofErr w:type="spellStart"/>
                  <w:r w:rsidRPr="00822601">
                    <w:rPr>
                      <w:rFonts w:ascii="Times New Roman" w:hAnsi="Times New Roman"/>
                      <w:sz w:val="20"/>
                      <w:szCs w:val="20"/>
                      <w:lang w:val="en-US" w:eastAsia="ru-RU"/>
                    </w:rPr>
                    <w:t>statului</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membru</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pentru</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îndeplinirea</w:t>
                  </w:r>
                  <w:proofErr w:type="spellEnd"/>
                  <w:r w:rsidRPr="00822601">
                    <w:rPr>
                      <w:rFonts w:ascii="Times New Roman" w:hAnsi="Times New Roman"/>
                      <w:sz w:val="20"/>
                      <w:szCs w:val="20"/>
                      <w:lang w:val="en-US" w:eastAsia="ru-RU"/>
                    </w:rPr>
                    <w:t xml:space="preserve"> </w:t>
                  </w:r>
                  <w:proofErr w:type="spellStart"/>
                  <w:r w:rsidRPr="00822601">
                    <w:rPr>
                      <w:rFonts w:ascii="Times New Roman" w:hAnsi="Times New Roman"/>
                      <w:sz w:val="20"/>
                      <w:szCs w:val="20"/>
                      <w:lang w:val="en-US" w:eastAsia="ru-RU"/>
                    </w:rPr>
                    <w:t>cerinței</w:t>
                  </w:r>
                  <w:proofErr w:type="spellEnd"/>
                  <w:r w:rsidRPr="00822601">
                    <w:rPr>
                      <w:rFonts w:ascii="Times New Roman" w:hAnsi="Times New Roman"/>
                      <w:sz w:val="20"/>
                      <w:szCs w:val="20"/>
                      <w:lang w:val="en-US" w:eastAsia="ru-RU"/>
                    </w:rPr>
                    <w:t xml:space="preserve"> de </w:t>
                  </w:r>
                  <w:proofErr w:type="spellStart"/>
                  <w:r w:rsidRPr="00822601">
                    <w:rPr>
                      <w:rFonts w:ascii="Times New Roman" w:hAnsi="Times New Roman"/>
                      <w:sz w:val="20"/>
                      <w:szCs w:val="20"/>
                      <w:lang w:val="en-US" w:eastAsia="ru-RU"/>
                    </w:rPr>
                    <w:t>economisire</w:t>
                  </w:r>
                  <w:proofErr w:type="spellEnd"/>
                  <w:r w:rsidRPr="00822601">
                    <w:rPr>
                      <w:rFonts w:ascii="Times New Roman" w:hAnsi="Times New Roman"/>
                      <w:sz w:val="20"/>
                      <w:szCs w:val="20"/>
                      <w:lang w:val="en-US" w:eastAsia="ru-RU"/>
                    </w:rPr>
                    <w:t xml:space="preserve"> </w:t>
                  </w:r>
                  <w:proofErr w:type="gramStart"/>
                  <w:r w:rsidRPr="00822601">
                    <w:rPr>
                      <w:rFonts w:ascii="Times New Roman" w:hAnsi="Times New Roman"/>
                      <w:sz w:val="20"/>
                      <w:szCs w:val="20"/>
                      <w:lang w:val="en-US" w:eastAsia="ru-RU"/>
                    </w:rPr>
                    <w:t>a</w:t>
                  </w:r>
                  <w:proofErr w:type="gramEnd"/>
                  <w:r w:rsidRPr="00822601">
                    <w:rPr>
                      <w:rFonts w:ascii="Times New Roman" w:hAnsi="Times New Roman"/>
                      <w:sz w:val="20"/>
                      <w:szCs w:val="20"/>
                      <w:lang w:val="en-US" w:eastAsia="ru-RU"/>
                    </w:rPr>
                    <w:t xml:space="preserve"> energiei în conformitate cu </w:t>
                  </w:r>
                  <w:proofErr w:type="spellStart"/>
                  <w:r w:rsidRPr="00822601">
                    <w:rPr>
                      <w:rFonts w:ascii="Times New Roman" w:hAnsi="Times New Roman"/>
                      <w:sz w:val="20"/>
                      <w:szCs w:val="20"/>
                      <w:lang w:val="en-US" w:eastAsia="ru-RU"/>
                    </w:rPr>
                    <w:t>articolul</w:t>
                  </w:r>
                  <w:proofErr w:type="spellEnd"/>
                  <w:r w:rsidRPr="00822601">
                    <w:rPr>
                      <w:rFonts w:ascii="Times New Roman" w:hAnsi="Times New Roman"/>
                      <w:sz w:val="20"/>
                      <w:szCs w:val="20"/>
                      <w:lang w:val="ro-MD" w:eastAsia="ru-RU"/>
                    </w:rPr>
                    <w:t xml:space="preserve"> </w:t>
                  </w:r>
                  <w:r w:rsidRPr="00822601">
                    <w:rPr>
                      <w:rFonts w:ascii="Times New Roman" w:hAnsi="Times New Roman"/>
                      <w:sz w:val="20"/>
                      <w:szCs w:val="20"/>
                      <w:lang w:val="en-US" w:eastAsia="ru-RU"/>
                    </w:rPr>
                    <w:t xml:space="preserve">7 din </w:t>
                  </w:r>
                  <w:proofErr w:type="spellStart"/>
                  <w:r w:rsidRPr="00822601">
                    <w:rPr>
                      <w:rFonts w:ascii="Times New Roman" w:hAnsi="Times New Roman"/>
                      <w:sz w:val="20"/>
                      <w:szCs w:val="20"/>
                      <w:lang w:val="en-US" w:eastAsia="ru-RU"/>
                    </w:rPr>
                    <w:t>Directiva</w:t>
                  </w:r>
                  <w:proofErr w:type="spellEnd"/>
                  <w:r w:rsidRPr="00822601">
                    <w:rPr>
                      <w:rFonts w:ascii="Times New Roman" w:hAnsi="Times New Roman"/>
                      <w:sz w:val="20"/>
                      <w:szCs w:val="20"/>
                      <w:lang w:val="ro-MD" w:eastAsia="ru-RU"/>
                    </w:rPr>
                    <w:t xml:space="preserve"> </w:t>
                  </w:r>
                  <w:r w:rsidRPr="00822601">
                    <w:rPr>
                      <w:rFonts w:ascii="Times New Roman" w:hAnsi="Times New Roman"/>
                      <w:sz w:val="20"/>
                      <w:szCs w:val="20"/>
                      <w:lang w:val="en-US" w:eastAsia="ru-RU"/>
                    </w:rPr>
                    <w:t xml:space="preserve">2012/27/UE și cu </w:t>
                  </w:r>
                  <w:proofErr w:type="spellStart"/>
                  <w:r w:rsidRPr="00822601">
                    <w:rPr>
                      <w:rFonts w:ascii="Times New Roman" w:hAnsi="Times New Roman"/>
                      <w:sz w:val="20"/>
                      <w:szCs w:val="20"/>
                      <w:lang w:val="en-US" w:eastAsia="ru-RU"/>
                    </w:rPr>
                    <w:t>anexa</w:t>
                  </w:r>
                  <w:proofErr w:type="spellEnd"/>
                  <w:r w:rsidRPr="00822601">
                    <w:rPr>
                      <w:rFonts w:ascii="Times New Roman" w:hAnsi="Times New Roman"/>
                      <w:sz w:val="20"/>
                      <w:szCs w:val="20"/>
                      <w:lang w:val="ro-MD" w:eastAsia="ru-RU"/>
                    </w:rPr>
                    <w:t xml:space="preserve"> </w:t>
                  </w:r>
                  <w:r w:rsidRPr="00822601">
                    <w:rPr>
                      <w:rFonts w:ascii="Times New Roman" w:hAnsi="Times New Roman"/>
                      <w:sz w:val="20"/>
                      <w:szCs w:val="20"/>
                      <w:lang w:val="en-US" w:eastAsia="ru-RU"/>
                    </w:rPr>
                    <w:t xml:space="preserve">V la </w:t>
                  </w:r>
                  <w:proofErr w:type="spellStart"/>
                  <w:r w:rsidRPr="00822601">
                    <w:rPr>
                      <w:rFonts w:ascii="Times New Roman" w:hAnsi="Times New Roman"/>
                      <w:sz w:val="20"/>
                      <w:szCs w:val="20"/>
                      <w:lang w:val="en-US" w:eastAsia="ru-RU"/>
                    </w:rPr>
                    <w:t>aceasta</w:t>
                  </w:r>
                  <w:proofErr w:type="spellEnd"/>
                  <w:r w:rsidRPr="00822601">
                    <w:rPr>
                      <w:rFonts w:ascii="Times New Roman" w:hAnsi="Times New Roman"/>
                      <w:sz w:val="20"/>
                      <w:szCs w:val="20"/>
                      <w:lang w:val="en-US" w:eastAsia="ru-RU"/>
                    </w:rPr>
                    <w:t>.</w:t>
                  </w:r>
                </w:p>
              </w:tc>
            </w:tr>
          </w:tbl>
          <w:p w14:paraId="7D2E42B4" w14:textId="77777777" w:rsidR="00D37AB7" w:rsidRPr="00A81801" w:rsidRDefault="00D37AB7" w:rsidP="00D37AB7">
            <w:pPr>
              <w:pStyle w:val="ColorfulList-Accent11"/>
              <w:spacing w:after="0" w:line="240" w:lineRule="auto"/>
              <w:ind w:left="0"/>
              <w:jc w:val="both"/>
              <w:rPr>
                <w:lang w:val="en-US"/>
              </w:rPr>
            </w:pPr>
          </w:p>
        </w:tc>
        <w:tc>
          <w:tcPr>
            <w:tcW w:w="4440" w:type="dxa"/>
          </w:tcPr>
          <w:p w14:paraId="72C1F384" w14:textId="17AE8373" w:rsidR="00D37AB7" w:rsidRPr="004C01A1" w:rsidRDefault="00D37AB7" w:rsidP="004C01A1">
            <w:pPr>
              <w:shd w:val="clear" w:color="auto" w:fill="FFFFFF"/>
              <w:suppressAutoHyphens w:val="0"/>
              <w:autoSpaceDN/>
              <w:adjustRightInd w:val="0"/>
              <w:spacing w:after="0" w:line="240" w:lineRule="auto"/>
              <w:jc w:val="both"/>
              <w:textAlignment w:val="top"/>
              <w:rPr>
                <w:rFonts w:ascii="Times New Roman" w:hAnsi="Times New Roman"/>
                <w:color w:val="000000" w:themeColor="text1"/>
                <w:sz w:val="20"/>
                <w:szCs w:val="20"/>
                <w:lang w:val="ro-RO"/>
              </w:rPr>
            </w:pPr>
          </w:p>
        </w:tc>
        <w:tc>
          <w:tcPr>
            <w:tcW w:w="1276" w:type="dxa"/>
          </w:tcPr>
          <w:p w14:paraId="15A8002C" w14:textId="163F78F0" w:rsidR="00D37AB7" w:rsidRPr="00D65968" w:rsidRDefault="006C0100" w:rsidP="00D37AB7">
            <w:pPr>
              <w:pStyle w:val="ColorfulList-Accent11"/>
              <w:spacing w:after="0" w:line="240" w:lineRule="auto"/>
              <w:ind w:left="0"/>
              <w:jc w:val="both"/>
              <w:rPr>
                <w:lang w:val="ru-RU"/>
              </w:rPr>
            </w:pPr>
            <w:r>
              <w:rPr>
                <w:rFonts w:ascii="Times New Roman" w:hAnsi="Times New Roman"/>
                <w:sz w:val="20"/>
                <w:szCs w:val="20"/>
                <w:lang w:val="ro-RO"/>
              </w:rPr>
              <w:t>C</w:t>
            </w:r>
            <w:r w:rsidR="00EB1B1F" w:rsidRPr="00C951E7">
              <w:rPr>
                <w:rFonts w:ascii="Times New Roman" w:hAnsi="Times New Roman"/>
                <w:sz w:val="20"/>
                <w:szCs w:val="20"/>
                <w:lang w:val="ro-RO"/>
              </w:rPr>
              <w:t>ompatibil</w:t>
            </w:r>
          </w:p>
        </w:tc>
        <w:tc>
          <w:tcPr>
            <w:tcW w:w="1276" w:type="dxa"/>
          </w:tcPr>
          <w:p w14:paraId="691B5D24" w14:textId="77777777" w:rsidR="00D37AB7" w:rsidRPr="00EB1B1F" w:rsidRDefault="00D37AB7" w:rsidP="006C0100">
            <w:pPr>
              <w:widowControl w:val="0"/>
              <w:autoSpaceDE w:val="0"/>
              <w:adjustRightInd w:val="0"/>
              <w:spacing w:after="240" w:line="240" w:lineRule="auto"/>
              <w:rPr>
                <w:lang w:val="ro-RO"/>
              </w:rPr>
            </w:pPr>
          </w:p>
        </w:tc>
        <w:tc>
          <w:tcPr>
            <w:tcW w:w="1701" w:type="dxa"/>
          </w:tcPr>
          <w:p w14:paraId="286DB7DE" w14:textId="3DA5C2DC"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514FAA">
              <w:rPr>
                <w:rFonts w:ascii="Times New Roman" w:eastAsia="Times New Roman" w:hAnsi="Times New Roman"/>
                <w:sz w:val="20"/>
                <w:szCs w:val="20"/>
                <w:lang w:val="ro-RO" w:eastAsia="ru-RU"/>
              </w:rPr>
              <w:t>la pct.8 din</w:t>
            </w:r>
            <w:r>
              <w:rPr>
                <w:rFonts w:ascii="Times New Roman" w:eastAsia="Times New Roman" w:hAnsi="Times New Roman"/>
                <w:sz w:val="20"/>
                <w:szCs w:val="20"/>
                <w:lang w:val="ro-RO" w:eastAsia="ru-RU"/>
              </w:rPr>
              <w:t xml:space="preserve"> </w:t>
            </w:r>
          </w:p>
          <w:p w14:paraId="59D12104" w14:textId="14338629" w:rsidR="00D37AB7" w:rsidRPr="002F510C"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606E4E3C" w14:textId="33637B91" w:rsidR="00EB1B1F" w:rsidRPr="003F755D" w:rsidRDefault="00EB1B1F" w:rsidP="00EB1B1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822601" w:rsidRPr="00A81801">
              <w:rPr>
                <w:rFonts w:ascii="Times New Roman" w:hAnsi="Times New Roman"/>
                <w:color w:val="000000" w:themeColor="text1"/>
                <w:sz w:val="20"/>
                <w:szCs w:val="20"/>
              </w:rPr>
              <w:t>Energiei</w:t>
            </w:r>
          </w:p>
          <w:p w14:paraId="46EC88B8" w14:textId="77777777" w:rsidR="00D37AB7" w:rsidRPr="00E10E0F" w:rsidRDefault="00D37AB7" w:rsidP="00D37AB7">
            <w:pPr>
              <w:pStyle w:val="ColorfulList-Accent11"/>
              <w:spacing w:after="0" w:line="240" w:lineRule="auto"/>
              <w:ind w:left="0"/>
              <w:jc w:val="both"/>
              <w:rPr>
                <w:lang w:val="fr-FR"/>
              </w:rPr>
            </w:pPr>
          </w:p>
        </w:tc>
      </w:tr>
      <w:tr w:rsidR="00D37AB7" w:rsidRPr="00E10E0F" w14:paraId="75429097" w14:textId="77777777" w:rsidTr="00A90105">
        <w:tc>
          <w:tcPr>
            <w:tcW w:w="4945" w:type="dxa"/>
          </w:tcPr>
          <w:p w14:paraId="44E21E64" w14:textId="01D02404" w:rsidR="00D37AB7" w:rsidRPr="00E00DFD" w:rsidRDefault="00D37AB7" w:rsidP="00184ADE">
            <w:pPr>
              <w:spacing w:after="0" w:line="240" w:lineRule="auto"/>
              <w:rPr>
                <w:rFonts w:ascii="Times New Roman" w:hAnsi="Times New Roman"/>
                <w:sz w:val="20"/>
                <w:szCs w:val="20"/>
                <w:lang w:val="en-US" w:eastAsia="ru-RU"/>
              </w:rPr>
            </w:pPr>
            <w:r w:rsidRPr="00E00DFD">
              <w:rPr>
                <w:rFonts w:ascii="Times New Roman" w:hAnsi="Times New Roman"/>
                <w:sz w:val="20"/>
                <w:szCs w:val="20"/>
                <w:lang w:val="en-US" w:eastAsia="ru-RU"/>
              </w:rPr>
              <w:t>(3)</w:t>
            </w:r>
            <w:r w:rsidR="00184ADE" w:rsidRPr="00E00DFD">
              <w:rPr>
                <w:rFonts w:ascii="Times New Roman" w:hAnsi="Times New Roman"/>
                <w:sz w:val="20"/>
                <w:szCs w:val="20"/>
                <w:lang w:val="en-US" w:eastAsia="ru-RU"/>
              </w:rPr>
              <w:t xml:space="preserve"> </w:t>
            </w:r>
            <w:r w:rsidRPr="00E00DFD">
              <w:rPr>
                <w:rFonts w:ascii="Times New Roman" w:hAnsi="Times New Roman"/>
                <w:sz w:val="20"/>
                <w:szCs w:val="20"/>
                <w:lang w:val="en-US" w:eastAsia="ru-RU"/>
              </w:rPr>
              <w:t xml:space="preserve">În </w:t>
            </w:r>
            <w:proofErr w:type="spellStart"/>
            <w:r w:rsidRPr="00E00DFD">
              <w:rPr>
                <w:rFonts w:ascii="Times New Roman" w:hAnsi="Times New Roman"/>
                <w:sz w:val="20"/>
                <w:szCs w:val="20"/>
                <w:lang w:val="en-US" w:eastAsia="ru-RU"/>
              </w:rPr>
              <w:t>ceea</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ce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privește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planurile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naționale</w:t>
            </w:r>
            <w:proofErr w:type="spellEnd"/>
            <w:r w:rsidRPr="00E00DFD">
              <w:rPr>
                <w:rFonts w:ascii="Times New Roman" w:hAnsi="Times New Roman"/>
                <w:sz w:val="20"/>
                <w:szCs w:val="20"/>
                <w:lang w:val="en-US" w:eastAsia="ru-RU"/>
              </w:rPr>
              <w:t xml:space="preserve"> integrate </w:t>
            </w:r>
            <w:proofErr w:type="spellStart"/>
            <w:r w:rsidRPr="00E00DFD">
              <w:rPr>
                <w:rFonts w:ascii="Times New Roman" w:hAnsi="Times New Roman"/>
                <w:sz w:val="20"/>
                <w:szCs w:val="20"/>
                <w:lang w:val="en-US" w:eastAsia="ru-RU"/>
              </w:rPr>
              <w:t>privind</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energia</w:t>
            </w:r>
            <w:proofErr w:type="spellEnd"/>
            <w:r w:rsidRPr="00E00DFD">
              <w:rPr>
                <w:rFonts w:ascii="Times New Roman" w:hAnsi="Times New Roman"/>
                <w:sz w:val="20"/>
                <w:szCs w:val="20"/>
                <w:lang w:val="en-US" w:eastAsia="ru-RU"/>
              </w:rPr>
              <w:t xml:space="preserve"> și </w:t>
            </w:r>
            <w:proofErr w:type="spellStart"/>
            <w:r w:rsidRPr="00E00DFD">
              <w:rPr>
                <w:rFonts w:ascii="Times New Roman" w:hAnsi="Times New Roman"/>
                <w:sz w:val="20"/>
                <w:szCs w:val="20"/>
                <w:lang w:val="en-US" w:eastAsia="ru-RU"/>
              </w:rPr>
              <w:t>clima</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statele</w:t>
            </w:r>
            <w:proofErr w:type="spellEnd"/>
            <w:r w:rsidR="00184ADE"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membre</w:t>
            </w:r>
            <w:proofErr w:type="spellEnd"/>
            <w:r w:rsidRPr="00E00DFD">
              <w:rPr>
                <w:rFonts w:ascii="Times New Roman" w:hAnsi="Times New Roman"/>
                <w:sz w:val="20"/>
                <w:szCs w:val="20"/>
                <w:lang w:val="en-US" w:eastAsia="ru-RU"/>
              </w:rPr>
              <w:t>:</w:t>
            </w:r>
          </w:p>
          <w:p w14:paraId="29026AE5" w14:textId="2FE3803B" w:rsidR="00184ADE" w:rsidRPr="00E00DFD" w:rsidRDefault="00184ADE" w:rsidP="000C5A3B">
            <w:pPr>
              <w:pStyle w:val="af3"/>
              <w:numPr>
                <w:ilvl w:val="0"/>
                <w:numId w:val="87"/>
              </w:numPr>
              <w:spacing w:after="0" w:line="240" w:lineRule="auto"/>
              <w:jc w:val="both"/>
              <w:rPr>
                <w:rFonts w:ascii="Times New Roman" w:hAnsi="Times New Roman"/>
                <w:sz w:val="20"/>
                <w:szCs w:val="20"/>
                <w:lang w:val="en-US" w:eastAsia="ru-RU"/>
              </w:rPr>
            </w:pPr>
            <w:proofErr w:type="spellStart"/>
            <w:r w:rsidRPr="00E00DFD">
              <w:rPr>
                <w:rFonts w:ascii="Times New Roman" w:hAnsi="Times New Roman"/>
                <w:sz w:val="20"/>
                <w:szCs w:val="20"/>
                <w:lang w:val="en-US" w:eastAsia="ru-RU"/>
              </w:rPr>
              <w:t>limitează</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complexitatea</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administrativă</w:t>
            </w:r>
            <w:proofErr w:type="spellEnd"/>
            <w:r w:rsidRPr="00E00DFD">
              <w:rPr>
                <w:rFonts w:ascii="Times New Roman" w:hAnsi="Times New Roman"/>
                <w:sz w:val="20"/>
                <w:szCs w:val="20"/>
                <w:lang w:val="en-US" w:eastAsia="ru-RU"/>
              </w:rPr>
              <w:t xml:space="preserve"> și </w:t>
            </w:r>
            <w:proofErr w:type="spellStart"/>
            <w:r w:rsidRPr="00E00DFD">
              <w:rPr>
                <w:rFonts w:ascii="Times New Roman" w:hAnsi="Times New Roman"/>
                <w:sz w:val="20"/>
                <w:szCs w:val="20"/>
                <w:lang w:val="en-US" w:eastAsia="ru-RU"/>
              </w:rPr>
              <w:t>costurile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pentru</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toate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părțile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interesate</w:t>
            </w:r>
            <w:proofErr w:type="spellEnd"/>
            <w:r w:rsidRPr="00E00DFD">
              <w:rPr>
                <w:rFonts w:ascii="Times New Roman" w:hAnsi="Times New Roman"/>
                <w:sz w:val="20"/>
                <w:szCs w:val="20"/>
                <w:lang w:val="en-US" w:eastAsia="ru-RU"/>
              </w:rPr>
              <w:t xml:space="preserve"> </w:t>
            </w:r>
            <w:proofErr w:type="spellStart"/>
            <w:r w:rsidRPr="00E00DFD">
              <w:rPr>
                <w:rFonts w:ascii="Times New Roman" w:hAnsi="Times New Roman"/>
                <w:sz w:val="20"/>
                <w:szCs w:val="20"/>
                <w:lang w:val="en-US" w:eastAsia="ru-RU"/>
              </w:rPr>
              <w:t>vizate</w:t>
            </w:r>
            <w:proofErr w:type="spellEnd"/>
            <w:r w:rsidRPr="00E00DFD">
              <w:rPr>
                <w:rFonts w:ascii="Times New Roman" w:hAnsi="Times New Roman"/>
                <w:sz w:val="20"/>
                <w:szCs w:val="20"/>
                <w:lang w:val="en-US" w:eastAsia="ru-RU"/>
              </w:rPr>
              <w:t>;</w:t>
            </w:r>
          </w:p>
          <w:p w14:paraId="45BB2416" w14:textId="2495309D" w:rsidR="00184ADE" w:rsidRPr="00E00DFD" w:rsidRDefault="00184ADE" w:rsidP="000C5A3B">
            <w:pPr>
              <w:pStyle w:val="af3"/>
              <w:numPr>
                <w:ilvl w:val="0"/>
                <w:numId w:val="87"/>
              </w:numPr>
              <w:spacing w:after="0" w:line="240" w:lineRule="auto"/>
              <w:jc w:val="both"/>
              <w:rPr>
                <w:rFonts w:ascii="Times New Roman" w:hAnsi="Times New Roman"/>
                <w:sz w:val="20"/>
                <w:szCs w:val="20"/>
                <w:lang w:val="fr-FR" w:eastAsia="ru-RU"/>
              </w:rPr>
            </w:pPr>
            <w:proofErr w:type="spellStart"/>
            <w:proofErr w:type="gramStart"/>
            <w:r w:rsidRPr="00E00DFD">
              <w:rPr>
                <w:rFonts w:ascii="Times New Roman" w:hAnsi="Times New Roman"/>
                <w:sz w:val="20"/>
                <w:szCs w:val="20"/>
                <w:lang w:val="fr-FR" w:eastAsia="ru-RU"/>
              </w:rPr>
              <w:t>iau</w:t>
            </w:r>
            <w:proofErr w:type="spellEnd"/>
            <w:proofErr w:type="gram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considerare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interacțiunile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dintre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cele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cinci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dimensiuni</w:t>
            </w:r>
            <w:proofErr w:type="spellEnd"/>
            <w:r w:rsidRPr="00E00DFD">
              <w:rPr>
                <w:rFonts w:ascii="Times New Roman" w:hAnsi="Times New Roman"/>
                <w:sz w:val="20"/>
                <w:szCs w:val="20"/>
                <w:lang w:val="fr-FR" w:eastAsia="ru-RU"/>
              </w:rPr>
              <w:t xml:space="preserve"> ale </w:t>
            </w:r>
            <w:proofErr w:type="spellStart"/>
            <w:r w:rsidRPr="00E00DFD">
              <w:rPr>
                <w:rFonts w:ascii="Times New Roman" w:hAnsi="Times New Roman"/>
                <w:sz w:val="20"/>
                <w:szCs w:val="20"/>
                <w:lang w:val="fr-FR" w:eastAsia="ru-RU"/>
              </w:rPr>
              <w:t>uniunii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energetice</w:t>
            </w:r>
            <w:proofErr w:type="spell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special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principiul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eficiența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înainte</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toate</w:t>
            </w:r>
            <w:proofErr w:type="spellEnd"/>
            <w:r w:rsidRPr="00E00DFD">
              <w:rPr>
                <w:rFonts w:ascii="Times New Roman" w:hAnsi="Times New Roman"/>
                <w:sz w:val="20"/>
                <w:szCs w:val="20"/>
                <w:lang w:val="fr-FR" w:eastAsia="ru-RU"/>
              </w:rPr>
              <w:t>”;</w:t>
            </w:r>
          </w:p>
          <w:p w14:paraId="3D4B20B4" w14:textId="77777777" w:rsidR="00184ADE" w:rsidRPr="00E00DFD" w:rsidRDefault="00184ADE" w:rsidP="000C5A3B">
            <w:pPr>
              <w:pStyle w:val="af3"/>
              <w:numPr>
                <w:ilvl w:val="0"/>
                <w:numId w:val="87"/>
              </w:numPr>
              <w:spacing w:after="0" w:line="240" w:lineRule="auto"/>
              <w:jc w:val="both"/>
              <w:rPr>
                <w:rFonts w:ascii="Times New Roman" w:hAnsi="Times New Roman"/>
                <w:sz w:val="20"/>
                <w:szCs w:val="20"/>
                <w:lang w:val="fr-FR" w:eastAsia="ru-RU"/>
              </w:rPr>
            </w:pPr>
            <w:proofErr w:type="spellStart"/>
            <w:proofErr w:type="gramStart"/>
            <w:r w:rsidRPr="00E00DFD">
              <w:rPr>
                <w:rFonts w:ascii="Times New Roman" w:hAnsi="Times New Roman"/>
                <w:sz w:val="20"/>
                <w:szCs w:val="20"/>
                <w:lang w:val="fr-FR" w:eastAsia="ru-RU"/>
              </w:rPr>
              <w:t>utilizează</w:t>
            </w:r>
            <w:proofErr w:type="spellEnd"/>
            <w:proofErr w:type="gramEnd"/>
            <w:r w:rsidRPr="00E00DFD">
              <w:rPr>
                <w:rFonts w:ascii="Times New Roman" w:hAnsi="Times New Roman"/>
                <w:sz w:val="20"/>
                <w:szCs w:val="20"/>
                <w:lang w:val="fr-FR" w:eastAsia="ru-RU"/>
              </w:rPr>
              <w:t xml:space="preserve"> date și </w:t>
            </w:r>
            <w:proofErr w:type="spellStart"/>
            <w:r w:rsidRPr="00E00DFD">
              <w:rPr>
                <w:rFonts w:ascii="Times New Roman" w:hAnsi="Times New Roman"/>
                <w:sz w:val="20"/>
                <w:szCs w:val="20"/>
                <w:lang w:val="fr-FR" w:eastAsia="ru-RU"/>
              </w:rPr>
              <w:t>ipoteze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consecvente</w:t>
            </w:r>
            <w:proofErr w:type="spellEnd"/>
            <w:r w:rsidRPr="00E00DFD">
              <w:rPr>
                <w:rFonts w:ascii="Times New Roman" w:hAnsi="Times New Roman"/>
                <w:sz w:val="20"/>
                <w:szCs w:val="20"/>
                <w:lang w:val="fr-FR" w:eastAsia="ru-RU"/>
              </w:rPr>
              <w:t xml:space="preserve"> și solide la </w:t>
            </w:r>
            <w:proofErr w:type="spellStart"/>
            <w:r w:rsidRPr="00E00DFD">
              <w:rPr>
                <w:rFonts w:ascii="Times New Roman" w:hAnsi="Times New Roman"/>
                <w:sz w:val="20"/>
                <w:szCs w:val="20"/>
                <w:lang w:val="fr-FR" w:eastAsia="ru-RU"/>
              </w:rPr>
              <w:t>nivelul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tuturor</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celor</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cinci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dimensiuni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acolo</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unde</w:t>
            </w:r>
            <w:proofErr w:type="spellEnd"/>
            <w:r w:rsidRPr="00E00DFD">
              <w:rPr>
                <w:rFonts w:ascii="Times New Roman" w:hAnsi="Times New Roman"/>
                <w:sz w:val="20"/>
                <w:szCs w:val="20"/>
                <w:lang w:val="fr-FR" w:eastAsia="ru-RU"/>
              </w:rPr>
              <w:t xml:space="preserve"> este </w:t>
            </w:r>
            <w:proofErr w:type="spellStart"/>
            <w:r w:rsidRPr="00E00DFD">
              <w:rPr>
                <w:rFonts w:ascii="Times New Roman" w:hAnsi="Times New Roman"/>
                <w:sz w:val="20"/>
                <w:szCs w:val="20"/>
                <w:lang w:val="fr-FR" w:eastAsia="ru-RU"/>
              </w:rPr>
              <w:t>cazul</w:t>
            </w:r>
            <w:proofErr w:type="spellEnd"/>
            <w:r w:rsidRPr="00E00DFD">
              <w:rPr>
                <w:rFonts w:ascii="Times New Roman" w:hAnsi="Times New Roman"/>
                <w:sz w:val="20"/>
                <w:szCs w:val="20"/>
                <w:lang w:val="fr-FR" w:eastAsia="ru-RU"/>
              </w:rPr>
              <w:t>;</w:t>
            </w:r>
          </w:p>
          <w:p w14:paraId="5ACC0A43" w14:textId="647D7DAC" w:rsidR="00184ADE" w:rsidRPr="00E00DFD" w:rsidRDefault="00184ADE" w:rsidP="000C5A3B">
            <w:pPr>
              <w:pStyle w:val="af3"/>
              <w:numPr>
                <w:ilvl w:val="0"/>
                <w:numId w:val="87"/>
              </w:numPr>
              <w:spacing w:after="0" w:line="240" w:lineRule="auto"/>
              <w:jc w:val="both"/>
              <w:rPr>
                <w:rFonts w:ascii="Times New Roman" w:hAnsi="Times New Roman"/>
                <w:sz w:val="20"/>
                <w:szCs w:val="20"/>
                <w:lang w:val="fr-FR" w:eastAsia="ru-RU"/>
              </w:rPr>
            </w:pPr>
            <w:proofErr w:type="spellStart"/>
            <w:proofErr w:type="gramStart"/>
            <w:r w:rsidRPr="00E00DFD">
              <w:rPr>
                <w:rFonts w:ascii="Times New Roman" w:hAnsi="Times New Roman"/>
                <w:sz w:val="20"/>
                <w:szCs w:val="20"/>
                <w:lang w:val="fr-FR" w:eastAsia="ru-RU"/>
              </w:rPr>
              <w:t>evaluează</w:t>
            </w:r>
            <w:proofErr w:type="spellEnd"/>
            <w:proofErr w:type="gram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numărul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gospodăriilor</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afectate</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sărăcie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ținând</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seama</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serviciile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energetice</w:t>
            </w:r>
            <w:proofErr w:type="spellEnd"/>
            <w:r w:rsidRPr="00E00DFD">
              <w:rPr>
                <w:rFonts w:ascii="Times New Roman" w:hAnsi="Times New Roman"/>
                <w:sz w:val="20"/>
                <w:szCs w:val="20"/>
                <w:lang w:val="fr-FR" w:eastAsia="ru-RU"/>
              </w:rPr>
              <w:t xml:space="preserve"> interne de care este </w:t>
            </w:r>
            <w:proofErr w:type="spellStart"/>
            <w:r w:rsidRPr="00E00DFD">
              <w:rPr>
                <w:rFonts w:ascii="Times New Roman" w:hAnsi="Times New Roman"/>
                <w:sz w:val="20"/>
                <w:szCs w:val="20"/>
                <w:lang w:val="fr-FR" w:eastAsia="ru-RU"/>
              </w:rPr>
              <w:t>nevoie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pentru</w:t>
            </w:r>
            <w:proofErr w:type="spellEnd"/>
            <w:r w:rsidRPr="00E00DFD">
              <w:rPr>
                <w:rFonts w:ascii="Times New Roman" w:hAnsi="Times New Roman"/>
                <w:sz w:val="20"/>
                <w:szCs w:val="20"/>
                <w:lang w:val="fr-FR" w:eastAsia="ru-RU"/>
              </w:rPr>
              <w:t xml:space="preserve"> a </w:t>
            </w:r>
            <w:proofErr w:type="spellStart"/>
            <w:r w:rsidRPr="00E00DFD">
              <w:rPr>
                <w:rFonts w:ascii="Times New Roman" w:hAnsi="Times New Roman"/>
                <w:sz w:val="20"/>
                <w:szCs w:val="20"/>
                <w:lang w:val="fr-FR" w:eastAsia="ru-RU"/>
              </w:rPr>
              <w:t>garanta</w:t>
            </w:r>
            <w:proofErr w:type="spellEnd"/>
            <w:r w:rsidRPr="00E00DFD">
              <w:rPr>
                <w:rFonts w:ascii="Times New Roman" w:hAnsi="Times New Roman"/>
                <w:sz w:val="20"/>
                <w:szCs w:val="20"/>
                <w:lang w:val="fr-FR" w:eastAsia="ru-RU"/>
              </w:rPr>
              <w:t xml:space="preserve"> un </w:t>
            </w:r>
            <w:proofErr w:type="spellStart"/>
            <w:r w:rsidRPr="00E00DFD">
              <w:rPr>
                <w:rFonts w:ascii="Times New Roman" w:hAnsi="Times New Roman"/>
                <w:sz w:val="20"/>
                <w:szCs w:val="20"/>
                <w:lang w:val="fr-FR" w:eastAsia="ru-RU"/>
              </w:rPr>
              <w:t>nivel</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trai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minim</w:t>
            </w:r>
            <w:proofErr w:type="spell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contextul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național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respectiv</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politicile</w:t>
            </w:r>
            <w:proofErr w:type="spellEnd"/>
            <w:r w:rsidRPr="00E00DFD">
              <w:rPr>
                <w:rFonts w:ascii="Times New Roman" w:hAnsi="Times New Roman"/>
                <w:sz w:val="20"/>
                <w:szCs w:val="20"/>
                <w:lang w:val="fr-FR" w:eastAsia="ru-RU"/>
              </w:rPr>
              <w:t xml:space="preserve"> sociale și </w:t>
            </w:r>
            <w:proofErr w:type="spellStart"/>
            <w:r w:rsidRPr="00E00DFD">
              <w:rPr>
                <w:rFonts w:ascii="Times New Roman" w:hAnsi="Times New Roman"/>
                <w:sz w:val="20"/>
                <w:szCs w:val="20"/>
                <w:lang w:val="fr-FR" w:eastAsia="ru-RU"/>
              </w:rPr>
              <w:t>alte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politici</w:t>
            </w:r>
            <w:proofErr w:type="spellEnd"/>
            <w:r w:rsidRPr="00E00DFD">
              <w:rPr>
                <w:rFonts w:ascii="Times New Roman" w:hAnsi="Times New Roman"/>
                <w:sz w:val="20"/>
                <w:szCs w:val="20"/>
                <w:lang w:val="fr-FR" w:eastAsia="ru-RU"/>
              </w:rPr>
              <w:t xml:space="preserve"> pertinente </w:t>
            </w:r>
            <w:proofErr w:type="spellStart"/>
            <w:r w:rsidRPr="00E00DFD">
              <w:rPr>
                <w:rFonts w:ascii="Times New Roman" w:hAnsi="Times New Roman"/>
                <w:sz w:val="20"/>
                <w:szCs w:val="20"/>
                <w:lang w:val="fr-FR" w:eastAsia="ru-RU"/>
              </w:rPr>
              <w:t>existente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precum</w:t>
            </w:r>
            <w:proofErr w:type="spellEnd"/>
            <w:r w:rsidRPr="00E00DFD">
              <w:rPr>
                <w:rFonts w:ascii="Times New Roman" w:hAnsi="Times New Roman"/>
                <w:sz w:val="20"/>
                <w:szCs w:val="20"/>
                <w:lang w:val="fr-FR" w:eastAsia="ru-RU"/>
              </w:rPr>
              <w:t xml:space="preserve"> și </w:t>
            </w:r>
            <w:proofErr w:type="spellStart"/>
            <w:r w:rsidRPr="00E00DFD">
              <w:rPr>
                <w:rFonts w:ascii="Times New Roman" w:hAnsi="Times New Roman"/>
                <w:sz w:val="20"/>
                <w:szCs w:val="20"/>
                <w:lang w:val="fr-FR" w:eastAsia="ru-RU"/>
              </w:rPr>
              <w:t>îndrumarea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orientativă</w:t>
            </w:r>
            <w:proofErr w:type="spellEnd"/>
            <w:r w:rsidRPr="00E00DFD">
              <w:rPr>
                <w:rFonts w:ascii="Times New Roman" w:hAnsi="Times New Roman"/>
                <w:sz w:val="20"/>
                <w:szCs w:val="20"/>
                <w:lang w:val="fr-FR" w:eastAsia="ru-RU"/>
              </w:rPr>
              <w:t xml:space="preserve"> a </w:t>
            </w:r>
            <w:proofErr w:type="spellStart"/>
            <w:r w:rsidRPr="00E00DFD">
              <w:rPr>
                <w:rFonts w:ascii="Times New Roman" w:hAnsi="Times New Roman"/>
                <w:sz w:val="20"/>
                <w:szCs w:val="20"/>
                <w:lang w:val="fr-FR" w:eastAsia="ru-RU"/>
              </w:rPr>
              <w:t>Comisiei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privind</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indicatorii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pertinenți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pentru</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sărăcia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energetică</w:t>
            </w:r>
            <w:proofErr w:type="spellEnd"/>
            <w:r w:rsidRPr="00E00DFD">
              <w:rPr>
                <w:rFonts w:ascii="Times New Roman" w:hAnsi="Times New Roman"/>
                <w:sz w:val="20"/>
                <w:szCs w:val="20"/>
                <w:lang w:val="fr-FR" w:eastAsia="ru-RU"/>
              </w:rPr>
              <w:t>.</w:t>
            </w:r>
          </w:p>
          <w:p w14:paraId="40FFEF1E" w14:textId="6674AA39" w:rsidR="00D37AB7" w:rsidRPr="00184ADE" w:rsidRDefault="00184ADE" w:rsidP="00184ADE">
            <w:pPr>
              <w:spacing w:after="0" w:line="240" w:lineRule="auto"/>
              <w:jc w:val="both"/>
              <w:rPr>
                <w:rFonts w:ascii="Times New Roman" w:hAnsi="Times New Roman"/>
                <w:sz w:val="20"/>
                <w:szCs w:val="20"/>
                <w:lang w:val="fr-FR" w:eastAsia="ru-RU"/>
              </w:rPr>
            </w:pPr>
            <w:r w:rsidRPr="00E00DFD">
              <w:rPr>
                <w:rFonts w:ascii="Times New Roman" w:hAnsi="Times New Roman"/>
                <w:sz w:val="20"/>
                <w:szCs w:val="20"/>
                <w:lang w:val="fr-FR" w:eastAsia="ru-RU"/>
              </w:rPr>
              <w:t xml:space="preserve">În </w:t>
            </w:r>
            <w:proofErr w:type="spellStart"/>
            <w:r w:rsidRPr="00E00DFD">
              <w:rPr>
                <w:rFonts w:ascii="Times New Roman" w:hAnsi="Times New Roman"/>
                <w:sz w:val="20"/>
                <w:szCs w:val="20"/>
                <w:lang w:val="fr-FR" w:eastAsia="ru-RU"/>
              </w:rPr>
              <w:t>cazul</w:t>
            </w:r>
            <w:proofErr w:type="spellEnd"/>
            <w:r w:rsidRPr="00E00DFD">
              <w:rPr>
                <w:rFonts w:ascii="Times New Roman" w:hAnsi="Times New Roman"/>
                <w:sz w:val="20"/>
                <w:szCs w:val="20"/>
                <w:lang w:val="fr-FR" w:eastAsia="ru-RU"/>
              </w:rPr>
              <w:t xml:space="preserve"> în care un stat membru </w:t>
            </w:r>
            <w:proofErr w:type="spellStart"/>
            <w:r w:rsidRPr="00E00DFD">
              <w:rPr>
                <w:rFonts w:ascii="Times New Roman" w:hAnsi="Times New Roman"/>
                <w:sz w:val="20"/>
                <w:szCs w:val="20"/>
                <w:lang w:val="fr-FR" w:eastAsia="ru-RU"/>
              </w:rPr>
              <w:t>constată</w:t>
            </w:r>
            <w:proofErr w:type="spell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temeiul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literei</w:t>
            </w:r>
            <w:proofErr w:type="spellEnd"/>
            <w:r w:rsidRPr="00E00DFD">
              <w:rPr>
                <w:rFonts w:ascii="Times New Roman" w:hAnsi="Times New Roman"/>
                <w:sz w:val="20"/>
                <w:szCs w:val="20"/>
                <w:lang w:val="fr-FR" w:eastAsia="ru-RU"/>
              </w:rPr>
              <w:t xml:space="preserve"> (d) de la </w:t>
            </w:r>
            <w:proofErr w:type="spellStart"/>
            <w:r w:rsidRPr="00E00DFD">
              <w:rPr>
                <w:rFonts w:ascii="Times New Roman" w:hAnsi="Times New Roman"/>
                <w:sz w:val="20"/>
                <w:szCs w:val="20"/>
                <w:lang w:val="fr-FR" w:eastAsia="ru-RU"/>
              </w:rPr>
              <w:t>primul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paragraf</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că</w:t>
            </w:r>
            <w:proofErr w:type="spellEnd"/>
            <w:r w:rsidRPr="00E00DFD">
              <w:rPr>
                <w:rFonts w:ascii="Times New Roman" w:hAnsi="Times New Roman"/>
                <w:sz w:val="20"/>
                <w:szCs w:val="20"/>
                <w:lang w:val="fr-FR" w:eastAsia="ru-RU"/>
              </w:rPr>
              <w:t xml:space="preserve"> are un </w:t>
            </w:r>
            <w:proofErr w:type="spellStart"/>
            <w:r w:rsidRPr="00E00DFD">
              <w:rPr>
                <w:rFonts w:ascii="Times New Roman" w:hAnsi="Times New Roman"/>
                <w:sz w:val="20"/>
                <w:szCs w:val="20"/>
                <w:lang w:val="fr-FR" w:eastAsia="ru-RU"/>
              </w:rPr>
              <w:t>număr</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semnificativ</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lastRenderedPageBreak/>
              <w:t>gospodării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afectate</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sărăcie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baza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evaluării</w:t>
            </w:r>
            <w:proofErr w:type="spellEnd"/>
            <w:r w:rsidRPr="00E00DFD">
              <w:rPr>
                <w:rFonts w:ascii="Times New Roman" w:hAnsi="Times New Roman"/>
                <w:sz w:val="20"/>
                <w:szCs w:val="20"/>
                <w:lang w:val="fr-FR" w:eastAsia="ru-RU"/>
              </w:rPr>
              <w:t xml:space="preserve"> sale a </w:t>
            </w:r>
            <w:proofErr w:type="spellStart"/>
            <w:r w:rsidRPr="00E00DFD">
              <w:rPr>
                <w:rFonts w:ascii="Times New Roman" w:hAnsi="Times New Roman"/>
                <w:sz w:val="20"/>
                <w:szCs w:val="20"/>
                <w:lang w:val="fr-FR" w:eastAsia="ru-RU"/>
              </w:rPr>
              <w:t>datelor</w:t>
            </w:r>
            <w:proofErr w:type="spellEnd"/>
            <w:r w:rsidRPr="00E00DFD">
              <w:rPr>
                <w:rFonts w:ascii="Times New Roman" w:hAnsi="Times New Roman"/>
                <w:sz w:val="20"/>
                <w:szCs w:val="20"/>
                <w:lang w:val="fr-FR" w:eastAsia="ru-RU"/>
              </w:rPr>
              <w:t xml:space="preserve"> ce pot fi </w:t>
            </w:r>
            <w:proofErr w:type="spellStart"/>
            <w:r w:rsidRPr="00E00DFD">
              <w:rPr>
                <w:rFonts w:ascii="Times New Roman" w:hAnsi="Times New Roman"/>
                <w:sz w:val="20"/>
                <w:szCs w:val="20"/>
                <w:lang w:val="fr-FR" w:eastAsia="ru-RU"/>
              </w:rPr>
              <w:t>verificate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acesta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include</w:t>
            </w:r>
            <w:proofErr w:type="spell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planul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său</w:t>
            </w:r>
            <w:proofErr w:type="spellEnd"/>
            <w:r w:rsidRPr="00E00DFD">
              <w:rPr>
                <w:rFonts w:ascii="Times New Roman" w:hAnsi="Times New Roman"/>
                <w:sz w:val="20"/>
                <w:szCs w:val="20"/>
                <w:lang w:val="fr-FR" w:eastAsia="ru-RU"/>
              </w:rPr>
              <w:t xml:space="preserve"> un </w:t>
            </w:r>
            <w:proofErr w:type="spellStart"/>
            <w:r w:rsidRPr="00E00DFD">
              <w:rPr>
                <w:rFonts w:ascii="Times New Roman" w:hAnsi="Times New Roman"/>
                <w:sz w:val="20"/>
                <w:szCs w:val="20"/>
                <w:lang w:val="fr-FR" w:eastAsia="ru-RU"/>
              </w:rPr>
              <w:t>obiectiv</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orientativ</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național</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pentru</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reducerea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sărăciei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Statele</w:t>
            </w:r>
            <w:proofErr w:type="spellEnd"/>
            <w:r w:rsidRPr="00E00DFD">
              <w:rPr>
                <w:rFonts w:ascii="Times New Roman" w:hAnsi="Times New Roman"/>
                <w:sz w:val="20"/>
                <w:szCs w:val="20"/>
                <w:lang w:val="fr-FR" w:eastAsia="ru-RU"/>
              </w:rPr>
              <w:t xml:space="preserve"> membre în </w:t>
            </w:r>
            <w:proofErr w:type="spellStart"/>
            <w:r w:rsidRPr="00E00DFD">
              <w:rPr>
                <w:rFonts w:ascii="Times New Roman" w:hAnsi="Times New Roman"/>
                <w:sz w:val="20"/>
                <w:szCs w:val="20"/>
                <w:lang w:val="fr-FR" w:eastAsia="ru-RU"/>
              </w:rPr>
              <w:t>cauză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prezintă</w:t>
            </w:r>
            <w:proofErr w:type="spellEnd"/>
            <w:r w:rsidRPr="00E00DFD">
              <w:rPr>
                <w:rFonts w:ascii="Times New Roman" w:hAnsi="Times New Roman"/>
                <w:sz w:val="20"/>
                <w:szCs w:val="20"/>
                <w:lang w:val="fr-FR" w:eastAsia="ru-RU"/>
              </w:rPr>
              <w:t xml:space="preserve"> în </w:t>
            </w:r>
            <w:proofErr w:type="spellStart"/>
            <w:r w:rsidRPr="00E00DFD">
              <w:rPr>
                <w:rFonts w:ascii="Times New Roman" w:hAnsi="Times New Roman"/>
                <w:sz w:val="20"/>
                <w:szCs w:val="20"/>
                <w:lang w:val="fr-FR" w:eastAsia="ru-RU"/>
              </w:rPr>
              <w:t>planurile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lor</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naționale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integrate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privind</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energia</w:t>
            </w:r>
            <w:proofErr w:type="spellEnd"/>
            <w:r w:rsidRPr="00E00DFD">
              <w:rPr>
                <w:rFonts w:ascii="Times New Roman" w:hAnsi="Times New Roman"/>
                <w:sz w:val="20"/>
                <w:szCs w:val="20"/>
                <w:lang w:val="fr-FR" w:eastAsia="ru-RU"/>
              </w:rPr>
              <w:t xml:space="preserve"> și </w:t>
            </w:r>
            <w:proofErr w:type="spellStart"/>
            <w:r w:rsidRPr="00E00DFD">
              <w:rPr>
                <w:rFonts w:ascii="Times New Roman" w:hAnsi="Times New Roman"/>
                <w:sz w:val="20"/>
                <w:szCs w:val="20"/>
                <w:lang w:val="fr-FR" w:eastAsia="ru-RU"/>
              </w:rPr>
              <w:t>clima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politicile</w:t>
            </w:r>
            <w:proofErr w:type="spellEnd"/>
            <w:r w:rsidRPr="00E00DFD">
              <w:rPr>
                <w:rFonts w:ascii="Times New Roman" w:hAnsi="Times New Roman"/>
                <w:sz w:val="20"/>
                <w:szCs w:val="20"/>
                <w:lang w:val="fr-FR" w:eastAsia="ru-RU"/>
              </w:rPr>
              <w:t xml:space="preserve"> și </w:t>
            </w:r>
            <w:proofErr w:type="spellStart"/>
            <w:r w:rsidRPr="00E00DFD">
              <w:rPr>
                <w:rFonts w:ascii="Times New Roman" w:hAnsi="Times New Roman"/>
                <w:sz w:val="20"/>
                <w:szCs w:val="20"/>
                <w:lang w:val="fr-FR" w:eastAsia="ru-RU"/>
              </w:rPr>
              <w:t>măsurile</w:t>
            </w:r>
            <w:proofErr w:type="spellEnd"/>
            <w:r w:rsidRPr="00E00DFD">
              <w:rPr>
                <w:rFonts w:ascii="Times New Roman" w:hAnsi="Times New Roman"/>
                <w:sz w:val="20"/>
                <w:szCs w:val="20"/>
                <w:lang w:val="fr-FR" w:eastAsia="ru-RU"/>
              </w:rPr>
              <w:t xml:space="preserve"> care au </w:t>
            </w:r>
            <w:proofErr w:type="gramStart"/>
            <w:r w:rsidRPr="00E00DFD">
              <w:rPr>
                <w:rFonts w:ascii="Times New Roman" w:hAnsi="Times New Roman"/>
                <w:sz w:val="20"/>
                <w:szCs w:val="20"/>
                <w:lang w:val="fr-FR" w:eastAsia="ru-RU"/>
              </w:rPr>
              <w:t>ca</w:t>
            </w:r>
            <w:proofErr w:type="gram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scop</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eliminarea</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sărăciei</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energetice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dacă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aceasta</w:t>
            </w:r>
            <w:proofErr w:type="spellEnd"/>
            <w:r w:rsidRPr="00E00DFD">
              <w:rPr>
                <w:rFonts w:ascii="Times New Roman" w:hAnsi="Times New Roman"/>
                <w:sz w:val="20"/>
                <w:szCs w:val="20"/>
                <w:lang w:val="fr-FR" w:eastAsia="ru-RU"/>
              </w:rPr>
              <w:t xml:space="preserve"> există, </w:t>
            </w:r>
            <w:proofErr w:type="spellStart"/>
            <w:r w:rsidRPr="00E00DFD">
              <w:rPr>
                <w:rFonts w:ascii="Times New Roman" w:hAnsi="Times New Roman"/>
                <w:sz w:val="20"/>
                <w:szCs w:val="20"/>
                <w:lang w:val="fr-FR" w:eastAsia="ru-RU"/>
              </w:rPr>
              <w:t>inclusiv</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măsurile</w:t>
            </w:r>
            <w:proofErr w:type="spellEnd"/>
            <w:r w:rsidRPr="00E00DFD">
              <w:rPr>
                <w:rFonts w:ascii="Times New Roman" w:hAnsi="Times New Roman"/>
                <w:sz w:val="20"/>
                <w:szCs w:val="20"/>
                <w:lang w:val="fr-FR" w:eastAsia="ru-RU"/>
              </w:rPr>
              <w:t xml:space="preserve"> de </w:t>
            </w:r>
            <w:proofErr w:type="spellStart"/>
            <w:r w:rsidRPr="00E00DFD">
              <w:rPr>
                <w:rFonts w:ascii="Times New Roman" w:hAnsi="Times New Roman"/>
                <w:sz w:val="20"/>
                <w:szCs w:val="20"/>
                <w:lang w:val="fr-FR" w:eastAsia="ru-RU"/>
              </w:rPr>
              <w:t>politică</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socială</w:t>
            </w:r>
            <w:proofErr w:type="spellEnd"/>
            <w:r w:rsidRPr="00E00DFD">
              <w:rPr>
                <w:rFonts w:ascii="Times New Roman" w:hAnsi="Times New Roman"/>
                <w:sz w:val="20"/>
                <w:szCs w:val="20"/>
                <w:lang w:val="fr-FR" w:eastAsia="ru-RU"/>
              </w:rPr>
              <w:t xml:space="preserve"> și </w:t>
            </w:r>
            <w:proofErr w:type="spellStart"/>
            <w:r w:rsidRPr="00E00DFD">
              <w:rPr>
                <w:rFonts w:ascii="Times New Roman" w:hAnsi="Times New Roman"/>
                <w:sz w:val="20"/>
                <w:szCs w:val="20"/>
                <w:lang w:val="fr-FR" w:eastAsia="ru-RU"/>
              </w:rPr>
              <w:t>alte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programe</w:t>
            </w:r>
            <w:proofErr w:type="spellEnd"/>
            <w:r w:rsidRPr="00E00DFD">
              <w:rPr>
                <w:rFonts w:ascii="Times New Roman" w:hAnsi="Times New Roman"/>
                <w:sz w:val="20"/>
                <w:szCs w:val="20"/>
                <w:lang w:val="fr-FR" w:eastAsia="ru-RU"/>
              </w:rPr>
              <w:t xml:space="preserve"> </w:t>
            </w:r>
            <w:proofErr w:type="spellStart"/>
            <w:r w:rsidRPr="00E00DFD">
              <w:rPr>
                <w:rFonts w:ascii="Times New Roman" w:hAnsi="Times New Roman"/>
                <w:sz w:val="20"/>
                <w:szCs w:val="20"/>
                <w:lang w:val="fr-FR" w:eastAsia="ru-RU"/>
              </w:rPr>
              <w:t>naționale</w:t>
            </w:r>
            <w:proofErr w:type="spellEnd"/>
            <w:r w:rsidRPr="00E00DFD">
              <w:rPr>
                <w:rFonts w:ascii="Times New Roman" w:hAnsi="Times New Roman"/>
                <w:sz w:val="20"/>
                <w:szCs w:val="20"/>
                <w:lang w:val="fr-FR" w:eastAsia="ru-RU"/>
              </w:rPr>
              <w:t xml:space="preserve"> pertinente.</w:t>
            </w:r>
          </w:p>
        </w:tc>
        <w:tc>
          <w:tcPr>
            <w:tcW w:w="4440" w:type="dxa"/>
          </w:tcPr>
          <w:p w14:paraId="3585273E" w14:textId="665C9125" w:rsidR="00D37AB7" w:rsidRPr="00FE4921" w:rsidRDefault="00D37AB7" w:rsidP="00E10E0F">
            <w:pPr>
              <w:shd w:val="clear" w:color="auto" w:fill="FFFFFF"/>
              <w:suppressAutoHyphens w:val="0"/>
              <w:autoSpaceDN/>
              <w:adjustRightInd w:val="0"/>
              <w:spacing w:after="0" w:line="240" w:lineRule="auto"/>
              <w:jc w:val="both"/>
              <w:textAlignment w:val="top"/>
              <w:rPr>
                <w:rFonts w:ascii="Times New Roman" w:hAnsi="Times New Roman"/>
                <w:color w:val="000000" w:themeColor="text1"/>
                <w:sz w:val="20"/>
                <w:szCs w:val="20"/>
                <w:lang w:val="ro-RO"/>
              </w:rPr>
            </w:pPr>
          </w:p>
        </w:tc>
        <w:tc>
          <w:tcPr>
            <w:tcW w:w="1276" w:type="dxa"/>
          </w:tcPr>
          <w:p w14:paraId="503F4B17" w14:textId="14DAEC39" w:rsidR="00D37AB7" w:rsidRPr="00745D9A" w:rsidRDefault="00E10E0F" w:rsidP="00D37AB7">
            <w:pPr>
              <w:pStyle w:val="ColorfulList-Accent11"/>
              <w:spacing w:after="0" w:line="240" w:lineRule="auto"/>
              <w:ind w:left="0"/>
              <w:jc w:val="both"/>
              <w:rPr>
                <w:lang w:val="fr-FR"/>
              </w:rPr>
            </w:pPr>
            <w:r>
              <w:rPr>
                <w:rFonts w:ascii="Times New Roman" w:hAnsi="Times New Roman"/>
                <w:sz w:val="20"/>
                <w:szCs w:val="20"/>
                <w:lang w:val="ro-RO"/>
              </w:rPr>
              <w:t>C</w:t>
            </w:r>
            <w:r w:rsidR="00184ADE" w:rsidRPr="00C951E7">
              <w:rPr>
                <w:rFonts w:ascii="Times New Roman" w:hAnsi="Times New Roman"/>
                <w:sz w:val="20"/>
                <w:szCs w:val="20"/>
                <w:lang w:val="ro-RO"/>
              </w:rPr>
              <w:t>ompatibil</w:t>
            </w:r>
          </w:p>
        </w:tc>
        <w:tc>
          <w:tcPr>
            <w:tcW w:w="1276" w:type="dxa"/>
          </w:tcPr>
          <w:p w14:paraId="27309BD5" w14:textId="77777777" w:rsidR="00D37AB7" w:rsidRPr="00745D9A" w:rsidRDefault="00D37AB7" w:rsidP="00D37AB7">
            <w:pPr>
              <w:pStyle w:val="ColorfulList-Accent11"/>
              <w:spacing w:after="0" w:line="240" w:lineRule="auto"/>
              <w:ind w:left="0"/>
              <w:jc w:val="both"/>
              <w:rPr>
                <w:lang w:val="fr-FR"/>
              </w:rPr>
            </w:pPr>
          </w:p>
        </w:tc>
        <w:tc>
          <w:tcPr>
            <w:tcW w:w="1701" w:type="dxa"/>
          </w:tcPr>
          <w:p w14:paraId="36BA95BA" w14:textId="578E8FC1"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514FAA">
              <w:rPr>
                <w:rFonts w:ascii="Times New Roman" w:eastAsia="Times New Roman" w:hAnsi="Times New Roman"/>
                <w:sz w:val="20"/>
                <w:szCs w:val="20"/>
                <w:lang w:val="ro-RO" w:eastAsia="ru-RU"/>
              </w:rPr>
              <w:t>la pct.9 și pct.10 din</w:t>
            </w:r>
            <w:r>
              <w:rPr>
                <w:rFonts w:ascii="Times New Roman" w:eastAsia="Times New Roman" w:hAnsi="Times New Roman"/>
                <w:sz w:val="20"/>
                <w:szCs w:val="20"/>
                <w:lang w:val="ro-RO" w:eastAsia="ru-RU"/>
              </w:rPr>
              <w:t xml:space="preserve"> </w:t>
            </w:r>
          </w:p>
          <w:p w14:paraId="0ED6F221" w14:textId="2F0ED05F" w:rsidR="00D37AB7" w:rsidRPr="00184ADE"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1FFB1FB9" w14:textId="77777777" w:rsidR="00E00DFD" w:rsidRPr="003F755D" w:rsidRDefault="00E00DFD" w:rsidP="00E00DFD">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671394DB" w14:textId="77777777" w:rsidR="00D37AB7" w:rsidRPr="00184ADE" w:rsidRDefault="00D37AB7" w:rsidP="00E00DFD">
            <w:pPr>
              <w:autoSpaceDE w:val="0"/>
              <w:spacing w:after="0" w:line="240" w:lineRule="auto"/>
              <w:rPr>
                <w:lang w:val="ro-RO"/>
              </w:rPr>
            </w:pPr>
          </w:p>
        </w:tc>
      </w:tr>
      <w:tr w:rsidR="00D37AB7" w:rsidRPr="00B96388" w14:paraId="2E4A4A9E" w14:textId="77777777" w:rsidTr="00A90105">
        <w:trPr>
          <w:trHeight w:val="995"/>
        </w:trPr>
        <w:tc>
          <w:tcPr>
            <w:tcW w:w="4945" w:type="dxa"/>
          </w:tcPr>
          <w:p w14:paraId="15B1D470" w14:textId="76AAF2A9" w:rsidR="00D37AB7" w:rsidRPr="00603821" w:rsidRDefault="00D37AB7" w:rsidP="000C5A3B">
            <w:pPr>
              <w:pStyle w:val="af3"/>
              <w:numPr>
                <w:ilvl w:val="0"/>
                <w:numId w:val="83"/>
              </w:numPr>
              <w:spacing w:after="0"/>
              <w:ind w:left="470" w:hanging="357"/>
              <w:jc w:val="both"/>
              <w:rPr>
                <w:rFonts w:ascii="Times New Roman" w:hAnsi="Times New Roman"/>
                <w:sz w:val="20"/>
                <w:szCs w:val="20"/>
                <w:lang w:val="fr-FR"/>
              </w:rPr>
            </w:pPr>
            <w:proofErr w:type="spellStart"/>
            <w:r w:rsidRPr="00E00DFD">
              <w:rPr>
                <w:rFonts w:ascii="Times New Roman" w:hAnsi="Times New Roman"/>
                <w:sz w:val="20"/>
                <w:szCs w:val="20"/>
                <w:shd w:val="clear" w:color="auto" w:fill="FFFFFF"/>
                <w:lang w:val="fr-FR"/>
              </w:rPr>
              <w:t>Fiecare</w:t>
            </w:r>
            <w:proofErr w:type="spellEnd"/>
            <w:r w:rsidRPr="00E00DFD">
              <w:rPr>
                <w:rFonts w:ascii="Times New Roman" w:hAnsi="Times New Roman"/>
                <w:sz w:val="20"/>
                <w:szCs w:val="20"/>
                <w:shd w:val="clear" w:color="auto" w:fill="FFFFFF"/>
                <w:lang w:val="fr-FR"/>
              </w:rPr>
              <w:t xml:space="preserve"> stat membru </w:t>
            </w:r>
            <w:proofErr w:type="spellStart"/>
            <w:r w:rsidRPr="00E00DFD">
              <w:rPr>
                <w:rFonts w:ascii="Times New Roman" w:hAnsi="Times New Roman"/>
                <w:sz w:val="20"/>
                <w:szCs w:val="20"/>
                <w:shd w:val="clear" w:color="auto" w:fill="FFFFFF"/>
                <w:lang w:val="fr-FR"/>
              </w:rPr>
              <w:t>pune</w:t>
            </w:r>
            <w:proofErr w:type="spellEnd"/>
            <w:r w:rsidRPr="00E00DFD">
              <w:rPr>
                <w:rFonts w:ascii="Times New Roman" w:hAnsi="Times New Roman"/>
                <w:sz w:val="20"/>
                <w:szCs w:val="20"/>
                <w:shd w:val="clear" w:color="auto" w:fill="FFFFFF"/>
                <w:lang w:val="fr-FR"/>
              </w:rPr>
              <w:t xml:space="preserve"> la </w:t>
            </w:r>
            <w:proofErr w:type="spellStart"/>
            <w:r w:rsidRPr="00E00DFD">
              <w:rPr>
                <w:rFonts w:ascii="Times New Roman" w:hAnsi="Times New Roman"/>
                <w:sz w:val="20"/>
                <w:szCs w:val="20"/>
                <w:shd w:val="clear" w:color="auto" w:fill="FFFFFF"/>
                <w:lang w:val="fr-FR"/>
              </w:rPr>
              <w:t>dispoziția</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publicului</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planul</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său</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național</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integrat</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privind</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energia</w:t>
            </w:r>
            <w:proofErr w:type="spellEnd"/>
            <w:r w:rsidRPr="00E00DFD">
              <w:rPr>
                <w:rFonts w:ascii="Times New Roman" w:hAnsi="Times New Roman"/>
                <w:sz w:val="20"/>
                <w:szCs w:val="20"/>
                <w:shd w:val="clear" w:color="auto" w:fill="FFFFFF"/>
                <w:lang w:val="fr-FR"/>
              </w:rPr>
              <w:t xml:space="preserve"> și </w:t>
            </w:r>
            <w:proofErr w:type="spellStart"/>
            <w:r w:rsidRPr="00E00DFD">
              <w:rPr>
                <w:rFonts w:ascii="Times New Roman" w:hAnsi="Times New Roman"/>
                <w:sz w:val="20"/>
                <w:szCs w:val="20"/>
                <w:shd w:val="clear" w:color="auto" w:fill="FFFFFF"/>
                <w:lang w:val="fr-FR"/>
              </w:rPr>
              <w:t>clima</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prezentat</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Comisiei</w:t>
            </w:r>
            <w:proofErr w:type="spellEnd"/>
            <w:r w:rsidRPr="00E00DFD">
              <w:rPr>
                <w:rFonts w:ascii="Times New Roman" w:hAnsi="Times New Roman"/>
                <w:sz w:val="20"/>
                <w:szCs w:val="20"/>
                <w:shd w:val="clear" w:color="auto" w:fill="FFFFFF"/>
                <w:lang w:val="fr-FR"/>
              </w:rPr>
              <w:t xml:space="preserve"> în </w:t>
            </w:r>
            <w:proofErr w:type="spellStart"/>
            <w:r w:rsidRPr="00E00DFD">
              <w:rPr>
                <w:rFonts w:ascii="Times New Roman" w:hAnsi="Times New Roman"/>
                <w:sz w:val="20"/>
                <w:szCs w:val="20"/>
                <w:shd w:val="clear" w:color="auto" w:fill="FFFFFF"/>
                <w:lang w:val="fr-FR"/>
              </w:rPr>
              <w:t>temeiul</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prezentului</w:t>
            </w:r>
            <w:proofErr w:type="spellEnd"/>
            <w:r w:rsidRPr="00E00DFD">
              <w:rPr>
                <w:rFonts w:ascii="Times New Roman" w:hAnsi="Times New Roman"/>
                <w:sz w:val="20"/>
                <w:szCs w:val="20"/>
                <w:shd w:val="clear" w:color="auto" w:fill="FFFFFF"/>
                <w:lang w:val="fr-FR"/>
              </w:rPr>
              <w:t xml:space="preserve"> </w:t>
            </w:r>
            <w:proofErr w:type="spellStart"/>
            <w:r w:rsidRPr="00E00DFD">
              <w:rPr>
                <w:rFonts w:ascii="Times New Roman" w:hAnsi="Times New Roman"/>
                <w:sz w:val="20"/>
                <w:szCs w:val="20"/>
                <w:shd w:val="clear" w:color="auto" w:fill="FFFFFF"/>
                <w:lang w:val="fr-FR"/>
              </w:rPr>
              <w:t>articol</w:t>
            </w:r>
            <w:proofErr w:type="spellEnd"/>
            <w:r w:rsidRPr="00E00DFD">
              <w:rPr>
                <w:rFonts w:ascii="Times New Roman" w:hAnsi="Times New Roman"/>
                <w:sz w:val="20"/>
                <w:szCs w:val="20"/>
                <w:shd w:val="clear" w:color="auto" w:fill="FFFFFF"/>
                <w:lang w:val="fr-FR"/>
              </w:rPr>
              <w:t>.</w:t>
            </w:r>
          </w:p>
        </w:tc>
        <w:tc>
          <w:tcPr>
            <w:tcW w:w="4440" w:type="dxa"/>
          </w:tcPr>
          <w:p w14:paraId="622F8F99" w14:textId="0D6C17CE" w:rsidR="00D37AB7" w:rsidRPr="00E00DFD" w:rsidRDefault="00D37AB7" w:rsidP="00E00DFD">
            <w:pPr>
              <w:shd w:val="clear" w:color="auto" w:fill="FFFFFF"/>
              <w:suppressAutoHyphens w:val="0"/>
              <w:autoSpaceDN/>
              <w:spacing w:after="0" w:line="240" w:lineRule="auto"/>
              <w:jc w:val="both"/>
              <w:textAlignment w:val="auto"/>
              <w:rPr>
                <w:rFonts w:ascii="Times New Roman" w:eastAsia="Times New Roman" w:hAnsi="Times New Roman"/>
                <w:b/>
                <w:sz w:val="20"/>
                <w:szCs w:val="20"/>
                <w:lang w:val="ro-RO" w:eastAsia="ru-RU"/>
              </w:rPr>
            </w:pPr>
          </w:p>
        </w:tc>
        <w:tc>
          <w:tcPr>
            <w:tcW w:w="1276" w:type="dxa"/>
          </w:tcPr>
          <w:p w14:paraId="246974DE" w14:textId="77777777" w:rsidR="00B96388" w:rsidRPr="00C951E7" w:rsidRDefault="00B96388" w:rsidP="00B96388">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55A4C24A" w14:textId="77777777" w:rsidR="00D37AB7" w:rsidRPr="00B96388" w:rsidRDefault="00D37AB7" w:rsidP="00D37AB7">
            <w:pPr>
              <w:pStyle w:val="ColorfulList-Accent11"/>
              <w:spacing w:after="0" w:line="240" w:lineRule="auto"/>
              <w:ind w:left="0"/>
              <w:jc w:val="both"/>
              <w:rPr>
                <w:lang w:val="ro-MD"/>
              </w:rPr>
            </w:pPr>
          </w:p>
        </w:tc>
        <w:tc>
          <w:tcPr>
            <w:tcW w:w="1276" w:type="dxa"/>
          </w:tcPr>
          <w:p w14:paraId="2CBE6554" w14:textId="77777777" w:rsidR="00D37AB7" w:rsidRPr="00B96388" w:rsidRDefault="00D37AB7" w:rsidP="00D37AB7">
            <w:pPr>
              <w:pStyle w:val="ColorfulList-Accent11"/>
              <w:spacing w:after="0" w:line="240" w:lineRule="auto"/>
              <w:ind w:left="0"/>
              <w:jc w:val="both"/>
              <w:rPr>
                <w:lang w:val="ro-MD"/>
              </w:rPr>
            </w:pPr>
          </w:p>
        </w:tc>
        <w:tc>
          <w:tcPr>
            <w:tcW w:w="1701" w:type="dxa"/>
          </w:tcPr>
          <w:p w14:paraId="12B28C7C" w14:textId="77777777" w:rsidR="00D37AB7" w:rsidRDefault="0014661D" w:rsidP="0014661D">
            <w:pPr>
              <w:autoSpaceDE w:val="0"/>
              <w:spacing w:after="0" w:line="240" w:lineRule="auto"/>
              <w:rPr>
                <w:rFonts w:ascii="Times New Roman" w:eastAsia="Times New Roman" w:hAnsi="Times New Roman"/>
                <w:sz w:val="20"/>
                <w:szCs w:val="20"/>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66C421F9" w14:textId="3A2BD3FF"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514FAA">
              <w:rPr>
                <w:rFonts w:ascii="Times New Roman" w:eastAsia="Times New Roman" w:hAnsi="Times New Roman"/>
                <w:sz w:val="20"/>
                <w:szCs w:val="20"/>
                <w:lang w:val="ro-RO" w:eastAsia="ru-RU"/>
              </w:rPr>
              <w:t>la pct.95 din</w:t>
            </w:r>
          </w:p>
          <w:p w14:paraId="1F421631" w14:textId="0D583EC1" w:rsidR="004C01A1" w:rsidRPr="0014661D" w:rsidRDefault="004C01A1" w:rsidP="004C01A1">
            <w:pPr>
              <w:autoSpaceDE w:val="0"/>
              <w:spacing w:after="0" w:line="240" w:lineRule="auto"/>
              <w:rPr>
                <w:rFonts w:ascii="Times New Roman" w:hAnsi="Times New Roman"/>
                <w:sz w:val="20"/>
                <w:szCs w:val="20"/>
                <w:shd w:val="clear" w:color="auto" w:fill="FFFFFF"/>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59AC64E1" w14:textId="77777777" w:rsidR="00E00DFD" w:rsidRPr="003F755D" w:rsidRDefault="00E00DFD" w:rsidP="00E00DFD">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455A2500" w14:textId="77777777" w:rsidR="00D37AB7" w:rsidRPr="00B96388" w:rsidRDefault="00D37AB7" w:rsidP="00E00DFD">
            <w:pPr>
              <w:autoSpaceDE w:val="0"/>
              <w:spacing w:after="0" w:line="240" w:lineRule="auto"/>
              <w:rPr>
                <w:lang w:val="ro-MD"/>
              </w:rPr>
            </w:pPr>
          </w:p>
        </w:tc>
      </w:tr>
      <w:tr w:rsidR="00D37AB7" w:rsidRPr="009A017E" w14:paraId="7A519E3A" w14:textId="77777777" w:rsidTr="00A90105">
        <w:tc>
          <w:tcPr>
            <w:tcW w:w="4945" w:type="dxa"/>
          </w:tcPr>
          <w:p w14:paraId="0B7E13F4" w14:textId="5F251AE6" w:rsidR="00D37AB7" w:rsidRPr="009A017E" w:rsidRDefault="00D37AB7" w:rsidP="00B96388">
            <w:pPr>
              <w:jc w:val="both"/>
              <w:rPr>
                <w:rFonts w:ascii="Times New Roman" w:hAnsi="Times New Roman"/>
                <w:sz w:val="20"/>
                <w:szCs w:val="20"/>
                <w:lang w:val="ro-MD"/>
              </w:rPr>
            </w:pPr>
            <w:r w:rsidRPr="00E00DFD">
              <w:rPr>
                <w:rFonts w:ascii="Times New Roman" w:hAnsi="Times New Roman"/>
                <w:sz w:val="20"/>
                <w:szCs w:val="20"/>
                <w:shd w:val="clear" w:color="auto" w:fill="FFFFFF"/>
                <w:lang w:val="ro-MD"/>
              </w:rPr>
              <w:t>(5)</w:t>
            </w:r>
            <w:r w:rsidR="009A017E"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Comisia este împuternicită să adopte acte delegate în conformitate cu articolul</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43, pentru a modifica partea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1 secțiunea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A punctele</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2.1.1 și</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3.1.1 din anexa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I și secțiunea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B punctele</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4.1 și</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4.2.1, precum și partea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2 punctul</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3 din anexa</w:t>
            </w:r>
            <w:r w:rsidR="00B96388" w:rsidRPr="00E00DFD">
              <w:rPr>
                <w:rFonts w:ascii="Times New Roman" w:hAnsi="Times New Roman"/>
                <w:sz w:val="20"/>
                <w:szCs w:val="20"/>
                <w:shd w:val="clear" w:color="auto" w:fill="FFFFFF"/>
                <w:lang w:val="ro-MD"/>
              </w:rPr>
              <w:t xml:space="preserve"> </w:t>
            </w:r>
            <w:r w:rsidRPr="00E00DFD">
              <w:rPr>
                <w:rFonts w:ascii="Times New Roman" w:hAnsi="Times New Roman"/>
                <w:sz w:val="20"/>
                <w:szCs w:val="20"/>
                <w:shd w:val="clear" w:color="auto" w:fill="FFFFFF"/>
                <w:lang w:val="ro-MD"/>
              </w:rPr>
              <w:t>I, în vederea adaptării lor la modificările aduse cadrului de politici al Uniunii privind clima și energia, care sunt legate în mod direct și specific de contribuțiile Uniunii în temeiul CCONUSC și al Acordului de la Paris.</w:t>
            </w:r>
          </w:p>
        </w:tc>
        <w:tc>
          <w:tcPr>
            <w:tcW w:w="4440" w:type="dxa"/>
          </w:tcPr>
          <w:p w14:paraId="7ED01EE6" w14:textId="77777777" w:rsidR="00D37AB7" w:rsidRPr="009A017E" w:rsidRDefault="00D37AB7" w:rsidP="00D37AB7">
            <w:pPr>
              <w:pStyle w:val="ColorfulList-Accent11"/>
              <w:spacing w:after="0" w:line="240" w:lineRule="auto"/>
              <w:ind w:left="0"/>
              <w:jc w:val="both"/>
              <w:rPr>
                <w:lang w:val="ro-MD"/>
              </w:rPr>
            </w:pPr>
          </w:p>
        </w:tc>
        <w:tc>
          <w:tcPr>
            <w:tcW w:w="1276" w:type="dxa"/>
          </w:tcPr>
          <w:p w14:paraId="113E64A7" w14:textId="1C248582" w:rsidR="00D37AB7" w:rsidRPr="009A017E" w:rsidRDefault="009A017E" w:rsidP="00D37AB7">
            <w:pPr>
              <w:pStyle w:val="ColorfulList-Accent11"/>
              <w:spacing w:after="0" w:line="240" w:lineRule="auto"/>
              <w:ind w:left="0"/>
              <w:jc w:val="both"/>
              <w:rPr>
                <w:lang w:val="ro-MD"/>
              </w:rPr>
            </w:pPr>
            <w:r w:rsidRPr="00C951E7">
              <w:rPr>
                <w:rFonts w:ascii="Times New Roman" w:hAnsi="Times New Roman"/>
                <w:sz w:val="20"/>
                <w:szCs w:val="20"/>
                <w:lang w:val="ro-RO"/>
              </w:rPr>
              <w:t>Prevederi UE neaplicabile</w:t>
            </w:r>
          </w:p>
        </w:tc>
        <w:tc>
          <w:tcPr>
            <w:tcW w:w="1276" w:type="dxa"/>
          </w:tcPr>
          <w:p w14:paraId="21A82154" w14:textId="77777777" w:rsidR="00D37AB7" w:rsidRPr="009A017E" w:rsidRDefault="00D37AB7" w:rsidP="00D37AB7">
            <w:pPr>
              <w:pStyle w:val="ColorfulList-Accent11"/>
              <w:spacing w:after="0" w:line="240" w:lineRule="auto"/>
              <w:ind w:left="0"/>
              <w:jc w:val="both"/>
              <w:rPr>
                <w:lang w:val="ro-MD"/>
              </w:rPr>
            </w:pPr>
          </w:p>
        </w:tc>
        <w:tc>
          <w:tcPr>
            <w:tcW w:w="1701" w:type="dxa"/>
          </w:tcPr>
          <w:p w14:paraId="4A135201" w14:textId="2916AA09" w:rsidR="00D37AB7" w:rsidRPr="009A017E" w:rsidRDefault="00C214D0" w:rsidP="00D37AB7">
            <w:pPr>
              <w:pStyle w:val="ColorfulList-Accent11"/>
              <w:spacing w:after="0" w:line="240" w:lineRule="auto"/>
              <w:ind w:left="0"/>
              <w:jc w:val="both"/>
              <w:rPr>
                <w:lang w:val="ro-MD"/>
              </w:rPr>
            </w:pPr>
            <w:r w:rsidRPr="00C951E7">
              <w:rPr>
                <w:rFonts w:ascii="Times New Roman" w:hAnsi="Times New Roman"/>
                <w:sz w:val="20"/>
                <w:szCs w:val="20"/>
                <w:lang w:val="ro-RO"/>
              </w:rPr>
              <w:t>Transpunerea nu este necesară, deoarece se referă la tehnica legislativă UE.</w:t>
            </w:r>
          </w:p>
        </w:tc>
        <w:tc>
          <w:tcPr>
            <w:tcW w:w="1460" w:type="dxa"/>
          </w:tcPr>
          <w:p w14:paraId="623DDCEF" w14:textId="77777777" w:rsidR="00D37AB7" w:rsidRPr="009A017E" w:rsidRDefault="00D37AB7" w:rsidP="00D37AB7">
            <w:pPr>
              <w:pStyle w:val="ColorfulList-Accent11"/>
              <w:spacing w:after="0" w:line="240" w:lineRule="auto"/>
              <w:ind w:left="0"/>
              <w:jc w:val="both"/>
              <w:rPr>
                <w:lang w:val="ro-MD"/>
              </w:rPr>
            </w:pPr>
          </w:p>
        </w:tc>
      </w:tr>
      <w:tr w:rsidR="00081EFD" w:rsidRPr="009A017E" w14:paraId="55827404" w14:textId="77777777" w:rsidTr="00A90105">
        <w:tc>
          <w:tcPr>
            <w:tcW w:w="4945" w:type="dxa"/>
          </w:tcPr>
          <w:p w14:paraId="7136EB22" w14:textId="77777777" w:rsidR="00081EFD" w:rsidRPr="000440D5" w:rsidRDefault="00081EFD" w:rsidP="00081EFD">
            <w:pPr>
              <w:spacing w:after="0" w:line="240" w:lineRule="auto"/>
              <w:jc w:val="center"/>
              <w:rPr>
                <w:rFonts w:ascii="Times New Roman" w:hAnsi="Times New Roman"/>
                <w:b/>
                <w:bCs/>
                <w:sz w:val="20"/>
                <w:szCs w:val="20"/>
                <w:lang w:val="fr-FR" w:eastAsia="ru-RU"/>
              </w:rPr>
            </w:pPr>
            <w:proofErr w:type="spellStart"/>
            <w:r w:rsidRPr="000440D5">
              <w:rPr>
                <w:rFonts w:ascii="Times New Roman" w:hAnsi="Times New Roman"/>
                <w:b/>
                <w:bCs/>
                <w:sz w:val="20"/>
                <w:szCs w:val="20"/>
                <w:lang w:val="fr-FR" w:eastAsia="ru-RU"/>
              </w:rPr>
              <w:lastRenderedPageBreak/>
              <w:t>Articolul</w:t>
            </w:r>
            <w:proofErr w:type="spellEnd"/>
            <w:r w:rsidRPr="000440D5">
              <w:rPr>
                <w:rFonts w:ascii="Times New Roman" w:hAnsi="Times New Roman"/>
                <w:b/>
                <w:bCs/>
                <w:sz w:val="20"/>
                <w:szCs w:val="20"/>
                <w:lang w:val="fr-FR" w:eastAsia="ru-RU"/>
              </w:rPr>
              <w:t xml:space="preserve"> 4</w:t>
            </w:r>
          </w:p>
          <w:p w14:paraId="62E7645F" w14:textId="77777777" w:rsidR="00081EFD" w:rsidRPr="000440D5" w:rsidRDefault="00081EFD" w:rsidP="00081EFD">
            <w:pPr>
              <w:spacing w:after="0" w:line="240" w:lineRule="auto"/>
              <w:jc w:val="center"/>
              <w:rPr>
                <w:rFonts w:ascii="Times New Roman" w:hAnsi="Times New Roman"/>
                <w:b/>
                <w:bCs/>
                <w:sz w:val="20"/>
                <w:szCs w:val="20"/>
                <w:lang w:val="fr-FR" w:eastAsia="ru-RU"/>
              </w:rPr>
            </w:pPr>
            <w:proofErr w:type="spellStart"/>
            <w:r w:rsidRPr="000440D5">
              <w:rPr>
                <w:rFonts w:ascii="Times New Roman" w:hAnsi="Times New Roman"/>
                <w:b/>
                <w:bCs/>
                <w:sz w:val="20"/>
                <w:szCs w:val="20"/>
                <w:lang w:val="fr-FR" w:eastAsia="ru-RU"/>
              </w:rPr>
              <w:t>Obiectivele</w:t>
            </w:r>
            <w:proofErr w:type="spellEnd"/>
            <w:r w:rsidRPr="000440D5">
              <w:rPr>
                <w:rFonts w:ascii="Times New Roman" w:hAnsi="Times New Roman"/>
                <w:b/>
                <w:bCs/>
                <w:sz w:val="20"/>
                <w:szCs w:val="20"/>
                <w:lang w:val="fr-FR" w:eastAsia="ru-RU"/>
              </w:rPr>
              <w:t xml:space="preserve"> și </w:t>
            </w:r>
            <w:proofErr w:type="spellStart"/>
            <w:r w:rsidRPr="000440D5">
              <w:rPr>
                <w:rFonts w:ascii="Times New Roman" w:hAnsi="Times New Roman"/>
                <w:b/>
                <w:bCs/>
                <w:sz w:val="20"/>
                <w:szCs w:val="20"/>
                <w:lang w:val="fr-FR" w:eastAsia="ru-RU"/>
              </w:rPr>
              <w:t>contribuțiile</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naționale</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pentru</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cele</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cinci</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dimensiuni</w:t>
            </w:r>
            <w:proofErr w:type="spellEnd"/>
            <w:r w:rsidRPr="000440D5">
              <w:rPr>
                <w:rFonts w:ascii="Times New Roman" w:hAnsi="Times New Roman"/>
                <w:b/>
                <w:bCs/>
                <w:sz w:val="20"/>
                <w:szCs w:val="20"/>
                <w:lang w:val="fr-FR" w:eastAsia="ru-RU"/>
              </w:rPr>
              <w:t xml:space="preserve"> ale </w:t>
            </w:r>
            <w:proofErr w:type="spellStart"/>
            <w:r w:rsidRPr="000440D5">
              <w:rPr>
                <w:rFonts w:ascii="Times New Roman" w:hAnsi="Times New Roman"/>
                <w:b/>
                <w:bCs/>
                <w:sz w:val="20"/>
                <w:szCs w:val="20"/>
                <w:lang w:val="fr-FR" w:eastAsia="ru-RU"/>
              </w:rPr>
              <w:t>uniunii</w:t>
            </w:r>
            <w:proofErr w:type="spellEnd"/>
            <w:r w:rsidRPr="000440D5">
              <w:rPr>
                <w:rFonts w:ascii="Times New Roman" w:hAnsi="Times New Roman"/>
                <w:b/>
                <w:bCs/>
                <w:sz w:val="20"/>
                <w:szCs w:val="20"/>
                <w:lang w:val="fr-FR" w:eastAsia="ru-RU"/>
              </w:rPr>
              <w:t xml:space="preserve"> </w:t>
            </w:r>
            <w:proofErr w:type="spellStart"/>
            <w:r w:rsidRPr="000440D5">
              <w:rPr>
                <w:rFonts w:ascii="Times New Roman" w:hAnsi="Times New Roman"/>
                <w:b/>
                <w:bCs/>
                <w:sz w:val="20"/>
                <w:szCs w:val="20"/>
                <w:lang w:val="fr-FR" w:eastAsia="ru-RU"/>
              </w:rPr>
              <w:t>energetice</w:t>
            </w:r>
            <w:proofErr w:type="spellEnd"/>
          </w:p>
          <w:p w14:paraId="62027570" w14:textId="77777777" w:rsidR="00081EFD" w:rsidRPr="000440D5" w:rsidRDefault="00081EFD" w:rsidP="00081EFD">
            <w:pPr>
              <w:spacing w:after="0" w:line="240" w:lineRule="auto"/>
              <w:jc w:val="both"/>
              <w:rPr>
                <w:rFonts w:ascii="Times New Roman" w:hAnsi="Times New Roman"/>
                <w:sz w:val="20"/>
                <w:szCs w:val="20"/>
                <w:lang w:val="fr-FR" w:eastAsia="ru-RU"/>
              </w:rPr>
            </w:pPr>
            <w:proofErr w:type="spellStart"/>
            <w:r w:rsidRPr="000440D5">
              <w:rPr>
                <w:rFonts w:ascii="Times New Roman" w:hAnsi="Times New Roman"/>
                <w:sz w:val="20"/>
                <w:szCs w:val="20"/>
                <w:lang w:val="fr-FR" w:eastAsia="ru-RU"/>
              </w:rPr>
              <w:t>Fiecare</w:t>
            </w:r>
            <w:proofErr w:type="spellEnd"/>
            <w:r w:rsidRPr="000440D5">
              <w:rPr>
                <w:rFonts w:ascii="Times New Roman" w:hAnsi="Times New Roman"/>
                <w:sz w:val="20"/>
                <w:szCs w:val="20"/>
                <w:lang w:val="fr-FR" w:eastAsia="ru-RU"/>
              </w:rPr>
              <w:t xml:space="preserve"> stat membru </w:t>
            </w:r>
            <w:proofErr w:type="spellStart"/>
            <w:r w:rsidRPr="000440D5">
              <w:rPr>
                <w:rFonts w:ascii="Times New Roman" w:hAnsi="Times New Roman"/>
                <w:sz w:val="20"/>
                <w:szCs w:val="20"/>
                <w:lang w:val="fr-FR" w:eastAsia="ru-RU"/>
              </w:rPr>
              <w:t>stabilește</w:t>
            </w:r>
            <w:proofErr w:type="spellEnd"/>
            <w:r w:rsidRPr="000440D5">
              <w:rPr>
                <w:rFonts w:ascii="Times New Roman" w:hAnsi="Times New Roman"/>
                <w:sz w:val="20"/>
                <w:szCs w:val="20"/>
                <w:lang w:val="fr-FR" w:eastAsia="ru-RU"/>
              </w:rPr>
              <w:t xml:space="preserve">, în </w:t>
            </w:r>
            <w:proofErr w:type="spellStart"/>
            <w:r w:rsidRPr="000440D5">
              <w:rPr>
                <w:rFonts w:ascii="Times New Roman" w:hAnsi="Times New Roman"/>
                <w:sz w:val="20"/>
                <w:szCs w:val="20"/>
                <w:lang w:val="fr-FR" w:eastAsia="ru-RU"/>
              </w:rPr>
              <w:t>planul</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său</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național</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integrat</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privind</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energia</w:t>
            </w:r>
            <w:proofErr w:type="spellEnd"/>
            <w:r w:rsidRPr="000440D5">
              <w:rPr>
                <w:rFonts w:ascii="Times New Roman" w:hAnsi="Times New Roman"/>
                <w:sz w:val="20"/>
                <w:szCs w:val="20"/>
                <w:lang w:val="fr-FR" w:eastAsia="ru-RU"/>
              </w:rPr>
              <w:t xml:space="preserve"> și </w:t>
            </w:r>
            <w:proofErr w:type="spellStart"/>
            <w:r w:rsidRPr="000440D5">
              <w:rPr>
                <w:rFonts w:ascii="Times New Roman" w:hAnsi="Times New Roman"/>
                <w:sz w:val="20"/>
                <w:szCs w:val="20"/>
                <w:lang w:val="fr-FR" w:eastAsia="ru-RU"/>
              </w:rPr>
              <w:t>clima</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următoarele</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obiective</w:t>
            </w:r>
            <w:proofErr w:type="spellEnd"/>
            <w:r w:rsidRPr="000440D5">
              <w:rPr>
                <w:rFonts w:ascii="Times New Roman" w:hAnsi="Times New Roman"/>
                <w:sz w:val="20"/>
                <w:szCs w:val="20"/>
                <w:lang w:val="fr-FR" w:eastAsia="ru-RU"/>
              </w:rPr>
              <w:t xml:space="preserve"> și </w:t>
            </w:r>
            <w:proofErr w:type="spellStart"/>
            <w:r w:rsidRPr="000440D5">
              <w:rPr>
                <w:rFonts w:ascii="Times New Roman" w:hAnsi="Times New Roman"/>
                <w:sz w:val="20"/>
                <w:szCs w:val="20"/>
                <w:lang w:val="fr-FR" w:eastAsia="ru-RU"/>
              </w:rPr>
              <w:t>contribuții</w:t>
            </w:r>
            <w:proofErr w:type="spellEnd"/>
            <w:r w:rsidRPr="000440D5">
              <w:rPr>
                <w:rFonts w:ascii="Times New Roman" w:hAnsi="Times New Roman"/>
                <w:sz w:val="20"/>
                <w:szCs w:val="20"/>
                <w:lang w:val="fr-FR" w:eastAsia="ru-RU"/>
              </w:rPr>
              <w:t xml:space="preserve"> principale, </w:t>
            </w:r>
            <w:proofErr w:type="spellStart"/>
            <w:r w:rsidRPr="000440D5">
              <w:rPr>
                <w:rFonts w:ascii="Times New Roman" w:hAnsi="Times New Roman"/>
                <w:sz w:val="20"/>
                <w:szCs w:val="20"/>
                <w:lang w:val="fr-FR" w:eastAsia="ru-RU"/>
              </w:rPr>
              <w:t>astfel</w:t>
            </w:r>
            <w:proofErr w:type="spellEnd"/>
            <w:r w:rsidRPr="000440D5">
              <w:rPr>
                <w:rFonts w:ascii="Times New Roman" w:hAnsi="Times New Roman"/>
                <w:sz w:val="20"/>
                <w:szCs w:val="20"/>
                <w:lang w:val="fr-FR" w:eastAsia="ru-RU"/>
              </w:rPr>
              <w:t xml:space="preserve"> cum </w:t>
            </w:r>
            <w:proofErr w:type="spellStart"/>
            <w:r w:rsidRPr="000440D5">
              <w:rPr>
                <w:rFonts w:ascii="Times New Roman" w:hAnsi="Times New Roman"/>
                <w:sz w:val="20"/>
                <w:szCs w:val="20"/>
                <w:lang w:val="fr-FR" w:eastAsia="ru-RU"/>
              </w:rPr>
              <w:t>sunt</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specificate</w:t>
            </w:r>
            <w:proofErr w:type="spellEnd"/>
            <w:r w:rsidRPr="000440D5">
              <w:rPr>
                <w:rFonts w:ascii="Times New Roman" w:hAnsi="Times New Roman"/>
                <w:sz w:val="20"/>
                <w:szCs w:val="20"/>
                <w:lang w:val="fr-FR" w:eastAsia="ru-RU"/>
              </w:rPr>
              <w:t xml:space="preserve"> în </w:t>
            </w:r>
            <w:proofErr w:type="spellStart"/>
            <w:r w:rsidRPr="000440D5">
              <w:rPr>
                <w:rFonts w:ascii="Times New Roman" w:hAnsi="Times New Roman"/>
                <w:sz w:val="20"/>
                <w:szCs w:val="20"/>
                <w:lang w:val="fr-FR" w:eastAsia="ru-RU"/>
              </w:rPr>
              <w:t>secțiunea</w:t>
            </w:r>
            <w:proofErr w:type="spellEnd"/>
            <w:r w:rsidRPr="000440D5">
              <w:rPr>
                <w:rFonts w:ascii="Times New Roman" w:hAnsi="Times New Roman"/>
                <w:sz w:val="20"/>
                <w:szCs w:val="20"/>
                <w:lang w:val="fr-FR" w:eastAsia="ru-RU"/>
              </w:rPr>
              <w:t xml:space="preserve"> A </w:t>
            </w:r>
            <w:proofErr w:type="spellStart"/>
            <w:r w:rsidRPr="000440D5">
              <w:rPr>
                <w:rFonts w:ascii="Times New Roman" w:hAnsi="Times New Roman"/>
                <w:sz w:val="20"/>
                <w:szCs w:val="20"/>
                <w:lang w:val="fr-FR" w:eastAsia="ru-RU"/>
              </w:rPr>
              <w:t>punctul</w:t>
            </w:r>
            <w:proofErr w:type="spellEnd"/>
            <w:r w:rsidRPr="000440D5">
              <w:rPr>
                <w:rFonts w:ascii="Times New Roman" w:hAnsi="Times New Roman"/>
                <w:sz w:val="20"/>
                <w:szCs w:val="20"/>
                <w:lang w:val="fr-FR" w:eastAsia="ru-RU"/>
              </w:rPr>
              <w:t xml:space="preserve"> 2 </w:t>
            </w:r>
            <w:proofErr w:type="spellStart"/>
            <w:r w:rsidRPr="000440D5">
              <w:rPr>
                <w:rFonts w:ascii="Times New Roman" w:hAnsi="Times New Roman"/>
                <w:sz w:val="20"/>
                <w:szCs w:val="20"/>
                <w:lang w:val="fr-FR" w:eastAsia="ru-RU"/>
              </w:rPr>
              <w:t>din</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anexa</w:t>
            </w:r>
            <w:proofErr w:type="spellEnd"/>
            <w:r w:rsidRPr="000440D5">
              <w:rPr>
                <w:rFonts w:ascii="Times New Roman" w:hAnsi="Times New Roman"/>
                <w:sz w:val="20"/>
                <w:szCs w:val="20"/>
                <w:lang w:val="fr-FR" w:eastAsia="ru-RU"/>
              </w:rPr>
              <w:t xml:space="preserve"> </w:t>
            </w:r>
            <w:proofErr w:type="gramStart"/>
            <w:r w:rsidRPr="000440D5">
              <w:rPr>
                <w:rFonts w:ascii="Times New Roman" w:hAnsi="Times New Roman"/>
                <w:sz w:val="20"/>
                <w:szCs w:val="20"/>
                <w:lang w:val="fr-FR" w:eastAsia="ru-RU"/>
              </w:rPr>
              <w:t>I:</w:t>
            </w:r>
            <w:proofErr w:type="gramEnd"/>
          </w:p>
          <w:p w14:paraId="13603D3B" w14:textId="77777777" w:rsidR="00081EFD" w:rsidRPr="000440D5" w:rsidRDefault="00081EFD" w:rsidP="000C5A3B">
            <w:pPr>
              <w:pStyle w:val="af3"/>
              <w:numPr>
                <w:ilvl w:val="0"/>
                <w:numId w:val="90"/>
              </w:numPr>
              <w:rPr>
                <w:rFonts w:ascii="Times New Roman" w:hAnsi="Times New Roman"/>
                <w:sz w:val="20"/>
                <w:szCs w:val="20"/>
                <w:lang w:val="ru-RU" w:eastAsia="ru-RU"/>
              </w:rPr>
            </w:pPr>
            <w:proofErr w:type="spellStart"/>
            <w:r w:rsidRPr="000440D5">
              <w:rPr>
                <w:rFonts w:ascii="Times New Roman" w:hAnsi="Times New Roman"/>
                <w:sz w:val="20"/>
                <w:szCs w:val="20"/>
                <w:lang w:val="ru-RU" w:eastAsia="ru-RU"/>
              </w:rPr>
              <w:t>referitor</w:t>
            </w:r>
            <w:proofErr w:type="spellEnd"/>
            <w:r w:rsidRPr="000440D5">
              <w:rPr>
                <w:rFonts w:ascii="Times New Roman" w:hAnsi="Times New Roman"/>
                <w:sz w:val="20"/>
                <w:szCs w:val="20"/>
                <w:lang w:val="ru-RU" w:eastAsia="ru-RU"/>
              </w:rPr>
              <w:t xml:space="preserve"> </w:t>
            </w:r>
            <w:proofErr w:type="spellStart"/>
            <w:r w:rsidRPr="000440D5">
              <w:rPr>
                <w:rFonts w:ascii="Times New Roman" w:hAnsi="Times New Roman"/>
                <w:sz w:val="20"/>
                <w:szCs w:val="20"/>
                <w:lang w:val="ru-RU" w:eastAsia="ru-RU"/>
              </w:rPr>
              <w:t>la</w:t>
            </w:r>
            <w:proofErr w:type="spellEnd"/>
            <w:r w:rsidRPr="000440D5">
              <w:rPr>
                <w:rFonts w:ascii="Times New Roman" w:hAnsi="Times New Roman"/>
                <w:sz w:val="20"/>
                <w:szCs w:val="20"/>
                <w:lang w:val="ru-RU" w:eastAsia="ru-RU"/>
              </w:rPr>
              <w:t xml:space="preserve"> </w:t>
            </w:r>
            <w:proofErr w:type="spellStart"/>
            <w:r w:rsidRPr="000440D5">
              <w:rPr>
                <w:rFonts w:ascii="Times New Roman" w:hAnsi="Times New Roman"/>
                <w:sz w:val="20"/>
                <w:szCs w:val="20"/>
                <w:lang w:val="ru-RU" w:eastAsia="ru-RU"/>
              </w:rPr>
              <w:t>dimensiunea</w:t>
            </w:r>
            <w:proofErr w:type="spellEnd"/>
            <w:r w:rsidRPr="000440D5">
              <w:rPr>
                <w:rFonts w:ascii="Times New Roman" w:hAnsi="Times New Roman"/>
                <w:sz w:val="20"/>
                <w:szCs w:val="20"/>
                <w:lang w:val="ru-RU" w:eastAsia="ru-RU"/>
              </w:rPr>
              <w:t xml:space="preserve"> „</w:t>
            </w:r>
            <w:proofErr w:type="spellStart"/>
            <w:r w:rsidRPr="000440D5">
              <w:rPr>
                <w:rFonts w:ascii="Times New Roman" w:hAnsi="Times New Roman"/>
                <w:sz w:val="20"/>
                <w:szCs w:val="20"/>
                <w:lang w:val="ru-RU" w:eastAsia="ru-RU"/>
              </w:rPr>
              <w:t>decarbonizare</w:t>
            </w:r>
            <w:proofErr w:type="spellEnd"/>
            <w:r w:rsidRPr="000440D5">
              <w:rPr>
                <w:rFonts w:ascii="Times New Roman" w:hAnsi="Times New Roman"/>
                <w:sz w:val="20"/>
                <w:szCs w:val="20"/>
                <w:lang w:val="ru-RU" w:eastAsia="ru-RU"/>
              </w:rPr>
              <w:t>”:</w:t>
            </w:r>
          </w:p>
          <w:p w14:paraId="6E19B75B" w14:textId="77777777" w:rsidR="00081EFD" w:rsidRPr="000440D5" w:rsidRDefault="00081EFD" w:rsidP="000C5A3B">
            <w:pPr>
              <w:pStyle w:val="af3"/>
              <w:numPr>
                <w:ilvl w:val="0"/>
                <w:numId w:val="91"/>
              </w:numPr>
              <w:jc w:val="both"/>
              <w:rPr>
                <w:rFonts w:ascii="Times New Roman" w:hAnsi="Times New Roman"/>
                <w:sz w:val="20"/>
                <w:szCs w:val="20"/>
                <w:lang w:val="fr-FR" w:eastAsia="ru-RU"/>
              </w:rPr>
            </w:pPr>
            <w:proofErr w:type="spellStart"/>
            <w:proofErr w:type="gramStart"/>
            <w:r w:rsidRPr="000440D5">
              <w:rPr>
                <w:rFonts w:ascii="Times New Roman" w:hAnsi="Times New Roman"/>
                <w:sz w:val="20"/>
                <w:szCs w:val="20"/>
                <w:lang w:val="fr-FR" w:eastAsia="ru-RU"/>
              </w:rPr>
              <w:t>referitor</w:t>
            </w:r>
            <w:proofErr w:type="spellEnd"/>
            <w:proofErr w:type="gramEnd"/>
            <w:r w:rsidRPr="000440D5">
              <w:rPr>
                <w:rFonts w:ascii="Times New Roman" w:hAnsi="Times New Roman"/>
                <w:sz w:val="20"/>
                <w:szCs w:val="20"/>
                <w:lang w:val="fr-FR" w:eastAsia="ru-RU"/>
              </w:rPr>
              <w:t xml:space="preserve"> la </w:t>
            </w:r>
            <w:proofErr w:type="spellStart"/>
            <w:r w:rsidRPr="000440D5">
              <w:rPr>
                <w:rFonts w:ascii="Times New Roman" w:hAnsi="Times New Roman"/>
                <w:sz w:val="20"/>
                <w:szCs w:val="20"/>
                <w:lang w:val="fr-FR" w:eastAsia="ru-RU"/>
              </w:rPr>
              <w:t>emisiile</w:t>
            </w:r>
            <w:proofErr w:type="spellEnd"/>
            <w:r w:rsidRPr="000440D5">
              <w:rPr>
                <w:rFonts w:ascii="Times New Roman" w:hAnsi="Times New Roman"/>
                <w:sz w:val="20"/>
                <w:szCs w:val="20"/>
                <w:lang w:val="fr-FR" w:eastAsia="ru-RU"/>
              </w:rPr>
              <w:t xml:space="preserve"> și </w:t>
            </w:r>
            <w:proofErr w:type="spellStart"/>
            <w:r w:rsidRPr="000440D5">
              <w:rPr>
                <w:rFonts w:ascii="Times New Roman" w:hAnsi="Times New Roman"/>
                <w:sz w:val="20"/>
                <w:szCs w:val="20"/>
                <w:lang w:val="fr-FR" w:eastAsia="ru-RU"/>
              </w:rPr>
              <w:t>absorbțiile</w:t>
            </w:r>
            <w:proofErr w:type="spellEnd"/>
            <w:r w:rsidRPr="000440D5">
              <w:rPr>
                <w:rFonts w:ascii="Times New Roman" w:hAnsi="Times New Roman"/>
                <w:sz w:val="20"/>
                <w:szCs w:val="20"/>
                <w:lang w:val="fr-FR" w:eastAsia="ru-RU"/>
              </w:rPr>
              <w:t xml:space="preserve"> de gaze </w:t>
            </w:r>
            <w:proofErr w:type="spellStart"/>
            <w:r w:rsidRPr="000440D5">
              <w:rPr>
                <w:rFonts w:ascii="Times New Roman" w:hAnsi="Times New Roman"/>
                <w:sz w:val="20"/>
                <w:szCs w:val="20"/>
                <w:lang w:val="fr-FR" w:eastAsia="ru-RU"/>
              </w:rPr>
              <w:t>cu</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efect</w:t>
            </w:r>
            <w:proofErr w:type="spellEnd"/>
            <w:r w:rsidRPr="000440D5">
              <w:rPr>
                <w:rFonts w:ascii="Times New Roman" w:hAnsi="Times New Roman"/>
                <w:sz w:val="20"/>
                <w:szCs w:val="20"/>
                <w:lang w:val="fr-FR" w:eastAsia="ru-RU"/>
              </w:rPr>
              <w:t xml:space="preserve"> de </w:t>
            </w:r>
            <w:proofErr w:type="spellStart"/>
            <w:r w:rsidRPr="000440D5">
              <w:rPr>
                <w:rFonts w:ascii="Times New Roman" w:hAnsi="Times New Roman"/>
                <w:sz w:val="20"/>
                <w:szCs w:val="20"/>
                <w:lang w:val="fr-FR" w:eastAsia="ru-RU"/>
              </w:rPr>
              <w:t>seră</w:t>
            </w:r>
            <w:proofErr w:type="spellEnd"/>
            <w:r w:rsidRPr="000440D5">
              <w:rPr>
                <w:rFonts w:ascii="Times New Roman" w:hAnsi="Times New Roman"/>
                <w:sz w:val="20"/>
                <w:szCs w:val="20"/>
                <w:lang w:val="fr-FR" w:eastAsia="ru-RU"/>
              </w:rPr>
              <w:t xml:space="preserve"> și </w:t>
            </w:r>
            <w:proofErr w:type="spellStart"/>
            <w:r w:rsidRPr="000440D5">
              <w:rPr>
                <w:rFonts w:ascii="Times New Roman" w:hAnsi="Times New Roman"/>
                <w:sz w:val="20"/>
                <w:szCs w:val="20"/>
                <w:lang w:val="fr-FR" w:eastAsia="ru-RU"/>
              </w:rPr>
              <w:t>pentru</w:t>
            </w:r>
            <w:proofErr w:type="spellEnd"/>
            <w:r w:rsidRPr="000440D5">
              <w:rPr>
                <w:rFonts w:ascii="Times New Roman" w:hAnsi="Times New Roman"/>
                <w:sz w:val="20"/>
                <w:szCs w:val="20"/>
                <w:lang w:val="fr-FR" w:eastAsia="ru-RU"/>
              </w:rPr>
              <w:t xml:space="preserve"> a </w:t>
            </w:r>
            <w:proofErr w:type="spellStart"/>
            <w:r w:rsidRPr="000440D5">
              <w:rPr>
                <w:rFonts w:ascii="Times New Roman" w:hAnsi="Times New Roman"/>
                <w:sz w:val="20"/>
                <w:szCs w:val="20"/>
                <w:lang w:val="fr-FR" w:eastAsia="ru-RU"/>
              </w:rPr>
              <w:t>contribui</w:t>
            </w:r>
            <w:proofErr w:type="spellEnd"/>
            <w:r w:rsidRPr="000440D5">
              <w:rPr>
                <w:rFonts w:ascii="Times New Roman" w:hAnsi="Times New Roman"/>
                <w:sz w:val="20"/>
                <w:szCs w:val="20"/>
                <w:lang w:val="fr-FR" w:eastAsia="ru-RU"/>
              </w:rPr>
              <w:t xml:space="preserve"> la </w:t>
            </w:r>
            <w:proofErr w:type="spellStart"/>
            <w:r w:rsidRPr="000440D5">
              <w:rPr>
                <w:rFonts w:ascii="Times New Roman" w:hAnsi="Times New Roman"/>
                <w:sz w:val="20"/>
                <w:szCs w:val="20"/>
                <w:lang w:val="fr-FR" w:eastAsia="ru-RU"/>
              </w:rPr>
              <w:t>realizarea</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obiectivului</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Uniunii</w:t>
            </w:r>
            <w:proofErr w:type="spellEnd"/>
            <w:r w:rsidRPr="000440D5">
              <w:rPr>
                <w:rFonts w:ascii="Times New Roman" w:hAnsi="Times New Roman"/>
                <w:sz w:val="20"/>
                <w:szCs w:val="20"/>
                <w:lang w:val="fr-FR" w:eastAsia="ru-RU"/>
              </w:rPr>
              <w:t xml:space="preserve"> de </w:t>
            </w:r>
            <w:proofErr w:type="spellStart"/>
            <w:r w:rsidRPr="000440D5">
              <w:rPr>
                <w:rFonts w:ascii="Times New Roman" w:hAnsi="Times New Roman"/>
                <w:sz w:val="20"/>
                <w:szCs w:val="20"/>
                <w:lang w:val="fr-FR" w:eastAsia="ru-RU"/>
              </w:rPr>
              <w:t>reducere</w:t>
            </w:r>
            <w:proofErr w:type="spellEnd"/>
            <w:r w:rsidRPr="000440D5">
              <w:rPr>
                <w:rFonts w:ascii="Times New Roman" w:hAnsi="Times New Roman"/>
                <w:sz w:val="20"/>
                <w:szCs w:val="20"/>
                <w:lang w:val="fr-FR" w:eastAsia="ru-RU"/>
              </w:rPr>
              <w:t xml:space="preserve"> a </w:t>
            </w:r>
            <w:proofErr w:type="spellStart"/>
            <w:r w:rsidRPr="000440D5">
              <w:rPr>
                <w:rFonts w:ascii="Times New Roman" w:hAnsi="Times New Roman"/>
                <w:sz w:val="20"/>
                <w:szCs w:val="20"/>
                <w:lang w:val="fr-FR" w:eastAsia="ru-RU"/>
              </w:rPr>
              <w:t>emisiilor</w:t>
            </w:r>
            <w:proofErr w:type="spellEnd"/>
            <w:r w:rsidRPr="000440D5">
              <w:rPr>
                <w:rFonts w:ascii="Times New Roman" w:hAnsi="Times New Roman"/>
                <w:sz w:val="20"/>
                <w:szCs w:val="20"/>
                <w:lang w:val="fr-FR" w:eastAsia="ru-RU"/>
              </w:rPr>
              <w:t xml:space="preserve"> de gaze </w:t>
            </w:r>
            <w:proofErr w:type="spellStart"/>
            <w:r w:rsidRPr="000440D5">
              <w:rPr>
                <w:rFonts w:ascii="Times New Roman" w:hAnsi="Times New Roman"/>
                <w:sz w:val="20"/>
                <w:szCs w:val="20"/>
                <w:lang w:val="fr-FR" w:eastAsia="ru-RU"/>
              </w:rPr>
              <w:t>cu</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efect</w:t>
            </w:r>
            <w:proofErr w:type="spellEnd"/>
            <w:r w:rsidRPr="000440D5">
              <w:rPr>
                <w:rFonts w:ascii="Times New Roman" w:hAnsi="Times New Roman"/>
                <w:sz w:val="20"/>
                <w:szCs w:val="20"/>
                <w:lang w:val="fr-FR" w:eastAsia="ru-RU"/>
              </w:rPr>
              <w:t xml:space="preserve"> de </w:t>
            </w:r>
            <w:proofErr w:type="spellStart"/>
            <w:r w:rsidRPr="000440D5">
              <w:rPr>
                <w:rFonts w:ascii="Times New Roman" w:hAnsi="Times New Roman"/>
                <w:sz w:val="20"/>
                <w:szCs w:val="20"/>
                <w:lang w:val="fr-FR" w:eastAsia="ru-RU"/>
              </w:rPr>
              <w:t>seră</w:t>
            </w:r>
            <w:proofErr w:type="spellEnd"/>
            <w:r w:rsidRPr="000440D5">
              <w:rPr>
                <w:rFonts w:ascii="Times New Roman" w:hAnsi="Times New Roman"/>
                <w:sz w:val="20"/>
                <w:szCs w:val="20"/>
                <w:lang w:val="fr-FR" w:eastAsia="ru-RU"/>
              </w:rPr>
              <w:t xml:space="preserve"> la </w:t>
            </w:r>
            <w:proofErr w:type="spellStart"/>
            <w:r w:rsidRPr="000440D5">
              <w:rPr>
                <w:rFonts w:ascii="Times New Roman" w:hAnsi="Times New Roman"/>
                <w:sz w:val="20"/>
                <w:szCs w:val="20"/>
                <w:lang w:val="fr-FR" w:eastAsia="ru-RU"/>
              </w:rPr>
              <w:t>nivelul</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întregii</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economii</w:t>
            </w:r>
            <w:proofErr w:type="spellEnd"/>
            <w:r w:rsidRPr="000440D5">
              <w:rPr>
                <w:rFonts w:ascii="Times New Roman" w:hAnsi="Times New Roman"/>
                <w:sz w:val="20"/>
                <w:szCs w:val="20"/>
                <w:lang w:val="fr-FR" w:eastAsia="ru-RU"/>
              </w:rPr>
              <w:t>:</w:t>
            </w:r>
          </w:p>
          <w:p w14:paraId="6B9BFD5D" w14:textId="77777777" w:rsidR="00081EFD" w:rsidRDefault="00081EFD" w:rsidP="000C5A3B">
            <w:pPr>
              <w:pStyle w:val="af3"/>
              <w:numPr>
                <w:ilvl w:val="0"/>
                <w:numId w:val="92"/>
              </w:numPr>
              <w:jc w:val="both"/>
              <w:rPr>
                <w:rFonts w:ascii="Times New Roman" w:hAnsi="Times New Roman"/>
                <w:sz w:val="20"/>
                <w:szCs w:val="20"/>
                <w:lang w:val="fr-FR" w:eastAsia="ru-RU"/>
              </w:rPr>
            </w:pPr>
            <w:proofErr w:type="spellStart"/>
            <w:proofErr w:type="gramStart"/>
            <w:r w:rsidRPr="000440D5">
              <w:rPr>
                <w:rFonts w:ascii="Times New Roman" w:hAnsi="Times New Roman"/>
                <w:sz w:val="20"/>
                <w:szCs w:val="20"/>
                <w:lang w:val="fr-FR" w:eastAsia="ru-RU"/>
              </w:rPr>
              <w:t>obiectivul</w:t>
            </w:r>
            <w:proofErr w:type="spellEnd"/>
            <w:proofErr w:type="gram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național</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obligatoriu</w:t>
            </w:r>
            <w:proofErr w:type="spellEnd"/>
            <w:r w:rsidRPr="000440D5">
              <w:rPr>
                <w:rFonts w:ascii="Times New Roman" w:hAnsi="Times New Roman"/>
                <w:sz w:val="20"/>
                <w:szCs w:val="20"/>
                <w:lang w:val="fr-FR" w:eastAsia="ru-RU"/>
              </w:rPr>
              <w:t xml:space="preserve"> al </w:t>
            </w:r>
            <w:proofErr w:type="spellStart"/>
            <w:r w:rsidRPr="000440D5">
              <w:rPr>
                <w:rFonts w:ascii="Times New Roman" w:hAnsi="Times New Roman"/>
                <w:sz w:val="20"/>
                <w:szCs w:val="20"/>
                <w:lang w:val="fr-FR" w:eastAsia="ru-RU"/>
              </w:rPr>
              <w:t>statului</w:t>
            </w:r>
            <w:proofErr w:type="spellEnd"/>
            <w:r w:rsidRPr="000440D5">
              <w:rPr>
                <w:rFonts w:ascii="Times New Roman" w:hAnsi="Times New Roman"/>
                <w:sz w:val="20"/>
                <w:szCs w:val="20"/>
                <w:lang w:val="fr-FR" w:eastAsia="ru-RU"/>
              </w:rPr>
              <w:t xml:space="preserve"> membru </w:t>
            </w:r>
            <w:proofErr w:type="spellStart"/>
            <w:r w:rsidRPr="000440D5">
              <w:rPr>
                <w:rFonts w:ascii="Times New Roman" w:hAnsi="Times New Roman"/>
                <w:sz w:val="20"/>
                <w:szCs w:val="20"/>
                <w:lang w:val="fr-FR" w:eastAsia="ru-RU"/>
              </w:rPr>
              <w:t>privind</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emisiile</w:t>
            </w:r>
            <w:proofErr w:type="spellEnd"/>
            <w:r w:rsidRPr="000440D5">
              <w:rPr>
                <w:rFonts w:ascii="Times New Roman" w:hAnsi="Times New Roman"/>
                <w:sz w:val="20"/>
                <w:szCs w:val="20"/>
                <w:lang w:val="fr-FR" w:eastAsia="ru-RU"/>
              </w:rPr>
              <w:t xml:space="preserve"> de gaze </w:t>
            </w:r>
            <w:proofErr w:type="spellStart"/>
            <w:r w:rsidRPr="000440D5">
              <w:rPr>
                <w:rFonts w:ascii="Times New Roman" w:hAnsi="Times New Roman"/>
                <w:sz w:val="20"/>
                <w:szCs w:val="20"/>
                <w:lang w:val="fr-FR" w:eastAsia="ru-RU"/>
              </w:rPr>
              <w:t>cu</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efect</w:t>
            </w:r>
            <w:proofErr w:type="spellEnd"/>
            <w:r w:rsidRPr="000440D5">
              <w:rPr>
                <w:rFonts w:ascii="Times New Roman" w:hAnsi="Times New Roman"/>
                <w:sz w:val="20"/>
                <w:szCs w:val="20"/>
                <w:lang w:val="fr-FR" w:eastAsia="ru-RU"/>
              </w:rPr>
              <w:t xml:space="preserve"> de </w:t>
            </w:r>
            <w:proofErr w:type="spellStart"/>
            <w:r w:rsidRPr="000440D5">
              <w:rPr>
                <w:rFonts w:ascii="Times New Roman" w:hAnsi="Times New Roman"/>
                <w:sz w:val="20"/>
                <w:szCs w:val="20"/>
                <w:lang w:val="fr-FR" w:eastAsia="ru-RU"/>
              </w:rPr>
              <w:t>seră</w:t>
            </w:r>
            <w:proofErr w:type="spellEnd"/>
            <w:r w:rsidRPr="000440D5">
              <w:rPr>
                <w:rFonts w:ascii="Times New Roman" w:hAnsi="Times New Roman"/>
                <w:sz w:val="20"/>
                <w:szCs w:val="20"/>
                <w:lang w:val="fr-FR" w:eastAsia="ru-RU"/>
              </w:rPr>
              <w:t xml:space="preserve"> și </w:t>
            </w:r>
            <w:proofErr w:type="spellStart"/>
            <w:r w:rsidRPr="000440D5">
              <w:rPr>
                <w:rFonts w:ascii="Times New Roman" w:hAnsi="Times New Roman"/>
                <w:sz w:val="20"/>
                <w:szCs w:val="20"/>
                <w:lang w:val="fr-FR" w:eastAsia="ru-RU"/>
              </w:rPr>
              <w:t>limitele</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anuale</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naționale</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obligatorii</w:t>
            </w:r>
            <w:proofErr w:type="spellEnd"/>
            <w:r w:rsidRPr="000440D5">
              <w:rPr>
                <w:rFonts w:ascii="Times New Roman" w:hAnsi="Times New Roman"/>
                <w:sz w:val="20"/>
                <w:szCs w:val="20"/>
                <w:lang w:val="fr-FR" w:eastAsia="ru-RU"/>
              </w:rPr>
              <w:t xml:space="preserve"> în </w:t>
            </w:r>
            <w:proofErr w:type="spellStart"/>
            <w:r w:rsidRPr="000440D5">
              <w:rPr>
                <w:rFonts w:ascii="Times New Roman" w:hAnsi="Times New Roman"/>
                <w:sz w:val="20"/>
                <w:szCs w:val="20"/>
                <w:lang w:val="fr-FR" w:eastAsia="ru-RU"/>
              </w:rPr>
              <w:t>temeiul</w:t>
            </w:r>
            <w:proofErr w:type="spellEnd"/>
            <w:r w:rsidRPr="000440D5">
              <w:rPr>
                <w:rFonts w:ascii="Times New Roman" w:hAnsi="Times New Roman"/>
                <w:sz w:val="20"/>
                <w:szCs w:val="20"/>
                <w:lang w:val="fr-FR" w:eastAsia="ru-RU"/>
              </w:rPr>
              <w:t xml:space="preserve"> </w:t>
            </w:r>
            <w:proofErr w:type="spellStart"/>
            <w:r w:rsidRPr="000440D5">
              <w:rPr>
                <w:rFonts w:ascii="Times New Roman" w:hAnsi="Times New Roman"/>
                <w:sz w:val="20"/>
                <w:szCs w:val="20"/>
                <w:lang w:val="fr-FR" w:eastAsia="ru-RU"/>
              </w:rPr>
              <w:t>Regulamentului</w:t>
            </w:r>
            <w:proofErr w:type="spellEnd"/>
            <w:r w:rsidRPr="000440D5">
              <w:rPr>
                <w:rFonts w:ascii="Times New Roman" w:hAnsi="Times New Roman"/>
                <w:sz w:val="20"/>
                <w:szCs w:val="20"/>
                <w:lang w:val="fr-FR" w:eastAsia="ru-RU"/>
              </w:rPr>
              <w:t xml:space="preserve"> (UE) 2018/842.</w:t>
            </w:r>
          </w:p>
          <w:p w14:paraId="7B8A9B66" w14:textId="784B114F" w:rsidR="00646AFF" w:rsidRPr="00646AFF" w:rsidRDefault="00000000" w:rsidP="00646AFF">
            <w:pPr>
              <w:pStyle w:val="af3"/>
              <w:spacing w:after="0"/>
              <w:ind w:left="57"/>
              <w:jc w:val="both"/>
              <w:rPr>
                <w:rFonts w:ascii="Times New Roman" w:hAnsi="Times New Roman"/>
                <w:sz w:val="20"/>
                <w:szCs w:val="20"/>
                <w:lang w:val="ru-RU" w:eastAsia="ru-RU"/>
              </w:rPr>
            </w:pPr>
            <w:hyperlink r:id="rId16" w:tooltip="32021R1119: REPLACED" w:history="1">
              <w:r w:rsidR="00646AFF" w:rsidRPr="00646AFF">
                <w:rPr>
                  <w:rStyle w:val="af6"/>
                  <w:rFonts w:ascii="Times New Roman" w:eastAsia="Arial Unicode MS" w:hAnsi="Times New Roman"/>
                  <w:b/>
                  <w:bCs/>
                  <w:color w:val="23527C"/>
                  <w:sz w:val="20"/>
                  <w:szCs w:val="20"/>
                  <w:shd w:val="clear" w:color="auto" w:fill="FFFFFF"/>
                </w:rPr>
                <w:t>▼M</w:t>
              </w:r>
              <w:r w:rsidR="00646AFF">
                <w:rPr>
                  <w:rStyle w:val="af6"/>
                  <w:rFonts w:ascii="Times New Roman" w:eastAsia="Arial Unicode MS" w:hAnsi="Times New Roman"/>
                  <w:b/>
                  <w:bCs/>
                  <w:color w:val="23527C"/>
                  <w:sz w:val="20"/>
                  <w:szCs w:val="20"/>
                  <w:shd w:val="clear" w:color="auto" w:fill="FFFFFF"/>
                </w:rPr>
                <w:t>3</w:t>
              </w:r>
            </w:hyperlink>
          </w:p>
          <w:p w14:paraId="1AA30885" w14:textId="77777777" w:rsidR="00646AFF" w:rsidRPr="000440D5" w:rsidRDefault="00646AFF" w:rsidP="00646AFF">
            <w:pPr>
              <w:pStyle w:val="af3"/>
              <w:ind w:left="1440"/>
              <w:jc w:val="both"/>
              <w:rPr>
                <w:rFonts w:ascii="Times New Roman" w:hAnsi="Times New Roman"/>
                <w:sz w:val="20"/>
                <w:szCs w:val="20"/>
                <w:lang w:val="fr-FR" w:eastAsia="ru-RU"/>
              </w:rPr>
            </w:pPr>
          </w:p>
          <w:p w14:paraId="5A53DAC9" w14:textId="171C70A1" w:rsidR="00081EFD" w:rsidRPr="006D57F9" w:rsidRDefault="00081EFD" w:rsidP="000C5A3B">
            <w:pPr>
              <w:pStyle w:val="af3"/>
              <w:numPr>
                <w:ilvl w:val="0"/>
                <w:numId w:val="92"/>
              </w:numPr>
              <w:jc w:val="both"/>
              <w:rPr>
                <w:rFonts w:ascii="Times New Roman" w:hAnsi="Times New Roman"/>
                <w:sz w:val="20"/>
                <w:szCs w:val="20"/>
                <w:lang w:val="fr-FR" w:eastAsia="ru-RU"/>
              </w:rPr>
            </w:pPr>
            <w:proofErr w:type="spellStart"/>
            <w:proofErr w:type="gramStart"/>
            <w:r w:rsidRPr="006D57F9">
              <w:rPr>
                <w:rFonts w:ascii="Times New Roman" w:hAnsi="Times New Roman"/>
                <w:sz w:val="20"/>
                <w:szCs w:val="20"/>
                <w:lang w:val="fr-FR" w:eastAsia="ru-RU"/>
              </w:rPr>
              <w:t>angajamentele</w:t>
            </w:r>
            <w:proofErr w:type="spellEnd"/>
            <w:proofErr w:type="gramEnd"/>
            <w:r w:rsidRPr="006D57F9">
              <w:rPr>
                <w:rFonts w:ascii="Times New Roman" w:hAnsi="Times New Roman"/>
                <w:sz w:val="20"/>
                <w:szCs w:val="20"/>
                <w:lang w:val="fr-FR" w:eastAsia="ru-RU"/>
              </w:rPr>
              <w:t xml:space="preserve"> </w:t>
            </w:r>
            <w:r w:rsidR="006D57F9" w:rsidRPr="006D57F9">
              <w:rPr>
                <w:rFonts w:ascii="Times New Roman" w:hAnsi="Times New Roman"/>
                <w:sz w:val="20"/>
                <w:szCs w:val="20"/>
                <w:lang w:val="fr-FR" w:eastAsia="ru-RU"/>
              </w:rPr>
              <w:t xml:space="preserve">și </w:t>
            </w:r>
            <w:proofErr w:type="spellStart"/>
            <w:r w:rsidR="006D57F9" w:rsidRPr="006D57F9">
              <w:rPr>
                <w:rFonts w:ascii="Times New Roman" w:hAnsi="Times New Roman"/>
                <w:sz w:val="20"/>
                <w:szCs w:val="20"/>
                <w:lang w:val="fr-FR" w:eastAsia="ru-RU"/>
              </w:rPr>
              <w:t>obiectivele</w:t>
            </w:r>
            <w:proofErr w:type="spellEnd"/>
            <w:r w:rsidR="006D57F9" w:rsidRPr="006D57F9">
              <w:rPr>
                <w:rFonts w:ascii="Times New Roman" w:hAnsi="Times New Roman"/>
                <w:sz w:val="20"/>
                <w:szCs w:val="20"/>
                <w:lang w:val="fr-FR" w:eastAsia="ru-RU"/>
              </w:rPr>
              <w:t xml:space="preserve"> </w:t>
            </w:r>
            <w:proofErr w:type="spellStart"/>
            <w:r w:rsidR="006D57F9" w:rsidRPr="006D57F9">
              <w:rPr>
                <w:rFonts w:ascii="Times New Roman" w:hAnsi="Times New Roman"/>
                <w:sz w:val="20"/>
                <w:szCs w:val="20"/>
                <w:lang w:val="fr-FR" w:eastAsia="ru-RU"/>
              </w:rPr>
              <w:t>naționale</w:t>
            </w:r>
            <w:proofErr w:type="spellEnd"/>
            <w:r w:rsidR="006D57F9" w:rsidRPr="006D57F9">
              <w:rPr>
                <w:rFonts w:ascii="Times New Roman" w:hAnsi="Times New Roman"/>
                <w:sz w:val="20"/>
                <w:szCs w:val="20"/>
                <w:lang w:val="fr-FR" w:eastAsia="ru-RU"/>
              </w:rPr>
              <w:t xml:space="preserve"> ale </w:t>
            </w:r>
            <w:proofErr w:type="spellStart"/>
            <w:r w:rsidRPr="006D57F9">
              <w:rPr>
                <w:rFonts w:ascii="Times New Roman" w:hAnsi="Times New Roman"/>
                <w:sz w:val="20"/>
                <w:szCs w:val="20"/>
                <w:lang w:val="fr-FR" w:eastAsia="ru-RU"/>
              </w:rPr>
              <w:t>statului</w:t>
            </w:r>
            <w:proofErr w:type="spellEnd"/>
            <w:r w:rsidRPr="006D57F9">
              <w:rPr>
                <w:rFonts w:ascii="Times New Roman" w:hAnsi="Times New Roman"/>
                <w:sz w:val="20"/>
                <w:szCs w:val="20"/>
                <w:lang w:val="fr-FR" w:eastAsia="ru-RU"/>
              </w:rPr>
              <w:t xml:space="preserve"> membru </w:t>
            </w:r>
            <w:proofErr w:type="spellStart"/>
            <w:r w:rsidR="006D57F9" w:rsidRPr="006D57F9">
              <w:rPr>
                <w:rFonts w:ascii="Times New Roman" w:eastAsia="Arial Unicode MS" w:hAnsi="Times New Roman"/>
                <w:sz w:val="20"/>
                <w:szCs w:val="20"/>
                <w:shd w:val="clear" w:color="auto" w:fill="FFFFFF"/>
                <w:lang w:val="fr-FR"/>
              </w:rPr>
              <w:t>privind</w:t>
            </w:r>
            <w:proofErr w:type="spellEnd"/>
            <w:r w:rsidR="006D57F9" w:rsidRPr="006D57F9">
              <w:rPr>
                <w:rFonts w:ascii="Times New Roman" w:eastAsia="Arial Unicode MS" w:hAnsi="Times New Roman"/>
                <w:sz w:val="20"/>
                <w:szCs w:val="20"/>
                <w:shd w:val="clear" w:color="auto" w:fill="FFFFFF"/>
                <w:lang w:val="fr-FR"/>
              </w:rPr>
              <w:t xml:space="preserve"> </w:t>
            </w:r>
            <w:proofErr w:type="spellStart"/>
            <w:r w:rsidR="006D57F9" w:rsidRPr="006D57F9">
              <w:rPr>
                <w:rFonts w:ascii="Times New Roman" w:eastAsia="Arial Unicode MS" w:hAnsi="Times New Roman"/>
                <w:sz w:val="20"/>
                <w:szCs w:val="20"/>
                <w:shd w:val="clear" w:color="auto" w:fill="FFFFFF"/>
                <w:lang w:val="fr-FR"/>
              </w:rPr>
              <w:t>absorbțiile</w:t>
            </w:r>
            <w:proofErr w:type="spellEnd"/>
            <w:r w:rsidR="006D57F9" w:rsidRPr="006D57F9">
              <w:rPr>
                <w:rFonts w:ascii="Times New Roman" w:eastAsia="Arial Unicode MS" w:hAnsi="Times New Roman"/>
                <w:sz w:val="20"/>
                <w:szCs w:val="20"/>
                <w:shd w:val="clear" w:color="auto" w:fill="FFFFFF"/>
                <w:lang w:val="fr-FR"/>
              </w:rPr>
              <w:t xml:space="preserve"> </w:t>
            </w:r>
            <w:proofErr w:type="spellStart"/>
            <w:r w:rsidR="006D57F9" w:rsidRPr="006D57F9">
              <w:rPr>
                <w:rFonts w:ascii="Times New Roman" w:eastAsia="Arial Unicode MS" w:hAnsi="Times New Roman"/>
                <w:sz w:val="20"/>
                <w:szCs w:val="20"/>
                <w:shd w:val="clear" w:color="auto" w:fill="FFFFFF"/>
                <w:lang w:val="fr-FR"/>
              </w:rPr>
              <w:t>nete</w:t>
            </w:r>
            <w:proofErr w:type="spellEnd"/>
            <w:r w:rsidR="006D57F9" w:rsidRPr="006D57F9">
              <w:rPr>
                <w:rFonts w:ascii="Times New Roman" w:eastAsia="Arial Unicode MS" w:hAnsi="Times New Roman"/>
                <w:sz w:val="20"/>
                <w:szCs w:val="20"/>
                <w:shd w:val="clear" w:color="auto" w:fill="FFFFFF"/>
                <w:lang w:val="fr-FR"/>
              </w:rPr>
              <w:t xml:space="preserve"> de gaze </w:t>
            </w:r>
            <w:proofErr w:type="spellStart"/>
            <w:r w:rsidR="006D57F9" w:rsidRPr="006D57F9">
              <w:rPr>
                <w:rFonts w:ascii="Times New Roman" w:eastAsia="Arial Unicode MS" w:hAnsi="Times New Roman"/>
                <w:sz w:val="20"/>
                <w:szCs w:val="20"/>
                <w:shd w:val="clear" w:color="auto" w:fill="FFFFFF"/>
                <w:lang w:val="fr-FR"/>
              </w:rPr>
              <w:t>cu</w:t>
            </w:r>
            <w:proofErr w:type="spellEnd"/>
            <w:r w:rsidR="006D57F9" w:rsidRPr="006D57F9">
              <w:rPr>
                <w:rFonts w:ascii="Times New Roman" w:eastAsia="Arial Unicode MS" w:hAnsi="Times New Roman"/>
                <w:sz w:val="20"/>
                <w:szCs w:val="20"/>
                <w:shd w:val="clear" w:color="auto" w:fill="FFFFFF"/>
                <w:lang w:val="fr-FR"/>
              </w:rPr>
              <w:t xml:space="preserve"> </w:t>
            </w:r>
            <w:proofErr w:type="spellStart"/>
            <w:r w:rsidR="006D57F9" w:rsidRPr="006D57F9">
              <w:rPr>
                <w:rFonts w:ascii="Times New Roman" w:eastAsia="Arial Unicode MS" w:hAnsi="Times New Roman"/>
                <w:sz w:val="20"/>
                <w:szCs w:val="20"/>
                <w:shd w:val="clear" w:color="auto" w:fill="FFFFFF"/>
                <w:lang w:val="fr-FR"/>
              </w:rPr>
              <w:t>efect</w:t>
            </w:r>
            <w:proofErr w:type="spellEnd"/>
            <w:r w:rsidR="006D57F9" w:rsidRPr="006D57F9">
              <w:rPr>
                <w:rFonts w:ascii="Times New Roman" w:eastAsia="Arial Unicode MS" w:hAnsi="Times New Roman"/>
                <w:sz w:val="20"/>
                <w:szCs w:val="20"/>
                <w:shd w:val="clear" w:color="auto" w:fill="FFFFFF"/>
                <w:lang w:val="fr-FR"/>
              </w:rPr>
              <w:t xml:space="preserve"> de </w:t>
            </w:r>
            <w:proofErr w:type="spellStart"/>
            <w:r w:rsidR="006D57F9" w:rsidRPr="006D57F9">
              <w:rPr>
                <w:rFonts w:ascii="Times New Roman" w:eastAsia="Arial Unicode MS" w:hAnsi="Times New Roman"/>
                <w:sz w:val="20"/>
                <w:szCs w:val="20"/>
                <w:shd w:val="clear" w:color="auto" w:fill="FFFFFF"/>
                <w:lang w:val="fr-FR"/>
              </w:rPr>
              <w:t>seră</w:t>
            </w:r>
            <w:proofErr w:type="spellEnd"/>
            <w:r w:rsidR="006D57F9" w:rsidRPr="006D57F9">
              <w:rPr>
                <w:rFonts w:ascii="Times New Roman" w:eastAsia="Arial Unicode MS" w:hAnsi="Times New Roman"/>
                <w:sz w:val="20"/>
                <w:szCs w:val="20"/>
                <w:shd w:val="clear" w:color="auto" w:fill="FFFFFF"/>
                <w:lang w:val="fr-FR"/>
              </w:rPr>
              <w:t xml:space="preserve"> </w:t>
            </w:r>
            <w:r w:rsidRPr="006D57F9">
              <w:rPr>
                <w:rFonts w:ascii="Times New Roman" w:hAnsi="Times New Roman"/>
                <w:sz w:val="20"/>
                <w:szCs w:val="20"/>
                <w:lang w:val="fr-FR" w:eastAsia="ru-RU"/>
              </w:rPr>
              <w:t xml:space="preserve">în </w:t>
            </w:r>
            <w:proofErr w:type="spellStart"/>
            <w:r w:rsidRPr="006D57F9">
              <w:rPr>
                <w:rFonts w:ascii="Times New Roman" w:hAnsi="Times New Roman"/>
                <w:sz w:val="20"/>
                <w:szCs w:val="20"/>
                <w:lang w:val="fr-FR" w:eastAsia="ru-RU"/>
              </w:rPr>
              <w:t>temeiul</w:t>
            </w:r>
            <w:proofErr w:type="spellEnd"/>
            <w:r w:rsidRPr="006D57F9">
              <w:rPr>
                <w:rFonts w:ascii="Times New Roman" w:hAnsi="Times New Roman"/>
                <w:sz w:val="20"/>
                <w:szCs w:val="20"/>
                <w:lang w:val="fr-FR" w:eastAsia="ru-RU"/>
              </w:rPr>
              <w:t xml:space="preserve"> </w:t>
            </w:r>
            <w:proofErr w:type="spellStart"/>
            <w:r w:rsidR="006D57F9" w:rsidRPr="006D57F9">
              <w:rPr>
                <w:rFonts w:ascii="Times New Roman" w:eastAsia="Arial Unicode MS" w:hAnsi="Times New Roman"/>
                <w:sz w:val="20"/>
                <w:szCs w:val="20"/>
                <w:shd w:val="clear" w:color="auto" w:fill="FFFFFF"/>
                <w:lang w:val="fr-FR"/>
              </w:rPr>
              <w:t>articolului</w:t>
            </w:r>
            <w:proofErr w:type="spellEnd"/>
            <w:r w:rsidR="006D57F9">
              <w:rPr>
                <w:rFonts w:ascii="Times New Roman" w:eastAsia="Arial Unicode MS" w:hAnsi="Times New Roman"/>
                <w:sz w:val="20"/>
                <w:szCs w:val="20"/>
                <w:shd w:val="clear" w:color="auto" w:fill="FFFFFF"/>
                <w:lang w:val="fr-FR"/>
              </w:rPr>
              <w:t xml:space="preserve"> </w:t>
            </w:r>
            <w:r w:rsidR="006D57F9" w:rsidRPr="006D57F9">
              <w:rPr>
                <w:rFonts w:ascii="Times New Roman" w:eastAsia="Arial Unicode MS" w:hAnsi="Times New Roman"/>
                <w:sz w:val="20"/>
                <w:szCs w:val="20"/>
                <w:shd w:val="clear" w:color="auto" w:fill="FFFFFF"/>
                <w:lang w:val="fr-FR"/>
              </w:rPr>
              <w:t xml:space="preserve">4 </w:t>
            </w:r>
            <w:proofErr w:type="spellStart"/>
            <w:r w:rsidR="006D57F9" w:rsidRPr="006D57F9">
              <w:rPr>
                <w:rFonts w:ascii="Times New Roman" w:eastAsia="Arial Unicode MS" w:hAnsi="Times New Roman"/>
                <w:sz w:val="20"/>
                <w:szCs w:val="20"/>
                <w:shd w:val="clear" w:color="auto" w:fill="FFFFFF"/>
                <w:lang w:val="fr-FR"/>
              </w:rPr>
              <w:t>alineatele</w:t>
            </w:r>
            <w:proofErr w:type="spellEnd"/>
            <w:r w:rsidR="006D57F9">
              <w:rPr>
                <w:rFonts w:ascii="Times New Roman" w:eastAsia="Arial Unicode MS" w:hAnsi="Times New Roman"/>
                <w:sz w:val="20"/>
                <w:szCs w:val="20"/>
                <w:shd w:val="clear" w:color="auto" w:fill="FFFFFF"/>
                <w:lang w:val="fr-FR"/>
              </w:rPr>
              <w:t xml:space="preserve"> </w:t>
            </w:r>
            <w:r w:rsidR="006D57F9" w:rsidRPr="006D57F9">
              <w:rPr>
                <w:rFonts w:ascii="Times New Roman" w:eastAsia="Arial Unicode MS" w:hAnsi="Times New Roman"/>
                <w:sz w:val="20"/>
                <w:szCs w:val="20"/>
                <w:shd w:val="clear" w:color="auto" w:fill="FFFFFF"/>
                <w:lang w:val="fr-FR"/>
              </w:rPr>
              <w:t>(1) și</w:t>
            </w:r>
            <w:r w:rsidR="006D57F9">
              <w:rPr>
                <w:rFonts w:ascii="Times New Roman" w:eastAsia="Arial Unicode MS" w:hAnsi="Times New Roman"/>
                <w:sz w:val="20"/>
                <w:szCs w:val="20"/>
                <w:shd w:val="clear" w:color="auto" w:fill="FFFFFF"/>
                <w:lang w:val="fr-FR"/>
              </w:rPr>
              <w:t xml:space="preserve"> </w:t>
            </w:r>
            <w:r w:rsidR="006D57F9" w:rsidRPr="006D57F9">
              <w:rPr>
                <w:rFonts w:ascii="Times New Roman" w:eastAsia="Arial Unicode MS" w:hAnsi="Times New Roman"/>
                <w:sz w:val="20"/>
                <w:szCs w:val="20"/>
                <w:shd w:val="clear" w:color="auto" w:fill="FFFFFF"/>
                <w:lang w:val="fr-FR"/>
              </w:rPr>
              <w:t>(2)</w:t>
            </w:r>
            <w:r w:rsidR="006D57F9">
              <w:rPr>
                <w:rFonts w:ascii="Times New Roman" w:eastAsia="Arial Unicode MS" w:hAnsi="Times New Roman"/>
                <w:sz w:val="20"/>
                <w:szCs w:val="20"/>
                <w:shd w:val="clear" w:color="auto" w:fill="FFFFFF"/>
                <w:lang w:val="fr-FR"/>
              </w:rPr>
              <w:t xml:space="preserve"> </w:t>
            </w:r>
            <w:proofErr w:type="spellStart"/>
            <w:r w:rsidRPr="006D57F9">
              <w:rPr>
                <w:rFonts w:ascii="Times New Roman" w:hAnsi="Times New Roman"/>
                <w:sz w:val="20"/>
                <w:szCs w:val="20"/>
                <w:lang w:val="fr-FR" w:eastAsia="ru-RU"/>
              </w:rPr>
              <w:t>Regulamentului</w:t>
            </w:r>
            <w:proofErr w:type="spellEnd"/>
            <w:r w:rsidRPr="006D57F9">
              <w:rPr>
                <w:rFonts w:ascii="Times New Roman" w:hAnsi="Times New Roman"/>
                <w:sz w:val="20"/>
                <w:szCs w:val="20"/>
                <w:lang w:val="fr-FR" w:eastAsia="ru-RU"/>
              </w:rPr>
              <w:t xml:space="preserve"> (UE) 2018/841;</w:t>
            </w:r>
          </w:p>
          <w:p w14:paraId="2ADBDF63" w14:textId="77777777" w:rsidR="006D57F9" w:rsidRPr="006D57F9" w:rsidRDefault="00000000" w:rsidP="006D57F9">
            <w:pPr>
              <w:pStyle w:val="modref"/>
              <w:shd w:val="clear" w:color="auto" w:fill="FFFFFF"/>
              <w:spacing w:before="120" w:beforeAutospacing="0" w:after="0" w:afterAutospacing="0" w:line="312" w:lineRule="atLeast"/>
              <w:rPr>
                <w:rFonts w:eastAsia="Arial Unicode MS"/>
                <w:b/>
                <w:bCs/>
                <w:color w:val="333333"/>
                <w:sz w:val="20"/>
                <w:szCs w:val="20"/>
              </w:rPr>
            </w:pPr>
            <w:hyperlink r:id="rId17" w:tooltip="32018R1999" w:history="1">
              <w:r w:rsidR="006D57F9" w:rsidRPr="006D57F9">
                <w:rPr>
                  <w:rStyle w:val="af6"/>
                  <w:rFonts w:eastAsia="Arial Unicode MS"/>
                  <w:b/>
                  <w:bCs/>
                  <w:color w:val="23527C"/>
                  <w:sz w:val="20"/>
                  <w:szCs w:val="20"/>
                </w:rPr>
                <w:t>▼B</w:t>
              </w:r>
            </w:hyperlink>
          </w:p>
          <w:p w14:paraId="59942479" w14:textId="77777777" w:rsidR="00646AFF" w:rsidRPr="000440D5" w:rsidRDefault="00646AFF" w:rsidP="00646AFF">
            <w:pPr>
              <w:pStyle w:val="af3"/>
              <w:ind w:left="1440"/>
              <w:jc w:val="both"/>
              <w:rPr>
                <w:rFonts w:ascii="Times New Roman" w:hAnsi="Times New Roman"/>
                <w:sz w:val="20"/>
                <w:szCs w:val="20"/>
                <w:lang w:val="fr-FR" w:eastAsia="ru-RU"/>
              </w:rPr>
            </w:pPr>
          </w:p>
          <w:p w14:paraId="5DFD308D" w14:textId="77777777" w:rsidR="00081EFD" w:rsidRPr="000440D5" w:rsidRDefault="00081EFD" w:rsidP="000C5A3B">
            <w:pPr>
              <w:pStyle w:val="af3"/>
              <w:numPr>
                <w:ilvl w:val="0"/>
                <w:numId w:val="92"/>
              </w:numPr>
              <w:jc w:val="both"/>
              <w:rPr>
                <w:rFonts w:ascii="Times New Roman" w:hAnsi="Times New Roman"/>
                <w:sz w:val="20"/>
                <w:szCs w:val="20"/>
                <w:lang w:val="fr-FR" w:eastAsia="ru-RU"/>
              </w:rPr>
            </w:pPr>
            <w:proofErr w:type="spellStart"/>
            <w:proofErr w:type="gramStart"/>
            <w:r w:rsidRPr="000440D5">
              <w:rPr>
                <w:rFonts w:ascii="Times New Roman" w:hAnsi="Times New Roman"/>
                <w:sz w:val="20"/>
                <w:szCs w:val="20"/>
                <w:shd w:val="clear" w:color="auto" w:fill="FFFFFF"/>
                <w:lang w:val="fr-FR"/>
              </w:rPr>
              <w:t>dacă</w:t>
            </w:r>
            <w:proofErr w:type="spellEnd"/>
            <w:proofErr w:type="gramEnd"/>
            <w:r w:rsidRPr="000440D5">
              <w:rPr>
                <w:rFonts w:ascii="Times New Roman" w:hAnsi="Times New Roman"/>
                <w:sz w:val="20"/>
                <w:szCs w:val="20"/>
                <w:shd w:val="clear" w:color="auto" w:fill="FFFFFF"/>
                <w:lang w:val="fr-FR"/>
              </w:rPr>
              <w:t xml:space="preserve"> este </w:t>
            </w:r>
            <w:proofErr w:type="spellStart"/>
            <w:r w:rsidRPr="000440D5">
              <w:rPr>
                <w:rFonts w:ascii="Times New Roman" w:hAnsi="Times New Roman"/>
                <w:sz w:val="20"/>
                <w:szCs w:val="20"/>
                <w:shd w:val="clear" w:color="auto" w:fill="FFFFFF"/>
                <w:lang w:val="fr-FR"/>
              </w:rPr>
              <w:t>cazul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realizarea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energetice</w:t>
            </w:r>
            <w:proofErr w:type="spellEnd"/>
            <w:r w:rsidRPr="000440D5">
              <w:rPr>
                <w:rFonts w:ascii="Times New Roman" w:hAnsi="Times New Roman"/>
                <w:sz w:val="20"/>
                <w:szCs w:val="20"/>
                <w:shd w:val="clear" w:color="auto" w:fill="FFFFFF"/>
                <w:lang w:val="fr-FR"/>
              </w:rPr>
              <w:t xml:space="preserve"> și a </w:t>
            </w:r>
            <w:proofErr w:type="spellStart"/>
            <w:r w:rsidRPr="000440D5">
              <w:rPr>
                <w:rFonts w:ascii="Times New Roman" w:hAnsi="Times New Roman"/>
                <w:sz w:val="20"/>
                <w:szCs w:val="20"/>
                <w:shd w:val="clear" w:color="auto" w:fill="FFFFFF"/>
                <w:lang w:val="fr-FR"/>
              </w:rPr>
              <w:t>angajamentelor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termen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lung</w:t>
            </w:r>
            <w:proofErr w:type="spellEnd"/>
            <w:r w:rsidRPr="000440D5">
              <w:rPr>
                <w:rFonts w:ascii="Times New Roman" w:hAnsi="Times New Roman"/>
                <w:sz w:val="20"/>
                <w:szCs w:val="20"/>
                <w:shd w:val="clear" w:color="auto" w:fill="FFFFFF"/>
                <w:lang w:val="fr-FR"/>
              </w:rPr>
              <w:t xml:space="preserve"> ale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reducerea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gazelor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efect</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seră</w:t>
            </w:r>
            <w:proofErr w:type="spellEnd"/>
            <w:r w:rsidRPr="000440D5">
              <w:rPr>
                <w:rFonts w:ascii="Times New Roman" w:hAnsi="Times New Roman"/>
                <w:sz w:val="20"/>
                <w:szCs w:val="20"/>
                <w:shd w:val="clear" w:color="auto" w:fill="FFFFFF"/>
                <w:lang w:val="fr-FR"/>
              </w:rPr>
              <w:t xml:space="preserve">, în conformitate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Acordul</w:t>
            </w:r>
            <w:proofErr w:type="spellEnd"/>
            <w:r w:rsidRPr="000440D5">
              <w:rPr>
                <w:rFonts w:ascii="Times New Roman" w:hAnsi="Times New Roman"/>
                <w:sz w:val="20"/>
                <w:szCs w:val="20"/>
                <w:shd w:val="clear" w:color="auto" w:fill="FFFFFF"/>
                <w:lang w:val="fr-FR"/>
              </w:rPr>
              <w:t xml:space="preserve"> de la Paris, </w:t>
            </w:r>
            <w:proofErr w:type="spellStart"/>
            <w:r w:rsidRPr="000440D5">
              <w:rPr>
                <w:rFonts w:ascii="Times New Roman" w:hAnsi="Times New Roman"/>
                <w:sz w:val="20"/>
                <w:szCs w:val="20"/>
                <w:shd w:val="clear" w:color="auto" w:fill="FFFFFF"/>
                <w:lang w:val="fr-FR"/>
              </w:rPr>
              <w:t>alte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inclusiv</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sectoriale</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obiective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adaptare</w:t>
            </w:r>
            <w:proofErr w:type="spellEnd"/>
            <w:r w:rsidRPr="000440D5">
              <w:rPr>
                <w:rFonts w:ascii="Times New Roman" w:hAnsi="Times New Roman"/>
                <w:sz w:val="20"/>
                <w:szCs w:val="20"/>
                <w:shd w:val="clear" w:color="auto" w:fill="FFFFFF"/>
                <w:lang w:val="fr-FR"/>
              </w:rPr>
              <w:t>;</w:t>
            </w:r>
          </w:p>
          <w:p w14:paraId="553C81C4" w14:textId="77777777" w:rsidR="00081EFD" w:rsidRPr="000440D5" w:rsidRDefault="00081EFD" w:rsidP="000C5A3B">
            <w:pPr>
              <w:pStyle w:val="af3"/>
              <w:numPr>
                <w:ilvl w:val="0"/>
                <w:numId w:val="91"/>
              </w:numPr>
              <w:jc w:val="both"/>
              <w:rPr>
                <w:rFonts w:ascii="Times New Roman" w:hAnsi="Times New Roman"/>
                <w:sz w:val="20"/>
                <w:szCs w:val="20"/>
                <w:lang w:val="en-US" w:eastAsia="ru-RU"/>
              </w:rPr>
            </w:pPr>
            <w:proofErr w:type="spellStart"/>
            <w:r w:rsidRPr="000440D5">
              <w:rPr>
                <w:rFonts w:ascii="Times New Roman" w:hAnsi="Times New Roman"/>
                <w:sz w:val="20"/>
                <w:szCs w:val="20"/>
                <w:shd w:val="clear" w:color="auto" w:fill="FFFFFF"/>
              </w:rPr>
              <w:t>referitor</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energia</w:t>
            </w:r>
            <w:proofErr w:type="spellEnd"/>
            <w:r w:rsidRPr="000440D5">
              <w:rPr>
                <w:rFonts w:ascii="Times New Roman" w:hAnsi="Times New Roman"/>
                <w:sz w:val="20"/>
                <w:szCs w:val="20"/>
                <w:shd w:val="clear" w:color="auto" w:fill="FFFFFF"/>
              </w:rPr>
              <w:t xml:space="preserve"> din surse </w:t>
            </w:r>
            <w:proofErr w:type="spellStart"/>
            <w:r w:rsidRPr="000440D5">
              <w:rPr>
                <w:rFonts w:ascii="Times New Roman" w:hAnsi="Times New Roman"/>
                <w:sz w:val="20"/>
                <w:szCs w:val="20"/>
                <w:shd w:val="clear" w:color="auto" w:fill="FFFFFF"/>
              </w:rPr>
              <w:t>regenerabile</w:t>
            </w:r>
            <w:proofErr w:type="spellEnd"/>
            <w:r w:rsidRPr="000440D5">
              <w:rPr>
                <w:rFonts w:ascii="Times New Roman" w:hAnsi="Times New Roman"/>
                <w:sz w:val="20"/>
                <w:szCs w:val="20"/>
                <w:shd w:val="clear" w:color="auto" w:fill="FFFFFF"/>
              </w:rPr>
              <w:t>:</w:t>
            </w:r>
          </w:p>
          <w:p w14:paraId="0D4B0F4D" w14:textId="77777777" w:rsidR="00081EFD" w:rsidRPr="000440D5" w:rsidRDefault="00081EFD" w:rsidP="00081EFD">
            <w:pPr>
              <w:spacing w:after="0" w:line="240" w:lineRule="auto"/>
              <w:jc w:val="both"/>
              <w:rPr>
                <w:rFonts w:ascii="Times New Roman" w:hAnsi="Times New Roman"/>
                <w:sz w:val="20"/>
                <w:szCs w:val="20"/>
                <w:lang w:val="fr-FR" w:eastAsia="ru-RU"/>
              </w:rPr>
            </w:pPr>
            <w:r w:rsidRPr="000440D5">
              <w:rPr>
                <w:rFonts w:ascii="Times New Roman" w:hAnsi="Times New Roman"/>
                <w:sz w:val="20"/>
                <w:szCs w:val="20"/>
                <w:shd w:val="clear" w:color="auto" w:fill="FFFFFF"/>
              </w:rPr>
              <w:t xml:space="preserve">în </w:t>
            </w:r>
            <w:proofErr w:type="spellStart"/>
            <w:r w:rsidRPr="000440D5">
              <w:rPr>
                <w:rFonts w:ascii="Times New Roman" w:hAnsi="Times New Roman"/>
                <w:sz w:val="20"/>
                <w:szCs w:val="20"/>
                <w:shd w:val="clear" w:color="auto" w:fill="FFFFFF"/>
              </w:rPr>
              <w:t>vederea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realizării</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obiectivului</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obligatoriu</w:t>
            </w:r>
            <w:proofErr w:type="spellEnd"/>
            <w:r w:rsidRPr="000440D5">
              <w:rPr>
                <w:rFonts w:ascii="Times New Roman" w:hAnsi="Times New Roman"/>
                <w:sz w:val="20"/>
                <w:szCs w:val="20"/>
                <w:shd w:val="clear" w:color="auto" w:fill="FFFFFF"/>
              </w:rPr>
              <w:t xml:space="preserve"> al </w:t>
            </w:r>
            <w:proofErr w:type="spellStart"/>
            <w:r w:rsidRPr="000440D5">
              <w:rPr>
                <w:rFonts w:ascii="Times New Roman" w:hAnsi="Times New Roman"/>
                <w:sz w:val="20"/>
                <w:szCs w:val="20"/>
                <w:shd w:val="clear" w:color="auto" w:fill="FFFFFF"/>
              </w:rPr>
              <w:t>Uniunii</w:t>
            </w:r>
            <w:proofErr w:type="spellEnd"/>
            <w:r w:rsidRPr="000440D5">
              <w:rPr>
                <w:rFonts w:ascii="Times New Roman" w:hAnsi="Times New Roman"/>
                <w:sz w:val="20"/>
                <w:szCs w:val="20"/>
                <w:shd w:val="clear" w:color="auto" w:fill="FFFFFF"/>
              </w:rPr>
              <w:t xml:space="preserve"> de </w:t>
            </w:r>
            <w:proofErr w:type="spellStart"/>
            <w:r w:rsidRPr="000440D5">
              <w:rPr>
                <w:rFonts w:ascii="Times New Roman" w:hAnsi="Times New Roman"/>
                <w:sz w:val="20"/>
                <w:szCs w:val="20"/>
                <w:shd w:val="clear" w:color="auto" w:fill="FFFFFF"/>
              </w:rPr>
              <w:t>cel</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puțin</w:t>
            </w:r>
            <w:proofErr w:type="spellEnd"/>
            <w:r w:rsidRPr="000440D5">
              <w:rPr>
                <w:rFonts w:ascii="Times New Roman" w:hAnsi="Times New Roman"/>
                <w:sz w:val="20"/>
                <w:szCs w:val="20"/>
                <w:shd w:val="clear" w:color="auto" w:fill="FFFFFF"/>
              </w:rPr>
              <w:t xml:space="preserve"> 32 % de </w:t>
            </w:r>
            <w:proofErr w:type="spellStart"/>
            <w:r w:rsidRPr="000440D5">
              <w:rPr>
                <w:rFonts w:ascii="Times New Roman" w:hAnsi="Times New Roman"/>
                <w:sz w:val="20"/>
                <w:szCs w:val="20"/>
                <w:shd w:val="clear" w:color="auto" w:fill="FFFFFF"/>
              </w:rPr>
              <w:t>energie</w:t>
            </w:r>
            <w:proofErr w:type="spellEnd"/>
            <w:r w:rsidRPr="000440D5">
              <w:rPr>
                <w:rFonts w:ascii="Times New Roman" w:hAnsi="Times New Roman"/>
                <w:sz w:val="20"/>
                <w:szCs w:val="20"/>
                <w:shd w:val="clear" w:color="auto" w:fill="FFFFFF"/>
              </w:rPr>
              <w:t xml:space="preserve"> din surse </w:t>
            </w:r>
            <w:proofErr w:type="spellStart"/>
            <w:r w:rsidRPr="000440D5">
              <w:rPr>
                <w:rFonts w:ascii="Times New Roman" w:hAnsi="Times New Roman"/>
                <w:sz w:val="20"/>
                <w:szCs w:val="20"/>
                <w:shd w:val="clear" w:color="auto" w:fill="FFFFFF"/>
              </w:rPr>
              <w:t>regenerabile</w:t>
            </w:r>
            <w:proofErr w:type="spellEnd"/>
            <w:r w:rsidRPr="000440D5">
              <w:rPr>
                <w:rFonts w:ascii="Times New Roman" w:hAnsi="Times New Roman"/>
                <w:sz w:val="20"/>
                <w:szCs w:val="20"/>
                <w:shd w:val="clear" w:color="auto" w:fill="FFFFFF"/>
              </w:rPr>
              <w:t xml:space="preserve"> în 2030, </w:t>
            </w:r>
            <w:proofErr w:type="spellStart"/>
            <w:r w:rsidRPr="000440D5">
              <w:rPr>
                <w:rFonts w:ascii="Times New Roman" w:hAnsi="Times New Roman"/>
                <w:sz w:val="20"/>
                <w:szCs w:val="20"/>
                <w:shd w:val="clear" w:color="auto" w:fill="FFFFFF"/>
              </w:rPr>
              <w:t>menționat</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articolul</w:t>
            </w:r>
            <w:proofErr w:type="spellEnd"/>
            <w:r w:rsidRPr="000440D5">
              <w:rPr>
                <w:rFonts w:ascii="Times New Roman" w:hAnsi="Times New Roman"/>
                <w:sz w:val="20"/>
                <w:szCs w:val="20"/>
                <w:shd w:val="clear" w:color="auto" w:fill="FFFFFF"/>
              </w:rPr>
              <w:t xml:space="preserve"> 3 din </w:t>
            </w:r>
            <w:proofErr w:type="spellStart"/>
            <w:r w:rsidRPr="000440D5">
              <w:rPr>
                <w:rFonts w:ascii="Times New Roman" w:hAnsi="Times New Roman"/>
                <w:sz w:val="20"/>
                <w:szCs w:val="20"/>
                <w:shd w:val="clear" w:color="auto" w:fill="FFFFFF"/>
              </w:rPr>
              <w:t>Directiva</w:t>
            </w:r>
            <w:proofErr w:type="spellEnd"/>
            <w:r w:rsidRPr="000440D5">
              <w:rPr>
                <w:rFonts w:ascii="Times New Roman" w:hAnsi="Times New Roman"/>
                <w:sz w:val="20"/>
                <w:szCs w:val="20"/>
                <w:shd w:val="clear" w:color="auto" w:fill="FFFFFF"/>
              </w:rPr>
              <w:t xml:space="preserve"> (UE) 2018/2001, o </w:t>
            </w:r>
            <w:proofErr w:type="spellStart"/>
            <w:r w:rsidRPr="000440D5">
              <w:rPr>
                <w:rFonts w:ascii="Times New Roman" w:hAnsi="Times New Roman"/>
                <w:sz w:val="20"/>
                <w:szCs w:val="20"/>
                <w:shd w:val="clear" w:color="auto" w:fill="FFFFFF"/>
              </w:rPr>
              <w:t>contribuție</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acest</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obiectiv</w:t>
            </w:r>
            <w:proofErr w:type="spellEnd"/>
            <w:r w:rsidRPr="000440D5">
              <w:rPr>
                <w:rFonts w:ascii="Times New Roman" w:hAnsi="Times New Roman"/>
                <w:sz w:val="20"/>
                <w:szCs w:val="20"/>
                <w:shd w:val="clear" w:color="auto" w:fill="FFFFFF"/>
              </w:rPr>
              <w:t xml:space="preserve"> în </w:t>
            </w:r>
            <w:proofErr w:type="spellStart"/>
            <w:r w:rsidRPr="000440D5">
              <w:rPr>
                <w:rFonts w:ascii="Times New Roman" w:hAnsi="Times New Roman"/>
                <w:sz w:val="20"/>
                <w:szCs w:val="20"/>
                <w:shd w:val="clear" w:color="auto" w:fill="FFFFFF"/>
              </w:rPr>
              <w:t>ceea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ce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privește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ponderea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ce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revine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statului</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membru</w:t>
            </w:r>
            <w:proofErr w:type="spellEnd"/>
            <w:r w:rsidRPr="000440D5">
              <w:rPr>
                <w:rFonts w:ascii="Times New Roman" w:hAnsi="Times New Roman"/>
                <w:sz w:val="20"/>
                <w:szCs w:val="20"/>
                <w:shd w:val="clear" w:color="auto" w:fill="FFFFFF"/>
              </w:rPr>
              <w:t xml:space="preserve"> </w:t>
            </w:r>
            <w:proofErr w:type="gramStart"/>
            <w:r w:rsidRPr="000440D5">
              <w:rPr>
                <w:rFonts w:ascii="Times New Roman" w:hAnsi="Times New Roman"/>
                <w:sz w:val="20"/>
                <w:szCs w:val="20"/>
                <w:shd w:val="clear" w:color="auto" w:fill="FFFFFF"/>
              </w:rPr>
              <w:t>a</w:t>
            </w:r>
            <w:proofErr w:type="gramEnd"/>
            <w:r w:rsidRPr="000440D5">
              <w:rPr>
                <w:rFonts w:ascii="Times New Roman" w:hAnsi="Times New Roman"/>
                <w:sz w:val="20"/>
                <w:szCs w:val="20"/>
                <w:shd w:val="clear" w:color="auto" w:fill="FFFFFF"/>
              </w:rPr>
              <w:t xml:space="preserve"> energiei din surse </w:t>
            </w:r>
            <w:proofErr w:type="spellStart"/>
            <w:r w:rsidRPr="000440D5">
              <w:rPr>
                <w:rFonts w:ascii="Times New Roman" w:hAnsi="Times New Roman"/>
                <w:sz w:val="20"/>
                <w:szCs w:val="20"/>
                <w:shd w:val="clear" w:color="auto" w:fill="FFFFFF"/>
              </w:rPr>
              <w:t>regenerabile</w:t>
            </w:r>
            <w:proofErr w:type="spellEnd"/>
            <w:r w:rsidRPr="000440D5">
              <w:rPr>
                <w:rFonts w:ascii="Times New Roman" w:hAnsi="Times New Roman"/>
                <w:sz w:val="20"/>
                <w:szCs w:val="20"/>
                <w:shd w:val="clear" w:color="auto" w:fill="FFFFFF"/>
              </w:rPr>
              <w:t xml:space="preserve"> în </w:t>
            </w:r>
            <w:proofErr w:type="spellStart"/>
            <w:r w:rsidRPr="000440D5">
              <w:rPr>
                <w:rFonts w:ascii="Times New Roman" w:hAnsi="Times New Roman"/>
                <w:sz w:val="20"/>
                <w:szCs w:val="20"/>
                <w:shd w:val="clear" w:color="auto" w:fill="FFFFFF"/>
              </w:rPr>
              <w:t>consumul</w:t>
            </w:r>
            <w:proofErr w:type="spellEnd"/>
            <w:r w:rsidRPr="000440D5">
              <w:rPr>
                <w:rFonts w:ascii="Times New Roman" w:hAnsi="Times New Roman"/>
                <w:sz w:val="20"/>
                <w:szCs w:val="20"/>
                <w:shd w:val="clear" w:color="auto" w:fill="FFFFFF"/>
              </w:rPr>
              <w:t xml:space="preserve"> final brut de </w:t>
            </w:r>
            <w:proofErr w:type="spellStart"/>
            <w:r w:rsidRPr="000440D5">
              <w:rPr>
                <w:rFonts w:ascii="Times New Roman" w:hAnsi="Times New Roman"/>
                <w:sz w:val="20"/>
                <w:szCs w:val="20"/>
                <w:shd w:val="clear" w:color="auto" w:fill="FFFFFF"/>
              </w:rPr>
              <w:t>energie</w:t>
            </w:r>
            <w:proofErr w:type="spellEnd"/>
            <w:r w:rsidRPr="000440D5">
              <w:rPr>
                <w:rFonts w:ascii="Times New Roman" w:hAnsi="Times New Roman"/>
                <w:sz w:val="20"/>
                <w:szCs w:val="20"/>
                <w:shd w:val="clear" w:color="auto" w:fill="FFFFFF"/>
              </w:rPr>
              <w:t xml:space="preserve"> în 2030, cu o </w:t>
            </w:r>
            <w:proofErr w:type="spellStart"/>
            <w:r w:rsidRPr="000440D5">
              <w:rPr>
                <w:rFonts w:ascii="Times New Roman" w:hAnsi="Times New Roman"/>
                <w:sz w:val="20"/>
                <w:szCs w:val="20"/>
                <w:shd w:val="clear" w:color="auto" w:fill="FFFFFF"/>
              </w:rPr>
              <w:t>traiectorie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orientativă</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pentru</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această</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contribuție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începând</w:t>
            </w:r>
            <w:proofErr w:type="spellEnd"/>
            <w:r w:rsidRPr="000440D5">
              <w:rPr>
                <w:rFonts w:ascii="Times New Roman" w:hAnsi="Times New Roman"/>
                <w:sz w:val="20"/>
                <w:szCs w:val="20"/>
                <w:shd w:val="clear" w:color="auto" w:fill="FFFFFF"/>
              </w:rPr>
              <w:t xml:space="preserve"> din anul 2021.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în 2022,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ajunge</w:t>
            </w:r>
            <w:proofErr w:type="spellEnd"/>
            <w:r w:rsidRPr="000440D5">
              <w:rPr>
                <w:rFonts w:ascii="Times New Roman" w:hAnsi="Times New Roman"/>
                <w:sz w:val="20"/>
                <w:szCs w:val="20"/>
                <w:shd w:val="clear" w:color="auto" w:fill="FFFFFF"/>
                <w:lang w:val="fr-FR"/>
              </w:rPr>
              <w:t xml:space="preserve"> la un </w:t>
            </w:r>
            <w:proofErr w:type="spellStart"/>
            <w:r w:rsidRPr="000440D5">
              <w:rPr>
                <w:rFonts w:ascii="Times New Roman" w:hAnsi="Times New Roman"/>
                <w:sz w:val="20"/>
                <w:szCs w:val="20"/>
                <w:shd w:val="clear" w:color="auto" w:fill="FFFFFF"/>
                <w:lang w:val="fr-FR"/>
              </w:rPr>
              <w:t>punct</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referință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18 %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creșterea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totală</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ponderii</w:t>
            </w:r>
            <w:proofErr w:type="spellEnd"/>
            <w:r w:rsidRPr="000440D5">
              <w:rPr>
                <w:rFonts w:ascii="Times New Roman" w:hAnsi="Times New Roman"/>
                <w:sz w:val="20"/>
                <w:szCs w:val="20"/>
                <w:shd w:val="clear" w:color="auto" w:fill="FFFFFF"/>
                <w:lang w:val="fr-FR"/>
              </w:rPr>
              <w:t xml:space="preserve"> energiei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între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lastRenderedPageBreak/>
              <w:t>național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obligatoriu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2020 al </w:t>
            </w:r>
            <w:proofErr w:type="spellStart"/>
            <w:r w:rsidRPr="000440D5">
              <w:rPr>
                <w:rFonts w:ascii="Times New Roman" w:hAnsi="Times New Roman"/>
                <w:sz w:val="20"/>
                <w:szCs w:val="20"/>
                <w:shd w:val="clear" w:color="auto" w:fill="FFFFFF"/>
                <w:lang w:val="fr-FR"/>
              </w:rPr>
              <w:t>statului</w:t>
            </w:r>
            <w:proofErr w:type="spellEnd"/>
            <w:r w:rsidRPr="000440D5">
              <w:rPr>
                <w:rFonts w:ascii="Times New Roman" w:hAnsi="Times New Roman"/>
                <w:sz w:val="20"/>
                <w:szCs w:val="20"/>
                <w:shd w:val="clear" w:color="auto" w:fill="FFFFFF"/>
                <w:lang w:val="fr-FR"/>
              </w:rPr>
              <w:t xml:space="preserve"> membru </w:t>
            </w:r>
            <w:proofErr w:type="spellStart"/>
            <w:r w:rsidRPr="000440D5">
              <w:rPr>
                <w:rFonts w:ascii="Times New Roman" w:hAnsi="Times New Roman"/>
                <w:sz w:val="20"/>
                <w:szCs w:val="20"/>
                <w:shd w:val="clear" w:color="auto" w:fill="FFFFFF"/>
                <w:lang w:val="fr-FR"/>
              </w:rPr>
              <w:t>respectiv</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sa la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2030.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în 2025,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ajunge</w:t>
            </w:r>
            <w:proofErr w:type="spellEnd"/>
            <w:r w:rsidRPr="000440D5">
              <w:rPr>
                <w:rFonts w:ascii="Times New Roman" w:hAnsi="Times New Roman"/>
                <w:sz w:val="20"/>
                <w:szCs w:val="20"/>
                <w:shd w:val="clear" w:color="auto" w:fill="FFFFFF"/>
                <w:lang w:val="fr-FR"/>
              </w:rPr>
              <w:t xml:space="preserve"> la un </w:t>
            </w:r>
            <w:proofErr w:type="spellStart"/>
            <w:r w:rsidRPr="000440D5">
              <w:rPr>
                <w:rFonts w:ascii="Times New Roman" w:hAnsi="Times New Roman"/>
                <w:sz w:val="20"/>
                <w:szCs w:val="20"/>
                <w:shd w:val="clear" w:color="auto" w:fill="FFFFFF"/>
                <w:lang w:val="fr-FR"/>
              </w:rPr>
              <w:t>punct</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referință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43 %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creșterea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totală</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ponderii</w:t>
            </w:r>
            <w:proofErr w:type="spellEnd"/>
            <w:r w:rsidRPr="000440D5">
              <w:rPr>
                <w:rFonts w:ascii="Times New Roman" w:hAnsi="Times New Roman"/>
                <w:sz w:val="20"/>
                <w:szCs w:val="20"/>
                <w:shd w:val="clear" w:color="auto" w:fill="FFFFFF"/>
                <w:lang w:val="fr-FR"/>
              </w:rPr>
              <w:t xml:space="preserve"> energiei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între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obligatoriu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2020 al </w:t>
            </w:r>
            <w:proofErr w:type="spellStart"/>
            <w:r w:rsidRPr="000440D5">
              <w:rPr>
                <w:rFonts w:ascii="Times New Roman" w:hAnsi="Times New Roman"/>
                <w:sz w:val="20"/>
                <w:szCs w:val="20"/>
                <w:shd w:val="clear" w:color="auto" w:fill="FFFFFF"/>
                <w:lang w:val="fr-FR"/>
              </w:rPr>
              <w:t>statului</w:t>
            </w:r>
            <w:proofErr w:type="spellEnd"/>
            <w:r w:rsidRPr="000440D5">
              <w:rPr>
                <w:rFonts w:ascii="Times New Roman" w:hAnsi="Times New Roman"/>
                <w:sz w:val="20"/>
                <w:szCs w:val="20"/>
                <w:shd w:val="clear" w:color="auto" w:fill="FFFFFF"/>
                <w:lang w:val="fr-FR"/>
              </w:rPr>
              <w:t xml:space="preserve"> membru </w:t>
            </w:r>
            <w:proofErr w:type="spellStart"/>
            <w:r w:rsidRPr="000440D5">
              <w:rPr>
                <w:rFonts w:ascii="Times New Roman" w:hAnsi="Times New Roman"/>
                <w:sz w:val="20"/>
                <w:szCs w:val="20"/>
                <w:shd w:val="clear" w:color="auto" w:fill="FFFFFF"/>
                <w:lang w:val="fr-FR"/>
              </w:rPr>
              <w:t>respectiv</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sa la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2030.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în 2027,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ajunge</w:t>
            </w:r>
            <w:proofErr w:type="spellEnd"/>
            <w:r w:rsidRPr="000440D5">
              <w:rPr>
                <w:rFonts w:ascii="Times New Roman" w:hAnsi="Times New Roman"/>
                <w:sz w:val="20"/>
                <w:szCs w:val="20"/>
                <w:shd w:val="clear" w:color="auto" w:fill="FFFFFF"/>
                <w:lang w:val="fr-FR"/>
              </w:rPr>
              <w:t xml:space="preserve"> la un </w:t>
            </w:r>
            <w:proofErr w:type="spellStart"/>
            <w:r w:rsidRPr="000440D5">
              <w:rPr>
                <w:rFonts w:ascii="Times New Roman" w:hAnsi="Times New Roman"/>
                <w:sz w:val="20"/>
                <w:szCs w:val="20"/>
                <w:shd w:val="clear" w:color="auto" w:fill="FFFFFF"/>
                <w:lang w:val="fr-FR"/>
              </w:rPr>
              <w:t>punct</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referință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65 %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creșterea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totală</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ponderii</w:t>
            </w:r>
            <w:proofErr w:type="spellEnd"/>
            <w:r w:rsidRPr="000440D5">
              <w:rPr>
                <w:rFonts w:ascii="Times New Roman" w:hAnsi="Times New Roman"/>
                <w:sz w:val="20"/>
                <w:szCs w:val="20"/>
                <w:shd w:val="clear" w:color="auto" w:fill="FFFFFF"/>
                <w:lang w:val="fr-FR"/>
              </w:rPr>
              <w:t xml:space="preserve"> energiei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între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obligatoriu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2020 al </w:t>
            </w:r>
            <w:proofErr w:type="spellStart"/>
            <w:r w:rsidRPr="000440D5">
              <w:rPr>
                <w:rFonts w:ascii="Times New Roman" w:hAnsi="Times New Roman"/>
                <w:sz w:val="20"/>
                <w:szCs w:val="20"/>
                <w:shd w:val="clear" w:color="auto" w:fill="FFFFFF"/>
                <w:lang w:val="fr-FR"/>
              </w:rPr>
              <w:t>statului</w:t>
            </w:r>
            <w:proofErr w:type="spellEnd"/>
            <w:r w:rsidRPr="000440D5">
              <w:rPr>
                <w:rFonts w:ascii="Times New Roman" w:hAnsi="Times New Roman"/>
                <w:sz w:val="20"/>
                <w:szCs w:val="20"/>
                <w:shd w:val="clear" w:color="auto" w:fill="FFFFFF"/>
                <w:lang w:val="fr-FR"/>
              </w:rPr>
              <w:t xml:space="preserve"> membru </w:t>
            </w:r>
            <w:proofErr w:type="spellStart"/>
            <w:r w:rsidRPr="000440D5">
              <w:rPr>
                <w:rFonts w:ascii="Times New Roman" w:hAnsi="Times New Roman"/>
                <w:sz w:val="20"/>
                <w:szCs w:val="20"/>
                <w:shd w:val="clear" w:color="auto" w:fill="FFFFFF"/>
                <w:lang w:val="fr-FR"/>
              </w:rPr>
              <w:t>respectiv</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sa la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2030.</w:t>
            </w:r>
          </w:p>
          <w:p w14:paraId="1396C14F" w14:textId="77777777" w:rsidR="00081EFD" w:rsidRPr="000440D5" w:rsidRDefault="00081EFD" w:rsidP="00081EFD">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în 2030,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ajunge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contribuției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planificate</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statului</w:t>
            </w:r>
            <w:proofErr w:type="spellEnd"/>
            <w:r w:rsidRPr="000440D5">
              <w:rPr>
                <w:rFonts w:ascii="Times New Roman" w:hAnsi="Times New Roman"/>
                <w:sz w:val="20"/>
                <w:szCs w:val="20"/>
                <w:shd w:val="clear" w:color="auto" w:fill="FFFFFF"/>
                <w:lang w:val="fr-FR"/>
              </w:rPr>
              <w:t xml:space="preserve"> membru. </w:t>
            </w:r>
            <w:proofErr w:type="spellStart"/>
            <w:r w:rsidRPr="000440D5">
              <w:rPr>
                <w:rFonts w:ascii="Times New Roman" w:hAnsi="Times New Roman"/>
                <w:sz w:val="20"/>
                <w:szCs w:val="20"/>
                <w:shd w:val="clear" w:color="auto" w:fill="FFFFFF"/>
                <w:lang w:val="fr-FR"/>
              </w:rPr>
              <w:t>Dacă</w:t>
            </w:r>
            <w:proofErr w:type="spellEnd"/>
            <w:r w:rsidRPr="000440D5">
              <w:rPr>
                <w:rFonts w:ascii="Times New Roman" w:hAnsi="Times New Roman"/>
                <w:sz w:val="20"/>
                <w:szCs w:val="20"/>
                <w:shd w:val="clear" w:color="auto" w:fill="FFFFFF"/>
                <w:lang w:val="fr-FR"/>
              </w:rPr>
              <w:t xml:space="preserve"> un stat membru </w:t>
            </w:r>
            <w:proofErr w:type="spellStart"/>
            <w:r w:rsidRPr="000440D5">
              <w:rPr>
                <w:rFonts w:ascii="Times New Roman" w:hAnsi="Times New Roman"/>
                <w:sz w:val="20"/>
                <w:szCs w:val="20"/>
                <w:shd w:val="clear" w:color="auto" w:fill="FFFFFF"/>
                <w:lang w:val="fr-FR"/>
              </w:rPr>
              <w:t>estimează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își</w:t>
            </w:r>
            <w:proofErr w:type="spellEnd"/>
            <w:r w:rsidRPr="000440D5">
              <w:rPr>
                <w:rFonts w:ascii="Times New Roman" w:hAnsi="Times New Roman"/>
                <w:sz w:val="20"/>
                <w:szCs w:val="20"/>
                <w:shd w:val="clear" w:color="auto" w:fill="FFFFFF"/>
                <w:lang w:val="fr-FR"/>
              </w:rPr>
              <w:t xml:space="preserve"> va </w:t>
            </w:r>
            <w:proofErr w:type="spellStart"/>
            <w:r w:rsidRPr="000440D5">
              <w:rPr>
                <w:rFonts w:ascii="Times New Roman" w:hAnsi="Times New Roman"/>
                <w:sz w:val="20"/>
                <w:szCs w:val="20"/>
                <w:shd w:val="clear" w:color="auto" w:fill="FFFFFF"/>
                <w:lang w:val="fr-FR"/>
              </w:rPr>
              <w:t>depăși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obligatoriu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2020,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sa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poate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începe</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prevăzut</w:t>
            </w:r>
            <w:proofErr w:type="spellEnd"/>
            <w:r w:rsidRPr="000440D5">
              <w:rPr>
                <w:rFonts w:ascii="Times New Roman" w:hAnsi="Times New Roman"/>
                <w:sz w:val="20"/>
                <w:szCs w:val="20"/>
                <w:shd w:val="clear" w:color="auto" w:fill="FFFFFF"/>
                <w:lang w:val="fr-FR"/>
              </w:rPr>
              <w:t xml:space="preserve"> a fi </w:t>
            </w:r>
            <w:proofErr w:type="spellStart"/>
            <w:r w:rsidRPr="000440D5">
              <w:rPr>
                <w:rFonts w:ascii="Times New Roman" w:hAnsi="Times New Roman"/>
                <w:sz w:val="20"/>
                <w:szCs w:val="20"/>
                <w:shd w:val="clear" w:color="auto" w:fill="FFFFFF"/>
                <w:lang w:val="fr-FR"/>
              </w:rPr>
              <w:t>atins</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Traiectoriile</w:t>
            </w:r>
            <w:proofErr w:type="spellEnd"/>
            <w:r w:rsidRPr="000440D5">
              <w:rPr>
                <w:rFonts w:ascii="Times New Roman" w:hAnsi="Times New Roman"/>
                <w:sz w:val="20"/>
                <w:szCs w:val="20"/>
                <w:shd w:val="clear" w:color="auto" w:fill="FFFFFF"/>
                <w:lang w:val="fr-FR"/>
              </w:rPr>
              <w:t xml:space="preserve"> orientative ale </w:t>
            </w:r>
            <w:proofErr w:type="spellStart"/>
            <w:r w:rsidRPr="000440D5">
              <w:rPr>
                <w:rFonts w:ascii="Times New Roman" w:hAnsi="Times New Roman"/>
                <w:sz w:val="20"/>
                <w:szCs w:val="20"/>
                <w:shd w:val="clear" w:color="auto" w:fill="FFFFFF"/>
                <w:lang w:val="fr-FR"/>
              </w:rPr>
              <w:t>statelor</w:t>
            </w:r>
            <w:proofErr w:type="spellEnd"/>
            <w:r w:rsidRPr="000440D5">
              <w:rPr>
                <w:rFonts w:ascii="Times New Roman" w:hAnsi="Times New Roman"/>
                <w:sz w:val="20"/>
                <w:szCs w:val="20"/>
                <w:shd w:val="clear" w:color="auto" w:fill="FFFFFF"/>
                <w:lang w:val="fr-FR"/>
              </w:rPr>
              <w:t xml:space="preserve"> membre </w:t>
            </w:r>
            <w:proofErr w:type="spellStart"/>
            <w:r w:rsidRPr="000440D5">
              <w:rPr>
                <w:rFonts w:ascii="Times New Roman" w:hAnsi="Times New Roman"/>
                <w:sz w:val="20"/>
                <w:szCs w:val="20"/>
                <w:shd w:val="clear" w:color="auto" w:fill="FFFFFF"/>
                <w:lang w:val="fr-FR"/>
              </w:rPr>
              <w:t>constituie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împreună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punctele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referință</w:t>
            </w:r>
            <w:proofErr w:type="spellEnd"/>
            <w:r w:rsidRPr="000440D5">
              <w:rPr>
                <w:rFonts w:ascii="Times New Roman" w:hAnsi="Times New Roman"/>
                <w:sz w:val="20"/>
                <w:szCs w:val="20"/>
                <w:shd w:val="clear" w:color="auto" w:fill="FFFFFF"/>
                <w:lang w:val="fr-FR"/>
              </w:rPr>
              <w:t xml:space="preserve"> ale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în 2022, în 2025 și în 2027 și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obligatoriu</w:t>
            </w:r>
            <w:proofErr w:type="spellEnd"/>
            <w:r w:rsidRPr="000440D5">
              <w:rPr>
                <w:rFonts w:ascii="Times New Roman" w:hAnsi="Times New Roman"/>
                <w:sz w:val="20"/>
                <w:szCs w:val="20"/>
                <w:shd w:val="clear" w:color="auto" w:fill="FFFFFF"/>
                <w:lang w:val="fr-FR"/>
              </w:rPr>
              <w:t xml:space="preserve"> al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32 %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în 2030.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lângă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sa la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traiectoria</w:t>
            </w:r>
            <w:proofErr w:type="spellEnd"/>
            <w:r w:rsidRPr="000440D5">
              <w:rPr>
                <w:rFonts w:ascii="Times New Roman" w:hAnsi="Times New Roman"/>
                <w:sz w:val="20"/>
                <w:szCs w:val="20"/>
                <w:shd w:val="clear" w:color="auto" w:fill="FFFFFF"/>
                <w:lang w:val="fr-FR"/>
              </w:rPr>
              <w:t xml:space="preserve"> sa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sensul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prezentului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regulament</w:t>
            </w:r>
            <w:proofErr w:type="spellEnd"/>
            <w:r w:rsidRPr="000440D5">
              <w:rPr>
                <w:rFonts w:ascii="Times New Roman" w:hAnsi="Times New Roman"/>
                <w:sz w:val="20"/>
                <w:szCs w:val="20"/>
                <w:shd w:val="clear" w:color="auto" w:fill="FFFFFF"/>
                <w:lang w:val="fr-FR"/>
              </w:rPr>
              <w:t xml:space="preserve">, un stat membru </w:t>
            </w:r>
            <w:proofErr w:type="spellStart"/>
            <w:r w:rsidRPr="000440D5">
              <w:rPr>
                <w:rFonts w:ascii="Times New Roman" w:hAnsi="Times New Roman"/>
                <w:sz w:val="20"/>
                <w:szCs w:val="20"/>
                <w:shd w:val="clear" w:color="auto" w:fill="FFFFFF"/>
                <w:lang w:val="fr-FR"/>
              </w:rPr>
              <w:t>poate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să</w:t>
            </w:r>
            <w:proofErr w:type="spellEnd"/>
            <w:r w:rsidRPr="000440D5">
              <w:rPr>
                <w:rFonts w:ascii="Times New Roman" w:hAnsi="Times New Roman"/>
                <w:sz w:val="20"/>
                <w:szCs w:val="20"/>
                <w:shd w:val="clear" w:color="auto" w:fill="FFFFFF"/>
                <w:lang w:val="fr-FR"/>
              </w:rPr>
              <w:t xml:space="preserve"> indice </w:t>
            </w:r>
            <w:proofErr w:type="spellStart"/>
            <w:r w:rsidRPr="000440D5">
              <w:rPr>
                <w:rFonts w:ascii="Times New Roman" w:hAnsi="Times New Roman"/>
                <w:sz w:val="20"/>
                <w:szCs w:val="20"/>
                <w:shd w:val="clear" w:color="auto" w:fill="FFFFFF"/>
                <w:lang w:val="fr-FR"/>
              </w:rPr>
              <w:t>niveluri</w:t>
            </w:r>
            <w:proofErr w:type="spellEnd"/>
            <w:r w:rsidRPr="000440D5">
              <w:rPr>
                <w:rFonts w:ascii="Times New Roman" w:hAnsi="Times New Roman"/>
                <w:sz w:val="20"/>
                <w:szCs w:val="20"/>
                <w:shd w:val="clear" w:color="auto" w:fill="FFFFFF"/>
                <w:lang w:val="fr-FR"/>
              </w:rPr>
              <w:t xml:space="preserve"> mai </w:t>
            </w:r>
            <w:proofErr w:type="spellStart"/>
            <w:r w:rsidRPr="000440D5">
              <w:rPr>
                <w:rFonts w:ascii="Times New Roman" w:hAnsi="Times New Roman"/>
                <w:sz w:val="20"/>
                <w:szCs w:val="20"/>
                <w:shd w:val="clear" w:color="auto" w:fill="FFFFFF"/>
                <w:lang w:val="fr-FR"/>
              </w:rPr>
              <w:t>ambițioase</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cadrul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politicilor</w:t>
            </w:r>
            <w:proofErr w:type="spellEnd"/>
            <w:r w:rsidRPr="000440D5">
              <w:rPr>
                <w:rFonts w:ascii="Times New Roman" w:hAnsi="Times New Roman"/>
                <w:sz w:val="20"/>
                <w:szCs w:val="20"/>
                <w:shd w:val="clear" w:color="auto" w:fill="FFFFFF"/>
                <w:lang w:val="fr-FR"/>
              </w:rPr>
              <w:t xml:space="preserve"> </w:t>
            </w:r>
            <w:proofErr w:type="spellStart"/>
            <w:proofErr w:type="gramStart"/>
            <w:r w:rsidRPr="000440D5">
              <w:rPr>
                <w:rFonts w:ascii="Times New Roman" w:hAnsi="Times New Roman"/>
                <w:sz w:val="20"/>
                <w:szCs w:val="20"/>
                <w:shd w:val="clear" w:color="auto" w:fill="FFFFFF"/>
                <w:lang w:val="fr-FR"/>
              </w:rPr>
              <w:t>naționale</w:t>
            </w:r>
            <w:proofErr w:type="spellEnd"/>
            <w:r w:rsidRPr="000440D5">
              <w:rPr>
                <w:rFonts w:ascii="Times New Roman" w:hAnsi="Times New Roman"/>
                <w:sz w:val="20"/>
                <w:szCs w:val="20"/>
                <w:shd w:val="clear" w:color="auto" w:fill="FFFFFF"/>
                <w:lang w:val="fr-FR"/>
              </w:rPr>
              <w:t>;</w:t>
            </w:r>
            <w:proofErr w:type="gramEnd"/>
          </w:p>
          <w:p w14:paraId="1982C05B" w14:textId="77777777" w:rsidR="00081EFD" w:rsidRPr="000440D5" w:rsidRDefault="00081EFD" w:rsidP="000C5A3B">
            <w:pPr>
              <w:pStyle w:val="ColorfulList-Accent11"/>
              <w:numPr>
                <w:ilvl w:val="0"/>
                <w:numId w:val="90"/>
              </w:numPr>
              <w:spacing w:after="0" w:line="240" w:lineRule="auto"/>
              <w:ind w:left="284"/>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rPr>
              <w:t>referitor</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dimensiunea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eficiență</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energetică</w:t>
            </w:r>
            <w:proofErr w:type="spellEnd"/>
            <w:r w:rsidRPr="000440D5">
              <w:rPr>
                <w:rFonts w:ascii="Times New Roman" w:hAnsi="Times New Roman"/>
                <w:sz w:val="20"/>
                <w:szCs w:val="20"/>
                <w:shd w:val="clear" w:color="auto" w:fill="FFFFFF"/>
              </w:rPr>
              <w:t>”:</w:t>
            </w:r>
          </w:p>
          <w:p w14:paraId="481A0F91" w14:textId="77777777" w:rsidR="00081EFD" w:rsidRPr="000440D5" w:rsidRDefault="00081EFD" w:rsidP="000C5A3B">
            <w:pPr>
              <w:pStyle w:val="ColorfulList-Accent11"/>
              <w:numPr>
                <w:ilvl w:val="0"/>
                <w:numId w:val="93"/>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0440D5">
              <w:rPr>
                <w:rFonts w:ascii="Times New Roman" w:hAnsi="Times New Roman"/>
                <w:sz w:val="20"/>
                <w:szCs w:val="20"/>
                <w:shd w:val="clear" w:color="auto" w:fill="FFFFFF"/>
                <w:lang w:val="fr-FR"/>
              </w:rPr>
              <w:t>contribuția</w:t>
            </w:r>
            <w:proofErr w:type="spellEnd"/>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eficiența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plan </w:t>
            </w:r>
            <w:proofErr w:type="spell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îndeplinirea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eficiența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32,5% în 2030, </w:t>
            </w:r>
            <w:proofErr w:type="spellStart"/>
            <w:r w:rsidRPr="000440D5">
              <w:rPr>
                <w:rFonts w:ascii="Times New Roman" w:hAnsi="Times New Roman"/>
                <w:sz w:val="20"/>
                <w:szCs w:val="20"/>
                <w:shd w:val="clear" w:color="auto" w:fill="FFFFFF"/>
                <w:lang w:val="fr-FR"/>
              </w:rPr>
              <w:t>astfel</w:t>
            </w:r>
            <w:proofErr w:type="spellEnd"/>
            <w:r w:rsidRPr="000440D5">
              <w:rPr>
                <w:rFonts w:ascii="Times New Roman" w:hAnsi="Times New Roman"/>
                <w:sz w:val="20"/>
                <w:szCs w:val="20"/>
                <w:shd w:val="clear" w:color="auto" w:fill="FFFFFF"/>
                <w:lang w:val="fr-FR"/>
              </w:rPr>
              <w:t xml:space="preserve"> cum se </w:t>
            </w:r>
            <w:proofErr w:type="spellStart"/>
            <w:r w:rsidRPr="000440D5">
              <w:rPr>
                <w:rFonts w:ascii="Times New Roman" w:hAnsi="Times New Roman"/>
                <w:sz w:val="20"/>
                <w:szCs w:val="20"/>
                <w:shd w:val="clear" w:color="auto" w:fill="FFFFFF"/>
                <w:lang w:val="fr-FR"/>
              </w:rPr>
              <w:t>menționează</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articolul</w:t>
            </w:r>
            <w:proofErr w:type="spellEnd"/>
            <w:r w:rsidRPr="000440D5">
              <w:rPr>
                <w:rFonts w:ascii="Times New Roman" w:hAnsi="Times New Roman"/>
                <w:sz w:val="20"/>
                <w:szCs w:val="20"/>
                <w:shd w:val="clear" w:color="auto" w:fill="FFFFFF"/>
                <w:lang w:val="fr-FR"/>
              </w:rPr>
              <w:t xml:space="preserve"> 1 </w:t>
            </w:r>
            <w:proofErr w:type="spellStart"/>
            <w:r w:rsidRPr="000440D5">
              <w:rPr>
                <w:rFonts w:ascii="Times New Roman" w:hAnsi="Times New Roman"/>
                <w:sz w:val="20"/>
                <w:szCs w:val="20"/>
                <w:shd w:val="clear" w:color="auto" w:fill="FFFFFF"/>
                <w:lang w:val="fr-FR"/>
              </w:rPr>
              <w:t>alineatul</w:t>
            </w:r>
            <w:proofErr w:type="spellEnd"/>
            <w:r w:rsidRPr="000440D5">
              <w:rPr>
                <w:rFonts w:ascii="Times New Roman" w:hAnsi="Times New Roman"/>
                <w:sz w:val="20"/>
                <w:szCs w:val="20"/>
                <w:shd w:val="clear" w:color="auto" w:fill="FFFFFF"/>
                <w:lang w:val="fr-FR"/>
              </w:rPr>
              <w:t xml:space="preserve"> (1) și la </w:t>
            </w:r>
            <w:proofErr w:type="spellStart"/>
            <w:r w:rsidRPr="000440D5">
              <w:rPr>
                <w:rFonts w:ascii="Times New Roman" w:hAnsi="Times New Roman"/>
                <w:sz w:val="20"/>
                <w:szCs w:val="20"/>
                <w:shd w:val="clear" w:color="auto" w:fill="FFFFFF"/>
                <w:lang w:val="fr-FR"/>
              </w:rPr>
              <w:t>articolul</w:t>
            </w:r>
            <w:proofErr w:type="spellEnd"/>
            <w:r w:rsidRPr="000440D5">
              <w:rPr>
                <w:rFonts w:ascii="Times New Roman" w:hAnsi="Times New Roman"/>
                <w:sz w:val="20"/>
                <w:szCs w:val="20"/>
                <w:shd w:val="clear" w:color="auto" w:fill="FFFFFF"/>
                <w:lang w:val="fr-FR"/>
              </w:rPr>
              <w:t xml:space="preserve"> 3 </w:t>
            </w:r>
            <w:proofErr w:type="spellStart"/>
            <w:r w:rsidRPr="000440D5">
              <w:rPr>
                <w:rFonts w:ascii="Times New Roman" w:hAnsi="Times New Roman"/>
                <w:sz w:val="20"/>
                <w:szCs w:val="20"/>
                <w:shd w:val="clear" w:color="auto" w:fill="FFFFFF"/>
                <w:lang w:val="fr-FR"/>
              </w:rPr>
              <w:t>alineatul</w:t>
            </w:r>
            <w:proofErr w:type="spellEnd"/>
            <w:r w:rsidRPr="000440D5">
              <w:rPr>
                <w:rFonts w:ascii="Times New Roman" w:hAnsi="Times New Roman"/>
                <w:sz w:val="20"/>
                <w:szCs w:val="20"/>
                <w:shd w:val="clear" w:color="auto" w:fill="FFFFFF"/>
                <w:lang w:val="fr-FR"/>
              </w:rPr>
              <w:t xml:space="preserve"> (5)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Directiva</w:t>
            </w:r>
            <w:proofErr w:type="spellEnd"/>
            <w:r w:rsidRPr="000440D5">
              <w:rPr>
                <w:rFonts w:ascii="Times New Roman" w:hAnsi="Times New Roman"/>
                <w:sz w:val="20"/>
                <w:szCs w:val="20"/>
                <w:shd w:val="clear" w:color="auto" w:fill="FFFFFF"/>
                <w:lang w:val="fr-FR"/>
              </w:rPr>
              <w:t xml:space="preserve"> 2012/27/UE, </w:t>
            </w:r>
            <w:proofErr w:type="spellStart"/>
            <w:r w:rsidRPr="000440D5">
              <w:rPr>
                <w:rFonts w:ascii="Times New Roman" w:hAnsi="Times New Roman"/>
                <w:sz w:val="20"/>
                <w:szCs w:val="20"/>
                <w:shd w:val="clear" w:color="auto" w:fill="FFFFFF"/>
                <w:lang w:val="fr-FR"/>
              </w:rPr>
              <w:t>bazată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consumul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primară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sau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finală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economiile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primară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sau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finală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intensitatea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w:t>
            </w:r>
          </w:p>
          <w:p w14:paraId="2AD40378" w14:textId="77777777" w:rsidR="00081EFD" w:rsidRPr="000440D5" w:rsidRDefault="00081EFD" w:rsidP="00081EFD">
            <w:pPr>
              <w:pStyle w:val="ColorfulList-Accent11"/>
              <w:spacing w:after="0" w:line="240" w:lineRule="auto"/>
              <w:ind w:left="470"/>
              <w:jc w:val="both"/>
              <w:rPr>
                <w:rFonts w:ascii="Times New Roman" w:hAnsi="Times New Roman"/>
                <w:sz w:val="20"/>
                <w:szCs w:val="20"/>
                <w:shd w:val="clear" w:color="auto" w:fill="FFFFFF"/>
                <w:lang w:val="fr-FR"/>
              </w:rPr>
            </w:pPr>
            <w:proofErr w:type="spellStart"/>
            <w:r w:rsidRPr="000440D5">
              <w:rPr>
                <w:rFonts w:ascii="Times New Roman" w:hAnsi="Times New Roman"/>
                <w:sz w:val="20"/>
                <w:szCs w:val="20"/>
                <w:shd w:val="clear" w:color="auto" w:fill="FFFFFF"/>
                <w:lang w:val="fr-FR"/>
              </w:rPr>
              <w:t>Statele</w:t>
            </w:r>
            <w:proofErr w:type="spellEnd"/>
            <w:r w:rsidRPr="000440D5">
              <w:rPr>
                <w:rFonts w:ascii="Times New Roman" w:hAnsi="Times New Roman"/>
                <w:sz w:val="20"/>
                <w:szCs w:val="20"/>
                <w:shd w:val="clear" w:color="auto" w:fill="FFFFFF"/>
                <w:lang w:val="fr-FR"/>
              </w:rPr>
              <w:t xml:space="preserve"> membre </w:t>
            </w:r>
            <w:proofErr w:type="spellStart"/>
            <w:r w:rsidRPr="000440D5">
              <w:rPr>
                <w:rFonts w:ascii="Times New Roman" w:hAnsi="Times New Roman"/>
                <w:sz w:val="20"/>
                <w:szCs w:val="20"/>
                <w:shd w:val="clear" w:color="auto" w:fill="FFFFFF"/>
                <w:lang w:val="fr-FR"/>
              </w:rPr>
              <w:t>își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exprimă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w:t>
            </w:r>
            <w:proofErr w:type="gramStart"/>
            <w:r w:rsidRPr="000440D5">
              <w:rPr>
                <w:rFonts w:ascii="Times New Roman" w:hAnsi="Times New Roman"/>
                <w:sz w:val="20"/>
                <w:szCs w:val="20"/>
                <w:shd w:val="clear" w:color="auto" w:fill="FFFFFF"/>
                <w:lang w:val="fr-FR"/>
              </w:rPr>
              <w:t>ca</w:t>
            </w:r>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nivel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absolut</w:t>
            </w:r>
            <w:proofErr w:type="spellEnd"/>
            <w:r w:rsidRPr="000440D5">
              <w:rPr>
                <w:rFonts w:ascii="Times New Roman" w:hAnsi="Times New Roman"/>
                <w:sz w:val="20"/>
                <w:szCs w:val="20"/>
                <w:shd w:val="clear" w:color="auto" w:fill="FFFFFF"/>
                <w:lang w:val="fr-FR"/>
              </w:rPr>
              <w:t xml:space="preserve"> al </w:t>
            </w:r>
            <w:proofErr w:type="spellStart"/>
            <w:r w:rsidRPr="000440D5">
              <w:rPr>
                <w:rFonts w:ascii="Times New Roman" w:hAnsi="Times New Roman"/>
                <w:sz w:val="20"/>
                <w:szCs w:val="20"/>
                <w:shd w:val="clear" w:color="auto" w:fill="FFFFFF"/>
                <w:lang w:val="fr-FR"/>
              </w:rPr>
              <w:t>consumului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primară</w:t>
            </w:r>
            <w:proofErr w:type="spellEnd"/>
            <w:r w:rsidRPr="000440D5">
              <w:rPr>
                <w:rFonts w:ascii="Times New Roman" w:hAnsi="Times New Roman"/>
                <w:sz w:val="20"/>
                <w:szCs w:val="20"/>
                <w:shd w:val="clear" w:color="auto" w:fill="FFFFFF"/>
                <w:lang w:val="fr-FR"/>
              </w:rPr>
              <w:t xml:space="preserve"> și al </w:t>
            </w:r>
            <w:proofErr w:type="spellStart"/>
            <w:r w:rsidRPr="000440D5">
              <w:rPr>
                <w:rFonts w:ascii="Times New Roman" w:hAnsi="Times New Roman"/>
                <w:sz w:val="20"/>
                <w:szCs w:val="20"/>
                <w:shd w:val="clear" w:color="auto" w:fill="FFFFFF"/>
                <w:lang w:val="fr-FR"/>
              </w:rPr>
              <w:t>consumului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finală</w:t>
            </w:r>
            <w:proofErr w:type="spellEnd"/>
            <w:r w:rsidRPr="000440D5">
              <w:rPr>
                <w:rFonts w:ascii="Times New Roman" w:hAnsi="Times New Roman"/>
                <w:sz w:val="20"/>
                <w:szCs w:val="20"/>
                <w:shd w:val="clear" w:color="auto" w:fill="FFFFFF"/>
                <w:lang w:val="fr-FR"/>
              </w:rPr>
              <w:t xml:space="preserve"> în 2020 și ca </w:t>
            </w:r>
            <w:proofErr w:type="spellStart"/>
            <w:r w:rsidRPr="000440D5">
              <w:rPr>
                <w:rFonts w:ascii="Times New Roman" w:hAnsi="Times New Roman"/>
                <w:sz w:val="20"/>
                <w:szCs w:val="20"/>
                <w:shd w:val="clear" w:color="auto" w:fill="FFFFFF"/>
                <w:lang w:val="fr-FR"/>
              </w:rPr>
              <w:t>nivel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absolut</w:t>
            </w:r>
            <w:proofErr w:type="spellEnd"/>
            <w:r w:rsidRPr="000440D5">
              <w:rPr>
                <w:rFonts w:ascii="Times New Roman" w:hAnsi="Times New Roman"/>
                <w:sz w:val="20"/>
                <w:szCs w:val="20"/>
                <w:shd w:val="clear" w:color="auto" w:fill="FFFFFF"/>
                <w:lang w:val="fr-FR"/>
              </w:rPr>
              <w:t xml:space="preserve"> al </w:t>
            </w:r>
            <w:proofErr w:type="spellStart"/>
            <w:r w:rsidRPr="000440D5">
              <w:rPr>
                <w:rFonts w:ascii="Times New Roman" w:hAnsi="Times New Roman"/>
                <w:sz w:val="20"/>
                <w:szCs w:val="20"/>
                <w:shd w:val="clear" w:color="auto" w:fill="FFFFFF"/>
                <w:lang w:val="fr-FR"/>
              </w:rPr>
              <w:t>consumului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primară</w:t>
            </w:r>
            <w:proofErr w:type="spellEnd"/>
            <w:r w:rsidRPr="000440D5">
              <w:rPr>
                <w:rFonts w:ascii="Times New Roman" w:hAnsi="Times New Roman"/>
                <w:sz w:val="20"/>
                <w:szCs w:val="20"/>
                <w:shd w:val="clear" w:color="auto" w:fill="FFFFFF"/>
                <w:lang w:val="fr-FR"/>
              </w:rPr>
              <w:t xml:space="preserve"> și al </w:t>
            </w:r>
            <w:proofErr w:type="spellStart"/>
            <w:r w:rsidRPr="000440D5">
              <w:rPr>
                <w:rFonts w:ascii="Times New Roman" w:hAnsi="Times New Roman"/>
                <w:sz w:val="20"/>
                <w:szCs w:val="20"/>
                <w:shd w:val="clear" w:color="auto" w:fill="FFFFFF"/>
                <w:lang w:val="fr-FR"/>
              </w:rPr>
              <w:t>consumului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finală</w:t>
            </w:r>
            <w:proofErr w:type="spellEnd"/>
            <w:r w:rsidRPr="000440D5">
              <w:rPr>
                <w:rFonts w:ascii="Times New Roman" w:hAnsi="Times New Roman"/>
                <w:sz w:val="20"/>
                <w:szCs w:val="20"/>
                <w:shd w:val="clear" w:color="auto" w:fill="FFFFFF"/>
                <w:lang w:val="fr-FR"/>
              </w:rPr>
              <w:t xml:space="preserve"> în 2030,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o </w:t>
            </w:r>
            <w:proofErr w:type="spellStart"/>
            <w:r w:rsidRPr="000440D5">
              <w:rPr>
                <w:rFonts w:ascii="Times New Roman" w:hAnsi="Times New Roman"/>
                <w:sz w:val="20"/>
                <w:szCs w:val="20"/>
                <w:shd w:val="clear" w:color="auto" w:fill="FFFFFF"/>
                <w:lang w:val="fr-FR"/>
              </w:rPr>
              <w:t>traiectorie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orientativă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contribuția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respectivă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începând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2021. </w:t>
            </w:r>
            <w:proofErr w:type="spellStart"/>
            <w:r w:rsidRPr="000440D5">
              <w:rPr>
                <w:rFonts w:ascii="Times New Roman" w:hAnsi="Times New Roman"/>
                <w:sz w:val="20"/>
                <w:szCs w:val="20"/>
                <w:shd w:val="clear" w:color="auto" w:fill="FFFFFF"/>
                <w:lang w:val="fr-FR"/>
              </w:rPr>
              <w:t>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explică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metodologia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care au </w:t>
            </w:r>
            <w:proofErr w:type="spellStart"/>
            <w:r w:rsidRPr="000440D5">
              <w:rPr>
                <w:rFonts w:ascii="Times New Roman" w:hAnsi="Times New Roman"/>
                <w:sz w:val="20"/>
                <w:szCs w:val="20"/>
                <w:shd w:val="clear" w:color="auto" w:fill="FFFFFF"/>
                <w:lang w:val="fr-FR"/>
              </w:rPr>
              <w:t>utilizat</w:t>
            </w:r>
            <w:proofErr w:type="spellEnd"/>
            <w:r w:rsidRPr="000440D5">
              <w:rPr>
                <w:rFonts w:ascii="Times New Roman" w:hAnsi="Times New Roman"/>
                <w:sz w:val="20"/>
                <w:szCs w:val="20"/>
                <w:shd w:val="clear" w:color="auto" w:fill="FFFFFF"/>
                <w:lang w:val="fr-FR"/>
              </w:rPr>
              <w:t xml:space="preserve">-o și </w:t>
            </w:r>
            <w:proofErr w:type="spellStart"/>
            <w:r w:rsidRPr="000440D5">
              <w:rPr>
                <w:rFonts w:ascii="Times New Roman" w:hAnsi="Times New Roman"/>
                <w:sz w:val="20"/>
                <w:szCs w:val="20"/>
                <w:shd w:val="clear" w:color="auto" w:fill="FFFFFF"/>
                <w:lang w:val="fr-FR"/>
              </w:rPr>
              <w:t>factorii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conversie</w:t>
            </w:r>
            <w:proofErr w:type="spellEnd"/>
            <w:r w:rsidRPr="000440D5">
              <w:rPr>
                <w:rFonts w:ascii="Times New Roman" w:hAnsi="Times New Roman"/>
                <w:sz w:val="20"/>
                <w:szCs w:val="20"/>
                <w:shd w:val="clear" w:color="auto" w:fill="FFFFFF"/>
                <w:lang w:val="fr-FR"/>
              </w:rPr>
              <w:t xml:space="preserve"> </w:t>
            </w:r>
            <w:proofErr w:type="spellStart"/>
            <w:proofErr w:type="gramStart"/>
            <w:r w:rsidRPr="000440D5">
              <w:rPr>
                <w:rFonts w:ascii="Times New Roman" w:hAnsi="Times New Roman"/>
                <w:sz w:val="20"/>
                <w:szCs w:val="20"/>
                <w:shd w:val="clear" w:color="auto" w:fill="FFFFFF"/>
                <w:lang w:val="fr-FR"/>
              </w:rPr>
              <w:t>folosiți</w:t>
            </w:r>
            <w:proofErr w:type="spellEnd"/>
            <w:r w:rsidRPr="000440D5">
              <w:rPr>
                <w:rFonts w:ascii="Times New Roman" w:hAnsi="Times New Roman"/>
                <w:sz w:val="20"/>
                <w:szCs w:val="20"/>
                <w:shd w:val="clear" w:color="auto" w:fill="FFFFFF"/>
                <w:lang w:val="fr-FR"/>
              </w:rPr>
              <w:t>;</w:t>
            </w:r>
            <w:proofErr w:type="gramEnd"/>
          </w:p>
          <w:p w14:paraId="2295EB9C" w14:textId="77777777" w:rsidR="00081EFD" w:rsidRPr="000440D5" w:rsidRDefault="00081EFD" w:rsidP="000C5A3B">
            <w:pPr>
              <w:pStyle w:val="ColorfulList-Accent11"/>
              <w:numPr>
                <w:ilvl w:val="0"/>
                <w:numId w:val="93"/>
              </w:numPr>
              <w:spacing w:after="0" w:line="240" w:lineRule="auto"/>
              <w:ind w:left="470" w:hanging="357"/>
              <w:jc w:val="both"/>
              <w:rPr>
                <w:rFonts w:ascii="Times New Roman" w:hAnsi="Times New Roman"/>
                <w:sz w:val="20"/>
                <w:szCs w:val="20"/>
                <w:lang w:val="fr-FR"/>
              </w:rPr>
            </w:pPr>
            <w:proofErr w:type="spellStart"/>
            <w:proofErr w:type="gramStart"/>
            <w:r w:rsidRPr="000440D5">
              <w:rPr>
                <w:rFonts w:ascii="Times New Roman" w:hAnsi="Times New Roman"/>
                <w:sz w:val="20"/>
                <w:szCs w:val="20"/>
                <w:shd w:val="clear" w:color="auto" w:fill="FFFFFF"/>
                <w:lang w:val="fr-FR"/>
              </w:rPr>
              <w:t>cantitatea</w:t>
            </w:r>
            <w:proofErr w:type="spellEnd"/>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cumulată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economii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utilizării</w:t>
            </w:r>
            <w:proofErr w:type="spellEnd"/>
            <w:r w:rsidRPr="000440D5">
              <w:rPr>
                <w:rFonts w:ascii="Times New Roman" w:hAnsi="Times New Roman"/>
                <w:sz w:val="20"/>
                <w:szCs w:val="20"/>
                <w:shd w:val="clear" w:color="auto" w:fill="FFFFFF"/>
                <w:lang w:val="fr-FR"/>
              </w:rPr>
              <w:t xml:space="preserve"> finale care </w:t>
            </w:r>
            <w:proofErr w:type="spellStart"/>
            <w:r w:rsidRPr="000440D5">
              <w:rPr>
                <w:rFonts w:ascii="Times New Roman" w:hAnsi="Times New Roman"/>
                <w:sz w:val="20"/>
                <w:szCs w:val="20"/>
                <w:shd w:val="clear" w:color="auto" w:fill="FFFFFF"/>
                <w:lang w:val="fr-FR"/>
              </w:rPr>
              <w:t>trebuie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realizate</w:t>
            </w:r>
            <w:proofErr w:type="spellEnd"/>
            <w:r w:rsidRPr="000440D5">
              <w:rPr>
                <w:rFonts w:ascii="Times New Roman" w:hAnsi="Times New Roman"/>
                <w:sz w:val="20"/>
                <w:szCs w:val="20"/>
                <w:shd w:val="clear" w:color="auto" w:fill="FFFFFF"/>
                <w:lang w:val="fr-FR"/>
              </w:rPr>
              <w:t xml:space="preserve"> în perioada 2021-2030 în </w:t>
            </w:r>
            <w:proofErr w:type="spellStart"/>
            <w:r w:rsidRPr="000440D5">
              <w:rPr>
                <w:rFonts w:ascii="Times New Roman" w:hAnsi="Times New Roman"/>
                <w:sz w:val="20"/>
                <w:szCs w:val="20"/>
                <w:shd w:val="clear" w:color="auto" w:fill="FFFFFF"/>
                <w:lang w:val="fr-FR"/>
              </w:rPr>
              <w:t>temeiul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articolului</w:t>
            </w:r>
            <w:proofErr w:type="spellEnd"/>
            <w:r w:rsidRPr="000440D5">
              <w:rPr>
                <w:rFonts w:ascii="Times New Roman" w:hAnsi="Times New Roman"/>
                <w:sz w:val="20"/>
                <w:szCs w:val="20"/>
                <w:shd w:val="clear" w:color="auto" w:fill="FFFFFF"/>
                <w:lang w:val="fr-FR"/>
              </w:rPr>
              <w:t xml:space="preserve"> 7 </w:t>
            </w:r>
            <w:proofErr w:type="spellStart"/>
            <w:r w:rsidRPr="000440D5">
              <w:rPr>
                <w:rFonts w:ascii="Times New Roman" w:hAnsi="Times New Roman"/>
                <w:sz w:val="20"/>
                <w:szCs w:val="20"/>
                <w:shd w:val="clear" w:color="auto" w:fill="FFFFFF"/>
                <w:lang w:val="fr-FR"/>
              </w:rPr>
              <w:t>alineatul</w:t>
            </w:r>
            <w:proofErr w:type="spellEnd"/>
            <w:r w:rsidRPr="000440D5">
              <w:rPr>
                <w:rFonts w:ascii="Times New Roman" w:hAnsi="Times New Roman"/>
                <w:sz w:val="20"/>
                <w:szCs w:val="20"/>
                <w:shd w:val="clear" w:color="auto" w:fill="FFFFFF"/>
                <w:lang w:val="fr-FR"/>
              </w:rPr>
              <w:t xml:space="preserve"> (1) litera (b),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obligațiile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economisire</w:t>
            </w:r>
            <w:proofErr w:type="spellEnd"/>
            <w:r w:rsidRPr="000440D5">
              <w:rPr>
                <w:rFonts w:ascii="Times New Roman" w:hAnsi="Times New Roman"/>
                <w:sz w:val="20"/>
                <w:szCs w:val="20"/>
                <w:shd w:val="clear" w:color="auto" w:fill="FFFFFF"/>
                <w:lang w:val="fr-FR"/>
              </w:rPr>
              <w:t xml:space="preserve"> a energiei,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Directiva</w:t>
            </w:r>
            <w:proofErr w:type="spellEnd"/>
            <w:r w:rsidRPr="000440D5">
              <w:rPr>
                <w:rFonts w:ascii="Times New Roman" w:hAnsi="Times New Roman"/>
                <w:sz w:val="20"/>
                <w:szCs w:val="20"/>
                <w:shd w:val="clear" w:color="auto" w:fill="FFFFFF"/>
                <w:lang w:val="fr-FR"/>
              </w:rPr>
              <w:t xml:space="preserve"> 2012/27/UE;</w:t>
            </w:r>
          </w:p>
          <w:p w14:paraId="6C7C916B" w14:textId="77777777" w:rsidR="00081EFD" w:rsidRPr="000440D5" w:rsidRDefault="00081EFD" w:rsidP="000C5A3B">
            <w:pPr>
              <w:pStyle w:val="ColorfulList-Accent11"/>
              <w:numPr>
                <w:ilvl w:val="0"/>
                <w:numId w:val="93"/>
              </w:numPr>
              <w:spacing w:after="0" w:line="240" w:lineRule="auto"/>
              <w:ind w:left="470" w:hanging="357"/>
              <w:jc w:val="both"/>
              <w:rPr>
                <w:rFonts w:ascii="Times New Roman" w:hAnsi="Times New Roman"/>
                <w:sz w:val="20"/>
                <w:szCs w:val="20"/>
                <w:lang w:val="fr-FR"/>
              </w:rPr>
            </w:pPr>
            <w:proofErr w:type="spellStart"/>
            <w:proofErr w:type="gramStart"/>
            <w:r w:rsidRPr="000440D5">
              <w:rPr>
                <w:rFonts w:ascii="Times New Roman" w:hAnsi="Times New Roman"/>
                <w:sz w:val="20"/>
                <w:szCs w:val="20"/>
                <w:shd w:val="clear" w:color="auto" w:fill="FFFFFF"/>
                <w:lang w:val="fr-FR"/>
              </w:rPr>
              <w:t>etapele</w:t>
            </w:r>
            <w:proofErr w:type="spellEnd"/>
            <w:proofErr w:type="gramEnd"/>
            <w:r w:rsidRPr="000440D5">
              <w:rPr>
                <w:rFonts w:ascii="Times New Roman" w:hAnsi="Times New Roman"/>
                <w:sz w:val="20"/>
                <w:szCs w:val="20"/>
                <w:shd w:val="clear" w:color="auto" w:fill="FFFFFF"/>
                <w:lang w:val="fr-FR"/>
              </w:rPr>
              <w:t xml:space="preserve"> orientative ale </w:t>
            </w:r>
            <w:proofErr w:type="spellStart"/>
            <w:r w:rsidRPr="000440D5">
              <w:rPr>
                <w:rFonts w:ascii="Times New Roman" w:hAnsi="Times New Roman"/>
                <w:sz w:val="20"/>
                <w:szCs w:val="20"/>
                <w:shd w:val="clear" w:color="auto" w:fill="FFFFFF"/>
                <w:lang w:val="fr-FR"/>
              </w:rPr>
              <w:t>strategiei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termen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lung</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renovarea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parcului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clădiri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lastRenderedPageBreak/>
              <w:t>rezidențiale</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nerezidențiale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atât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publice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cât</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private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foaia</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parcurs</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indicatori</w:t>
            </w:r>
            <w:proofErr w:type="spellEnd"/>
            <w:r w:rsidRPr="000440D5">
              <w:rPr>
                <w:rFonts w:ascii="Times New Roman" w:hAnsi="Times New Roman"/>
                <w:sz w:val="20"/>
                <w:szCs w:val="20"/>
                <w:shd w:val="clear" w:color="auto" w:fill="FFFFFF"/>
                <w:lang w:val="fr-FR"/>
              </w:rPr>
              <w:t xml:space="preserve"> ai </w:t>
            </w:r>
            <w:proofErr w:type="spellStart"/>
            <w:r w:rsidRPr="000440D5">
              <w:rPr>
                <w:rFonts w:ascii="Times New Roman" w:hAnsi="Times New Roman"/>
                <w:sz w:val="20"/>
                <w:szCs w:val="20"/>
                <w:shd w:val="clear" w:color="auto" w:fill="FFFFFF"/>
                <w:lang w:val="fr-FR"/>
              </w:rPr>
              <w:t>progresului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măsurabili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stabiliți</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nivel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intern</w:t>
            </w:r>
            <w:proofErr w:type="spellEnd"/>
            <w:r w:rsidRPr="000440D5">
              <w:rPr>
                <w:rFonts w:ascii="Times New Roman" w:hAnsi="Times New Roman"/>
                <w:sz w:val="20"/>
                <w:szCs w:val="20"/>
                <w:shd w:val="clear" w:color="auto" w:fill="FFFFFF"/>
                <w:lang w:val="fr-FR"/>
              </w:rPr>
              <w:t xml:space="preserve">, o </w:t>
            </w:r>
            <w:proofErr w:type="spellStart"/>
            <w:r w:rsidRPr="000440D5">
              <w:rPr>
                <w:rFonts w:ascii="Times New Roman" w:hAnsi="Times New Roman"/>
                <w:sz w:val="20"/>
                <w:szCs w:val="20"/>
                <w:shd w:val="clear" w:color="auto" w:fill="FFFFFF"/>
                <w:lang w:val="fr-FR"/>
              </w:rPr>
              <w:t>estimare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bazată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dovezi</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economiilor</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preconizate</w:t>
            </w:r>
            <w:proofErr w:type="spellEnd"/>
            <w:r w:rsidRPr="000440D5">
              <w:rPr>
                <w:rFonts w:ascii="Times New Roman" w:hAnsi="Times New Roman"/>
                <w:sz w:val="20"/>
                <w:szCs w:val="20"/>
                <w:shd w:val="clear" w:color="auto" w:fill="FFFFFF"/>
                <w:lang w:val="fr-FR"/>
              </w:rPr>
              <w:t xml:space="preserve"> și a </w:t>
            </w:r>
            <w:proofErr w:type="spellStart"/>
            <w:r w:rsidRPr="000440D5">
              <w:rPr>
                <w:rFonts w:ascii="Times New Roman" w:hAnsi="Times New Roman"/>
                <w:sz w:val="20"/>
                <w:szCs w:val="20"/>
                <w:shd w:val="clear" w:color="auto" w:fill="FFFFFF"/>
                <w:lang w:val="fr-FR"/>
              </w:rPr>
              <w:t>altor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beneficii</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contribuțiile</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obiectivele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materie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eficiență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temeiul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Directivei</w:t>
            </w:r>
            <w:proofErr w:type="spellEnd"/>
            <w:r w:rsidRPr="000440D5">
              <w:rPr>
                <w:rFonts w:ascii="Times New Roman" w:hAnsi="Times New Roman"/>
                <w:sz w:val="20"/>
                <w:szCs w:val="20"/>
                <w:shd w:val="clear" w:color="auto" w:fill="FFFFFF"/>
                <w:lang w:val="fr-FR"/>
              </w:rPr>
              <w:t xml:space="preserve"> 2012/27/UE, în conformitate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articolul</w:t>
            </w:r>
            <w:proofErr w:type="spellEnd"/>
            <w:r w:rsidRPr="000440D5">
              <w:rPr>
                <w:rFonts w:ascii="Times New Roman" w:hAnsi="Times New Roman"/>
                <w:sz w:val="20"/>
                <w:szCs w:val="20"/>
                <w:shd w:val="clear" w:color="auto" w:fill="FFFFFF"/>
                <w:lang w:val="fr-FR"/>
              </w:rPr>
              <w:t xml:space="preserve"> 2a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Directiva</w:t>
            </w:r>
            <w:proofErr w:type="spellEnd"/>
            <w:r w:rsidRPr="000440D5">
              <w:rPr>
                <w:rFonts w:ascii="Times New Roman" w:hAnsi="Times New Roman"/>
                <w:sz w:val="20"/>
                <w:szCs w:val="20"/>
                <w:shd w:val="clear" w:color="auto" w:fill="FFFFFF"/>
                <w:lang w:val="fr-FR"/>
              </w:rPr>
              <w:t xml:space="preserve"> 2010/31/UE;</w:t>
            </w:r>
          </w:p>
          <w:p w14:paraId="01E3963C" w14:textId="77777777" w:rsidR="00081EFD" w:rsidRPr="000440D5" w:rsidRDefault="00081EFD" w:rsidP="000C5A3B">
            <w:pPr>
              <w:pStyle w:val="ColorfulList-Accent11"/>
              <w:numPr>
                <w:ilvl w:val="0"/>
                <w:numId w:val="93"/>
              </w:numPr>
              <w:spacing w:after="0" w:line="240" w:lineRule="auto"/>
              <w:ind w:left="470" w:hanging="357"/>
              <w:jc w:val="both"/>
              <w:rPr>
                <w:rFonts w:ascii="Times New Roman" w:hAnsi="Times New Roman"/>
                <w:sz w:val="20"/>
                <w:szCs w:val="20"/>
                <w:lang w:val="fr-FR"/>
              </w:rPr>
            </w:pPr>
            <w:proofErr w:type="spellStart"/>
            <w:proofErr w:type="gramStart"/>
            <w:r w:rsidRPr="000440D5">
              <w:rPr>
                <w:rFonts w:ascii="Times New Roman" w:hAnsi="Times New Roman"/>
                <w:sz w:val="20"/>
                <w:szCs w:val="20"/>
                <w:shd w:val="clear" w:color="auto" w:fill="FFFFFF"/>
                <w:lang w:val="fr-FR"/>
              </w:rPr>
              <w:t>suprafața</w:t>
            </w:r>
            <w:proofErr w:type="spellEnd"/>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totală</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urmează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renovată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sau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economiile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anuale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echivalente</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trebuie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realizate</w:t>
            </w:r>
            <w:proofErr w:type="spellEnd"/>
            <w:r w:rsidRPr="000440D5">
              <w:rPr>
                <w:rFonts w:ascii="Times New Roman" w:hAnsi="Times New Roman"/>
                <w:sz w:val="20"/>
                <w:szCs w:val="20"/>
                <w:shd w:val="clear" w:color="auto" w:fill="FFFFFF"/>
                <w:lang w:val="fr-FR"/>
              </w:rPr>
              <w:t xml:space="preserve"> în perioada 2021-2030 în </w:t>
            </w:r>
            <w:proofErr w:type="spellStart"/>
            <w:r w:rsidRPr="000440D5">
              <w:rPr>
                <w:rFonts w:ascii="Times New Roman" w:hAnsi="Times New Roman"/>
                <w:sz w:val="20"/>
                <w:szCs w:val="20"/>
                <w:shd w:val="clear" w:color="auto" w:fill="FFFFFF"/>
                <w:lang w:val="fr-FR"/>
              </w:rPr>
              <w:t>temeiul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articolului</w:t>
            </w:r>
            <w:proofErr w:type="spellEnd"/>
            <w:r w:rsidRPr="000440D5">
              <w:rPr>
                <w:rFonts w:ascii="Times New Roman" w:hAnsi="Times New Roman"/>
                <w:sz w:val="20"/>
                <w:szCs w:val="20"/>
                <w:shd w:val="clear" w:color="auto" w:fill="FFFFFF"/>
                <w:lang w:val="fr-FR"/>
              </w:rPr>
              <w:t xml:space="preserve"> 5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Directiva</w:t>
            </w:r>
            <w:proofErr w:type="spellEnd"/>
            <w:r w:rsidRPr="000440D5">
              <w:rPr>
                <w:rFonts w:ascii="Times New Roman" w:hAnsi="Times New Roman"/>
                <w:sz w:val="20"/>
                <w:szCs w:val="20"/>
                <w:shd w:val="clear" w:color="auto" w:fill="FFFFFF"/>
                <w:lang w:val="fr-FR"/>
              </w:rPr>
              <w:t xml:space="preserve"> 2012/27/UE </w:t>
            </w:r>
            <w:proofErr w:type="spellStart"/>
            <w:r w:rsidRPr="000440D5">
              <w:rPr>
                <w:rFonts w:ascii="Times New Roman" w:hAnsi="Times New Roman"/>
                <w:sz w:val="20"/>
                <w:szCs w:val="20"/>
                <w:shd w:val="clear" w:color="auto" w:fill="FFFFFF"/>
                <w:lang w:val="fr-FR"/>
              </w:rPr>
              <w:t>referitor</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rolul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exemplu</w:t>
            </w:r>
            <w:proofErr w:type="spellEnd"/>
            <w:r w:rsidRPr="000440D5">
              <w:rPr>
                <w:rFonts w:ascii="Times New Roman" w:hAnsi="Times New Roman"/>
                <w:sz w:val="20"/>
                <w:szCs w:val="20"/>
                <w:shd w:val="clear" w:color="auto" w:fill="FFFFFF"/>
                <w:lang w:val="fr-FR"/>
              </w:rPr>
              <w:t xml:space="preserve"> al </w:t>
            </w:r>
            <w:proofErr w:type="spellStart"/>
            <w:r w:rsidRPr="000440D5">
              <w:rPr>
                <w:rFonts w:ascii="Times New Roman" w:hAnsi="Times New Roman"/>
                <w:sz w:val="20"/>
                <w:szCs w:val="20"/>
                <w:shd w:val="clear" w:color="auto" w:fill="FFFFFF"/>
                <w:lang w:val="fr-FR"/>
              </w:rPr>
              <w:t>clădirilor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organismelor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publice</w:t>
            </w:r>
            <w:proofErr w:type="spellEnd"/>
            <w:r w:rsidRPr="000440D5">
              <w:rPr>
                <w:rFonts w:ascii="Times New Roman" w:hAnsi="Times New Roman"/>
                <w:sz w:val="20"/>
                <w:szCs w:val="20"/>
                <w:shd w:val="clear" w:color="auto" w:fill="FFFFFF"/>
                <w:lang w:val="fr-FR"/>
              </w:rPr>
              <w:t>;</w:t>
            </w:r>
          </w:p>
          <w:p w14:paraId="13071F8A" w14:textId="77777777" w:rsidR="00081EFD" w:rsidRPr="000440D5" w:rsidRDefault="00081EFD" w:rsidP="000C5A3B">
            <w:pPr>
              <w:pStyle w:val="ColorfulList-Accent11"/>
              <w:numPr>
                <w:ilvl w:val="0"/>
                <w:numId w:val="90"/>
              </w:numPr>
              <w:spacing w:after="0" w:line="240" w:lineRule="auto"/>
              <w:ind w:left="714" w:hanging="357"/>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rPr>
              <w:t>referitor</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dimensiunea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securitate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energetică</w:t>
            </w:r>
            <w:proofErr w:type="spellEnd"/>
            <w:r w:rsidRPr="000440D5">
              <w:rPr>
                <w:rFonts w:ascii="Times New Roman" w:hAnsi="Times New Roman"/>
                <w:sz w:val="20"/>
                <w:szCs w:val="20"/>
                <w:shd w:val="clear" w:color="auto" w:fill="FFFFFF"/>
              </w:rPr>
              <w:t>”:</w:t>
            </w:r>
          </w:p>
          <w:p w14:paraId="1351BD44" w14:textId="77777777" w:rsidR="00081EFD" w:rsidRPr="000440D5" w:rsidRDefault="00081EFD" w:rsidP="000C5A3B">
            <w:pPr>
              <w:pStyle w:val="Normal4"/>
              <w:numPr>
                <w:ilvl w:val="0"/>
                <w:numId w:val="94"/>
              </w:numPr>
              <w:spacing w:before="0" w:beforeAutospacing="0" w:after="0" w:afterAutospacing="0"/>
              <w:ind w:left="714" w:hanging="357"/>
              <w:jc w:val="both"/>
              <w:rPr>
                <w:sz w:val="20"/>
                <w:szCs w:val="20"/>
              </w:rPr>
            </w:pPr>
            <w:r w:rsidRPr="000440D5">
              <w:rPr>
                <w:sz w:val="20"/>
                <w:szCs w:val="20"/>
              </w:rPr>
              <w:t>obiectivele naționale în ceea ce privește:</w:t>
            </w:r>
          </w:p>
          <w:p w14:paraId="41D692CC" w14:textId="77777777" w:rsidR="00081EFD" w:rsidRPr="000440D5" w:rsidRDefault="00081EFD" w:rsidP="00081EFD">
            <w:pPr>
              <w:pStyle w:val="ColorfulList-Accent11"/>
              <w:spacing w:after="0" w:line="240" w:lineRule="auto"/>
              <w:jc w:val="both"/>
              <w:rPr>
                <w:rFonts w:ascii="Times New Roman" w:hAnsi="Times New Roman"/>
                <w:sz w:val="20"/>
                <w:szCs w:val="20"/>
                <w:shd w:val="clear" w:color="auto" w:fill="FFFFFF"/>
                <w:lang w:val="fr-FR"/>
              </w:rPr>
            </w:pPr>
            <w:r w:rsidRPr="000440D5">
              <w:rPr>
                <w:rFonts w:ascii="Times New Roman" w:hAnsi="Times New Roman"/>
                <w:sz w:val="20"/>
                <w:szCs w:val="20"/>
                <w:shd w:val="clear" w:color="auto" w:fill="FFFFFF"/>
                <w:lang w:val="fr-FR"/>
              </w:rPr>
              <w:t>-</w:t>
            </w:r>
            <w:proofErr w:type="spellStart"/>
            <w:r w:rsidRPr="000440D5">
              <w:rPr>
                <w:rFonts w:ascii="Times New Roman" w:hAnsi="Times New Roman"/>
                <w:sz w:val="20"/>
                <w:szCs w:val="20"/>
                <w:shd w:val="clear" w:color="auto" w:fill="FFFFFF"/>
                <w:lang w:val="fr-FR"/>
              </w:rPr>
              <w:t>sporirea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gradului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diversitate</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surselor</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și a </w:t>
            </w:r>
            <w:proofErr w:type="spellStart"/>
            <w:r w:rsidRPr="000440D5">
              <w:rPr>
                <w:rFonts w:ascii="Times New Roman" w:hAnsi="Times New Roman"/>
                <w:sz w:val="20"/>
                <w:szCs w:val="20"/>
                <w:shd w:val="clear" w:color="auto" w:fill="FFFFFF"/>
                <w:lang w:val="fr-FR"/>
              </w:rPr>
              <w:t>aprovizionării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țări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terțe</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ar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putea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avea</w:t>
            </w:r>
            <w:proofErr w:type="spellEnd"/>
            <w:r w:rsidRPr="000440D5">
              <w:rPr>
                <w:rFonts w:ascii="Times New Roman" w:hAnsi="Times New Roman"/>
                <w:sz w:val="20"/>
                <w:szCs w:val="20"/>
                <w:shd w:val="clear" w:color="auto" w:fill="FFFFFF"/>
                <w:lang w:val="fr-FR"/>
              </w:rPr>
              <w:t xml:space="preserve"> ca </w:t>
            </w:r>
            <w:proofErr w:type="spellStart"/>
            <w:r w:rsidRPr="000440D5">
              <w:rPr>
                <w:rFonts w:ascii="Times New Roman" w:hAnsi="Times New Roman"/>
                <w:sz w:val="20"/>
                <w:szCs w:val="20"/>
                <w:shd w:val="clear" w:color="auto" w:fill="FFFFFF"/>
                <w:lang w:val="fr-FR"/>
              </w:rPr>
              <w:t>scop</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reducerea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dependenței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importurile</w:t>
            </w:r>
            <w:proofErr w:type="spellEnd"/>
            <w:r w:rsidRPr="000440D5">
              <w:rPr>
                <w:rFonts w:ascii="Times New Roman" w:hAnsi="Times New Roman"/>
                <w:sz w:val="20"/>
                <w:szCs w:val="20"/>
                <w:shd w:val="clear" w:color="auto" w:fill="FFFFFF"/>
                <w:lang w:val="fr-FR"/>
              </w:rPr>
              <w:t xml:space="preserve"> de </w:t>
            </w:r>
            <w:proofErr w:type="spellStart"/>
            <w:proofErr w:type="gram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w:t>
            </w:r>
            <w:proofErr w:type="gramEnd"/>
          </w:p>
          <w:p w14:paraId="5FCA85AF" w14:textId="77777777" w:rsidR="00081EFD" w:rsidRPr="000440D5" w:rsidRDefault="00081EFD" w:rsidP="00081EFD">
            <w:pPr>
              <w:pStyle w:val="ColorfulList-Accent11"/>
              <w:spacing w:after="0" w:line="240" w:lineRule="auto"/>
              <w:jc w:val="both"/>
              <w:rPr>
                <w:rFonts w:ascii="Times New Roman" w:hAnsi="Times New Roman"/>
                <w:sz w:val="20"/>
                <w:szCs w:val="20"/>
                <w:shd w:val="clear" w:color="auto" w:fill="FFFFFF"/>
                <w:lang w:val="fr-FR"/>
              </w:rPr>
            </w:pPr>
            <w:r w:rsidRPr="000440D5">
              <w:rPr>
                <w:rFonts w:ascii="Times New Roman" w:hAnsi="Times New Roman"/>
                <w:sz w:val="20"/>
                <w:szCs w:val="20"/>
                <w:shd w:val="clear" w:color="auto" w:fill="FFFFFF"/>
                <w:lang w:val="fr-FR"/>
              </w:rPr>
              <w:t>-</w:t>
            </w:r>
            <w:proofErr w:type="spellStart"/>
            <w:r w:rsidRPr="000440D5">
              <w:rPr>
                <w:rFonts w:ascii="Times New Roman" w:hAnsi="Times New Roman"/>
                <w:sz w:val="20"/>
                <w:szCs w:val="20"/>
                <w:shd w:val="clear" w:color="auto" w:fill="FFFFFF"/>
                <w:lang w:val="fr-FR"/>
              </w:rPr>
              <w:t>creșterea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flexibilității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sistemului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w:t>
            </w:r>
            <w:proofErr w:type="spellEnd"/>
            <w:r w:rsidRPr="000440D5">
              <w:rPr>
                <w:rFonts w:ascii="Times New Roman" w:hAnsi="Times New Roman"/>
                <w:sz w:val="20"/>
                <w:szCs w:val="20"/>
                <w:shd w:val="clear" w:color="auto" w:fill="FFFFFF"/>
                <w:lang w:val="fr-FR"/>
              </w:rPr>
              <w:t xml:space="preserve"> </w:t>
            </w:r>
            <w:proofErr w:type="spellStart"/>
            <w:proofErr w:type="gramStart"/>
            <w:r w:rsidRPr="000440D5">
              <w:rPr>
                <w:rFonts w:ascii="Times New Roman" w:hAnsi="Times New Roman"/>
                <w:sz w:val="20"/>
                <w:szCs w:val="20"/>
                <w:shd w:val="clear" w:color="auto" w:fill="FFFFFF"/>
                <w:lang w:val="fr-FR"/>
              </w:rPr>
              <w:t>național</w:t>
            </w:r>
            <w:proofErr w:type="spellEnd"/>
            <w:r w:rsidRPr="000440D5">
              <w:rPr>
                <w:rFonts w:ascii="Times New Roman" w:hAnsi="Times New Roman"/>
                <w:sz w:val="20"/>
                <w:szCs w:val="20"/>
                <w:shd w:val="clear" w:color="auto" w:fill="FFFFFF"/>
                <w:lang w:val="fr-FR"/>
              </w:rPr>
              <w:t>;</w:t>
            </w:r>
            <w:proofErr w:type="gramEnd"/>
            <w:r w:rsidRPr="000440D5">
              <w:rPr>
                <w:rFonts w:ascii="Times New Roman" w:hAnsi="Times New Roman"/>
                <w:sz w:val="20"/>
                <w:szCs w:val="20"/>
                <w:shd w:val="clear" w:color="auto" w:fill="FFFFFF"/>
                <w:lang w:val="fr-FR"/>
              </w:rPr>
              <w:t xml:space="preserve"> și</w:t>
            </w:r>
          </w:p>
          <w:p w14:paraId="777761CA" w14:textId="77777777" w:rsidR="00081EFD" w:rsidRPr="000440D5" w:rsidRDefault="00081EFD" w:rsidP="00081EFD">
            <w:pPr>
              <w:pStyle w:val="ColorfulList-Accent11"/>
              <w:spacing w:after="0" w:line="240" w:lineRule="auto"/>
              <w:jc w:val="both"/>
              <w:rPr>
                <w:rFonts w:ascii="Times New Roman" w:hAnsi="Times New Roman"/>
                <w:sz w:val="20"/>
                <w:szCs w:val="20"/>
                <w:shd w:val="clear" w:color="auto" w:fill="FFFFFF"/>
                <w:lang w:val="fr-FR"/>
              </w:rPr>
            </w:pPr>
            <w:r w:rsidRPr="000440D5">
              <w:rPr>
                <w:rFonts w:ascii="Times New Roman" w:eastAsia="Times New Roman" w:hAnsi="Times New Roman"/>
                <w:sz w:val="20"/>
                <w:szCs w:val="20"/>
                <w:lang w:val="ro-MD" w:eastAsia="ro-MD"/>
              </w:rPr>
              <w:t>-gestionarea diminuării sau a întreruperii aprovizionării cu o sursă de energie, pentru a îmbunătăți capacitatea de rezistență a sistemelor energetice regionale și naționale, inclusiv un termen până la care să fie îndeplinite obiectivele;</w:t>
            </w:r>
          </w:p>
          <w:p w14:paraId="39EF6CB5" w14:textId="77777777" w:rsidR="00081EFD" w:rsidRPr="000440D5" w:rsidRDefault="00081EFD" w:rsidP="000C5A3B">
            <w:pPr>
              <w:pStyle w:val="ColorfulList-Accent11"/>
              <w:numPr>
                <w:ilvl w:val="0"/>
                <w:numId w:val="90"/>
              </w:numPr>
              <w:spacing w:after="0" w:line="240" w:lineRule="auto"/>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rPr>
              <w:t>referitor</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dimensiunea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piața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internă</w:t>
            </w:r>
            <w:proofErr w:type="spellEnd"/>
            <w:r w:rsidRPr="000440D5">
              <w:rPr>
                <w:rFonts w:ascii="Times New Roman" w:hAnsi="Times New Roman"/>
                <w:sz w:val="20"/>
                <w:szCs w:val="20"/>
                <w:shd w:val="clear" w:color="auto" w:fill="FFFFFF"/>
              </w:rPr>
              <w:t xml:space="preserve"> </w:t>
            </w:r>
            <w:proofErr w:type="gramStart"/>
            <w:r w:rsidRPr="000440D5">
              <w:rPr>
                <w:rFonts w:ascii="Times New Roman" w:hAnsi="Times New Roman"/>
                <w:sz w:val="20"/>
                <w:szCs w:val="20"/>
                <w:shd w:val="clear" w:color="auto" w:fill="FFFFFF"/>
              </w:rPr>
              <w:t>a</w:t>
            </w:r>
            <w:proofErr w:type="gramEnd"/>
            <w:r w:rsidRPr="000440D5">
              <w:rPr>
                <w:rFonts w:ascii="Times New Roman" w:hAnsi="Times New Roman"/>
                <w:sz w:val="20"/>
                <w:szCs w:val="20"/>
                <w:shd w:val="clear" w:color="auto" w:fill="FFFFFF"/>
              </w:rPr>
              <w:t xml:space="preserve"> energiei”:</w:t>
            </w:r>
          </w:p>
          <w:p w14:paraId="312A2C01" w14:textId="77777777" w:rsidR="00081EFD" w:rsidRPr="000440D5" w:rsidRDefault="00081EFD" w:rsidP="000C5A3B">
            <w:pPr>
              <w:pStyle w:val="ColorfulList-Accent11"/>
              <w:numPr>
                <w:ilvl w:val="0"/>
                <w:numId w:val="95"/>
              </w:numPr>
              <w:spacing w:after="0" w:line="240" w:lineRule="auto"/>
              <w:ind w:left="754" w:hanging="357"/>
              <w:jc w:val="both"/>
              <w:rPr>
                <w:rFonts w:ascii="Times New Roman" w:hAnsi="Times New Roman"/>
                <w:sz w:val="20"/>
                <w:szCs w:val="20"/>
                <w:shd w:val="clear" w:color="auto" w:fill="FFFFFF"/>
                <w:lang w:val="fr-FR"/>
              </w:rPr>
            </w:pP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interconectivitate</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rețelelor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electrice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spre</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tinde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statul</w:t>
            </w:r>
            <w:proofErr w:type="spellEnd"/>
            <w:r w:rsidRPr="000440D5">
              <w:rPr>
                <w:rFonts w:ascii="Times New Roman" w:hAnsi="Times New Roman"/>
                <w:sz w:val="20"/>
                <w:szCs w:val="20"/>
                <w:shd w:val="clear" w:color="auto" w:fill="FFFFFF"/>
                <w:lang w:val="fr-FR"/>
              </w:rPr>
              <w:t xml:space="preserve"> membru în 2030, </w:t>
            </w:r>
            <w:proofErr w:type="spellStart"/>
            <w:r w:rsidRPr="000440D5">
              <w:rPr>
                <w:rFonts w:ascii="Times New Roman" w:hAnsi="Times New Roman"/>
                <w:sz w:val="20"/>
                <w:szCs w:val="20"/>
                <w:shd w:val="clear" w:color="auto" w:fill="FFFFFF"/>
                <w:lang w:val="fr-FR"/>
              </w:rPr>
              <w:t>având</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vedere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interconectare</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rețelelor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electrice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15 %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2030,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o </w:t>
            </w:r>
            <w:proofErr w:type="spellStart"/>
            <w:r w:rsidRPr="000440D5">
              <w:rPr>
                <w:rFonts w:ascii="Times New Roman" w:hAnsi="Times New Roman"/>
                <w:sz w:val="20"/>
                <w:szCs w:val="20"/>
                <w:shd w:val="clear" w:color="auto" w:fill="FFFFFF"/>
                <w:lang w:val="fr-FR"/>
              </w:rPr>
              <w:t>strategie</w:t>
            </w:r>
            <w:proofErr w:type="spellEnd"/>
            <w:r w:rsidRPr="000440D5">
              <w:rPr>
                <w:rFonts w:ascii="Times New Roman" w:hAnsi="Times New Roman"/>
                <w:sz w:val="20"/>
                <w:szCs w:val="20"/>
                <w:shd w:val="clear" w:color="auto" w:fill="FFFFFF"/>
                <w:lang w:val="fr-FR"/>
              </w:rPr>
              <w:t xml:space="preserve"> în care </w:t>
            </w: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începând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2021 este </w:t>
            </w:r>
            <w:proofErr w:type="spellStart"/>
            <w:r w:rsidRPr="000440D5">
              <w:rPr>
                <w:rFonts w:ascii="Times New Roman" w:hAnsi="Times New Roman"/>
                <w:sz w:val="20"/>
                <w:szCs w:val="20"/>
                <w:shd w:val="clear" w:color="auto" w:fill="FFFFFF"/>
                <w:lang w:val="fr-FR"/>
              </w:rPr>
              <w:t>stabilit</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strânsă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cooperare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statele</w:t>
            </w:r>
            <w:proofErr w:type="spellEnd"/>
            <w:r w:rsidRPr="000440D5">
              <w:rPr>
                <w:rFonts w:ascii="Times New Roman" w:hAnsi="Times New Roman"/>
                <w:sz w:val="20"/>
                <w:szCs w:val="20"/>
                <w:shd w:val="clear" w:color="auto" w:fill="FFFFFF"/>
                <w:lang w:val="fr-FR"/>
              </w:rPr>
              <w:t xml:space="preserve"> membre </w:t>
            </w:r>
            <w:proofErr w:type="spellStart"/>
            <w:r w:rsidRPr="000440D5">
              <w:rPr>
                <w:rFonts w:ascii="Times New Roman" w:hAnsi="Times New Roman"/>
                <w:sz w:val="20"/>
                <w:szCs w:val="20"/>
                <w:shd w:val="clear" w:color="auto" w:fill="FFFFFF"/>
                <w:lang w:val="fr-FR"/>
              </w:rPr>
              <w:t>afectate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ținând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seama</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obiectivul</w:t>
            </w:r>
            <w:proofErr w:type="spellEnd"/>
            <w:r w:rsidRPr="000440D5">
              <w:rPr>
                <w:rFonts w:ascii="Times New Roman" w:hAnsi="Times New Roman"/>
                <w:sz w:val="20"/>
                <w:szCs w:val="20"/>
                <w:shd w:val="clear" w:color="auto" w:fill="FFFFFF"/>
                <w:lang w:val="fr-FR"/>
              </w:rPr>
              <w:t xml:space="preserve"> de 10 %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interconectarea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prevăzut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2020 și de </w:t>
            </w:r>
            <w:proofErr w:type="spellStart"/>
            <w:r w:rsidRPr="000440D5">
              <w:rPr>
                <w:rFonts w:ascii="Times New Roman" w:hAnsi="Times New Roman"/>
                <w:sz w:val="20"/>
                <w:szCs w:val="20"/>
                <w:shd w:val="clear" w:color="auto" w:fill="FFFFFF"/>
                <w:lang w:val="fr-FR"/>
              </w:rPr>
              <w:t>indicatorii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gradului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urgență</w:t>
            </w:r>
            <w:proofErr w:type="spellEnd"/>
            <w:r w:rsidRPr="000440D5">
              <w:rPr>
                <w:rFonts w:ascii="Times New Roman" w:hAnsi="Times New Roman"/>
                <w:sz w:val="20"/>
                <w:szCs w:val="20"/>
                <w:shd w:val="clear" w:color="auto" w:fill="FFFFFF"/>
                <w:lang w:val="fr-FR"/>
              </w:rPr>
              <w:t xml:space="preserve"> al </w:t>
            </w:r>
            <w:proofErr w:type="spellStart"/>
            <w:r w:rsidRPr="000440D5">
              <w:rPr>
                <w:rFonts w:ascii="Times New Roman" w:hAnsi="Times New Roman"/>
                <w:sz w:val="20"/>
                <w:szCs w:val="20"/>
                <w:shd w:val="clear" w:color="auto" w:fill="FFFFFF"/>
                <w:lang w:val="fr-FR"/>
              </w:rPr>
              <w:t>măsurilor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necesare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baza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diferențelor</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preț</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piața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angro</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capacității</w:t>
            </w:r>
            <w:proofErr w:type="spellEnd"/>
            <w:r w:rsidRPr="000440D5">
              <w:rPr>
                <w:rFonts w:ascii="Times New Roman" w:hAnsi="Times New Roman"/>
                <w:sz w:val="20"/>
                <w:szCs w:val="20"/>
                <w:shd w:val="clear" w:color="auto" w:fill="FFFFFF"/>
                <w:lang w:val="fr-FR"/>
              </w:rPr>
              <w:t xml:space="preserve"> nominale de transport a </w:t>
            </w:r>
            <w:proofErr w:type="spellStart"/>
            <w:r w:rsidRPr="000440D5">
              <w:rPr>
                <w:rFonts w:ascii="Times New Roman" w:hAnsi="Times New Roman"/>
                <w:sz w:val="20"/>
                <w:szCs w:val="20"/>
                <w:shd w:val="clear" w:color="auto" w:fill="FFFFFF"/>
                <w:lang w:val="fr-FR"/>
              </w:rPr>
              <w:t>interconexiunilor</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raport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vârful</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sarcină</w:t>
            </w:r>
            <w:proofErr w:type="spellEnd"/>
            <w:r w:rsidRPr="000440D5">
              <w:rPr>
                <w:rFonts w:ascii="Times New Roman" w:hAnsi="Times New Roman"/>
                <w:sz w:val="20"/>
                <w:szCs w:val="20"/>
                <w:shd w:val="clear" w:color="auto" w:fill="FFFFFF"/>
                <w:lang w:val="fr-FR"/>
              </w:rPr>
              <w:t xml:space="preserve"> și a </w:t>
            </w:r>
            <w:proofErr w:type="spellStart"/>
            <w:r w:rsidRPr="000440D5">
              <w:rPr>
                <w:rFonts w:ascii="Times New Roman" w:hAnsi="Times New Roman"/>
                <w:sz w:val="20"/>
                <w:szCs w:val="20"/>
                <w:shd w:val="clear" w:color="auto" w:fill="FFFFFF"/>
                <w:lang w:val="fr-FR"/>
              </w:rPr>
              <w:t>puterii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instalate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producere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astfel</w:t>
            </w:r>
            <w:proofErr w:type="spellEnd"/>
            <w:r w:rsidRPr="000440D5">
              <w:rPr>
                <w:rFonts w:ascii="Times New Roman" w:hAnsi="Times New Roman"/>
                <w:sz w:val="20"/>
                <w:szCs w:val="20"/>
                <w:shd w:val="clear" w:color="auto" w:fill="FFFFFF"/>
                <w:lang w:val="fr-FR"/>
              </w:rPr>
              <w:t xml:space="preserve"> cum se </w:t>
            </w:r>
            <w:proofErr w:type="spellStart"/>
            <w:r w:rsidRPr="000440D5">
              <w:rPr>
                <w:rFonts w:ascii="Times New Roman" w:hAnsi="Times New Roman"/>
                <w:sz w:val="20"/>
                <w:szCs w:val="20"/>
                <w:shd w:val="clear" w:color="auto" w:fill="FFFFFF"/>
                <w:lang w:val="fr-FR"/>
              </w:rPr>
              <w:t>prevede</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partea</w:t>
            </w:r>
            <w:proofErr w:type="spellEnd"/>
            <w:r w:rsidRPr="000440D5">
              <w:rPr>
                <w:rFonts w:ascii="Times New Roman" w:hAnsi="Times New Roman"/>
                <w:sz w:val="20"/>
                <w:szCs w:val="20"/>
                <w:shd w:val="clear" w:color="auto" w:fill="FFFFFF"/>
                <w:lang w:val="fr-FR"/>
              </w:rPr>
              <w:t xml:space="preserve"> 1 </w:t>
            </w:r>
            <w:proofErr w:type="spellStart"/>
            <w:r w:rsidRPr="000440D5">
              <w:rPr>
                <w:rFonts w:ascii="Times New Roman" w:hAnsi="Times New Roman"/>
                <w:sz w:val="20"/>
                <w:szCs w:val="20"/>
                <w:shd w:val="clear" w:color="auto" w:fill="FFFFFF"/>
                <w:lang w:val="fr-FR"/>
              </w:rPr>
              <w:t>secțiunea</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punctul</w:t>
            </w:r>
            <w:proofErr w:type="spellEnd"/>
            <w:r w:rsidRPr="000440D5">
              <w:rPr>
                <w:rFonts w:ascii="Times New Roman" w:hAnsi="Times New Roman"/>
                <w:sz w:val="20"/>
                <w:szCs w:val="20"/>
                <w:shd w:val="clear" w:color="auto" w:fill="FFFFFF"/>
                <w:lang w:val="fr-FR"/>
              </w:rPr>
              <w:t xml:space="preserve"> 2.4.1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anexa</w:t>
            </w:r>
            <w:proofErr w:type="spellEnd"/>
            <w:r w:rsidRPr="000440D5">
              <w:rPr>
                <w:rFonts w:ascii="Times New Roman" w:hAnsi="Times New Roman"/>
                <w:sz w:val="20"/>
                <w:szCs w:val="20"/>
                <w:shd w:val="clear" w:color="auto" w:fill="FFFFFF"/>
                <w:lang w:val="fr-FR"/>
              </w:rPr>
              <w:t xml:space="preserve"> I. </w:t>
            </w:r>
            <w:proofErr w:type="spellStart"/>
            <w:r w:rsidRPr="000440D5">
              <w:rPr>
                <w:rFonts w:ascii="Times New Roman" w:hAnsi="Times New Roman"/>
                <w:sz w:val="20"/>
                <w:szCs w:val="20"/>
                <w:shd w:val="clear" w:color="auto" w:fill="FFFFFF"/>
                <w:lang w:val="fr-FR"/>
              </w:rPr>
              <w:t>Fiecare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interconexiune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nouă</w:t>
            </w:r>
            <w:proofErr w:type="spellEnd"/>
            <w:r w:rsidRPr="000440D5">
              <w:rPr>
                <w:rFonts w:ascii="Times New Roman" w:hAnsi="Times New Roman"/>
                <w:sz w:val="20"/>
                <w:szCs w:val="20"/>
                <w:shd w:val="clear" w:color="auto" w:fill="FFFFFF"/>
                <w:lang w:val="fr-FR"/>
              </w:rPr>
              <w:t xml:space="preserve"> face </w:t>
            </w:r>
            <w:proofErr w:type="spellStart"/>
            <w:r w:rsidRPr="000440D5">
              <w:rPr>
                <w:rFonts w:ascii="Times New Roman" w:hAnsi="Times New Roman"/>
                <w:sz w:val="20"/>
                <w:szCs w:val="20"/>
                <w:shd w:val="clear" w:color="auto" w:fill="FFFFFF"/>
                <w:lang w:val="fr-FR"/>
              </w:rPr>
              <w:t>obiectul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unei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analize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cost-beneficiu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punct</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vedere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socioeconomic</w:t>
            </w:r>
            <w:proofErr w:type="spellEnd"/>
            <w:r w:rsidRPr="000440D5">
              <w:rPr>
                <w:rFonts w:ascii="Times New Roman" w:hAnsi="Times New Roman"/>
                <w:sz w:val="20"/>
                <w:szCs w:val="20"/>
                <w:shd w:val="clear" w:color="auto" w:fill="FFFFFF"/>
                <w:lang w:val="fr-FR"/>
              </w:rPr>
              <w:t xml:space="preserve"> și de </w:t>
            </w:r>
            <w:proofErr w:type="spellStart"/>
            <w:r w:rsidRPr="000440D5">
              <w:rPr>
                <w:rFonts w:ascii="Times New Roman" w:hAnsi="Times New Roman"/>
                <w:sz w:val="20"/>
                <w:szCs w:val="20"/>
                <w:shd w:val="clear" w:color="auto" w:fill="FFFFFF"/>
                <w:lang w:val="fr-FR"/>
              </w:rPr>
              <w:t>mediu</w:t>
            </w:r>
            <w:proofErr w:type="spellEnd"/>
            <w:r w:rsidRPr="000440D5">
              <w:rPr>
                <w:rFonts w:ascii="Times New Roman" w:hAnsi="Times New Roman"/>
                <w:sz w:val="20"/>
                <w:szCs w:val="20"/>
                <w:shd w:val="clear" w:color="auto" w:fill="FFFFFF"/>
                <w:lang w:val="fr-FR"/>
              </w:rPr>
              <w:t xml:space="preserve"> și este </w:t>
            </w:r>
            <w:proofErr w:type="spellStart"/>
            <w:r w:rsidRPr="000440D5">
              <w:rPr>
                <w:rFonts w:ascii="Times New Roman" w:hAnsi="Times New Roman"/>
                <w:sz w:val="20"/>
                <w:szCs w:val="20"/>
                <w:shd w:val="clear" w:color="auto" w:fill="FFFFFF"/>
                <w:lang w:val="fr-FR"/>
              </w:rPr>
              <w:t>implementată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numai</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cazul</w:t>
            </w:r>
            <w:proofErr w:type="spellEnd"/>
            <w:r w:rsidRPr="000440D5">
              <w:rPr>
                <w:rFonts w:ascii="Times New Roman" w:hAnsi="Times New Roman"/>
                <w:sz w:val="20"/>
                <w:szCs w:val="20"/>
                <w:shd w:val="clear" w:color="auto" w:fill="FFFFFF"/>
                <w:lang w:val="fr-FR"/>
              </w:rPr>
              <w:t xml:space="preserve"> în care </w:t>
            </w:r>
            <w:proofErr w:type="spellStart"/>
            <w:r w:rsidRPr="000440D5">
              <w:rPr>
                <w:rFonts w:ascii="Times New Roman" w:hAnsi="Times New Roman"/>
                <w:sz w:val="20"/>
                <w:szCs w:val="20"/>
                <w:shd w:val="clear" w:color="auto" w:fill="FFFFFF"/>
                <w:lang w:val="fr-FR"/>
              </w:rPr>
              <w:t>beneficiile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potențiale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sunt</w:t>
            </w:r>
            <w:proofErr w:type="spellEnd"/>
            <w:r w:rsidRPr="000440D5">
              <w:rPr>
                <w:rFonts w:ascii="Times New Roman" w:hAnsi="Times New Roman"/>
                <w:sz w:val="20"/>
                <w:szCs w:val="20"/>
                <w:shd w:val="clear" w:color="auto" w:fill="FFFFFF"/>
                <w:lang w:val="fr-FR"/>
              </w:rPr>
              <w:t xml:space="preserve"> mai mari </w:t>
            </w:r>
            <w:proofErr w:type="spellStart"/>
            <w:r w:rsidRPr="000440D5">
              <w:rPr>
                <w:rFonts w:ascii="Times New Roman" w:hAnsi="Times New Roman"/>
                <w:sz w:val="20"/>
                <w:szCs w:val="20"/>
                <w:shd w:val="clear" w:color="auto" w:fill="FFFFFF"/>
                <w:lang w:val="fr-FR"/>
              </w:rPr>
              <w:t>decât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costurile</w:t>
            </w:r>
            <w:proofErr w:type="spellEnd"/>
            <w:r w:rsidRPr="000440D5">
              <w:rPr>
                <w:rFonts w:ascii="Times New Roman" w:hAnsi="Times New Roman"/>
                <w:sz w:val="20"/>
                <w:szCs w:val="20"/>
                <w:shd w:val="clear" w:color="auto" w:fill="FFFFFF"/>
                <w:lang w:val="fr-FR"/>
              </w:rPr>
              <w:t>;</w:t>
            </w:r>
          </w:p>
          <w:p w14:paraId="39E6EA72" w14:textId="77777777" w:rsidR="00081EFD" w:rsidRPr="000440D5" w:rsidRDefault="00081EFD" w:rsidP="000C5A3B">
            <w:pPr>
              <w:pStyle w:val="ColorfulList-Accent11"/>
              <w:numPr>
                <w:ilvl w:val="0"/>
                <w:numId w:val="95"/>
              </w:numPr>
              <w:spacing w:after="0" w:line="240" w:lineRule="auto"/>
              <w:ind w:left="754" w:hanging="357"/>
              <w:jc w:val="both"/>
              <w:rPr>
                <w:rFonts w:ascii="Times New Roman" w:hAnsi="Times New Roman"/>
                <w:sz w:val="20"/>
                <w:szCs w:val="20"/>
                <w:shd w:val="clear" w:color="auto" w:fill="FFFFFF"/>
                <w:lang w:val="fr-FR"/>
              </w:rPr>
            </w:pPr>
            <w:proofErr w:type="spellStart"/>
            <w:proofErr w:type="gramStart"/>
            <w:r w:rsidRPr="000440D5">
              <w:rPr>
                <w:rFonts w:ascii="Times New Roman" w:hAnsi="Times New Roman"/>
                <w:sz w:val="20"/>
                <w:szCs w:val="20"/>
                <w:shd w:val="clear" w:color="auto" w:fill="FFFFFF"/>
                <w:lang w:val="fr-FR"/>
              </w:rPr>
              <w:lastRenderedPageBreak/>
              <w:t>proiectele</w:t>
            </w:r>
            <w:proofErr w:type="spellEnd"/>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esențiale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infrastructura</w:t>
            </w:r>
            <w:proofErr w:type="spellEnd"/>
            <w:r w:rsidRPr="000440D5">
              <w:rPr>
                <w:rFonts w:ascii="Times New Roman" w:hAnsi="Times New Roman"/>
                <w:sz w:val="20"/>
                <w:szCs w:val="20"/>
                <w:shd w:val="clear" w:color="auto" w:fill="FFFFFF"/>
                <w:lang w:val="fr-FR"/>
              </w:rPr>
              <w:t xml:space="preserve"> de transport al energiei </w:t>
            </w:r>
            <w:proofErr w:type="spellStart"/>
            <w:r w:rsidRPr="000440D5">
              <w:rPr>
                <w:rFonts w:ascii="Times New Roman" w:hAnsi="Times New Roman"/>
                <w:sz w:val="20"/>
                <w:szCs w:val="20"/>
                <w:shd w:val="clear" w:color="auto" w:fill="FFFFFF"/>
                <w:lang w:val="fr-FR"/>
              </w:rPr>
              <w:t>electrice</w:t>
            </w:r>
            <w:proofErr w:type="spellEnd"/>
            <w:r w:rsidRPr="000440D5">
              <w:rPr>
                <w:rFonts w:ascii="Times New Roman" w:hAnsi="Times New Roman"/>
                <w:sz w:val="20"/>
                <w:szCs w:val="20"/>
                <w:shd w:val="clear" w:color="auto" w:fill="FFFFFF"/>
                <w:lang w:val="fr-FR"/>
              </w:rPr>
              <w:t xml:space="preserve"> și al </w:t>
            </w:r>
            <w:proofErr w:type="spellStart"/>
            <w:r w:rsidRPr="000440D5">
              <w:rPr>
                <w:rFonts w:ascii="Times New Roman" w:hAnsi="Times New Roman"/>
                <w:sz w:val="20"/>
                <w:szCs w:val="20"/>
                <w:shd w:val="clear" w:color="auto" w:fill="FFFFFF"/>
                <w:lang w:val="fr-FR"/>
              </w:rPr>
              <w:t>gazului</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dacă</w:t>
            </w:r>
            <w:proofErr w:type="spellEnd"/>
            <w:r w:rsidRPr="000440D5">
              <w:rPr>
                <w:rFonts w:ascii="Times New Roman" w:hAnsi="Times New Roman"/>
                <w:sz w:val="20"/>
                <w:szCs w:val="20"/>
                <w:shd w:val="clear" w:color="auto" w:fill="FFFFFF"/>
                <w:lang w:val="fr-FR"/>
              </w:rPr>
              <w:t xml:space="preserve"> este </w:t>
            </w:r>
            <w:proofErr w:type="spellStart"/>
            <w:r w:rsidRPr="000440D5">
              <w:rPr>
                <w:rFonts w:ascii="Times New Roman" w:hAnsi="Times New Roman"/>
                <w:sz w:val="20"/>
                <w:szCs w:val="20"/>
                <w:shd w:val="clear" w:color="auto" w:fill="FFFFFF"/>
                <w:lang w:val="fr-FR"/>
              </w:rPr>
              <w:t>cazul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proiectele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modernizare</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sunt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necesare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atingerea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cadrul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cinci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dimensiuni</w:t>
            </w:r>
            <w:proofErr w:type="spellEnd"/>
            <w:r w:rsidRPr="000440D5">
              <w:rPr>
                <w:rFonts w:ascii="Times New Roman" w:hAnsi="Times New Roman"/>
                <w:sz w:val="20"/>
                <w:szCs w:val="20"/>
                <w:shd w:val="clear" w:color="auto" w:fill="FFFFFF"/>
                <w:lang w:val="fr-FR"/>
              </w:rPr>
              <w:t xml:space="preserve"> ale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energetice</w:t>
            </w:r>
            <w:proofErr w:type="spellEnd"/>
            <w:r w:rsidRPr="000440D5">
              <w:rPr>
                <w:rFonts w:ascii="Times New Roman" w:hAnsi="Times New Roman"/>
                <w:sz w:val="20"/>
                <w:szCs w:val="20"/>
                <w:shd w:val="clear" w:color="auto" w:fill="FFFFFF"/>
                <w:lang w:val="fr-FR"/>
              </w:rPr>
              <w:t>;</w:t>
            </w:r>
          </w:p>
          <w:p w14:paraId="6ABCE736" w14:textId="77777777" w:rsidR="00081EFD" w:rsidRPr="000440D5" w:rsidRDefault="00081EFD" w:rsidP="000C5A3B">
            <w:pPr>
              <w:pStyle w:val="ColorfulList-Accent11"/>
              <w:numPr>
                <w:ilvl w:val="0"/>
                <w:numId w:val="95"/>
              </w:numPr>
              <w:spacing w:after="0" w:line="240" w:lineRule="auto"/>
              <w:ind w:left="754" w:hanging="357"/>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lang w:val="fr-FR"/>
              </w:rPr>
              <w:t>obiectivele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referitoare</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alte</w:t>
            </w:r>
            <w:proofErr w:type="spellEnd"/>
            <w:r w:rsidRPr="000440D5">
              <w:rPr>
                <w:rFonts w:ascii="Times New Roman" w:hAnsi="Times New Roman"/>
                <w:sz w:val="20"/>
                <w:szCs w:val="20"/>
                <w:shd w:val="clear" w:color="auto" w:fill="FFFFFF"/>
                <w:lang w:val="fr-FR"/>
              </w:rPr>
              <w:t xml:space="preserve"> aspecte ale </w:t>
            </w:r>
            <w:proofErr w:type="spellStart"/>
            <w:r w:rsidRPr="000440D5">
              <w:rPr>
                <w:rFonts w:ascii="Times New Roman" w:hAnsi="Times New Roman"/>
                <w:sz w:val="20"/>
                <w:szCs w:val="20"/>
                <w:shd w:val="clear" w:color="auto" w:fill="FFFFFF"/>
                <w:lang w:val="fr-FR"/>
              </w:rPr>
              <w:t>pieței</w:t>
            </w:r>
            <w:proofErr w:type="spellEnd"/>
            <w:r w:rsidRPr="000440D5">
              <w:rPr>
                <w:rFonts w:ascii="Times New Roman" w:hAnsi="Times New Roman"/>
                <w:sz w:val="20"/>
                <w:szCs w:val="20"/>
                <w:shd w:val="clear" w:color="auto" w:fill="FFFFFF"/>
                <w:lang w:val="fr-FR"/>
              </w:rPr>
              <w:t xml:space="preserve"> interne a energiei, </w:t>
            </w:r>
            <w:proofErr w:type="spellStart"/>
            <w:r w:rsidRPr="000440D5">
              <w:rPr>
                <w:rFonts w:ascii="Times New Roman" w:hAnsi="Times New Roman"/>
                <w:sz w:val="20"/>
                <w:szCs w:val="20"/>
                <w:shd w:val="clear" w:color="auto" w:fill="FFFFFF"/>
                <w:lang w:val="fr-FR"/>
              </w:rPr>
              <w:t>precum</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creșterea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gradului</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flexibilitate</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sistemului</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special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politici</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măsuri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legate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stabilirea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prețului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baza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condițiilor</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piață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respectarea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legislației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aplicabile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integrarea</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cuplarea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piețelor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scopul</w:t>
            </w:r>
            <w:proofErr w:type="spellEnd"/>
            <w:r w:rsidRPr="000440D5">
              <w:rPr>
                <w:rFonts w:ascii="Times New Roman" w:hAnsi="Times New Roman"/>
                <w:sz w:val="20"/>
                <w:szCs w:val="20"/>
                <w:shd w:val="clear" w:color="auto" w:fill="FFFFFF"/>
                <w:lang w:val="fr-FR"/>
              </w:rPr>
              <w:t xml:space="preserve"> de a </w:t>
            </w:r>
            <w:proofErr w:type="spellStart"/>
            <w:r w:rsidRPr="000440D5">
              <w:rPr>
                <w:rFonts w:ascii="Times New Roman" w:hAnsi="Times New Roman"/>
                <w:sz w:val="20"/>
                <w:szCs w:val="20"/>
                <w:shd w:val="clear" w:color="auto" w:fill="FFFFFF"/>
                <w:lang w:val="fr-FR"/>
              </w:rPr>
              <w:t>spori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capacitatea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comercializabilă</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interconexiunilor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existente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rețelele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inteligente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agregarea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participarea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activă</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cererii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stocarea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producerea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distribuită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mecanismele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dispecerizare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redispecerizare</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limitare</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semnalele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preț</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timp</w:t>
            </w:r>
            <w:proofErr w:type="spellEnd"/>
            <w:r w:rsidRPr="000440D5">
              <w:rPr>
                <w:rFonts w:ascii="Times New Roman" w:hAnsi="Times New Roman"/>
                <w:sz w:val="20"/>
                <w:szCs w:val="20"/>
                <w:shd w:val="clear" w:color="auto" w:fill="FFFFFF"/>
                <w:lang w:val="fr-FR"/>
              </w:rPr>
              <w:t xml:space="preserve"> real, </w:t>
            </w:r>
            <w:proofErr w:type="spellStart"/>
            <w:r w:rsidRPr="000440D5">
              <w:rPr>
                <w:rFonts w:ascii="Times New Roman" w:hAnsi="Times New Roman"/>
                <w:sz w:val="20"/>
                <w:szCs w:val="20"/>
                <w:shd w:val="clear" w:color="auto" w:fill="FFFFFF"/>
                <w:lang w:val="fr-FR"/>
              </w:rPr>
              <w:t>inclusiv</w:t>
            </w:r>
            <w:proofErr w:type="spellEnd"/>
            <w:r w:rsidRPr="000440D5">
              <w:rPr>
                <w:rFonts w:ascii="Times New Roman" w:hAnsi="Times New Roman"/>
                <w:sz w:val="20"/>
                <w:szCs w:val="20"/>
                <w:shd w:val="clear" w:color="auto" w:fill="FFFFFF"/>
                <w:lang w:val="fr-FR"/>
              </w:rPr>
              <w:t xml:space="preserve"> un </w:t>
            </w:r>
            <w:proofErr w:type="spellStart"/>
            <w:r w:rsidRPr="000440D5">
              <w:rPr>
                <w:rFonts w:ascii="Times New Roman" w:hAnsi="Times New Roman"/>
                <w:sz w:val="20"/>
                <w:szCs w:val="20"/>
                <w:shd w:val="clear" w:color="auto" w:fill="FFFFFF"/>
                <w:lang w:val="fr-FR"/>
              </w:rPr>
              <w:t>termen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la care </w:t>
            </w:r>
            <w:proofErr w:type="spellStart"/>
            <w:r w:rsidRPr="000440D5">
              <w:rPr>
                <w:rFonts w:ascii="Times New Roman" w:hAnsi="Times New Roman"/>
                <w:sz w:val="20"/>
                <w:szCs w:val="20"/>
                <w:shd w:val="clear" w:color="auto" w:fill="FFFFFF"/>
                <w:lang w:val="fr-FR"/>
              </w:rPr>
              <w:t>să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îndeplinite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precum</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alte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legate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piața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internă</w:t>
            </w:r>
            <w:proofErr w:type="spellEnd"/>
            <w:r w:rsidRPr="000440D5">
              <w:rPr>
                <w:rFonts w:ascii="Times New Roman" w:hAnsi="Times New Roman"/>
                <w:sz w:val="20"/>
                <w:szCs w:val="20"/>
                <w:shd w:val="clear" w:color="auto" w:fill="FFFFFF"/>
                <w:lang w:val="fr-FR"/>
              </w:rPr>
              <w:t xml:space="preserve"> a energiei, </w:t>
            </w:r>
            <w:proofErr w:type="spellStart"/>
            <w:r w:rsidRPr="000440D5">
              <w:rPr>
                <w:rFonts w:ascii="Times New Roman" w:hAnsi="Times New Roman"/>
                <w:sz w:val="20"/>
                <w:szCs w:val="20"/>
                <w:shd w:val="clear" w:color="auto" w:fill="FFFFFF"/>
                <w:lang w:val="fr-FR"/>
              </w:rPr>
              <w:t>astfel</w:t>
            </w:r>
            <w:proofErr w:type="spellEnd"/>
            <w:r w:rsidRPr="000440D5">
              <w:rPr>
                <w:rFonts w:ascii="Times New Roman" w:hAnsi="Times New Roman"/>
                <w:sz w:val="20"/>
                <w:szCs w:val="20"/>
                <w:shd w:val="clear" w:color="auto" w:fill="FFFFFF"/>
                <w:lang w:val="fr-FR"/>
              </w:rPr>
              <w:t xml:space="preserve"> cum se </w:t>
            </w:r>
            <w:proofErr w:type="spellStart"/>
            <w:r w:rsidRPr="000440D5">
              <w:rPr>
                <w:rFonts w:ascii="Times New Roman" w:hAnsi="Times New Roman"/>
                <w:sz w:val="20"/>
                <w:szCs w:val="20"/>
                <w:shd w:val="clear" w:color="auto" w:fill="FFFFFF"/>
                <w:lang w:val="fr-FR"/>
              </w:rPr>
              <w:t>prevede</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partea</w:t>
            </w:r>
            <w:proofErr w:type="spellEnd"/>
            <w:r w:rsidRPr="000440D5">
              <w:rPr>
                <w:rFonts w:ascii="Times New Roman" w:hAnsi="Times New Roman"/>
                <w:sz w:val="20"/>
                <w:szCs w:val="20"/>
                <w:shd w:val="clear" w:color="auto" w:fill="FFFFFF"/>
                <w:lang w:val="fr-FR"/>
              </w:rPr>
              <w:t xml:space="preserve"> 1 </w:t>
            </w:r>
            <w:proofErr w:type="spellStart"/>
            <w:r w:rsidRPr="000440D5">
              <w:rPr>
                <w:rFonts w:ascii="Times New Roman" w:hAnsi="Times New Roman"/>
                <w:sz w:val="20"/>
                <w:szCs w:val="20"/>
                <w:shd w:val="clear" w:color="auto" w:fill="FFFFFF"/>
                <w:lang w:val="fr-FR"/>
              </w:rPr>
              <w:t>secțiunea</w:t>
            </w:r>
            <w:proofErr w:type="spellEnd"/>
            <w:r w:rsidRPr="000440D5">
              <w:rPr>
                <w:rFonts w:ascii="Times New Roman" w:hAnsi="Times New Roman"/>
                <w:sz w:val="20"/>
                <w:szCs w:val="20"/>
                <w:shd w:val="clear" w:color="auto" w:fill="FFFFFF"/>
                <w:lang w:val="fr-FR"/>
              </w:rPr>
              <w:t xml:space="preserve"> A </w:t>
            </w:r>
            <w:proofErr w:type="spellStart"/>
            <w:r w:rsidRPr="000440D5">
              <w:rPr>
                <w:rFonts w:ascii="Times New Roman" w:hAnsi="Times New Roman"/>
                <w:sz w:val="20"/>
                <w:szCs w:val="20"/>
                <w:shd w:val="clear" w:color="auto" w:fill="FFFFFF"/>
                <w:lang w:val="fr-FR"/>
              </w:rPr>
              <w:t>punctul</w:t>
            </w:r>
            <w:proofErr w:type="spellEnd"/>
            <w:r w:rsidRPr="000440D5">
              <w:rPr>
                <w:rFonts w:ascii="Times New Roman" w:hAnsi="Times New Roman"/>
                <w:sz w:val="20"/>
                <w:szCs w:val="20"/>
                <w:shd w:val="clear" w:color="auto" w:fill="FFFFFF"/>
                <w:lang w:val="fr-FR"/>
              </w:rPr>
              <w:t xml:space="preserve"> 2.4.3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anexa</w:t>
            </w:r>
            <w:proofErr w:type="spellEnd"/>
            <w:r w:rsidRPr="000440D5">
              <w:rPr>
                <w:rFonts w:ascii="Times New Roman" w:hAnsi="Times New Roman"/>
                <w:sz w:val="20"/>
                <w:szCs w:val="20"/>
                <w:shd w:val="clear" w:color="auto" w:fill="FFFFFF"/>
                <w:lang w:val="fr-FR"/>
              </w:rPr>
              <w:t xml:space="preserve"> I;</w:t>
            </w:r>
          </w:p>
          <w:p w14:paraId="6BFEED9D" w14:textId="77777777" w:rsidR="00081EFD" w:rsidRPr="000440D5" w:rsidRDefault="00081EFD" w:rsidP="000C5A3B">
            <w:pPr>
              <w:pStyle w:val="ColorfulList-Accent11"/>
              <w:numPr>
                <w:ilvl w:val="0"/>
                <w:numId w:val="90"/>
              </w:numPr>
              <w:spacing w:after="0" w:line="240" w:lineRule="auto"/>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rPr>
              <w:t>referitor</w:t>
            </w:r>
            <w:proofErr w:type="spellEnd"/>
            <w:r w:rsidRPr="000440D5">
              <w:rPr>
                <w:rFonts w:ascii="Times New Roman" w:hAnsi="Times New Roman"/>
                <w:sz w:val="20"/>
                <w:szCs w:val="20"/>
                <w:shd w:val="clear" w:color="auto" w:fill="FFFFFF"/>
              </w:rPr>
              <w:t xml:space="preserve"> la </w:t>
            </w:r>
            <w:proofErr w:type="spellStart"/>
            <w:r w:rsidRPr="000440D5">
              <w:rPr>
                <w:rFonts w:ascii="Times New Roman" w:hAnsi="Times New Roman"/>
                <w:sz w:val="20"/>
                <w:szCs w:val="20"/>
                <w:shd w:val="clear" w:color="auto" w:fill="FFFFFF"/>
              </w:rPr>
              <w:t>dimensiunea</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cercetare</w:t>
            </w:r>
            <w:proofErr w:type="spellEnd"/>
            <w:r w:rsidRPr="000440D5">
              <w:rPr>
                <w:rFonts w:ascii="Times New Roman" w:hAnsi="Times New Roman"/>
                <w:sz w:val="20"/>
                <w:szCs w:val="20"/>
                <w:shd w:val="clear" w:color="auto" w:fill="FFFFFF"/>
              </w:rPr>
              <w:t xml:space="preserve">, </w:t>
            </w:r>
            <w:proofErr w:type="spellStart"/>
            <w:r w:rsidRPr="000440D5">
              <w:rPr>
                <w:rFonts w:ascii="Times New Roman" w:hAnsi="Times New Roman"/>
                <w:sz w:val="20"/>
                <w:szCs w:val="20"/>
                <w:shd w:val="clear" w:color="auto" w:fill="FFFFFF"/>
              </w:rPr>
              <w:t>inovare</w:t>
            </w:r>
            <w:proofErr w:type="spellEnd"/>
            <w:r w:rsidRPr="000440D5">
              <w:rPr>
                <w:rFonts w:ascii="Times New Roman" w:hAnsi="Times New Roman"/>
                <w:sz w:val="20"/>
                <w:szCs w:val="20"/>
                <w:shd w:val="clear" w:color="auto" w:fill="FFFFFF"/>
              </w:rPr>
              <w:t xml:space="preserve"> și </w:t>
            </w:r>
            <w:proofErr w:type="spellStart"/>
            <w:r w:rsidRPr="000440D5">
              <w:rPr>
                <w:rFonts w:ascii="Times New Roman" w:hAnsi="Times New Roman"/>
                <w:sz w:val="20"/>
                <w:szCs w:val="20"/>
                <w:shd w:val="clear" w:color="auto" w:fill="FFFFFF"/>
              </w:rPr>
              <w:t>competitivitate</w:t>
            </w:r>
            <w:proofErr w:type="spellEnd"/>
            <w:r w:rsidRPr="000440D5">
              <w:rPr>
                <w:rFonts w:ascii="Times New Roman" w:hAnsi="Times New Roman"/>
                <w:sz w:val="20"/>
                <w:szCs w:val="20"/>
                <w:shd w:val="clear" w:color="auto" w:fill="FFFFFF"/>
              </w:rPr>
              <w:t>”:</w:t>
            </w:r>
          </w:p>
          <w:p w14:paraId="7EB89EC3" w14:textId="77777777" w:rsidR="00C54597" w:rsidRPr="00C54597" w:rsidRDefault="00081EFD" w:rsidP="00081EFD">
            <w:pPr>
              <w:pStyle w:val="ColorfulList-Accent11"/>
              <w:numPr>
                <w:ilvl w:val="0"/>
                <w:numId w:val="96"/>
              </w:numPr>
              <w:spacing w:after="0" w:line="240" w:lineRule="auto"/>
              <w:ind w:left="754" w:hanging="357"/>
              <w:jc w:val="both"/>
              <w:rPr>
                <w:rFonts w:ascii="Times New Roman" w:hAnsi="Times New Roman"/>
                <w:sz w:val="20"/>
                <w:szCs w:val="20"/>
                <w:lang w:val="fr-FR"/>
              </w:rPr>
            </w:pPr>
            <w:proofErr w:type="spellStart"/>
            <w:proofErr w:type="gramStart"/>
            <w:r w:rsidRPr="000440D5">
              <w:rPr>
                <w:rFonts w:ascii="Times New Roman" w:hAnsi="Times New Roman"/>
                <w:sz w:val="20"/>
                <w:szCs w:val="20"/>
                <w:shd w:val="clear" w:color="auto" w:fill="FFFFFF"/>
                <w:lang w:val="fr-FR"/>
              </w:rPr>
              <w:t>obiectivele</w:t>
            </w:r>
            <w:proofErr w:type="spellEnd"/>
            <w:proofErr w:type="gram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naționale</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obiectivele</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finanțare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privind</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inovarea</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cercetarea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publică</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dacă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sunt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disponibile</w:t>
            </w:r>
            <w:proofErr w:type="spellEnd"/>
            <w:r w:rsidRPr="000440D5">
              <w:rPr>
                <w:rFonts w:ascii="Times New Roman" w:hAnsi="Times New Roman"/>
                <w:sz w:val="20"/>
                <w:szCs w:val="20"/>
                <w:shd w:val="clear" w:color="auto" w:fill="FFFFFF"/>
                <w:lang w:val="fr-FR"/>
              </w:rPr>
              <w:t xml:space="preserve"> date, </w:t>
            </w:r>
            <w:proofErr w:type="spellStart"/>
            <w:r w:rsidRPr="000440D5">
              <w:rPr>
                <w:rFonts w:ascii="Times New Roman" w:hAnsi="Times New Roman"/>
                <w:sz w:val="20"/>
                <w:szCs w:val="20"/>
                <w:shd w:val="clear" w:color="auto" w:fill="FFFFFF"/>
                <w:lang w:val="fr-FR"/>
              </w:rPr>
              <w:t>inovarea</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cercetarea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privată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legată</w:t>
            </w:r>
            <w:proofErr w:type="spellEnd"/>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uniunea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inclusiv</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dacă</w:t>
            </w:r>
            <w:proofErr w:type="spellEnd"/>
            <w:r w:rsidRPr="000440D5">
              <w:rPr>
                <w:rFonts w:ascii="Times New Roman" w:hAnsi="Times New Roman"/>
                <w:sz w:val="20"/>
                <w:szCs w:val="20"/>
                <w:shd w:val="clear" w:color="auto" w:fill="FFFFFF"/>
                <w:lang w:val="fr-FR"/>
              </w:rPr>
              <w:t xml:space="preserve"> este </w:t>
            </w:r>
            <w:proofErr w:type="spellStart"/>
            <w:r w:rsidRPr="000440D5">
              <w:rPr>
                <w:rFonts w:ascii="Times New Roman" w:hAnsi="Times New Roman"/>
                <w:sz w:val="20"/>
                <w:szCs w:val="20"/>
                <w:shd w:val="clear" w:color="auto" w:fill="FFFFFF"/>
                <w:lang w:val="fr-FR"/>
              </w:rPr>
              <w:t>cazul</w:t>
            </w:r>
            <w:proofErr w:type="spellEnd"/>
            <w:r w:rsidRPr="000440D5">
              <w:rPr>
                <w:rFonts w:ascii="Times New Roman" w:hAnsi="Times New Roman"/>
                <w:sz w:val="20"/>
                <w:szCs w:val="20"/>
                <w:shd w:val="clear" w:color="auto" w:fill="FFFFFF"/>
                <w:lang w:val="fr-FR"/>
              </w:rPr>
              <w:t xml:space="preserve">, un </w:t>
            </w:r>
            <w:proofErr w:type="spellStart"/>
            <w:r w:rsidRPr="000440D5">
              <w:rPr>
                <w:rFonts w:ascii="Times New Roman" w:hAnsi="Times New Roman"/>
                <w:sz w:val="20"/>
                <w:szCs w:val="20"/>
                <w:shd w:val="clear" w:color="auto" w:fill="FFFFFF"/>
                <w:lang w:val="fr-FR"/>
              </w:rPr>
              <w:t>termen</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la care </w:t>
            </w:r>
            <w:proofErr w:type="spellStart"/>
            <w:r w:rsidRPr="000440D5">
              <w:rPr>
                <w:rFonts w:ascii="Times New Roman" w:hAnsi="Times New Roman"/>
                <w:sz w:val="20"/>
                <w:szCs w:val="20"/>
                <w:shd w:val="clear" w:color="auto" w:fill="FFFFFF"/>
                <w:lang w:val="fr-FR"/>
              </w:rPr>
              <w:t>să</w:t>
            </w:r>
            <w:proofErr w:type="spellEnd"/>
            <w:r w:rsidRPr="000440D5">
              <w:rPr>
                <w:rFonts w:ascii="Times New Roman" w:hAnsi="Times New Roman"/>
                <w:sz w:val="20"/>
                <w:szCs w:val="20"/>
                <w:shd w:val="clear" w:color="auto" w:fill="FFFFFF"/>
                <w:lang w:val="fr-FR"/>
              </w:rPr>
              <w:t xml:space="preserve"> fie </w:t>
            </w:r>
            <w:proofErr w:type="spellStart"/>
            <w:r w:rsidRPr="000440D5">
              <w:rPr>
                <w:rFonts w:ascii="Times New Roman" w:hAnsi="Times New Roman"/>
                <w:sz w:val="20"/>
                <w:szCs w:val="20"/>
                <w:shd w:val="clear" w:color="auto" w:fill="FFFFFF"/>
                <w:lang w:val="fr-FR"/>
              </w:rPr>
              <w:t>îndeplinite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reflectarea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priorităților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strategiei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pentru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energetică</w:t>
            </w:r>
            <w:proofErr w:type="spellEnd"/>
            <w:r w:rsidRPr="000440D5">
              <w:rPr>
                <w:rFonts w:ascii="Times New Roman" w:hAnsi="Times New Roman"/>
                <w:sz w:val="20"/>
                <w:szCs w:val="20"/>
                <w:shd w:val="clear" w:color="auto" w:fill="FFFFFF"/>
                <w:lang w:val="fr-FR"/>
              </w:rPr>
              <w:t xml:space="preserve"> și, </w:t>
            </w:r>
            <w:proofErr w:type="spellStart"/>
            <w:r w:rsidRPr="000440D5">
              <w:rPr>
                <w:rFonts w:ascii="Times New Roman" w:hAnsi="Times New Roman"/>
                <w:sz w:val="20"/>
                <w:szCs w:val="20"/>
                <w:shd w:val="clear" w:color="auto" w:fill="FFFFFF"/>
                <w:lang w:val="fr-FR"/>
              </w:rPr>
              <w:t>după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caz</w:t>
            </w:r>
            <w:proofErr w:type="spellEnd"/>
            <w:r w:rsidRPr="000440D5">
              <w:rPr>
                <w:rFonts w:ascii="Times New Roman" w:hAnsi="Times New Roman"/>
                <w:sz w:val="20"/>
                <w:szCs w:val="20"/>
                <w:shd w:val="clear" w:color="auto" w:fill="FFFFFF"/>
                <w:lang w:val="fr-FR"/>
              </w:rPr>
              <w:t xml:space="preserve">, ale </w:t>
            </w:r>
            <w:proofErr w:type="spellStart"/>
            <w:r w:rsidRPr="000440D5">
              <w:rPr>
                <w:rFonts w:ascii="Times New Roman" w:hAnsi="Times New Roman"/>
                <w:sz w:val="20"/>
                <w:szCs w:val="20"/>
                <w:shd w:val="clear" w:color="auto" w:fill="FFFFFF"/>
                <w:lang w:val="fr-FR"/>
              </w:rPr>
              <w:t>Planului</w:t>
            </w:r>
            <w:proofErr w:type="spellEnd"/>
            <w:r w:rsidRPr="000440D5">
              <w:rPr>
                <w:rFonts w:ascii="Times New Roman" w:hAnsi="Times New Roman"/>
                <w:sz w:val="20"/>
                <w:szCs w:val="20"/>
                <w:shd w:val="clear" w:color="auto" w:fill="FFFFFF"/>
                <w:lang w:val="fr-FR"/>
              </w:rPr>
              <w:t xml:space="preserve"> SET. La </w:t>
            </w:r>
            <w:proofErr w:type="spellStart"/>
            <w:r w:rsidRPr="000440D5">
              <w:rPr>
                <w:rFonts w:ascii="Times New Roman" w:hAnsi="Times New Roman"/>
                <w:sz w:val="20"/>
                <w:szCs w:val="20"/>
                <w:shd w:val="clear" w:color="auto" w:fill="FFFFFF"/>
                <w:lang w:val="fr-FR"/>
              </w:rPr>
              <w:t>stabilirea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obiectivelor</w:t>
            </w:r>
            <w:proofErr w:type="spellEnd"/>
            <w:r w:rsidRPr="000440D5">
              <w:rPr>
                <w:rFonts w:ascii="Times New Roman" w:hAnsi="Times New Roman"/>
                <w:sz w:val="20"/>
                <w:szCs w:val="20"/>
                <w:shd w:val="clear" w:color="auto" w:fill="FFFFFF"/>
                <w:lang w:val="fr-FR"/>
              </w:rPr>
              <w:t xml:space="preserve"> și a </w:t>
            </w:r>
            <w:proofErr w:type="spellStart"/>
            <w:r w:rsidRPr="000440D5">
              <w:rPr>
                <w:rFonts w:ascii="Times New Roman" w:hAnsi="Times New Roman"/>
                <w:sz w:val="20"/>
                <w:szCs w:val="20"/>
                <w:shd w:val="clear" w:color="auto" w:fill="FFFFFF"/>
                <w:lang w:val="fr-FR"/>
              </w:rPr>
              <w:t>contribuțiilor</w:t>
            </w:r>
            <w:proofErr w:type="spellEnd"/>
            <w:r w:rsidRPr="000440D5">
              <w:rPr>
                <w:rFonts w:ascii="Times New Roman" w:hAnsi="Times New Roman"/>
                <w:sz w:val="20"/>
                <w:szCs w:val="20"/>
                <w:shd w:val="clear" w:color="auto" w:fill="FFFFFF"/>
                <w:lang w:val="fr-FR"/>
              </w:rPr>
              <w:t xml:space="preserve"> sale, </w:t>
            </w:r>
            <w:proofErr w:type="spellStart"/>
            <w:r w:rsidRPr="000440D5">
              <w:rPr>
                <w:rFonts w:ascii="Times New Roman" w:hAnsi="Times New Roman"/>
                <w:sz w:val="20"/>
                <w:szCs w:val="20"/>
                <w:shd w:val="clear" w:color="auto" w:fill="FFFFFF"/>
                <w:lang w:val="fr-FR"/>
              </w:rPr>
              <w:t>statul</w:t>
            </w:r>
            <w:proofErr w:type="spellEnd"/>
            <w:r w:rsidRPr="000440D5">
              <w:rPr>
                <w:rFonts w:ascii="Times New Roman" w:hAnsi="Times New Roman"/>
                <w:sz w:val="20"/>
                <w:szCs w:val="20"/>
                <w:shd w:val="clear" w:color="auto" w:fill="FFFFFF"/>
                <w:lang w:val="fr-FR"/>
              </w:rPr>
              <w:t xml:space="preserve"> membru </w:t>
            </w:r>
            <w:proofErr w:type="spellStart"/>
            <w:r w:rsidRPr="000440D5">
              <w:rPr>
                <w:rFonts w:ascii="Times New Roman" w:hAnsi="Times New Roman"/>
                <w:sz w:val="20"/>
                <w:szCs w:val="20"/>
                <w:shd w:val="clear" w:color="auto" w:fill="FFFFFF"/>
                <w:lang w:val="fr-FR"/>
              </w:rPr>
              <w:t>poate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să</w:t>
            </w:r>
            <w:proofErr w:type="spellEnd"/>
            <w:r w:rsidRPr="000440D5">
              <w:rPr>
                <w:rFonts w:ascii="Times New Roman" w:hAnsi="Times New Roman"/>
                <w:sz w:val="20"/>
                <w:szCs w:val="20"/>
                <w:shd w:val="clear" w:color="auto" w:fill="FFFFFF"/>
                <w:lang w:val="fr-FR"/>
              </w:rPr>
              <w:t xml:space="preserve"> se </w:t>
            </w:r>
            <w:proofErr w:type="spellStart"/>
            <w:r w:rsidRPr="000440D5">
              <w:rPr>
                <w:rFonts w:ascii="Times New Roman" w:hAnsi="Times New Roman"/>
                <w:sz w:val="20"/>
                <w:szCs w:val="20"/>
                <w:shd w:val="clear" w:color="auto" w:fill="FFFFFF"/>
                <w:lang w:val="fr-FR"/>
              </w:rPr>
              <w:t>bazeze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strategiile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sau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planurile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naționale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existente</w:t>
            </w:r>
            <w:proofErr w:type="spellEnd"/>
            <w:r w:rsidRPr="000440D5">
              <w:rPr>
                <w:rFonts w:ascii="Times New Roman" w:hAnsi="Times New Roman"/>
                <w:sz w:val="20"/>
                <w:szCs w:val="20"/>
                <w:shd w:val="clear" w:color="auto" w:fill="FFFFFF"/>
                <w:lang w:val="fr-FR"/>
              </w:rPr>
              <w:t xml:space="preserve"> care </w:t>
            </w:r>
            <w:proofErr w:type="spellStart"/>
            <w:r w:rsidRPr="000440D5">
              <w:rPr>
                <w:rFonts w:ascii="Times New Roman" w:hAnsi="Times New Roman"/>
                <w:sz w:val="20"/>
                <w:szCs w:val="20"/>
                <w:shd w:val="clear" w:color="auto" w:fill="FFFFFF"/>
                <w:lang w:val="fr-FR"/>
              </w:rPr>
              <w:t>sunt</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compatibile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cu</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legislația</w:t>
            </w:r>
            <w:proofErr w:type="spellEnd"/>
            <w:r w:rsidRPr="000440D5">
              <w:rPr>
                <w:rFonts w:ascii="Times New Roman" w:hAnsi="Times New Roman"/>
                <w:sz w:val="20"/>
                <w:szCs w:val="20"/>
                <w:shd w:val="clear" w:color="auto" w:fill="FFFFFF"/>
                <w:lang w:val="fr-FR"/>
              </w:rPr>
              <w:t xml:space="preserve"> </w:t>
            </w:r>
            <w:proofErr w:type="spellStart"/>
            <w:proofErr w:type="gram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w:t>
            </w:r>
            <w:proofErr w:type="gramEnd"/>
          </w:p>
          <w:p w14:paraId="7633240B" w14:textId="44CCC544" w:rsidR="00081EFD" w:rsidRPr="00C54597" w:rsidRDefault="00081EFD" w:rsidP="00081EFD">
            <w:pPr>
              <w:pStyle w:val="ColorfulList-Accent11"/>
              <w:numPr>
                <w:ilvl w:val="0"/>
                <w:numId w:val="96"/>
              </w:numPr>
              <w:spacing w:after="0" w:line="240" w:lineRule="auto"/>
              <w:ind w:left="754" w:hanging="357"/>
              <w:jc w:val="both"/>
              <w:rPr>
                <w:rFonts w:ascii="Times New Roman" w:hAnsi="Times New Roman"/>
                <w:sz w:val="20"/>
                <w:szCs w:val="20"/>
                <w:lang w:val="fr-FR"/>
              </w:rPr>
            </w:pPr>
            <w:proofErr w:type="spellStart"/>
            <w:proofErr w:type="gramStart"/>
            <w:r w:rsidRPr="00C54597">
              <w:rPr>
                <w:rFonts w:ascii="Times New Roman" w:hAnsi="Times New Roman"/>
                <w:color w:val="333333"/>
                <w:sz w:val="20"/>
                <w:szCs w:val="20"/>
                <w:shd w:val="clear" w:color="auto" w:fill="FFFFFF"/>
                <w:lang w:val="fr-FR"/>
              </w:rPr>
              <w:t>dacă</w:t>
            </w:r>
            <w:proofErr w:type="spellEnd"/>
            <w:proofErr w:type="gram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sunt</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disponibile</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obiectivele</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naționale</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pentru</w:t>
            </w:r>
            <w:proofErr w:type="spellEnd"/>
            <w:r w:rsidRPr="00C54597">
              <w:rPr>
                <w:rFonts w:ascii="Times New Roman" w:hAnsi="Times New Roman"/>
                <w:color w:val="333333"/>
                <w:sz w:val="20"/>
                <w:szCs w:val="20"/>
                <w:shd w:val="clear" w:color="auto" w:fill="FFFFFF"/>
                <w:lang w:val="fr-FR"/>
              </w:rPr>
              <w:t xml:space="preserve"> 2050 </w:t>
            </w:r>
            <w:proofErr w:type="spellStart"/>
            <w:r w:rsidRPr="00C54597">
              <w:rPr>
                <w:rFonts w:ascii="Times New Roman" w:hAnsi="Times New Roman"/>
                <w:color w:val="333333"/>
                <w:sz w:val="20"/>
                <w:szCs w:val="20"/>
                <w:shd w:val="clear" w:color="auto" w:fill="FFFFFF"/>
                <w:lang w:val="fr-FR"/>
              </w:rPr>
              <w:t>referitoare</w:t>
            </w:r>
            <w:proofErr w:type="spellEnd"/>
            <w:r w:rsidRPr="00C54597">
              <w:rPr>
                <w:rFonts w:ascii="Times New Roman" w:hAnsi="Times New Roman"/>
                <w:color w:val="333333"/>
                <w:sz w:val="20"/>
                <w:szCs w:val="20"/>
                <w:shd w:val="clear" w:color="auto" w:fill="FFFFFF"/>
                <w:lang w:val="fr-FR"/>
              </w:rPr>
              <w:t xml:space="preserve"> la </w:t>
            </w:r>
            <w:proofErr w:type="spellStart"/>
            <w:r w:rsidRPr="00C54597">
              <w:rPr>
                <w:rFonts w:ascii="Times New Roman" w:hAnsi="Times New Roman"/>
                <w:color w:val="333333"/>
                <w:sz w:val="20"/>
                <w:szCs w:val="20"/>
                <w:shd w:val="clear" w:color="auto" w:fill="FFFFFF"/>
                <w:lang w:val="fr-FR"/>
              </w:rPr>
              <w:t>promovarea</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tehnologiilor</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pentru</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energie</w:t>
            </w:r>
            <w:proofErr w:type="spellEnd"/>
            <w:r w:rsidRPr="00C54597">
              <w:rPr>
                <w:rFonts w:ascii="Times New Roman" w:hAnsi="Times New Roman"/>
                <w:color w:val="333333"/>
                <w:sz w:val="20"/>
                <w:szCs w:val="20"/>
                <w:shd w:val="clear" w:color="auto" w:fill="FFFFFF"/>
                <w:lang w:val="fr-FR"/>
              </w:rPr>
              <w:t xml:space="preserve"> </w:t>
            </w:r>
            <w:proofErr w:type="spellStart"/>
            <w:r w:rsidRPr="00C54597">
              <w:rPr>
                <w:rFonts w:ascii="Times New Roman" w:hAnsi="Times New Roman"/>
                <w:color w:val="333333"/>
                <w:sz w:val="20"/>
                <w:szCs w:val="20"/>
                <w:shd w:val="clear" w:color="auto" w:fill="FFFFFF"/>
                <w:lang w:val="fr-FR"/>
              </w:rPr>
              <w:t>nepoluantă</w:t>
            </w:r>
            <w:proofErr w:type="spellEnd"/>
            <w:r w:rsidRPr="00C54597">
              <w:rPr>
                <w:rFonts w:ascii="Times New Roman" w:hAnsi="Times New Roman"/>
                <w:color w:val="333333"/>
                <w:sz w:val="20"/>
                <w:szCs w:val="20"/>
                <w:shd w:val="clear" w:color="auto" w:fill="FFFFFF"/>
                <w:lang w:val="fr-FR"/>
              </w:rPr>
              <w:t>.</w:t>
            </w:r>
          </w:p>
        </w:tc>
        <w:tc>
          <w:tcPr>
            <w:tcW w:w="4440" w:type="dxa"/>
          </w:tcPr>
          <w:p w14:paraId="22FA9EA0" w14:textId="0BAF8F9C" w:rsidR="00081EFD" w:rsidRPr="004C01A1" w:rsidRDefault="00081EFD" w:rsidP="004C01A1">
            <w:pPr>
              <w:shd w:val="clear" w:color="auto" w:fill="FFFFFF"/>
              <w:suppressAutoHyphens w:val="0"/>
              <w:autoSpaceDN/>
              <w:adjustRightInd w:val="0"/>
              <w:spacing w:after="0" w:line="240" w:lineRule="auto"/>
              <w:jc w:val="both"/>
              <w:textAlignment w:val="top"/>
              <w:rPr>
                <w:rFonts w:ascii="Times New Roman" w:hAnsi="Times New Roman"/>
                <w:sz w:val="20"/>
                <w:szCs w:val="20"/>
                <w:shd w:val="clear" w:color="auto" w:fill="FFFFFF"/>
                <w:lang w:val="ro-RO"/>
              </w:rPr>
            </w:pPr>
          </w:p>
        </w:tc>
        <w:tc>
          <w:tcPr>
            <w:tcW w:w="1276" w:type="dxa"/>
          </w:tcPr>
          <w:p w14:paraId="78EA0798" w14:textId="77777777" w:rsidR="00081EFD" w:rsidRPr="00C951E7" w:rsidRDefault="00081EFD" w:rsidP="00081EFD">
            <w:pPr>
              <w:spacing w:after="0" w:line="240" w:lineRule="auto"/>
              <w:rPr>
                <w:rFonts w:ascii="Times New Roman" w:hAnsi="Times New Roman"/>
                <w:bCs/>
                <w:color w:val="000000" w:themeColor="text1"/>
                <w:sz w:val="20"/>
                <w:szCs w:val="20"/>
                <w:lang w:val="ro-RO"/>
              </w:rPr>
            </w:pPr>
            <w:r w:rsidRPr="00C951E7">
              <w:rPr>
                <w:rFonts w:ascii="Times New Roman" w:hAnsi="Times New Roman"/>
                <w:bCs/>
                <w:color w:val="000000" w:themeColor="text1"/>
                <w:sz w:val="20"/>
                <w:szCs w:val="20"/>
                <w:lang w:val="ro-RO"/>
              </w:rPr>
              <w:t>Compatibil</w:t>
            </w:r>
          </w:p>
          <w:p w14:paraId="03A437DF" w14:textId="77777777" w:rsidR="00081EFD" w:rsidRPr="00C951E7" w:rsidRDefault="00081EFD" w:rsidP="00D37AB7">
            <w:pPr>
              <w:pStyle w:val="ColorfulList-Accent11"/>
              <w:spacing w:after="0" w:line="240" w:lineRule="auto"/>
              <w:ind w:left="0"/>
              <w:jc w:val="both"/>
              <w:rPr>
                <w:rFonts w:ascii="Times New Roman" w:hAnsi="Times New Roman"/>
                <w:sz w:val="20"/>
                <w:szCs w:val="20"/>
                <w:lang w:val="ro-RO"/>
              </w:rPr>
            </w:pPr>
          </w:p>
        </w:tc>
        <w:tc>
          <w:tcPr>
            <w:tcW w:w="1276" w:type="dxa"/>
          </w:tcPr>
          <w:p w14:paraId="4E000E06" w14:textId="3F76BA94" w:rsidR="00081EFD" w:rsidRPr="00C54597" w:rsidRDefault="00081EFD" w:rsidP="00D37AB7">
            <w:pPr>
              <w:pStyle w:val="ColorfulList-Accent11"/>
              <w:spacing w:after="0" w:line="240" w:lineRule="auto"/>
              <w:ind w:left="0"/>
              <w:jc w:val="both"/>
              <w:rPr>
                <w:rFonts w:ascii="Times New Roman" w:hAnsi="Times New Roman"/>
                <w:sz w:val="20"/>
                <w:szCs w:val="20"/>
                <w:lang w:val="ro-MD"/>
              </w:rPr>
            </w:pPr>
          </w:p>
        </w:tc>
        <w:tc>
          <w:tcPr>
            <w:tcW w:w="1701" w:type="dxa"/>
          </w:tcPr>
          <w:p w14:paraId="55802319" w14:textId="4E74EFDF" w:rsidR="00081EFD" w:rsidRPr="00F13819" w:rsidRDefault="00081EFD" w:rsidP="00081EFD">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Termenele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0B12F052" w14:textId="77777777" w:rsidR="004C01A1" w:rsidRDefault="004C01A1" w:rsidP="004C01A1">
            <w:pPr>
              <w:pStyle w:val="ColorfulList-Accent11"/>
              <w:spacing w:after="0" w:line="240" w:lineRule="auto"/>
              <w:ind w:left="0"/>
              <w:jc w:val="both"/>
              <w:rPr>
                <w:rFonts w:ascii="Times New Roman" w:eastAsia="Times New Roman" w:hAnsi="Times New Roman"/>
                <w:sz w:val="20"/>
                <w:szCs w:val="20"/>
                <w:lang w:val="ro-RO" w:eastAsia="ru-RU"/>
              </w:rPr>
            </w:pPr>
          </w:p>
          <w:p w14:paraId="541F36C8" w14:textId="2BF43541"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514FAA">
              <w:rPr>
                <w:rFonts w:ascii="Times New Roman" w:eastAsia="Times New Roman" w:hAnsi="Times New Roman"/>
                <w:sz w:val="20"/>
                <w:szCs w:val="20"/>
                <w:lang w:val="ro-RO" w:eastAsia="ru-RU"/>
              </w:rPr>
              <w:t>la pct.11 din</w:t>
            </w:r>
          </w:p>
          <w:p w14:paraId="5CA59DD3" w14:textId="4C8585ED" w:rsidR="00F10EF8" w:rsidRDefault="004C01A1" w:rsidP="004C01A1">
            <w:pPr>
              <w:autoSpaceDE w:val="0"/>
              <w:spacing w:after="0" w:line="240" w:lineRule="auto"/>
              <w:rPr>
                <w:rFonts w:ascii="Times New Roman" w:hAnsi="Times New Roman"/>
                <w:sz w:val="20"/>
                <w:szCs w:val="20"/>
                <w:lang w:val="ro-RO" w:eastAsia="zh-CN"/>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p w14:paraId="3E3E7FF3" w14:textId="77777777" w:rsidR="00F10EF8" w:rsidRDefault="00F10EF8" w:rsidP="00F10EF8">
            <w:pPr>
              <w:autoSpaceDE w:val="0"/>
              <w:spacing w:after="0" w:line="240" w:lineRule="auto"/>
              <w:rPr>
                <w:rFonts w:ascii="Times New Roman" w:hAnsi="Times New Roman"/>
                <w:sz w:val="20"/>
                <w:szCs w:val="20"/>
                <w:lang w:val="ro-RO" w:eastAsia="zh-CN"/>
              </w:rPr>
            </w:pPr>
          </w:p>
          <w:p w14:paraId="2C14E5EE" w14:textId="221EF8CD" w:rsidR="00F10EF8" w:rsidRPr="00D71AA7" w:rsidRDefault="00F10EF8" w:rsidP="00F10EF8">
            <w:pPr>
              <w:autoSpaceDE w:val="0"/>
              <w:spacing w:after="0" w:line="240" w:lineRule="auto"/>
              <w:rPr>
                <w:rFonts w:ascii="Times New Roman" w:hAnsi="Times New Roman"/>
                <w:sz w:val="20"/>
                <w:szCs w:val="20"/>
                <w:lang w:val="ro-RO" w:eastAsia="ru-RU"/>
              </w:rPr>
            </w:pPr>
            <w:r w:rsidRPr="00D71AA7">
              <w:rPr>
                <w:rFonts w:ascii="Times New Roman" w:hAnsi="Times New Roman"/>
                <w:sz w:val="20"/>
                <w:szCs w:val="20"/>
                <w:lang w:val="ro-RO" w:eastAsia="zh-CN"/>
              </w:rPr>
              <w:t xml:space="preserve">Prevederile </w:t>
            </w:r>
            <w:r>
              <w:rPr>
                <w:rFonts w:ascii="Times New Roman" w:hAnsi="Times New Roman"/>
                <w:sz w:val="20"/>
                <w:szCs w:val="20"/>
                <w:lang w:val="ro-RO" w:eastAsia="zh-CN"/>
              </w:rPr>
              <w:t xml:space="preserve">privind Planul SET </w:t>
            </w:r>
            <w:r w:rsidRPr="00D71AA7">
              <w:rPr>
                <w:rFonts w:ascii="Times New Roman" w:hAnsi="Times New Roman"/>
                <w:sz w:val="20"/>
                <w:szCs w:val="20"/>
                <w:lang w:val="ro-RO" w:eastAsia="zh-CN"/>
              </w:rPr>
              <w:t xml:space="preserve">nu pot fi transpuse deoarece </w:t>
            </w:r>
          </w:p>
          <w:p w14:paraId="38C59D8C" w14:textId="4E243DD5" w:rsidR="00F10EF8" w:rsidRPr="00D71AA7" w:rsidRDefault="00F10EF8" w:rsidP="00F10EF8">
            <w:pPr>
              <w:autoSpaceDE w:val="0"/>
              <w:spacing w:after="0" w:line="240" w:lineRule="auto"/>
              <w:rPr>
                <w:rFonts w:ascii="Times New Roman" w:hAnsi="Times New Roman"/>
                <w:sz w:val="20"/>
                <w:szCs w:val="20"/>
                <w:lang w:val="ro-RO" w:eastAsia="zh-CN"/>
              </w:rPr>
            </w:pPr>
            <w:r w:rsidRPr="00D71AA7">
              <w:rPr>
                <w:rFonts w:ascii="Times New Roman" w:hAnsi="Times New Roman"/>
                <w:sz w:val="20"/>
                <w:szCs w:val="20"/>
                <w:lang w:val="ro-RO" w:eastAsia="ru-RU"/>
              </w:rPr>
              <w:t xml:space="preserve">nu </w:t>
            </w:r>
            <w:r>
              <w:rPr>
                <w:rFonts w:ascii="Times New Roman" w:hAnsi="Times New Roman"/>
                <w:sz w:val="20"/>
                <w:szCs w:val="20"/>
                <w:lang w:val="ro-RO" w:eastAsia="ru-RU"/>
              </w:rPr>
              <w:t>sunt</w:t>
            </w:r>
            <w:r w:rsidRPr="00D71AA7">
              <w:rPr>
                <w:rFonts w:ascii="Times New Roman" w:hAnsi="Times New Roman"/>
                <w:sz w:val="20"/>
                <w:szCs w:val="20"/>
                <w:lang w:val="ro-RO" w:eastAsia="ru-RU"/>
              </w:rPr>
              <w:t xml:space="preserve"> prevăzut</w:t>
            </w:r>
            <w:r>
              <w:rPr>
                <w:rFonts w:ascii="Times New Roman" w:hAnsi="Times New Roman"/>
                <w:sz w:val="20"/>
                <w:szCs w:val="20"/>
                <w:lang w:val="ro-RO" w:eastAsia="ru-RU"/>
              </w:rPr>
              <w:t>e</w:t>
            </w:r>
            <w:r w:rsidRPr="00D71AA7">
              <w:rPr>
                <w:rFonts w:ascii="Times New Roman" w:hAnsi="Times New Roman"/>
                <w:sz w:val="20"/>
                <w:szCs w:val="20"/>
                <w:lang w:val="ro-RO" w:eastAsia="ru-RU"/>
              </w:rPr>
              <w:t xml:space="preserve"> în </w:t>
            </w:r>
            <w:proofErr w:type="spellStart"/>
            <w:r w:rsidRPr="00D71AA7">
              <w:rPr>
                <w:rFonts w:ascii="Times New Roman" w:hAnsi="Times New Roman"/>
                <w:sz w:val="20"/>
                <w:szCs w:val="20"/>
              </w:rPr>
              <w:t>Regulamentul</w:t>
            </w:r>
            <w:proofErr w:type="spellEnd"/>
            <w:r w:rsidRPr="00D71AA7">
              <w:rPr>
                <w:rFonts w:ascii="Times New Roman" w:hAnsi="Times New Roman"/>
                <w:sz w:val="20"/>
                <w:szCs w:val="20"/>
              </w:rPr>
              <w:t xml:space="preserve"> (UE)</w:t>
            </w:r>
            <w:r w:rsidRPr="00D71AA7">
              <w:rPr>
                <w:rFonts w:ascii="Roboto" w:hAnsi="Roboto"/>
                <w:b/>
                <w:bCs/>
                <w:sz w:val="20"/>
                <w:szCs w:val="20"/>
                <w:shd w:val="clear" w:color="auto" w:fill="FFFFFF"/>
              </w:rPr>
              <w:t xml:space="preserve"> </w:t>
            </w:r>
            <w:r w:rsidRPr="00D71AA7">
              <w:rPr>
                <w:rFonts w:ascii="Times New Roman" w:hAnsi="Times New Roman"/>
                <w:sz w:val="20"/>
                <w:szCs w:val="20"/>
                <w:shd w:val="clear" w:color="auto" w:fill="FFFFFF"/>
              </w:rPr>
              <w:t>2018/1999</w:t>
            </w:r>
          </w:p>
          <w:p w14:paraId="7326D5DE" w14:textId="1039E5A5" w:rsidR="00081EFD" w:rsidRPr="00C951E7" w:rsidRDefault="00F10EF8" w:rsidP="00F10EF8">
            <w:pPr>
              <w:pStyle w:val="ColorfulList-Accent11"/>
              <w:spacing w:after="0" w:line="240" w:lineRule="auto"/>
              <w:ind w:left="0"/>
              <w:jc w:val="both"/>
              <w:rPr>
                <w:rFonts w:ascii="Times New Roman" w:hAnsi="Times New Roman"/>
                <w:sz w:val="20"/>
                <w:szCs w:val="20"/>
                <w:lang w:val="ro-RO"/>
              </w:rPr>
            </w:pPr>
            <w:r w:rsidRPr="00774576">
              <w:rPr>
                <w:rFonts w:ascii="Times New Roman" w:hAnsi="Times New Roman"/>
                <w:sz w:val="20"/>
                <w:szCs w:val="20"/>
                <w:lang w:val="ro-RO"/>
              </w:rPr>
              <w:t>în varianta adaptată și aprobată prin Decizia Consiliului Ministerial al Comunității Energetice nr. 2021/14/MC-</w:t>
            </w:r>
            <w:proofErr w:type="spellStart"/>
            <w:r w:rsidRPr="00774576">
              <w:rPr>
                <w:rFonts w:ascii="Times New Roman" w:hAnsi="Times New Roman"/>
                <w:sz w:val="20"/>
                <w:szCs w:val="20"/>
                <w:lang w:val="ro-RO"/>
              </w:rPr>
              <w:t>EnC</w:t>
            </w:r>
            <w:proofErr w:type="spellEnd"/>
            <w:r w:rsidRPr="00774576">
              <w:rPr>
                <w:rFonts w:ascii="Times New Roman" w:hAnsi="Times New Roman"/>
                <w:sz w:val="20"/>
                <w:szCs w:val="20"/>
                <w:lang w:val="ro-RO"/>
              </w:rPr>
              <w:t xml:space="preserve"> și </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tc>
        <w:tc>
          <w:tcPr>
            <w:tcW w:w="1460" w:type="dxa"/>
          </w:tcPr>
          <w:p w14:paraId="40CC504D" w14:textId="77777777" w:rsidR="00081EFD" w:rsidRPr="003F755D" w:rsidRDefault="00081EFD" w:rsidP="00081EFD">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03469E49" w14:textId="77777777" w:rsidR="00081EFD" w:rsidRDefault="00081EFD" w:rsidP="00D37AB7">
            <w:pPr>
              <w:pStyle w:val="ColorfulList-Accent11"/>
              <w:spacing w:after="0" w:line="240" w:lineRule="auto"/>
              <w:ind w:left="0"/>
              <w:jc w:val="both"/>
              <w:rPr>
                <w:lang w:val="ro-MD"/>
              </w:rPr>
            </w:pPr>
          </w:p>
          <w:p w14:paraId="4733074C" w14:textId="77777777" w:rsidR="00524619" w:rsidRPr="003F755D" w:rsidRDefault="00524619" w:rsidP="00524619">
            <w:pPr>
              <w:autoSpaceDE w:val="0"/>
              <w:spacing w:after="0" w:line="240" w:lineRule="auto"/>
              <w:rPr>
                <w:rFonts w:ascii="Times New Roman" w:hAnsi="Times New Roman"/>
                <w:sz w:val="20"/>
                <w:szCs w:val="20"/>
                <w:shd w:val="clear" w:color="auto" w:fill="FFFFFF"/>
                <w:lang w:val="ro-RO"/>
              </w:rPr>
            </w:pPr>
            <w:r w:rsidRPr="003F755D">
              <w:rPr>
                <w:rFonts w:ascii="Times New Roman" w:hAnsi="Times New Roman"/>
                <w:sz w:val="20"/>
                <w:szCs w:val="20"/>
                <w:shd w:val="clear" w:color="auto" w:fill="FFFFFF"/>
                <w:lang w:val="ro-RO"/>
              </w:rPr>
              <w:t>Ministerul Mediului</w:t>
            </w:r>
          </w:p>
          <w:p w14:paraId="33E78FBF" w14:textId="77777777" w:rsidR="00524619" w:rsidRPr="00524619" w:rsidRDefault="00524619" w:rsidP="00D37AB7">
            <w:pPr>
              <w:pStyle w:val="ColorfulList-Accent11"/>
              <w:spacing w:after="0" w:line="240" w:lineRule="auto"/>
              <w:ind w:left="0"/>
              <w:jc w:val="both"/>
              <w:rPr>
                <w:lang w:val="ro-MD"/>
              </w:rPr>
            </w:pPr>
          </w:p>
        </w:tc>
      </w:tr>
      <w:tr w:rsidR="00D37AB7" w:rsidRPr="007D6383" w14:paraId="43F35363" w14:textId="77777777" w:rsidTr="00A90105">
        <w:tc>
          <w:tcPr>
            <w:tcW w:w="4945" w:type="dxa"/>
          </w:tcPr>
          <w:p w14:paraId="609EACCE" w14:textId="77777777" w:rsidR="00D37AB7" w:rsidRPr="000440D5" w:rsidRDefault="00D37AB7" w:rsidP="00E8294E">
            <w:pPr>
              <w:spacing w:after="0" w:line="240" w:lineRule="auto"/>
              <w:jc w:val="center"/>
              <w:rPr>
                <w:rFonts w:ascii="Times New Roman" w:eastAsia="Times New Roman" w:hAnsi="Times New Roman"/>
                <w:color w:val="333333"/>
                <w:sz w:val="20"/>
                <w:szCs w:val="20"/>
                <w:lang w:eastAsia="ru-RU"/>
              </w:rPr>
            </w:pPr>
            <w:proofErr w:type="spellStart"/>
            <w:r w:rsidRPr="000440D5">
              <w:rPr>
                <w:rFonts w:ascii="Times New Roman" w:eastAsia="Times New Roman" w:hAnsi="Times New Roman"/>
                <w:color w:val="333333"/>
                <w:sz w:val="20"/>
                <w:szCs w:val="20"/>
                <w:lang w:eastAsia="ru-RU"/>
              </w:rPr>
              <w:lastRenderedPageBreak/>
              <w:t>Articolul</w:t>
            </w:r>
            <w:proofErr w:type="spellEnd"/>
            <w:r w:rsidRPr="000440D5">
              <w:rPr>
                <w:rFonts w:ascii="Times New Roman" w:eastAsia="Times New Roman" w:hAnsi="Times New Roman"/>
                <w:color w:val="333333"/>
                <w:sz w:val="20"/>
                <w:szCs w:val="20"/>
                <w:lang w:eastAsia="ru-RU"/>
              </w:rPr>
              <w:t xml:space="preserve"> 5</w:t>
            </w:r>
          </w:p>
          <w:p w14:paraId="425832CE" w14:textId="77777777" w:rsidR="00D37AB7" w:rsidRPr="000440D5" w:rsidRDefault="00D37AB7" w:rsidP="00E8294E">
            <w:pPr>
              <w:spacing w:after="0" w:line="240" w:lineRule="auto"/>
              <w:jc w:val="center"/>
              <w:rPr>
                <w:rFonts w:ascii="Times New Roman" w:eastAsia="Times New Roman" w:hAnsi="Times New Roman"/>
                <w:b/>
                <w:bCs/>
                <w:color w:val="333333"/>
                <w:sz w:val="20"/>
                <w:szCs w:val="20"/>
                <w:lang w:eastAsia="ru-RU"/>
              </w:rPr>
            </w:pPr>
            <w:proofErr w:type="spellStart"/>
            <w:r w:rsidRPr="000440D5">
              <w:rPr>
                <w:rFonts w:ascii="Times New Roman" w:eastAsia="Times New Roman" w:hAnsi="Times New Roman"/>
                <w:b/>
                <w:bCs/>
                <w:color w:val="333333"/>
                <w:sz w:val="20"/>
                <w:szCs w:val="20"/>
                <w:lang w:eastAsia="ru-RU"/>
              </w:rPr>
              <w:t>Procesul</w:t>
            </w:r>
            <w:proofErr w:type="spellEnd"/>
            <w:r w:rsidRPr="000440D5">
              <w:rPr>
                <w:rFonts w:ascii="Times New Roman" w:eastAsia="Times New Roman" w:hAnsi="Times New Roman"/>
                <w:b/>
                <w:bCs/>
                <w:color w:val="333333"/>
                <w:sz w:val="20"/>
                <w:szCs w:val="20"/>
                <w:lang w:eastAsia="ru-RU"/>
              </w:rPr>
              <w:t xml:space="preserve"> de </w:t>
            </w:r>
            <w:proofErr w:type="spellStart"/>
            <w:r w:rsidRPr="000440D5">
              <w:rPr>
                <w:rFonts w:ascii="Times New Roman" w:eastAsia="Times New Roman" w:hAnsi="Times New Roman"/>
                <w:b/>
                <w:bCs/>
                <w:color w:val="333333"/>
                <w:sz w:val="20"/>
                <w:szCs w:val="20"/>
                <w:lang w:eastAsia="ru-RU"/>
              </w:rPr>
              <w:t>stabilire</w:t>
            </w:r>
            <w:proofErr w:type="spellEnd"/>
            <w:r w:rsidRPr="000440D5">
              <w:rPr>
                <w:rFonts w:ascii="Times New Roman" w:eastAsia="Times New Roman" w:hAnsi="Times New Roman"/>
                <w:b/>
                <w:bCs/>
                <w:color w:val="333333"/>
                <w:sz w:val="20"/>
                <w:szCs w:val="20"/>
                <w:lang w:eastAsia="ru-RU"/>
              </w:rPr>
              <w:t xml:space="preserve"> a </w:t>
            </w:r>
            <w:proofErr w:type="spellStart"/>
            <w:r w:rsidRPr="000440D5">
              <w:rPr>
                <w:rFonts w:ascii="Times New Roman" w:eastAsia="Times New Roman" w:hAnsi="Times New Roman"/>
                <w:b/>
                <w:bCs/>
                <w:color w:val="333333"/>
                <w:sz w:val="20"/>
                <w:szCs w:val="20"/>
                <w:lang w:eastAsia="ru-RU"/>
              </w:rPr>
              <w:t>contribuțiilor</w:t>
            </w:r>
            <w:proofErr w:type="spellEnd"/>
            <w:r w:rsidRPr="000440D5">
              <w:rPr>
                <w:rFonts w:ascii="Times New Roman" w:eastAsia="Times New Roman" w:hAnsi="Times New Roman"/>
                <w:b/>
                <w:bCs/>
                <w:color w:val="333333"/>
                <w:sz w:val="20"/>
                <w:szCs w:val="20"/>
                <w:lang w:eastAsia="ru-RU"/>
              </w:rPr>
              <w:t xml:space="preserve"> </w:t>
            </w:r>
            <w:proofErr w:type="spellStart"/>
            <w:r w:rsidRPr="000440D5">
              <w:rPr>
                <w:rFonts w:ascii="Times New Roman" w:eastAsia="Times New Roman" w:hAnsi="Times New Roman"/>
                <w:b/>
                <w:bCs/>
                <w:color w:val="333333"/>
                <w:sz w:val="20"/>
                <w:szCs w:val="20"/>
                <w:lang w:eastAsia="ru-RU"/>
              </w:rPr>
              <w:t>statelor</w:t>
            </w:r>
            <w:proofErr w:type="spellEnd"/>
            <w:r w:rsidRPr="000440D5">
              <w:rPr>
                <w:rFonts w:ascii="Times New Roman" w:eastAsia="Times New Roman" w:hAnsi="Times New Roman"/>
                <w:b/>
                <w:bCs/>
                <w:color w:val="333333"/>
                <w:sz w:val="20"/>
                <w:szCs w:val="20"/>
                <w:lang w:eastAsia="ru-RU"/>
              </w:rPr>
              <w:t xml:space="preserve"> </w:t>
            </w:r>
            <w:proofErr w:type="spellStart"/>
            <w:r w:rsidRPr="000440D5">
              <w:rPr>
                <w:rFonts w:ascii="Times New Roman" w:eastAsia="Times New Roman" w:hAnsi="Times New Roman"/>
                <w:b/>
                <w:bCs/>
                <w:color w:val="333333"/>
                <w:sz w:val="20"/>
                <w:szCs w:val="20"/>
                <w:lang w:eastAsia="ru-RU"/>
              </w:rPr>
              <w:t>membre</w:t>
            </w:r>
            <w:proofErr w:type="spellEnd"/>
            <w:r w:rsidRPr="000440D5">
              <w:rPr>
                <w:rFonts w:ascii="Times New Roman" w:eastAsia="Times New Roman" w:hAnsi="Times New Roman"/>
                <w:b/>
                <w:bCs/>
                <w:color w:val="333333"/>
                <w:sz w:val="20"/>
                <w:szCs w:val="20"/>
                <w:lang w:eastAsia="ru-RU"/>
              </w:rPr>
              <w:t xml:space="preserve"> în </w:t>
            </w:r>
            <w:proofErr w:type="spellStart"/>
            <w:r w:rsidRPr="000440D5">
              <w:rPr>
                <w:rFonts w:ascii="Times New Roman" w:eastAsia="Times New Roman" w:hAnsi="Times New Roman"/>
                <w:b/>
                <w:bCs/>
                <w:color w:val="333333"/>
                <w:sz w:val="20"/>
                <w:szCs w:val="20"/>
                <w:lang w:eastAsia="ru-RU"/>
              </w:rPr>
              <w:t>domeniul</w:t>
            </w:r>
            <w:proofErr w:type="spellEnd"/>
            <w:r w:rsidRPr="000440D5">
              <w:rPr>
                <w:rFonts w:ascii="Times New Roman" w:eastAsia="Times New Roman" w:hAnsi="Times New Roman"/>
                <w:b/>
                <w:bCs/>
                <w:color w:val="333333"/>
                <w:sz w:val="20"/>
                <w:szCs w:val="20"/>
                <w:lang w:eastAsia="ru-RU"/>
              </w:rPr>
              <w:t xml:space="preserve"> energiei </w:t>
            </w:r>
            <w:proofErr w:type="spellStart"/>
            <w:r w:rsidRPr="000440D5">
              <w:rPr>
                <w:rFonts w:ascii="Times New Roman" w:eastAsia="Times New Roman" w:hAnsi="Times New Roman"/>
                <w:b/>
                <w:bCs/>
                <w:color w:val="333333"/>
                <w:sz w:val="20"/>
                <w:szCs w:val="20"/>
                <w:lang w:eastAsia="ru-RU"/>
              </w:rPr>
              <w:t>regenerabile</w:t>
            </w:r>
            <w:proofErr w:type="spellEnd"/>
          </w:p>
          <w:p w14:paraId="4CA1D137" w14:textId="1401FDD1" w:rsidR="00D37AB7" w:rsidRPr="000440D5" w:rsidRDefault="00D37AB7" w:rsidP="00E8294E">
            <w:pPr>
              <w:spacing w:after="0" w:line="240" w:lineRule="auto"/>
              <w:rPr>
                <w:rFonts w:ascii="Times New Roman" w:eastAsia="Times New Roman" w:hAnsi="Times New Roman"/>
                <w:sz w:val="20"/>
                <w:szCs w:val="20"/>
                <w:lang w:eastAsia="ru-RU"/>
              </w:rPr>
            </w:pPr>
            <w:r w:rsidRPr="000440D5">
              <w:rPr>
                <w:rFonts w:ascii="Times New Roman" w:eastAsia="Times New Roman" w:hAnsi="Times New Roman"/>
                <w:sz w:val="20"/>
                <w:szCs w:val="20"/>
                <w:lang w:eastAsia="ru-RU"/>
              </w:rPr>
              <w:t>(</w:t>
            </w:r>
            <w:proofErr w:type="gramStart"/>
            <w:r w:rsidRPr="000440D5">
              <w:rPr>
                <w:rFonts w:ascii="Times New Roman" w:eastAsia="Times New Roman" w:hAnsi="Times New Roman"/>
                <w:sz w:val="20"/>
                <w:szCs w:val="20"/>
                <w:lang w:eastAsia="ru-RU"/>
              </w:rPr>
              <w:t>1)La</w:t>
            </w:r>
            <w:proofErr w:type="gram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stabilirea</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contribuției</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privind</w:t>
            </w:r>
            <w:proofErr w:type="spellEnd"/>
            <w:r w:rsidRPr="000440D5">
              <w:rPr>
                <w:rFonts w:ascii="Times New Roman" w:eastAsia="Times New Roman" w:hAnsi="Times New Roman"/>
                <w:sz w:val="20"/>
                <w:szCs w:val="20"/>
                <w:lang w:eastAsia="ru-RU"/>
              </w:rPr>
              <w:t xml:space="preserve"> propria </w:t>
            </w:r>
            <w:proofErr w:type="spellStart"/>
            <w:r w:rsidRPr="000440D5">
              <w:rPr>
                <w:rFonts w:ascii="Times New Roman" w:eastAsia="Times New Roman" w:hAnsi="Times New Roman"/>
                <w:sz w:val="20"/>
                <w:szCs w:val="20"/>
                <w:lang w:eastAsia="ru-RU"/>
              </w:rPr>
              <w:t>pondere</w:t>
            </w:r>
            <w:proofErr w:type="spellEnd"/>
            <w:r w:rsidRPr="000440D5">
              <w:rPr>
                <w:rFonts w:ascii="Times New Roman" w:eastAsia="Times New Roman" w:hAnsi="Times New Roman"/>
                <w:sz w:val="20"/>
                <w:szCs w:val="20"/>
                <w:lang w:eastAsia="ru-RU"/>
              </w:rPr>
              <w:t xml:space="preserve"> a energiei din surse </w:t>
            </w:r>
            <w:proofErr w:type="spellStart"/>
            <w:r w:rsidRPr="000440D5">
              <w:rPr>
                <w:rFonts w:ascii="Times New Roman" w:eastAsia="Times New Roman" w:hAnsi="Times New Roman"/>
                <w:sz w:val="20"/>
                <w:szCs w:val="20"/>
                <w:lang w:eastAsia="ru-RU"/>
              </w:rPr>
              <w:t>regenerabile</w:t>
            </w:r>
            <w:proofErr w:type="spellEnd"/>
            <w:r w:rsidRPr="000440D5">
              <w:rPr>
                <w:rFonts w:ascii="Times New Roman" w:eastAsia="Times New Roman" w:hAnsi="Times New Roman"/>
                <w:sz w:val="20"/>
                <w:szCs w:val="20"/>
                <w:lang w:eastAsia="ru-RU"/>
              </w:rPr>
              <w:t xml:space="preserve"> în </w:t>
            </w:r>
            <w:proofErr w:type="spellStart"/>
            <w:r w:rsidRPr="000440D5">
              <w:rPr>
                <w:rFonts w:ascii="Times New Roman" w:eastAsia="Times New Roman" w:hAnsi="Times New Roman"/>
                <w:sz w:val="20"/>
                <w:szCs w:val="20"/>
                <w:lang w:eastAsia="ru-RU"/>
              </w:rPr>
              <w:t>consumul</w:t>
            </w:r>
            <w:proofErr w:type="spellEnd"/>
            <w:r w:rsidRPr="000440D5">
              <w:rPr>
                <w:rFonts w:ascii="Times New Roman" w:eastAsia="Times New Roman" w:hAnsi="Times New Roman"/>
                <w:sz w:val="20"/>
                <w:szCs w:val="20"/>
                <w:lang w:eastAsia="ru-RU"/>
              </w:rPr>
              <w:t xml:space="preserve"> final brut de </w:t>
            </w:r>
            <w:proofErr w:type="spellStart"/>
            <w:r w:rsidRPr="000440D5">
              <w:rPr>
                <w:rFonts w:ascii="Times New Roman" w:eastAsia="Times New Roman" w:hAnsi="Times New Roman"/>
                <w:sz w:val="20"/>
                <w:szCs w:val="20"/>
                <w:lang w:eastAsia="ru-RU"/>
              </w:rPr>
              <w:t>energie</w:t>
            </w:r>
            <w:proofErr w:type="spellEnd"/>
            <w:r w:rsidRPr="000440D5">
              <w:rPr>
                <w:rFonts w:ascii="Times New Roman" w:eastAsia="Times New Roman" w:hAnsi="Times New Roman"/>
                <w:sz w:val="20"/>
                <w:szCs w:val="20"/>
                <w:lang w:eastAsia="ru-RU"/>
              </w:rPr>
              <w:t xml:space="preserve"> în</w:t>
            </w:r>
            <w:r w:rsidR="00E8294E" w:rsidRPr="000440D5">
              <w:rPr>
                <w:rFonts w:ascii="Times New Roman" w:eastAsia="Times New Roman" w:hAnsi="Times New Roman"/>
                <w:sz w:val="20"/>
                <w:szCs w:val="20"/>
                <w:lang w:eastAsia="ru-RU"/>
              </w:rPr>
              <w:t xml:space="preserve"> </w:t>
            </w:r>
            <w:r w:rsidRPr="000440D5">
              <w:rPr>
                <w:rFonts w:ascii="Times New Roman" w:eastAsia="Times New Roman" w:hAnsi="Times New Roman"/>
                <w:sz w:val="20"/>
                <w:szCs w:val="20"/>
                <w:lang w:eastAsia="ru-RU"/>
              </w:rPr>
              <w:t xml:space="preserve">2030 și în </w:t>
            </w:r>
            <w:proofErr w:type="spellStart"/>
            <w:r w:rsidRPr="000440D5">
              <w:rPr>
                <w:rFonts w:ascii="Times New Roman" w:eastAsia="Times New Roman" w:hAnsi="Times New Roman"/>
                <w:sz w:val="20"/>
                <w:szCs w:val="20"/>
                <w:lang w:eastAsia="ru-RU"/>
              </w:rPr>
              <w:t>ultimul</w:t>
            </w:r>
            <w:proofErr w:type="spellEnd"/>
            <w:r w:rsidRPr="000440D5">
              <w:rPr>
                <w:rFonts w:ascii="Times New Roman" w:eastAsia="Times New Roman" w:hAnsi="Times New Roman"/>
                <w:sz w:val="20"/>
                <w:szCs w:val="20"/>
                <w:lang w:eastAsia="ru-RU"/>
              </w:rPr>
              <w:t xml:space="preserve"> an al </w:t>
            </w:r>
            <w:proofErr w:type="spellStart"/>
            <w:r w:rsidRPr="000440D5">
              <w:rPr>
                <w:rFonts w:ascii="Times New Roman" w:eastAsia="Times New Roman" w:hAnsi="Times New Roman"/>
                <w:sz w:val="20"/>
                <w:szCs w:val="20"/>
                <w:lang w:eastAsia="ru-RU"/>
              </w:rPr>
              <w:t>perioadei</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vizate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pentru</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planurile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naționale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ulterioare</w:t>
            </w:r>
            <w:proofErr w:type="spellEnd"/>
            <w:r w:rsidRPr="000440D5">
              <w:rPr>
                <w:rFonts w:ascii="Times New Roman" w:eastAsia="Times New Roman" w:hAnsi="Times New Roman"/>
                <w:sz w:val="20"/>
                <w:szCs w:val="20"/>
                <w:lang w:eastAsia="ru-RU"/>
              </w:rPr>
              <w:t xml:space="preserve">, în conformitate cu </w:t>
            </w:r>
            <w:proofErr w:type="spellStart"/>
            <w:r w:rsidRPr="000440D5">
              <w:rPr>
                <w:rFonts w:ascii="Times New Roman" w:eastAsia="Times New Roman" w:hAnsi="Times New Roman"/>
                <w:sz w:val="20"/>
                <w:szCs w:val="20"/>
                <w:lang w:eastAsia="ru-RU"/>
              </w:rPr>
              <w:t>articolul</w:t>
            </w:r>
            <w:proofErr w:type="spellEnd"/>
            <w:r w:rsidR="00E8294E" w:rsidRPr="000440D5">
              <w:rPr>
                <w:rFonts w:ascii="Times New Roman" w:eastAsia="Times New Roman" w:hAnsi="Times New Roman"/>
                <w:sz w:val="20"/>
                <w:szCs w:val="20"/>
                <w:lang w:eastAsia="ru-RU"/>
              </w:rPr>
              <w:t xml:space="preserve"> </w:t>
            </w:r>
            <w:r w:rsidRPr="000440D5">
              <w:rPr>
                <w:rFonts w:ascii="Times New Roman" w:eastAsia="Times New Roman" w:hAnsi="Times New Roman"/>
                <w:sz w:val="20"/>
                <w:szCs w:val="20"/>
                <w:lang w:eastAsia="ru-RU"/>
              </w:rPr>
              <w:t xml:space="preserve">4 </w:t>
            </w:r>
            <w:proofErr w:type="spellStart"/>
            <w:r w:rsidRPr="000440D5">
              <w:rPr>
                <w:rFonts w:ascii="Times New Roman" w:eastAsia="Times New Roman" w:hAnsi="Times New Roman"/>
                <w:sz w:val="20"/>
                <w:szCs w:val="20"/>
                <w:lang w:eastAsia="ru-RU"/>
              </w:rPr>
              <w:t>litera</w:t>
            </w:r>
            <w:proofErr w:type="spellEnd"/>
            <w:r w:rsidR="00E8294E" w:rsidRPr="000440D5">
              <w:rPr>
                <w:rFonts w:ascii="Times New Roman" w:eastAsia="Times New Roman" w:hAnsi="Times New Roman"/>
                <w:sz w:val="20"/>
                <w:szCs w:val="20"/>
                <w:lang w:eastAsia="ru-RU"/>
              </w:rPr>
              <w:t xml:space="preserve"> </w:t>
            </w:r>
            <w:r w:rsidRPr="000440D5">
              <w:rPr>
                <w:rFonts w:ascii="Times New Roman" w:eastAsia="Times New Roman" w:hAnsi="Times New Roman"/>
                <w:sz w:val="20"/>
                <w:szCs w:val="20"/>
                <w:lang w:eastAsia="ru-RU"/>
              </w:rPr>
              <w:t xml:space="preserve">(a) </w:t>
            </w:r>
            <w:proofErr w:type="spellStart"/>
            <w:r w:rsidRPr="000440D5">
              <w:rPr>
                <w:rFonts w:ascii="Times New Roman" w:eastAsia="Times New Roman" w:hAnsi="Times New Roman"/>
                <w:sz w:val="20"/>
                <w:szCs w:val="20"/>
                <w:lang w:eastAsia="ru-RU"/>
              </w:rPr>
              <w:t>punctul</w:t>
            </w:r>
            <w:proofErr w:type="spellEnd"/>
            <w:r w:rsidR="00E8294E" w:rsidRPr="000440D5">
              <w:rPr>
                <w:rFonts w:ascii="Times New Roman" w:eastAsia="Times New Roman" w:hAnsi="Times New Roman"/>
                <w:sz w:val="20"/>
                <w:szCs w:val="20"/>
                <w:lang w:eastAsia="ru-RU"/>
              </w:rPr>
              <w:t xml:space="preserve"> </w:t>
            </w:r>
            <w:r w:rsidRPr="000440D5">
              <w:rPr>
                <w:rFonts w:ascii="Times New Roman" w:eastAsia="Times New Roman" w:hAnsi="Times New Roman"/>
                <w:sz w:val="20"/>
                <w:szCs w:val="20"/>
                <w:lang w:eastAsia="ru-RU"/>
              </w:rPr>
              <w:t xml:space="preserve">2, </w:t>
            </w:r>
            <w:proofErr w:type="spellStart"/>
            <w:r w:rsidRPr="000440D5">
              <w:rPr>
                <w:rFonts w:ascii="Times New Roman" w:eastAsia="Times New Roman" w:hAnsi="Times New Roman"/>
                <w:sz w:val="20"/>
                <w:szCs w:val="20"/>
                <w:lang w:eastAsia="ru-RU"/>
              </w:rPr>
              <w:t>fiecare</w:t>
            </w:r>
            <w:proofErr w:type="spellEnd"/>
            <w:r w:rsidRPr="000440D5">
              <w:rPr>
                <w:rFonts w:ascii="Times New Roman" w:eastAsia="Times New Roman" w:hAnsi="Times New Roman"/>
                <w:sz w:val="20"/>
                <w:szCs w:val="20"/>
                <w:lang w:eastAsia="ru-RU"/>
              </w:rPr>
              <w:t xml:space="preserve"> stat</w:t>
            </w:r>
            <w:r w:rsidR="00E8294E"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membru</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ia</w:t>
            </w:r>
            <w:proofErr w:type="spellEnd"/>
            <w:r w:rsidRPr="000440D5">
              <w:rPr>
                <w:rFonts w:ascii="Times New Roman" w:eastAsia="Times New Roman" w:hAnsi="Times New Roman"/>
                <w:sz w:val="20"/>
                <w:szCs w:val="20"/>
                <w:lang w:eastAsia="ru-RU"/>
              </w:rPr>
              <w:t xml:space="preserve"> în </w:t>
            </w:r>
            <w:proofErr w:type="spellStart"/>
            <w:r w:rsidRPr="000440D5">
              <w:rPr>
                <w:rFonts w:ascii="Times New Roman" w:eastAsia="Times New Roman" w:hAnsi="Times New Roman"/>
                <w:sz w:val="20"/>
                <w:szCs w:val="20"/>
                <w:lang w:eastAsia="ru-RU"/>
              </w:rPr>
              <w:t>considerare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toate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următoarele</w:t>
            </w:r>
            <w:proofErr w:type="spellEnd"/>
            <w:r w:rsidRPr="000440D5">
              <w:rPr>
                <w:rFonts w:ascii="Times New Roman" w:eastAsia="Times New Roman" w:hAnsi="Times New Roman"/>
                <w:sz w:val="20"/>
                <w:szCs w:val="20"/>
                <w:lang w:eastAsia="ru-RU"/>
              </w:rPr>
              <w:t xml:space="preserve"> </w:t>
            </w:r>
            <w:proofErr w:type="spellStart"/>
            <w:r w:rsidRPr="000440D5">
              <w:rPr>
                <w:rFonts w:ascii="Times New Roman" w:eastAsia="Times New Roman" w:hAnsi="Times New Roman"/>
                <w:sz w:val="20"/>
                <w:szCs w:val="20"/>
                <w:lang w:eastAsia="ru-RU"/>
              </w:rPr>
              <w:t>elemente</w:t>
            </w:r>
            <w:proofErr w:type="spellEnd"/>
            <w:r w:rsidRPr="000440D5">
              <w:rPr>
                <w:rFonts w:ascii="Times New Roman" w:eastAsia="Times New Roman" w:hAnsi="Times New Roman"/>
                <w:sz w:val="20"/>
                <w:szCs w:val="20"/>
                <w:lang w:eastAsia="ru-RU"/>
              </w:rPr>
              <w:t>:</w:t>
            </w:r>
          </w:p>
          <w:p w14:paraId="2B72E723" w14:textId="657CDBD5" w:rsidR="00E8294E" w:rsidRPr="000440D5" w:rsidRDefault="00E8294E" w:rsidP="000C5A3B">
            <w:pPr>
              <w:pStyle w:val="af3"/>
              <w:numPr>
                <w:ilvl w:val="0"/>
                <w:numId w:val="97"/>
              </w:numPr>
              <w:spacing w:after="0" w:line="240" w:lineRule="auto"/>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lastRenderedPageBreak/>
              <w:t>măsurile</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prevăzute</w:t>
            </w:r>
            <w:proofErr w:type="spell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Directiva</w:t>
            </w:r>
            <w:proofErr w:type="spellEnd"/>
            <w:r w:rsidRPr="000440D5">
              <w:rPr>
                <w:rFonts w:ascii="Times New Roman" w:eastAsia="Times New Roman" w:hAnsi="Times New Roman"/>
                <w:sz w:val="20"/>
                <w:szCs w:val="20"/>
                <w:lang w:val="fr-FR" w:eastAsia="ru-RU"/>
              </w:rPr>
              <w:t xml:space="preserve"> (UE)2018/2001;</w:t>
            </w:r>
          </w:p>
          <w:p w14:paraId="020A6681" w14:textId="233A188D" w:rsidR="00E8294E" w:rsidRPr="000440D5" w:rsidRDefault="00E8294E" w:rsidP="000C5A3B">
            <w:pPr>
              <w:pStyle w:val="af3"/>
              <w:numPr>
                <w:ilvl w:val="0"/>
                <w:numId w:val="97"/>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măsurile</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adoptate</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vederea</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realizării</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obiectivului</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materie</w:t>
            </w:r>
            <w:proofErr w:type="spell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eficiență</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energetică</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adoptat</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temeiul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Directivei</w:t>
            </w:r>
            <w:proofErr w:type="spellEnd"/>
            <w:r w:rsidRPr="000440D5">
              <w:rPr>
                <w:rFonts w:ascii="Times New Roman" w:eastAsia="Times New Roman" w:hAnsi="Times New Roman"/>
                <w:sz w:val="20"/>
                <w:szCs w:val="20"/>
                <w:lang w:val="fr-FR" w:eastAsia="ru-RU"/>
              </w:rPr>
              <w:t xml:space="preserve"> 2012/27/UE;</w:t>
            </w:r>
          </w:p>
          <w:p w14:paraId="06CCACB2" w14:textId="03AC78E8" w:rsidR="00E8294E" w:rsidRPr="000440D5" w:rsidRDefault="00E8294E" w:rsidP="000C5A3B">
            <w:pPr>
              <w:pStyle w:val="af3"/>
              <w:numPr>
                <w:ilvl w:val="0"/>
                <w:numId w:val="97"/>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orice</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altă</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măsură</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existentă</w:t>
            </w:r>
            <w:proofErr w:type="spell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promovare</w:t>
            </w:r>
            <w:proofErr w:type="spellEnd"/>
            <w:r w:rsidRPr="000440D5">
              <w:rPr>
                <w:rFonts w:ascii="Times New Roman" w:eastAsia="Times New Roman" w:hAnsi="Times New Roman"/>
                <w:sz w:val="20"/>
                <w:szCs w:val="20"/>
                <w:lang w:val="fr-FR" w:eastAsia="ru-RU"/>
              </w:rPr>
              <w:t xml:space="preserve"> a energiei </w:t>
            </w:r>
            <w:proofErr w:type="spellStart"/>
            <w:r w:rsidRPr="000440D5">
              <w:rPr>
                <w:rFonts w:ascii="Times New Roman" w:eastAsia="Times New Roman" w:hAnsi="Times New Roman"/>
                <w:sz w:val="20"/>
                <w:szCs w:val="20"/>
                <w:lang w:val="fr-FR" w:eastAsia="ru-RU"/>
              </w:rPr>
              <w:t>din</w:t>
            </w:r>
            <w:proofErr w:type="spellEnd"/>
            <w:r w:rsidRPr="000440D5">
              <w:rPr>
                <w:rFonts w:ascii="Times New Roman" w:eastAsia="Times New Roman" w:hAnsi="Times New Roman"/>
                <w:sz w:val="20"/>
                <w:szCs w:val="20"/>
                <w:lang w:val="fr-FR" w:eastAsia="ru-RU"/>
              </w:rPr>
              <w:t xml:space="preserve"> surse </w:t>
            </w:r>
            <w:proofErr w:type="spellStart"/>
            <w:r w:rsidRPr="000440D5">
              <w:rPr>
                <w:rFonts w:ascii="Times New Roman" w:eastAsia="Times New Roman" w:hAnsi="Times New Roman"/>
                <w:sz w:val="20"/>
                <w:szCs w:val="20"/>
                <w:lang w:val="fr-FR" w:eastAsia="ru-RU"/>
              </w:rPr>
              <w:t>regenerabile</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cadrul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statului</w:t>
            </w:r>
            <w:proofErr w:type="spellEnd"/>
            <w:r w:rsidRPr="000440D5">
              <w:rPr>
                <w:rFonts w:ascii="Times New Roman" w:eastAsia="Times New Roman" w:hAnsi="Times New Roman"/>
                <w:sz w:val="20"/>
                <w:szCs w:val="20"/>
                <w:lang w:val="fr-FR" w:eastAsia="ru-RU"/>
              </w:rPr>
              <w:t xml:space="preserve"> membru și, </w:t>
            </w:r>
            <w:proofErr w:type="spellStart"/>
            <w:r w:rsidRPr="000440D5">
              <w:rPr>
                <w:rFonts w:ascii="Times New Roman" w:eastAsia="Times New Roman" w:hAnsi="Times New Roman"/>
                <w:sz w:val="20"/>
                <w:szCs w:val="20"/>
                <w:lang w:val="fr-FR" w:eastAsia="ru-RU"/>
              </w:rPr>
              <w:t>dacă</w:t>
            </w:r>
            <w:proofErr w:type="spellEnd"/>
            <w:r w:rsidRPr="000440D5">
              <w:rPr>
                <w:rFonts w:ascii="Times New Roman" w:eastAsia="Times New Roman" w:hAnsi="Times New Roman"/>
                <w:sz w:val="20"/>
                <w:szCs w:val="20"/>
                <w:lang w:val="fr-FR" w:eastAsia="ru-RU"/>
              </w:rPr>
              <w:t xml:space="preserve"> este </w:t>
            </w:r>
            <w:proofErr w:type="spellStart"/>
            <w:r w:rsidRPr="000440D5">
              <w:rPr>
                <w:rFonts w:ascii="Times New Roman" w:eastAsia="Times New Roman" w:hAnsi="Times New Roman"/>
                <w:sz w:val="20"/>
                <w:szCs w:val="20"/>
                <w:lang w:val="fr-FR" w:eastAsia="ru-RU"/>
              </w:rPr>
              <w:t>cazul</w:t>
            </w:r>
            <w:proofErr w:type="spellEnd"/>
            <w:r w:rsidRPr="000440D5">
              <w:rPr>
                <w:rFonts w:ascii="Times New Roman" w:eastAsia="Times New Roman" w:hAnsi="Times New Roman"/>
                <w:sz w:val="20"/>
                <w:szCs w:val="20"/>
                <w:lang w:val="fr-FR" w:eastAsia="ru-RU"/>
              </w:rPr>
              <w:t xml:space="preserve">, la </w:t>
            </w:r>
            <w:proofErr w:type="spellStart"/>
            <w:r w:rsidRPr="000440D5">
              <w:rPr>
                <w:rFonts w:ascii="Times New Roman" w:eastAsia="Times New Roman" w:hAnsi="Times New Roman"/>
                <w:sz w:val="20"/>
                <w:szCs w:val="20"/>
                <w:lang w:val="fr-FR" w:eastAsia="ru-RU"/>
              </w:rPr>
              <w:t>nivelul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Uniunii</w:t>
            </w:r>
            <w:proofErr w:type="spellEnd"/>
            <w:r w:rsidRPr="000440D5">
              <w:rPr>
                <w:rFonts w:ascii="Times New Roman" w:eastAsia="Times New Roman" w:hAnsi="Times New Roman"/>
                <w:sz w:val="20"/>
                <w:szCs w:val="20"/>
                <w:lang w:val="fr-FR" w:eastAsia="ru-RU"/>
              </w:rPr>
              <w:t>;</w:t>
            </w:r>
          </w:p>
          <w:p w14:paraId="1F19E3A5" w14:textId="77777777" w:rsidR="00E8294E" w:rsidRPr="000440D5" w:rsidRDefault="00E8294E" w:rsidP="000C5A3B">
            <w:pPr>
              <w:pStyle w:val="af3"/>
              <w:numPr>
                <w:ilvl w:val="0"/>
                <w:numId w:val="97"/>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obiectivul</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național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obligatoriu</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pentru</w:t>
            </w:r>
            <w:proofErr w:type="spellEnd"/>
            <w:r w:rsidRPr="000440D5">
              <w:rPr>
                <w:rFonts w:ascii="Times New Roman" w:eastAsia="Times New Roman" w:hAnsi="Times New Roman"/>
                <w:sz w:val="20"/>
                <w:szCs w:val="20"/>
                <w:lang w:val="fr-FR" w:eastAsia="ru-RU"/>
              </w:rPr>
              <w:t xml:space="preserve"> 2020 </w:t>
            </w:r>
            <w:proofErr w:type="spellStart"/>
            <w:r w:rsidRPr="000440D5">
              <w:rPr>
                <w:rFonts w:ascii="Times New Roman" w:eastAsia="Times New Roman" w:hAnsi="Times New Roman"/>
                <w:sz w:val="20"/>
                <w:szCs w:val="20"/>
                <w:lang w:val="fr-FR" w:eastAsia="ru-RU"/>
              </w:rPr>
              <w:t>privind</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energia</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din</w:t>
            </w:r>
            <w:proofErr w:type="spellEnd"/>
            <w:r w:rsidRPr="000440D5">
              <w:rPr>
                <w:rFonts w:ascii="Times New Roman" w:eastAsia="Times New Roman" w:hAnsi="Times New Roman"/>
                <w:sz w:val="20"/>
                <w:szCs w:val="20"/>
                <w:lang w:val="fr-FR" w:eastAsia="ru-RU"/>
              </w:rPr>
              <w:t xml:space="preserve"> surse </w:t>
            </w:r>
            <w:proofErr w:type="spellStart"/>
            <w:r w:rsidRPr="000440D5">
              <w:rPr>
                <w:rFonts w:ascii="Times New Roman" w:eastAsia="Times New Roman" w:hAnsi="Times New Roman"/>
                <w:sz w:val="20"/>
                <w:szCs w:val="20"/>
                <w:lang w:val="fr-FR" w:eastAsia="ru-RU"/>
              </w:rPr>
              <w:t>regenerabile</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consumul</w:t>
            </w:r>
            <w:proofErr w:type="spellEnd"/>
            <w:r w:rsidRPr="000440D5">
              <w:rPr>
                <w:rFonts w:ascii="Times New Roman" w:eastAsia="Times New Roman" w:hAnsi="Times New Roman"/>
                <w:sz w:val="20"/>
                <w:szCs w:val="20"/>
                <w:lang w:val="fr-FR" w:eastAsia="ru-RU"/>
              </w:rPr>
              <w:t xml:space="preserve"> final brut de </w:t>
            </w:r>
            <w:proofErr w:type="spellStart"/>
            <w:r w:rsidRPr="000440D5">
              <w:rPr>
                <w:rFonts w:ascii="Times New Roman" w:eastAsia="Times New Roman" w:hAnsi="Times New Roman"/>
                <w:sz w:val="20"/>
                <w:szCs w:val="20"/>
                <w:lang w:val="fr-FR" w:eastAsia="ru-RU"/>
              </w:rPr>
              <w:t>energie</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prevăzut</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anexa</w:t>
            </w:r>
            <w:proofErr w:type="spellEnd"/>
            <w:r w:rsidRPr="000440D5">
              <w:rPr>
                <w:rFonts w:ascii="Times New Roman" w:eastAsia="Times New Roman" w:hAnsi="Times New Roman"/>
                <w:sz w:val="20"/>
                <w:szCs w:val="20"/>
                <w:lang w:val="fr-FR" w:eastAsia="ru-RU"/>
              </w:rPr>
              <w:t xml:space="preserve"> I la </w:t>
            </w:r>
            <w:proofErr w:type="spellStart"/>
            <w:r w:rsidRPr="000440D5">
              <w:rPr>
                <w:rFonts w:ascii="Times New Roman" w:eastAsia="Times New Roman" w:hAnsi="Times New Roman"/>
                <w:sz w:val="20"/>
                <w:szCs w:val="20"/>
                <w:lang w:val="fr-FR" w:eastAsia="ru-RU"/>
              </w:rPr>
              <w:t>Directiva</w:t>
            </w:r>
            <w:proofErr w:type="spellEnd"/>
            <w:r w:rsidRPr="000440D5">
              <w:rPr>
                <w:rFonts w:ascii="Times New Roman" w:eastAsia="Times New Roman" w:hAnsi="Times New Roman"/>
                <w:sz w:val="20"/>
                <w:szCs w:val="20"/>
                <w:lang w:val="fr-FR" w:eastAsia="ru-RU"/>
              </w:rPr>
              <w:t xml:space="preserve"> (UE) 2018/2001;</w:t>
            </w:r>
          </w:p>
          <w:p w14:paraId="1D279244" w14:textId="2CDEE6A7" w:rsidR="00E8294E" w:rsidRPr="000440D5" w:rsidRDefault="00E8294E" w:rsidP="000C5A3B">
            <w:pPr>
              <w:pStyle w:val="af3"/>
              <w:numPr>
                <w:ilvl w:val="0"/>
                <w:numId w:val="97"/>
              </w:numPr>
              <w:spacing w:after="0" w:line="240" w:lineRule="auto"/>
              <w:jc w:val="both"/>
              <w:rPr>
                <w:rFonts w:ascii="Times New Roman" w:eastAsia="Times New Roman" w:hAnsi="Times New Roman"/>
                <w:sz w:val="20"/>
                <w:szCs w:val="20"/>
                <w:lang w:val="fr-FR" w:eastAsia="ru-RU"/>
              </w:rPr>
            </w:pPr>
            <w:proofErr w:type="spellStart"/>
            <w:r w:rsidRPr="000440D5">
              <w:rPr>
                <w:rFonts w:ascii="Times New Roman" w:eastAsia="Times New Roman" w:hAnsi="Times New Roman"/>
                <w:sz w:val="20"/>
                <w:szCs w:val="20"/>
                <w:lang w:val="en-US" w:eastAsia="ru-RU"/>
              </w:rPr>
              <w:t>toate</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circumstanțele</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relevante</w:t>
            </w:r>
            <w:proofErr w:type="spellEnd"/>
            <w:r w:rsidRPr="000440D5">
              <w:rPr>
                <w:rFonts w:ascii="Times New Roman" w:eastAsia="Times New Roman" w:hAnsi="Times New Roman"/>
                <w:sz w:val="20"/>
                <w:szCs w:val="20"/>
                <w:lang w:val="en-US" w:eastAsia="ru-RU"/>
              </w:rPr>
              <w:t xml:space="preserve"> care </w:t>
            </w:r>
            <w:proofErr w:type="spellStart"/>
            <w:r w:rsidRPr="000440D5">
              <w:rPr>
                <w:rFonts w:ascii="Times New Roman" w:eastAsia="Times New Roman" w:hAnsi="Times New Roman"/>
                <w:sz w:val="20"/>
                <w:szCs w:val="20"/>
                <w:lang w:val="en-US" w:eastAsia="ru-RU"/>
              </w:rPr>
              <w:t>afectează</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utilizarea</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surselor</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regenerabile</w:t>
            </w:r>
            <w:proofErr w:type="spellEnd"/>
            <w:r w:rsidRPr="000440D5">
              <w:rPr>
                <w:rFonts w:ascii="Times New Roman" w:eastAsia="Times New Roman" w:hAnsi="Times New Roman"/>
                <w:sz w:val="20"/>
                <w:szCs w:val="20"/>
                <w:lang w:val="en-US" w:eastAsia="ru-RU"/>
              </w:rPr>
              <w:t xml:space="preserve"> de </w:t>
            </w:r>
            <w:proofErr w:type="spellStart"/>
            <w:r w:rsidRPr="000440D5">
              <w:rPr>
                <w:rFonts w:ascii="Times New Roman" w:eastAsia="Times New Roman" w:hAnsi="Times New Roman"/>
                <w:sz w:val="20"/>
                <w:szCs w:val="20"/>
                <w:lang w:val="en-US" w:eastAsia="ru-RU"/>
              </w:rPr>
              <w:t>energie</w:t>
            </w:r>
            <w:proofErr w:type="spellEnd"/>
            <w:r w:rsidRPr="000440D5">
              <w:rPr>
                <w:rFonts w:ascii="Times New Roman" w:eastAsia="Times New Roman" w:hAnsi="Times New Roman"/>
                <w:sz w:val="20"/>
                <w:szCs w:val="20"/>
                <w:lang w:val="en-US" w:eastAsia="ru-RU"/>
              </w:rPr>
              <w:t xml:space="preserve">, cum </w:t>
            </w:r>
            <w:proofErr w:type="spellStart"/>
            <w:r w:rsidRPr="000440D5">
              <w:rPr>
                <w:rFonts w:ascii="Times New Roman" w:eastAsia="Times New Roman" w:hAnsi="Times New Roman"/>
                <w:sz w:val="20"/>
                <w:szCs w:val="20"/>
                <w:lang w:val="en-US" w:eastAsia="ru-RU"/>
              </w:rPr>
              <w:t>ar</w:t>
            </w:r>
            <w:proofErr w:type="spellEnd"/>
            <w:r w:rsidRPr="000440D5">
              <w:rPr>
                <w:rFonts w:ascii="Times New Roman" w:eastAsia="Times New Roman" w:hAnsi="Times New Roman"/>
                <w:sz w:val="20"/>
                <w:szCs w:val="20"/>
                <w:lang w:val="en-US" w:eastAsia="ru-RU"/>
              </w:rPr>
              <w:t xml:space="preserve"> fi:</w:t>
            </w:r>
          </w:p>
          <w:p w14:paraId="7E436E0E" w14:textId="3C66A3FF"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r w:rsidRPr="000440D5">
              <w:rPr>
                <w:rFonts w:ascii="Times New Roman" w:eastAsia="Times New Roman" w:hAnsi="Times New Roman"/>
                <w:sz w:val="20"/>
                <w:szCs w:val="20"/>
                <w:lang w:val="en-US" w:eastAsia="ru-RU"/>
              </w:rPr>
              <w:t>distribuția</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echitabilă</w:t>
            </w:r>
            <w:proofErr w:type="spellEnd"/>
            <w:r w:rsidRPr="000440D5">
              <w:rPr>
                <w:rFonts w:ascii="Times New Roman" w:eastAsia="Times New Roman" w:hAnsi="Times New Roman"/>
                <w:sz w:val="20"/>
                <w:szCs w:val="20"/>
                <w:lang w:val="en-US" w:eastAsia="ru-RU"/>
              </w:rPr>
              <w:t xml:space="preserve"> </w:t>
            </w:r>
            <w:proofErr w:type="gramStart"/>
            <w:r w:rsidRPr="000440D5">
              <w:rPr>
                <w:rFonts w:ascii="Times New Roman" w:eastAsia="Times New Roman" w:hAnsi="Times New Roman"/>
                <w:sz w:val="20"/>
                <w:szCs w:val="20"/>
                <w:lang w:val="en-US" w:eastAsia="ru-RU"/>
              </w:rPr>
              <w:t>a</w:t>
            </w:r>
            <w:proofErr w:type="gram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instalațiilor</w:t>
            </w:r>
            <w:proofErr w:type="spellEnd"/>
            <w:r w:rsidRPr="000440D5">
              <w:rPr>
                <w:rFonts w:ascii="Times New Roman" w:eastAsia="Times New Roman" w:hAnsi="Times New Roman"/>
                <w:sz w:val="20"/>
                <w:szCs w:val="20"/>
                <w:lang w:val="en-US" w:eastAsia="ru-RU"/>
              </w:rPr>
              <w:t xml:space="preserve"> în </w:t>
            </w:r>
            <w:proofErr w:type="spellStart"/>
            <w:r w:rsidRPr="000440D5">
              <w:rPr>
                <w:rFonts w:ascii="Times New Roman" w:eastAsia="Times New Roman" w:hAnsi="Times New Roman"/>
                <w:sz w:val="20"/>
                <w:szCs w:val="20"/>
                <w:lang w:val="en-US" w:eastAsia="ru-RU"/>
              </w:rPr>
              <w:t>întreaga</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Uniune</w:t>
            </w:r>
            <w:proofErr w:type="spellEnd"/>
            <w:r w:rsidRPr="000440D5">
              <w:rPr>
                <w:rFonts w:ascii="Times New Roman" w:eastAsia="Times New Roman" w:hAnsi="Times New Roman"/>
                <w:sz w:val="20"/>
                <w:szCs w:val="20"/>
                <w:lang w:val="en-US" w:eastAsia="ru-RU"/>
              </w:rPr>
              <w:t>;</w:t>
            </w:r>
          </w:p>
          <w:p w14:paraId="48AE4FA5" w14:textId="3B4B9872"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condițiile</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en-US" w:eastAsia="ru-RU"/>
              </w:rPr>
              <w:t>economice</w:t>
            </w:r>
            <w:proofErr w:type="spellEnd"/>
            <w:r w:rsidRPr="000440D5">
              <w:rPr>
                <w:rFonts w:ascii="Times New Roman" w:eastAsia="Times New Roman" w:hAnsi="Times New Roman"/>
                <w:sz w:val="20"/>
                <w:szCs w:val="20"/>
                <w:lang w:val="en-US" w:eastAsia="ru-RU"/>
              </w:rPr>
              <w:t xml:space="preserve"> și </w:t>
            </w:r>
            <w:proofErr w:type="spellStart"/>
            <w:r w:rsidRPr="000440D5">
              <w:rPr>
                <w:rFonts w:ascii="Times New Roman" w:eastAsia="Times New Roman" w:hAnsi="Times New Roman"/>
                <w:sz w:val="20"/>
                <w:szCs w:val="20"/>
                <w:lang w:val="en-US" w:eastAsia="ru-RU"/>
              </w:rPr>
              <w:t>potențialul</w:t>
            </w:r>
            <w:proofErr w:type="spellEnd"/>
            <w:r w:rsidRPr="000440D5">
              <w:rPr>
                <w:rFonts w:ascii="Times New Roman" w:eastAsia="Times New Roman" w:hAnsi="Times New Roman"/>
                <w:sz w:val="20"/>
                <w:szCs w:val="20"/>
                <w:lang w:val="en-US" w:eastAsia="ru-RU"/>
              </w:rPr>
              <w:t xml:space="preserve"> economic, </w:t>
            </w:r>
            <w:proofErr w:type="spellStart"/>
            <w:r w:rsidRPr="000440D5">
              <w:rPr>
                <w:rFonts w:ascii="Times New Roman" w:eastAsia="Times New Roman" w:hAnsi="Times New Roman"/>
                <w:sz w:val="20"/>
                <w:szCs w:val="20"/>
                <w:lang w:val="en-US" w:eastAsia="ru-RU"/>
              </w:rPr>
              <w:t>inclusiv</w:t>
            </w:r>
            <w:proofErr w:type="spellEnd"/>
            <w:r w:rsidRPr="000440D5">
              <w:rPr>
                <w:rFonts w:ascii="Times New Roman" w:eastAsia="Times New Roman" w:hAnsi="Times New Roman"/>
                <w:sz w:val="20"/>
                <w:szCs w:val="20"/>
                <w:lang w:val="en-US" w:eastAsia="ru-RU"/>
              </w:rPr>
              <w:t xml:space="preserve"> PIB-</w:t>
            </w:r>
            <w:proofErr w:type="spellStart"/>
            <w:r w:rsidRPr="000440D5">
              <w:rPr>
                <w:rFonts w:ascii="Times New Roman" w:eastAsia="Times New Roman" w:hAnsi="Times New Roman"/>
                <w:sz w:val="20"/>
                <w:szCs w:val="20"/>
                <w:lang w:val="en-US" w:eastAsia="ru-RU"/>
              </w:rPr>
              <w:t>ul</w:t>
            </w:r>
            <w:proofErr w:type="spellEnd"/>
            <w:r w:rsidRPr="000440D5">
              <w:rPr>
                <w:rFonts w:ascii="Times New Roman" w:eastAsia="Times New Roman" w:hAnsi="Times New Roman"/>
                <w:sz w:val="20"/>
                <w:szCs w:val="20"/>
                <w:lang w:val="en-US" w:eastAsia="ru-RU"/>
              </w:rPr>
              <w:t xml:space="preserve"> pe cap de </w:t>
            </w:r>
            <w:proofErr w:type="spellStart"/>
            <w:r w:rsidRPr="000440D5">
              <w:rPr>
                <w:rFonts w:ascii="Times New Roman" w:eastAsia="Times New Roman" w:hAnsi="Times New Roman"/>
                <w:sz w:val="20"/>
                <w:szCs w:val="20"/>
                <w:lang w:val="en-US" w:eastAsia="ru-RU"/>
              </w:rPr>
              <w:t>locuitor</w:t>
            </w:r>
            <w:proofErr w:type="spellEnd"/>
            <w:r w:rsidRPr="000440D5">
              <w:rPr>
                <w:rFonts w:ascii="Times New Roman" w:eastAsia="Times New Roman" w:hAnsi="Times New Roman"/>
                <w:sz w:val="20"/>
                <w:szCs w:val="20"/>
                <w:lang w:val="en-US" w:eastAsia="ru-RU"/>
              </w:rPr>
              <w:t>;</w:t>
            </w:r>
          </w:p>
          <w:p w14:paraId="5E24114C" w14:textId="05BF3C18"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potențialul</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instalării</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rentabile</w:t>
            </w:r>
            <w:proofErr w:type="spellEnd"/>
            <w:r w:rsidRPr="000440D5">
              <w:rPr>
                <w:rFonts w:ascii="Times New Roman" w:eastAsia="Times New Roman" w:hAnsi="Times New Roman"/>
                <w:sz w:val="20"/>
                <w:szCs w:val="20"/>
                <w:lang w:val="fr-FR" w:eastAsia="ru-RU"/>
              </w:rPr>
              <w:t xml:space="preserve"> a </w:t>
            </w:r>
            <w:proofErr w:type="spellStart"/>
            <w:r w:rsidRPr="000440D5">
              <w:rPr>
                <w:rFonts w:ascii="Times New Roman" w:eastAsia="Times New Roman" w:hAnsi="Times New Roman"/>
                <w:sz w:val="20"/>
                <w:szCs w:val="20"/>
                <w:lang w:val="fr-FR" w:eastAsia="ru-RU"/>
              </w:rPr>
              <w:t>surselor</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regenerabile</w:t>
            </w:r>
            <w:proofErr w:type="spell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energie</w:t>
            </w:r>
            <w:proofErr w:type="spellEnd"/>
            <w:r w:rsidRPr="000440D5">
              <w:rPr>
                <w:rFonts w:ascii="Times New Roman" w:eastAsia="Times New Roman" w:hAnsi="Times New Roman"/>
                <w:sz w:val="20"/>
                <w:szCs w:val="20"/>
                <w:lang w:val="fr-FR" w:eastAsia="ru-RU"/>
              </w:rPr>
              <w:t>;</w:t>
            </w:r>
          </w:p>
          <w:p w14:paraId="14711B92" w14:textId="6C62A893"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r w:rsidRPr="000440D5">
              <w:rPr>
                <w:rFonts w:ascii="Times New Roman" w:eastAsia="Times New Roman" w:hAnsi="Times New Roman"/>
                <w:sz w:val="20"/>
                <w:szCs w:val="20"/>
                <w:lang w:val="en-US" w:eastAsia="ru-RU"/>
              </w:rPr>
              <w:t>constrângerile</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geografice</w:t>
            </w:r>
            <w:proofErr w:type="spellEnd"/>
            <w:r w:rsidRPr="000440D5">
              <w:rPr>
                <w:rFonts w:ascii="Times New Roman" w:eastAsia="Times New Roman" w:hAnsi="Times New Roman"/>
                <w:sz w:val="20"/>
                <w:szCs w:val="20"/>
                <w:lang w:val="en-US" w:eastAsia="ru-RU"/>
              </w:rPr>
              <w:t xml:space="preserve">, de </w:t>
            </w:r>
            <w:proofErr w:type="spellStart"/>
            <w:r w:rsidRPr="000440D5">
              <w:rPr>
                <w:rFonts w:ascii="Times New Roman" w:eastAsia="Times New Roman" w:hAnsi="Times New Roman"/>
                <w:sz w:val="20"/>
                <w:szCs w:val="20"/>
                <w:lang w:val="en-US" w:eastAsia="ru-RU"/>
              </w:rPr>
              <w:t>mediu</w:t>
            </w:r>
            <w:proofErr w:type="spellEnd"/>
            <w:r w:rsidRPr="000440D5">
              <w:rPr>
                <w:rFonts w:ascii="Times New Roman" w:eastAsia="Times New Roman" w:hAnsi="Times New Roman"/>
                <w:sz w:val="20"/>
                <w:szCs w:val="20"/>
                <w:lang w:val="en-US" w:eastAsia="ru-RU"/>
              </w:rPr>
              <w:t xml:space="preserve"> și naturale, </w:t>
            </w:r>
            <w:proofErr w:type="spellStart"/>
            <w:r w:rsidRPr="000440D5">
              <w:rPr>
                <w:rFonts w:ascii="Times New Roman" w:eastAsia="Times New Roman" w:hAnsi="Times New Roman"/>
                <w:sz w:val="20"/>
                <w:szCs w:val="20"/>
                <w:lang w:val="en-US" w:eastAsia="ru-RU"/>
              </w:rPr>
              <w:t>inclusiv</w:t>
            </w:r>
            <w:proofErr w:type="spellEnd"/>
            <w:r w:rsidRPr="000440D5">
              <w:rPr>
                <w:rFonts w:ascii="Times New Roman" w:eastAsia="Times New Roman" w:hAnsi="Times New Roman"/>
                <w:sz w:val="20"/>
                <w:szCs w:val="20"/>
                <w:lang w:val="en-US" w:eastAsia="ru-RU"/>
              </w:rPr>
              <w:t xml:space="preserve"> </w:t>
            </w:r>
            <w:proofErr w:type="spellStart"/>
            <w:r w:rsidRPr="000440D5">
              <w:rPr>
                <w:rFonts w:ascii="Times New Roman" w:eastAsia="Times New Roman" w:hAnsi="Times New Roman"/>
                <w:sz w:val="20"/>
                <w:szCs w:val="20"/>
                <w:lang w:val="en-US" w:eastAsia="ru-RU"/>
              </w:rPr>
              <w:t>cele</w:t>
            </w:r>
            <w:proofErr w:type="spellEnd"/>
            <w:r w:rsidRPr="000440D5">
              <w:rPr>
                <w:rFonts w:ascii="Times New Roman" w:eastAsia="Times New Roman" w:hAnsi="Times New Roman"/>
                <w:sz w:val="20"/>
                <w:szCs w:val="20"/>
                <w:lang w:val="en-US" w:eastAsia="ru-RU"/>
              </w:rPr>
              <w:t xml:space="preserve"> din </w:t>
            </w:r>
            <w:proofErr w:type="spellStart"/>
            <w:r w:rsidRPr="000440D5">
              <w:rPr>
                <w:rFonts w:ascii="Times New Roman" w:eastAsia="Times New Roman" w:hAnsi="Times New Roman"/>
                <w:sz w:val="20"/>
                <w:szCs w:val="20"/>
                <w:lang w:val="en-US" w:eastAsia="ru-RU"/>
              </w:rPr>
              <w:t>zonele</w:t>
            </w:r>
            <w:proofErr w:type="spellEnd"/>
            <w:r w:rsidRPr="000440D5">
              <w:rPr>
                <w:rFonts w:ascii="Times New Roman" w:eastAsia="Times New Roman" w:hAnsi="Times New Roman"/>
                <w:sz w:val="20"/>
                <w:szCs w:val="20"/>
                <w:lang w:val="en-US" w:eastAsia="ru-RU"/>
              </w:rPr>
              <w:t xml:space="preserve"> și </w:t>
            </w:r>
            <w:proofErr w:type="spellStart"/>
            <w:r w:rsidRPr="000440D5">
              <w:rPr>
                <w:rFonts w:ascii="Times New Roman" w:eastAsia="Times New Roman" w:hAnsi="Times New Roman"/>
                <w:sz w:val="20"/>
                <w:szCs w:val="20"/>
                <w:lang w:val="en-US" w:eastAsia="ru-RU"/>
              </w:rPr>
              <w:t>regiunile</w:t>
            </w:r>
            <w:proofErr w:type="spellEnd"/>
            <w:r w:rsidRPr="000440D5">
              <w:rPr>
                <w:rFonts w:ascii="Times New Roman" w:eastAsia="Times New Roman" w:hAnsi="Times New Roman"/>
                <w:sz w:val="20"/>
                <w:szCs w:val="20"/>
                <w:lang w:val="en-US" w:eastAsia="ru-RU"/>
              </w:rPr>
              <w:t xml:space="preserve"> care nu sunt </w:t>
            </w:r>
            <w:proofErr w:type="spellStart"/>
            <w:r w:rsidRPr="000440D5">
              <w:rPr>
                <w:rFonts w:ascii="Times New Roman" w:eastAsia="Times New Roman" w:hAnsi="Times New Roman"/>
                <w:sz w:val="20"/>
                <w:szCs w:val="20"/>
                <w:lang w:val="en-US" w:eastAsia="ru-RU"/>
              </w:rPr>
              <w:t>interconectate</w:t>
            </w:r>
            <w:proofErr w:type="spellEnd"/>
            <w:r w:rsidRPr="000440D5">
              <w:rPr>
                <w:rFonts w:ascii="Times New Roman" w:eastAsia="Times New Roman" w:hAnsi="Times New Roman"/>
                <w:sz w:val="20"/>
                <w:szCs w:val="20"/>
                <w:lang w:val="en-US" w:eastAsia="ru-RU"/>
              </w:rPr>
              <w:t>;</w:t>
            </w:r>
          </w:p>
          <w:p w14:paraId="1FEA1347" w14:textId="60F44337"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nivelul</w:t>
            </w:r>
            <w:proofErr w:type="spellEnd"/>
            <w:proofErr w:type="gram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interconectare</w:t>
            </w:r>
            <w:proofErr w:type="spellEnd"/>
            <w:r w:rsidRPr="000440D5">
              <w:rPr>
                <w:rFonts w:ascii="Times New Roman" w:eastAsia="Times New Roman" w:hAnsi="Times New Roman"/>
                <w:sz w:val="20"/>
                <w:szCs w:val="20"/>
                <w:lang w:val="fr-FR" w:eastAsia="ru-RU"/>
              </w:rPr>
              <w:t xml:space="preserve"> a </w:t>
            </w:r>
            <w:proofErr w:type="spellStart"/>
            <w:r w:rsidRPr="000440D5">
              <w:rPr>
                <w:rFonts w:ascii="Times New Roman" w:eastAsia="Times New Roman" w:hAnsi="Times New Roman"/>
                <w:sz w:val="20"/>
                <w:szCs w:val="20"/>
                <w:lang w:val="fr-FR" w:eastAsia="ru-RU"/>
              </w:rPr>
              <w:t>rețelelor</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electrice</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între</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statele</w:t>
            </w:r>
            <w:proofErr w:type="spellEnd"/>
            <w:r w:rsidRPr="000440D5">
              <w:rPr>
                <w:rFonts w:ascii="Times New Roman" w:eastAsia="Times New Roman" w:hAnsi="Times New Roman"/>
                <w:sz w:val="20"/>
                <w:szCs w:val="20"/>
                <w:lang w:val="fr-FR" w:eastAsia="ru-RU"/>
              </w:rPr>
              <w:t xml:space="preserve"> membre;</w:t>
            </w:r>
          </w:p>
          <w:p w14:paraId="15C37EB5" w14:textId="43F029F6" w:rsidR="00F014B6" w:rsidRPr="000440D5" w:rsidRDefault="00F014B6" w:rsidP="000C5A3B">
            <w:pPr>
              <w:pStyle w:val="af3"/>
              <w:numPr>
                <w:ilvl w:val="0"/>
                <w:numId w:val="98"/>
              </w:numPr>
              <w:spacing w:after="0" w:line="240" w:lineRule="auto"/>
              <w:jc w:val="both"/>
              <w:rPr>
                <w:rFonts w:ascii="Times New Roman" w:eastAsia="Times New Roman" w:hAnsi="Times New Roman"/>
                <w:sz w:val="20"/>
                <w:szCs w:val="20"/>
                <w:lang w:val="fr-FR" w:eastAsia="ru-RU"/>
              </w:rPr>
            </w:pPr>
            <w:proofErr w:type="spellStart"/>
            <w:proofErr w:type="gramStart"/>
            <w:r w:rsidRPr="000440D5">
              <w:rPr>
                <w:rFonts w:ascii="Times New Roman" w:eastAsia="Times New Roman" w:hAnsi="Times New Roman"/>
                <w:sz w:val="20"/>
                <w:szCs w:val="20"/>
                <w:lang w:val="fr-FR" w:eastAsia="ru-RU"/>
              </w:rPr>
              <w:t>alte</w:t>
            </w:r>
            <w:proofErr w:type="spellEnd"/>
            <w:proofErr w:type="gram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împrejurări</w:t>
            </w:r>
            <w:proofErr w:type="spellEnd"/>
            <w:r w:rsidRPr="000440D5">
              <w:rPr>
                <w:rFonts w:ascii="Times New Roman" w:eastAsia="Times New Roman" w:hAnsi="Times New Roman"/>
                <w:sz w:val="20"/>
                <w:szCs w:val="20"/>
                <w:lang w:val="fr-FR" w:eastAsia="ru-RU"/>
              </w:rPr>
              <w:t xml:space="preserve"> pertinente, în </w:t>
            </w:r>
            <w:proofErr w:type="spellStart"/>
            <w:r w:rsidRPr="000440D5">
              <w:rPr>
                <w:rFonts w:ascii="Times New Roman" w:eastAsia="Times New Roman" w:hAnsi="Times New Roman"/>
                <w:sz w:val="20"/>
                <w:szCs w:val="20"/>
                <w:lang w:val="fr-FR" w:eastAsia="ru-RU"/>
              </w:rPr>
              <w:t>special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eforturile</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timpurii</w:t>
            </w:r>
            <w:proofErr w:type="spellEnd"/>
            <w:r w:rsidRPr="000440D5">
              <w:rPr>
                <w:rFonts w:ascii="Times New Roman" w:eastAsia="Times New Roman" w:hAnsi="Times New Roman"/>
                <w:sz w:val="20"/>
                <w:szCs w:val="20"/>
                <w:lang w:val="fr-FR" w:eastAsia="ru-RU"/>
              </w:rPr>
              <w:t>.</w:t>
            </w:r>
          </w:p>
          <w:p w14:paraId="0153FEB8" w14:textId="6FB58641" w:rsidR="00D37AB7" w:rsidRPr="000440D5" w:rsidRDefault="00D37AB7" w:rsidP="00F014B6">
            <w:pPr>
              <w:spacing w:after="0" w:line="240" w:lineRule="auto"/>
              <w:jc w:val="both"/>
              <w:rPr>
                <w:rFonts w:ascii="Times New Roman" w:eastAsia="Times New Roman" w:hAnsi="Times New Roman"/>
                <w:sz w:val="20"/>
                <w:szCs w:val="20"/>
                <w:lang w:val="fr-FR" w:eastAsia="ru-RU"/>
              </w:rPr>
            </w:pPr>
            <w:r w:rsidRPr="000440D5">
              <w:rPr>
                <w:rFonts w:ascii="Times New Roman" w:eastAsia="Times New Roman" w:hAnsi="Times New Roman"/>
                <w:sz w:val="20"/>
                <w:szCs w:val="20"/>
                <w:lang w:val="fr-FR" w:eastAsia="ru-RU"/>
              </w:rPr>
              <w:t xml:space="preserve">În </w:t>
            </w:r>
            <w:proofErr w:type="spellStart"/>
            <w:r w:rsidRPr="000440D5">
              <w:rPr>
                <w:rFonts w:ascii="Times New Roman" w:eastAsia="Times New Roman" w:hAnsi="Times New Roman"/>
                <w:sz w:val="20"/>
                <w:szCs w:val="20"/>
                <w:lang w:val="fr-FR" w:eastAsia="ru-RU"/>
              </w:rPr>
              <w:t>ceea</w:t>
            </w:r>
            <w:proofErr w:type="spellEnd"/>
            <w:r w:rsidRPr="000440D5">
              <w:rPr>
                <w:rFonts w:ascii="Times New Roman" w:eastAsia="Times New Roman" w:hAnsi="Times New Roman"/>
                <w:sz w:val="20"/>
                <w:szCs w:val="20"/>
                <w:lang w:val="fr-FR" w:eastAsia="ru-RU"/>
              </w:rPr>
              <w:t xml:space="preserve"> ce </w:t>
            </w:r>
            <w:proofErr w:type="spellStart"/>
            <w:r w:rsidRPr="000440D5">
              <w:rPr>
                <w:rFonts w:ascii="Times New Roman" w:eastAsia="Times New Roman" w:hAnsi="Times New Roman"/>
                <w:sz w:val="20"/>
                <w:szCs w:val="20"/>
                <w:lang w:val="fr-FR" w:eastAsia="ru-RU"/>
              </w:rPr>
              <w:t>privește</w:t>
            </w:r>
            <w:proofErr w:type="spellEnd"/>
            <w:r w:rsidRPr="000440D5">
              <w:rPr>
                <w:rFonts w:ascii="Times New Roman" w:eastAsia="Times New Roman" w:hAnsi="Times New Roman"/>
                <w:sz w:val="20"/>
                <w:szCs w:val="20"/>
                <w:lang w:val="fr-FR" w:eastAsia="ru-RU"/>
              </w:rPr>
              <w:t xml:space="preserve"> litera</w:t>
            </w:r>
            <w:r w:rsidR="00F014B6" w:rsidRPr="000440D5">
              <w:rPr>
                <w:rFonts w:ascii="Times New Roman" w:eastAsia="Times New Roman" w:hAnsi="Times New Roman"/>
                <w:sz w:val="20"/>
                <w:szCs w:val="20"/>
                <w:lang w:val="fr-FR" w:eastAsia="ru-RU"/>
              </w:rPr>
              <w:t xml:space="preserve"> </w:t>
            </w:r>
            <w:r w:rsidRPr="000440D5">
              <w:rPr>
                <w:rFonts w:ascii="Times New Roman" w:eastAsia="Times New Roman" w:hAnsi="Times New Roman"/>
                <w:sz w:val="20"/>
                <w:szCs w:val="20"/>
                <w:lang w:val="fr-FR" w:eastAsia="ru-RU"/>
              </w:rPr>
              <w:t xml:space="preserve">(e) de la </w:t>
            </w:r>
            <w:proofErr w:type="spellStart"/>
            <w:r w:rsidRPr="000440D5">
              <w:rPr>
                <w:rFonts w:ascii="Times New Roman" w:eastAsia="Times New Roman" w:hAnsi="Times New Roman"/>
                <w:sz w:val="20"/>
                <w:szCs w:val="20"/>
                <w:lang w:val="fr-FR" w:eastAsia="ru-RU"/>
              </w:rPr>
              <w:t>primul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paragraf</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fiecare</w:t>
            </w:r>
            <w:proofErr w:type="spellEnd"/>
            <w:r w:rsidRPr="000440D5">
              <w:rPr>
                <w:rFonts w:ascii="Times New Roman" w:eastAsia="Times New Roman" w:hAnsi="Times New Roman"/>
                <w:sz w:val="20"/>
                <w:szCs w:val="20"/>
                <w:lang w:val="fr-FR" w:eastAsia="ru-RU"/>
              </w:rPr>
              <w:t xml:space="preserve"> stat membru </w:t>
            </w:r>
            <w:proofErr w:type="spellStart"/>
            <w:r w:rsidRPr="000440D5">
              <w:rPr>
                <w:rFonts w:ascii="Times New Roman" w:eastAsia="Times New Roman" w:hAnsi="Times New Roman"/>
                <w:sz w:val="20"/>
                <w:szCs w:val="20"/>
                <w:lang w:val="fr-FR" w:eastAsia="ru-RU"/>
              </w:rPr>
              <w:t>indică</w:t>
            </w:r>
            <w:proofErr w:type="spellEnd"/>
            <w:r w:rsidRPr="000440D5">
              <w:rPr>
                <w:rFonts w:ascii="Times New Roman" w:eastAsia="Times New Roman" w:hAnsi="Times New Roman"/>
                <w:sz w:val="20"/>
                <w:szCs w:val="20"/>
                <w:lang w:val="fr-FR" w:eastAsia="ru-RU"/>
              </w:rPr>
              <w:t xml:space="preserve"> în </w:t>
            </w:r>
            <w:proofErr w:type="spellStart"/>
            <w:r w:rsidRPr="000440D5">
              <w:rPr>
                <w:rFonts w:ascii="Times New Roman" w:eastAsia="Times New Roman" w:hAnsi="Times New Roman"/>
                <w:sz w:val="20"/>
                <w:szCs w:val="20"/>
                <w:lang w:val="fr-FR" w:eastAsia="ru-RU"/>
              </w:rPr>
              <w:t>planul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său</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național</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integrat</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privind</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energia</w:t>
            </w:r>
            <w:proofErr w:type="spellEnd"/>
            <w:r w:rsidRPr="000440D5">
              <w:rPr>
                <w:rFonts w:ascii="Times New Roman" w:eastAsia="Times New Roman" w:hAnsi="Times New Roman"/>
                <w:sz w:val="20"/>
                <w:szCs w:val="20"/>
                <w:lang w:val="fr-FR" w:eastAsia="ru-RU"/>
              </w:rPr>
              <w:t xml:space="preserve"> și </w:t>
            </w:r>
            <w:proofErr w:type="spellStart"/>
            <w:r w:rsidRPr="000440D5">
              <w:rPr>
                <w:rFonts w:ascii="Times New Roman" w:eastAsia="Times New Roman" w:hAnsi="Times New Roman"/>
                <w:sz w:val="20"/>
                <w:szCs w:val="20"/>
                <w:lang w:val="fr-FR" w:eastAsia="ru-RU"/>
              </w:rPr>
              <w:t>clima</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circumstanțele</w:t>
            </w:r>
            <w:proofErr w:type="spellEnd"/>
            <w:r w:rsidRPr="000440D5">
              <w:rPr>
                <w:rFonts w:ascii="Times New Roman" w:eastAsia="Times New Roman" w:hAnsi="Times New Roman"/>
                <w:sz w:val="20"/>
                <w:szCs w:val="20"/>
                <w:lang w:val="fr-FR" w:eastAsia="ru-RU"/>
              </w:rPr>
              <w:t xml:space="preserve"> care </w:t>
            </w:r>
            <w:proofErr w:type="spellStart"/>
            <w:r w:rsidRPr="000440D5">
              <w:rPr>
                <w:rFonts w:ascii="Times New Roman" w:eastAsia="Times New Roman" w:hAnsi="Times New Roman"/>
                <w:sz w:val="20"/>
                <w:szCs w:val="20"/>
                <w:lang w:val="fr-FR" w:eastAsia="ru-RU"/>
              </w:rPr>
              <w:t>afectează</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utilizarea</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surselor</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regenerabile</w:t>
            </w:r>
            <w:proofErr w:type="spellEnd"/>
            <w:r w:rsidRPr="000440D5">
              <w:rPr>
                <w:rFonts w:ascii="Times New Roman" w:eastAsia="Times New Roman" w:hAnsi="Times New Roman"/>
                <w:sz w:val="20"/>
                <w:szCs w:val="20"/>
                <w:lang w:val="fr-FR" w:eastAsia="ru-RU"/>
              </w:rPr>
              <w:t xml:space="preserve"> de </w:t>
            </w:r>
            <w:proofErr w:type="spellStart"/>
            <w:r w:rsidRPr="000440D5">
              <w:rPr>
                <w:rFonts w:ascii="Times New Roman" w:eastAsia="Times New Roman" w:hAnsi="Times New Roman"/>
                <w:sz w:val="20"/>
                <w:szCs w:val="20"/>
                <w:lang w:val="fr-FR" w:eastAsia="ru-RU"/>
              </w:rPr>
              <w:t>energie</w:t>
            </w:r>
            <w:proofErr w:type="spellEnd"/>
            <w:r w:rsidRPr="000440D5">
              <w:rPr>
                <w:rFonts w:ascii="Times New Roman" w:eastAsia="Times New Roman" w:hAnsi="Times New Roman"/>
                <w:sz w:val="20"/>
                <w:szCs w:val="20"/>
                <w:lang w:val="fr-FR" w:eastAsia="ru-RU"/>
              </w:rPr>
              <w:t xml:space="preserve"> de care a </w:t>
            </w:r>
            <w:proofErr w:type="spellStart"/>
            <w:r w:rsidRPr="000440D5">
              <w:rPr>
                <w:rFonts w:ascii="Times New Roman" w:eastAsia="Times New Roman" w:hAnsi="Times New Roman"/>
                <w:sz w:val="20"/>
                <w:szCs w:val="20"/>
                <w:lang w:val="fr-FR" w:eastAsia="ru-RU"/>
              </w:rPr>
              <w:t>ținut</w:t>
            </w:r>
            <w:proofErr w:type="spellEnd"/>
            <w:r w:rsidRPr="000440D5">
              <w:rPr>
                <w:rFonts w:ascii="Times New Roman" w:eastAsia="Times New Roman" w:hAnsi="Times New Roman"/>
                <w:sz w:val="20"/>
                <w:szCs w:val="20"/>
                <w:lang w:val="fr-FR" w:eastAsia="ru-RU"/>
              </w:rPr>
              <w:t xml:space="preserve"> </w:t>
            </w:r>
            <w:proofErr w:type="spellStart"/>
            <w:r w:rsidRPr="000440D5">
              <w:rPr>
                <w:rFonts w:ascii="Times New Roman" w:eastAsia="Times New Roman" w:hAnsi="Times New Roman"/>
                <w:sz w:val="20"/>
                <w:szCs w:val="20"/>
                <w:lang w:val="fr-FR" w:eastAsia="ru-RU"/>
              </w:rPr>
              <w:t>cont</w:t>
            </w:r>
            <w:proofErr w:type="spellEnd"/>
            <w:r w:rsidRPr="000440D5">
              <w:rPr>
                <w:rFonts w:ascii="Times New Roman" w:eastAsia="Times New Roman" w:hAnsi="Times New Roman"/>
                <w:sz w:val="20"/>
                <w:szCs w:val="20"/>
                <w:lang w:val="fr-FR" w:eastAsia="ru-RU"/>
              </w:rPr>
              <w:t>.</w:t>
            </w:r>
          </w:p>
          <w:p w14:paraId="58DC6D49" w14:textId="77777777" w:rsidR="004823A6" w:rsidRPr="000440D5" w:rsidRDefault="004823A6" w:rsidP="00F014B6">
            <w:pPr>
              <w:spacing w:after="0" w:line="240" w:lineRule="auto"/>
              <w:jc w:val="both"/>
              <w:rPr>
                <w:rFonts w:ascii="Times New Roman" w:eastAsia="Times New Roman" w:hAnsi="Times New Roman"/>
                <w:sz w:val="20"/>
                <w:szCs w:val="20"/>
                <w:lang w:val="fr-FR" w:eastAsia="ru-RU"/>
              </w:rPr>
            </w:pPr>
          </w:p>
          <w:p w14:paraId="420875A4" w14:textId="58584EC5" w:rsidR="00D37AB7" w:rsidRPr="00F014B6" w:rsidRDefault="00D37AB7" w:rsidP="000C5A3B">
            <w:pPr>
              <w:pStyle w:val="af3"/>
              <w:numPr>
                <w:ilvl w:val="0"/>
                <w:numId w:val="85"/>
              </w:numPr>
              <w:spacing w:after="100" w:afterAutospacing="1"/>
              <w:ind w:left="470" w:hanging="357"/>
              <w:jc w:val="both"/>
              <w:rPr>
                <w:rFonts w:ascii="Times New Roman" w:hAnsi="Times New Roman"/>
                <w:sz w:val="20"/>
                <w:szCs w:val="20"/>
                <w:lang w:val="fr-FR"/>
              </w:rPr>
            </w:pPr>
            <w:proofErr w:type="spellStart"/>
            <w:r w:rsidRPr="000440D5">
              <w:rPr>
                <w:rFonts w:ascii="Times New Roman" w:hAnsi="Times New Roman"/>
                <w:sz w:val="20"/>
                <w:szCs w:val="20"/>
                <w:shd w:val="clear" w:color="auto" w:fill="FFFFFF"/>
                <w:lang w:val="fr-FR"/>
              </w:rPr>
              <w:t>Statele</w:t>
            </w:r>
            <w:proofErr w:type="spellEnd"/>
            <w:r w:rsidRPr="000440D5">
              <w:rPr>
                <w:rFonts w:ascii="Times New Roman" w:hAnsi="Times New Roman"/>
                <w:sz w:val="20"/>
                <w:szCs w:val="20"/>
                <w:shd w:val="clear" w:color="auto" w:fill="FFFFFF"/>
                <w:lang w:val="fr-FR"/>
              </w:rPr>
              <w:t xml:space="preserve"> membre </w:t>
            </w:r>
            <w:proofErr w:type="spellStart"/>
            <w:r w:rsidRPr="000440D5">
              <w:rPr>
                <w:rFonts w:ascii="Times New Roman" w:hAnsi="Times New Roman"/>
                <w:sz w:val="20"/>
                <w:szCs w:val="20"/>
                <w:shd w:val="clear" w:color="auto" w:fill="FFFFFF"/>
                <w:lang w:val="fr-FR"/>
              </w:rPr>
              <w:t>asigură</w:t>
            </w:r>
            <w:proofErr w:type="spellEnd"/>
            <w:r w:rsidRPr="000440D5">
              <w:rPr>
                <w:rFonts w:ascii="Times New Roman" w:hAnsi="Times New Roman"/>
                <w:sz w:val="20"/>
                <w:szCs w:val="20"/>
                <w:shd w:val="clear" w:color="auto" w:fill="FFFFFF"/>
                <w:lang w:val="fr-FR"/>
              </w:rPr>
              <w:t xml:space="preserve"> în mod </w:t>
            </w:r>
            <w:proofErr w:type="spellStart"/>
            <w:r w:rsidRPr="000440D5">
              <w:rPr>
                <w:rFonts w:ascii="Times New Roman" w:hAnsi="Times New Roman"/>
                <w:sz w:val="20"/>
                <w:szCs w:val="20"/>
                <w:shd w:val="clear" w:color="auto" w:fill="FFFFFF"/>
                <w:lang w:val="fr-FR"/>
              </w:rPr>
              <w:t>colectiv</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faptul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suma</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contribuțiilor</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lor</w:t>
            </w:r>
            <w:proofErr w:type="spellEnd"/>
            <w:r w:rsidRPr="000440D5">
              <w:rPr>
                <w:rFonts w:ascii="Times New Roman" w:hAnsi="Times New Roman"/>
                <w:sz w:val="20"/>
                <w:szCs w:val="20"/>
                <w:shd w:val="clear" w:color="auto" w:fill="FFFFFF"/>
                <w:lang w:val="fr-FR"/>
              </w:rPr>
              <w:t xml:space="preserve"> se </w:t>
            </w:r>
            <w:proofErr w:type="spellStart"/>
            <w:r w:rsidRPr="000440D5">
              <w:rPr>
                <w:rFonts w:ascii="Times New Roman" w:hAnsi="Times New Roman"/>
                <w:sz w:val="20"/>
                <w:szCs w:val="20"/>
                <w:shd w:val="clear" w:color="auto" w:fill="FFFFFF"/>
                <w:lang w:val="fr-FR"/>
              </w:rPr>
              <w:t>ridică</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cel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puțin</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ponderea</w:t>
            </w:r>
            <w:proofErr w:type="spellEnd"/>
            <w:r w:rsidRPr="000440D5">
              <w:rPr>
                <w:rFonts w:ascii="Times New Roman" w:hAnsi="Times New Roman"/>
                <w:sz w:val="20"/>
                <w:szCs w:val="20"/>
                <w:shd w:val="clear" w:color="auto" w:fill="FFFFFF"/>
                <w:lang w:val="fr-FR"/>
              </w:rPr>
              <w:t xml:space="preserve"> de</w:t>
            </w:r>
            <w:r w:rsidR="00F014B6" w:rsidRPr="000440D5">
              <w:rPr>
                <w:rFonts w:ascii="Times New Roman" w:hAnsi="Times New Roman"/>
                <w:sz w:val="20"/>
                <w:szCs w:val="20"/>
                <w:shd w:val="clear" w:color="auto" w:fill="FFFFFF"/>
                <w:lang w:val="fr-FR"/>
              </w:rPr>
              <w:t xml:space="preserve"> </w:t>
            </w:r>
            <w:r w:rsidRPr="000440D5">
              <w:rPr>
                <w:rFonts w:ascii="Times New Roman" w:hAnsi="Times New Roman"/>
                <w:sz w:val="20"/>
                <w:szCs w:val="20"/>
                <w:shd w:val="clear" w:color="auto" w:fill="FFFFFF"/>
                <w:lang w:val="fr-FR"/>
              </w:rPr>
              <w:t>32</w:t>
            </w:r>
            <w:r w:rsidR="00F014B6" w:rsidRPr="000440D5">
              <w:rPr>
                <w:rFonts w:ascii="Times New Roman" w:hAnsi="Times New Roman"/>
                <w:sz w:val="20"/>
                <w:szCs w:val="20"/>
                <w:shd w:val="clear" w:color="auto" w:fill="FFFFFF"/>
                <w:lang w:val="fr-FR"/>
              </w:rPr>
              <w:t xml:space="preserve"> </w:t>
            </w:r>
            <w:r w:rsidRPr="000440D5">
              <w:rPr>
                <w:rFonts w:ascii="Times New Roman" w:hAnsi="Times New Roman"/>
                <w:sz w:val="20"/>
                <w:szCs w:val="20"/>
                <w:shd w:val="clear" w:color="auto" w:fill="FFFFFF"/>
                <w:lang w:val="fr-FR"/>
              </w:rPr>
              <w:t xml:space="preserve">%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din</w:t>
            </w:r>
            <w:proofErr w:type="spellEnd"/>
            <w:r w:rsidRPr="000440D5">
              <w:rPr>
                <w:rFonts w:ascii="Times New Roman" w:hAnsi="Times New Roman"/>
                <w:sz w:val="20"/>
                <w:szCs w:val="20"/>
                <w:shd w:val="clear" w:color="auto" w:fill="FFFFFF"/>
                <w:lang w:val="fr-FR"/>
              </w:rPr>
              <w:t xml:space="preserve"> surse </w:t>
            </w:r>
            <w:proofErr w:type="spellStart"/>
            <w:r w:rsidRPr="000440D5">
              <w:rPr>
                <w:rFonts w:ascii="Times New Roman" w:hAnsi="Times New Roman"/>
                <w:sz w:val="20"/>
                <w:szCs w:val="20"/>
                <w:shd w:val="clear" w:color="auto" w:fill="FFFFFF"/>
                <w:lang w:val="fr-FR"/>
              </w:rPr>
              <w:t>regenerabile</w:t>
            </w:r>
            <w:proofErr w:type="spellEnd"/>
            <w:r w:rsidRPr="000440D5">
              <w:rPr>
                <w:rFonts w:ascii="Times New Roman" w:hAnsi="Times New Roman"/>
                <w:sz w:val="20"/>
                <w:szCs w:val="20"/>
                <w:shd w:val="clear" w:color="auto" w:fill="FFFFFF"/>
                <w:lang w:val="fr-FR"/>
              </w:rPr>
              <w:t xml:space="preserve"> în </w:t>
            </w:r>
            <w:proofErr w:type="spellStart"/>
            <w:r w:rsidRPr="000440D5">
              <w:rPr>
                <w:rFonts w:ascii="Times New Roman" w:hAnsi="Times New Roman"/>
                <w:sz w:val="20"/>
                <w:szCs w:val="20"/>
                <w:shd w:val="clear" w:color="auto" w:fill="FFFFFF"/>
                <w:lang w:val="fr-FR"/>
              </w:rPr>
              <w:t>consumul</w:t>
            </w:r>
            <w:proofErr w:type="spellEnd"/>
            <w:r w:rsidRPr="000440D5">
              <w:rPr>
                <w:rFonts w:ascii="Times New Roman" w:hAnsi="Times New Roman"/>
                <w:sz w:val="20"/>
                <w:szCs w:val="20"/>
                <w:shd w:val="clear" w:color="auto" w:fill="FFFFFF"/>
                <w:lang w:val="fr-FR"/>
              </w:rPr>
              <w:t xml:space="preserve"> final brut de </w:t>
            </w:r>
            <w:proofErr w:type="spellStart"/>
            <w:r w:rsidRPr="000440D5">
              <w:rPr>
                <w:rFonts w:ascii="Times New Roman" w:hAnsi="Times New Roman"/>
                <w:sz w:val="20"/>
                <w:szCs w:val="20"/>
                <w:shd w:val="clear" w:color="auto" w:fill="FFFFFF"/>
                <w:lang w:val="fr-FR"/>
              </w:rPr>
              <w:t>energie</w:t>
            </w:r>
            <w:proofErr w:type="spellEnd"/>
            <w:r w:rsidRPr="000440D5">
              <w:rPr>
                <w:rFonts w:ascii="Times New Roman" w:hAnsi="Times New Roman"/>
                <w:sz w:val="20"/>
                <w:szCs w:val="20"/>
                <w:shd w:val="clear" w:color="auto" w:fill="FFFFFF"/>
                <w:lang w:val="fr-FR"/>
              </w:rPr>
              <w:t xml:space="preserve"> la </w:t>
            </w:r>
            <w:proofErr w:type="spellStart"/>
            <w:r w:rsidRPr="000440D5">
              <w:rPr>
                <w:rFonts w:ascii="Times New Roman" w:hAnsi="Times New Roman"/>
                <w:sz w:val="20"/>
                <w:szCs w:val="20"/>
                <w:shd w:val="clear" w:color="auto" w:fill="FFFFFF"/>
                <w:lang w:val="fr-FR"/>
              </w:rPr>
              <w:t>nivelul</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Uniunii</w:t>
            </w:r>
            <w:proofErr w:type="spellEnd"/>
            <w:r w:rsidRPr="000440D5">
              <w:rPr>
                <w:rFonts w:ascii="Times New Roman" w:hAnsi="Times New Roman"/>
                <w:sz w:val="20"/>
                <w:szCs w:val="20"/>
                <w:shd w:val="clear" w:color="auto" w:fill="FFFFFF"/>
                <w:lang w:val="fr-FR"/>
              </w:rPr>
              <w:t xml:space="preserve"> </w:t>
            </w:r>
            <w:proofErr w:type="spellStart"/>
            <w:r w:rsidRPr="000440D5">
              <w:rPr>
                <w:rFonts w:ascii="Times New Roman" w:hAnsi="Times New Roman"/>
                <w:sz w:val="20"/>
                <w:szCs w:val="20"/>
                <w:shd w:val="clear" w:color="auto" w:fill="FFFFFF"/>
                <w:lang w:val="fr-FR"/>
              </w:rPr>
              <w:t>până</w:t>
            </w:r>
            <w:proofErr w:type="spellEnd"/>
            <w:r w:rsidRPr="000440D5">
              <w:rPr>
                <w:rFonts w:ascii="Times New Roman" w:hAnsi="Times New Roman"/>
                <w:sz w:val="20"/>
                <w:szCs w:val="20"/>
                <w:shd w:val="clear" w:color="auto" w:fill="FFFFFF"/>
                <w:lang w:val="fr-FR"/>
              </w:rPr>
              <w:t xml:space="preserve"> în</w:t>
            </w:r>
            <w:r w:rsidR="00F014B6" w:rsidRPr="000440D5">
              <w:rPr>
                <w:rFonts w:ascii="Times New Roman" w:hAnsi="Times New Roman"/>
                <w:sz w:val="20"/>
                <w:szCs w:val="20"/>
                <w:shd w:val="clear" w:color="auto" w:fill="FFFFFF"/>
                <w:lang w:val="fr-FR"/>
              </w:rPr>
              <w:t xml:space="preserve"> </w:t>
            </w:r>
            <w:r w:rsidRPr="000440D5">
              <w:rPr>
                <w:rFonts w:ascii="Times New Roman" w:hAnsi="Times New Roman"/>
                <w:sz w:val="20"/>
                <w:szCs w:val="20"/>
                <w:shd w:val="clear" w:color="auto" w:fill="FFFFFF"/>
                <w:lang w:val="fr-FR"/>
              </w:rPr>
              <w:t>2030.</w:t>
            </w:r>
          </w:p>
        </w:tc>
        <w:tc>
          <w:tcPr>
            <w:tcW w:w="4440" w:type="dxa"/>
          </w:tcPr>
          <w:p w14:paraId="5995F22A" w14:textId="179BAEDB" w:rsidR="00D37AB7" w:rsidRPr="00051E00" w:rsidRDefault="000440D5" w:rsidP="00051E00">
            <w:pPr>
              <w:shd w:val="clear" w:color="auto" w:fill="FFFFFF"/>
              <w:suppressAutoHyphens w:val="0"/>
              <w:autoSpaceDN/>
              <w:spacing w:after="0" w:line="240" w:lineRule="auto"/>
              <w:ind w:left="-76"/>
              <w:jc w:val="both"/>
              <w:textAlignment w:val="auto"/>
              <w:rPr>
                <w:rFonts w:ascii="Times New Roman" w:eastAsia="Times New Roman" w:hAnsi="Times New Roman"/>
                <w:bCs/>
                <w:sz w:val="20"/>
                <w:szCs w:val="20"/>
                <w:u w:val="single"/>
                <w:lang w:val="ro-MD" w:eastAsia="ru-RU"/>
              </w:rPr>
            </w:pPr>
            <w:bookmarkStart w:id="2" w:name="_Hlk119330523"/>
            <w:r w:rsidRPr="000440D5">
              <w:rPr>
                <w:rFonts w:ascii="Times New Roman" w:hAnsi="Times New Roman"/>
                <w:sz w:val="20"/>
                <w:szCs w:val="20"/>
                <w:shd w:val="clear" w:color="auto" w:fill="FFFFFF"/>
                <w:lang w:val="ro-RO"/>
              </w:rPr>
              <w:lastRenderedPageBreak/>
              <w:t xml:space="preserve"> </w:t>
            </w:r>
            <w:bookmarkEnd w:id="2"/>
          </w:p>
        </w:tc>
        <w:tc>
          <w:tcPr>
            <w:tcW w:w="1276" w:type="dxa"/>
          </w:tcPr>
          <w:p w14:paraId="68780A13" w14:textId="346BFA88" w:rsidR="00D37AB7" w:rsidRPr="00745D9A" w:rsidRDefault="007D6383" w:rsidP="00D37AB7">
            <w:pPr>
              <w:pStyle w:val="ColorfulList-Accent11"/>
              <w:spacing w:after="0" w:line="240" w:lineRule="auto"/>
              <w:ind w:left="0"/>
              <w:jc w:val="both"/>
              <w:rPr>
                <w:lang w:val="fr-FR"/>
              </w:rPr>
            </w:pPr>
            <w:r>
              <w:rPr>
                <w:rFonts w:ascii="Times New Roman" w:hAnsi="Times New Roman"/>
                <w:sz w:val="20"/>
                <w:szCs w:val="20"/>
                <w:lang w:val="ro-RO"/>
              </w:rPr>
              <w:t>C</w:t>
            </w:r>
            <w:r w:rsidR="00E8294E" w:rsidRPr="00C951E7">
              <w:rPr>
                <w:rFonts w:ascii="Times New Roman" w:hAnsi="Times New Roman"/>
                <w:sz w:val="20"/>
                <w:szCs w:val="20"/>
                <w:lang w:val="ro-RO"/>
              </w:rPr>
              <w:t>ompatibil</w:t>
            </w:r>
          </w:p>
        </w:tc>
        <w:tc>
          <w:tcPr>
            <w:tcW w:w="1276" w:type="dxa"/>
          </w:tcPr>
          <w:p w14:paraId="60276C6B" w14:textId="77777777" w:rsidR="00D37AB7" w:rsidRPr="00745D9A" w:rsidRDefault="00D37AB7" w:rsidP="00D37AB7">
            <w:pPr>
              <w:pStyle w:val="ColorfulList-Accent11"/>
              <w:spacing w:after="0" w:line="240" w:lineRule="auto"/>
              <w:ind w:left="0"/>
              <w:jc w:val="both"/>
              <w:rPr>
                <w:lang w:val="fr-FR"/>
              </w:rPr>
            </w:pPr>
          </w:p>
        </w:tc>
        <w:tc>
          <w:tcPr>
            <w:tcW w:w="1701" w:type="dxa"/>
          </w:tcPr>
          <w:p w14:paraId="1B1C4F52" w14:textId="77777777" w:rsidR="004C01A1" w:rsidRDefault="00CB0CC4" w:rsidP="004823A6">
            <w:pPr>
              <w:autoSpaceDE w:val="0"/>
              <w:spacing w:after="0" w:line="240" w:lineRule="auto"/>
              <w:rPr>
                <w:rFonts w:ascii="Times New Roman" w:eastAsia="Times New Roman" w:hAnsi="Times New Roman"/>
                <w:sz w:val="20"/>
                <w:szCs w:val="20"/>
                <w:lang w:val="ro-RO"/>
              </w:rPr>
            </w:pPr>
            <w:r>
              <w:rPr>
                <w:rFonts w:ascii="Times New Roman" w:hAnsi="Times New Roman"/>
                <w:sz w:val="20"/>
                <w:szCs w:val="20"/>
                <w:lang w:val="ro-RO"/>
              </w:rPr>
              <w:t xml:space="preserve">Prevederile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w:t>
            </w:r>
            <w:r w:rsidRPr="00F13819">
              <w:rPr>
                <w:rFonts w:ascii="Times New Roman" w:eastAsia="Times New Roman" w:hAnsi="Times New Roman"/>
                <w:sz w:val="20"/>
                <w:szCs w:val="20"/>
                <w:lang w:val="ro-RO"/>
              </w:rPr>
              <w:lastRenderedPageBreak/>
              <w:t>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p>
          <w:p w14:paraId="683C6123" w14:textId="77777777" w:rsidR="00967546" w:rsidRDefault="00967546" w:rsidP="004C01A1">
            <w:pPr>
              <w:pStyle w:val="ColorfulList-Accent11"/>
              <w:spacing w:after="0" w:line="240" w:lineRule="auto"/>
              <w:ind w:left="0"/>
              <w:jc w:val="both"/>
              <w:rPr>
                <w:rFonts w:ascii="Times New Roman" w:eastAsia="Times New Roman" w:hAnsi="Times New Roman"/>
                <w:sz w:val="20"/>
                <w:szCs w:val="20"/>
                <w:lang w:val="ro-RO" w:eastAsia="ru-RU"/>
              </w:rPr>
            </w:pPr>
          </w:p>
          <w:p w14:paraId="281BB789" w14:textId="002B2F41"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 xml:space="preserve">la pct.12 și pct.13 din </w:t>
            </w:r>
            <w:r>
              <w:rPr>
                <w:rFonts w:ascii="Times New Roman" w:eastAsia="Times New Roman" w:hAnsi="Times New Roman"/>
                <w:sz w:val="20"/>
                <w:szCs w:val="20"/>
                <w:lang w:val="ro-RO" w:eastAsia="ru-RU"/>
              </w:rPr>
              <w:t xml:space="preserve"> </w:t>
            </w:r>
          </w:p>
          <w:p w14:paraId="637725D4" w14:textId="65D781CE" w:rsidR="00CB0CC4" w:rsidRPr="004823A6" w:rsidRDefault="004C01A1" w:rsidP="004C01A1">
            <w:pPr>
              <w:autoSpaceDE w:val="0"/>
              <w:spacing w:after="0" w:line="240" w:lineRule="auto"/>
              <w:rPr>
                <w:rFonts w:ascii="Times New Roman" w:hAnsi="Times New Roman"/>
                <w:sz w:val="20"/>
                <w:szCs w:val="20"/>
                <w:shd w:val="clear" w:color="auto" w:fill="FFFFFF"/>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r w:rsidR="00CB0CC4">
              <w:rPr>
                <w:rFonts w:ascii="Times New Roman" w:eastAsia="Times New Roman" w:hAnsi="Times New Roman"/>
                <w:sz w:val="20"/>
                <w:szCs w:val="20"/>
                <w:lang w:val="ro-RO"/>
              </w:rPr>
              <w:t xml:space="preserve"> </w:t>
            </w:r>
          </w:p>
        </w:tc>
        <w:tc>
          <w:tcPr>
            <w:tcW w:w="1460" w:type="dxa"/>
          </w:tcPr>
          <w:p w14:paraId="06D81384" w14:textId="77777777" w:rsidR="000440D5" w:rsidRPr="003F755D" w:rsidRDefault="000440D5" w:rsidP="000440D5">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6CF31180" w14:textId="77777777" w:rsidR="00D37AB7" w:rsidRPr="00E8294E" w:rsidRDefault="00D37AB7" w:rsidP="000440D5">
            <w:pPr>
              <w:autoSpaceDE w:val="0"/>
              <w:spacing w:after="0" w:line="240" w:lineRule="auto"/>
              <w:rPr>
                <w:lang w:val="ro-RO"/>
              </w:rPr>
            </w:pPr>
          </w:p>
        </w:tc>
      </w:tr>
      <w:tr w:rsidR="00D37AB7" w:rsidRPr="002239ED" w14:paraId="2BB394E9" w14:textId="77777777" w:rsidTr="00A90105">
        <w:tc>
          <w:tcPr>
            <w:tcW w:w="4945" w:type="dxa"/>
          </w:tcPr>
          <w:p w14:paraId="0DD5315C" w14:textId="77777777" w:rsidR="00D37AB7" w:rsidRPr="004823A6" w:rsidRDefault="00D37AB7" w:rsidP="00F014B6">
            <w:pPr>
              <w:spacing w:after="0" w:line="240" w:lineRule="auto"/>
              <w:jc w:val="center"/>
              <w:rPr>
                <w:rFonts w:ascii="Times New Roman" w:hAnsi="Times New Roman"/>
                <w:sz w:val="20"/>
                <w:szCs w:val="20"/>
                <w:lang w:val="fr-FR" w:eastAsia="ru-RU"/>
              </w:rPr>
            </w:pPr>
            <w:proofErr w:type="spellStart"/>
            <w:r w:rsidRPr="004823A6">
              <w:rPr>
                <w:rFonts w:ascii="Times New Roman" w:hAnsi="Times New Roman"/>
                <w:sz w:val="20"/>
                <w:szCs w:val="20"/>
                <w:lang w:val="fr-FR" w:eastAsia="ru-RU"/>
              </w:rPr>
              <w:t>Articolul</w:t>
            </w:r>
            <w:proofErr w:type="spellEnd"/>
            <w:r w:rsidRPr="004823A6">
              <w:rPr>
                <w:rFonts w:ascii="Times New Roman" w:hAnsi="Times New Roman"/>
                <w:sz w:val="20"/>
                <w:szCs w:val="20"/>
                <w:lang w:val="fr-FR" w:eastAsia="ru-RU"/>
              </w:rPr>
              <w:t xml:space="preserve"> 6</w:t>
            </w:r>
          </w:p>
          <w:p w14:paraId="46D34B65" w14:textId="77777777" w:rsidR="00D37AB7" w:rsidRDefault="00D37AB7" w:rsidP="00F014B6">
            <w:pPr>
              <w:spacing w:after="0" w:line="240" w:lineRule="auto"/>
              <w:jc w:val="center"/>
              <w:rPr>
                <w:rFonts w:ascii="Times New Roman" w:hAnsi="Times New Roman"/>
                <w:b/>
                <w:bCs/>
                <w:sz w:val="20"/>
                <w:szCs w:val="20"/>
                <w:lang w:val="fr-FR" w:eastAsia="ru-RU"/>
              </w:rPr>
            </w:pPr>
            <w:proofErr w:type="spellStart"/>
            <w:r w:rsidRPr="004823A6">
              <w:rPr>
                <w:rFonts w:ascii="Times New Roman" w:hAnsi="Times New Roman"/>
                <w:b/>
                <w:bCs/>
                <w:sz w:val="20"/>
                <w:szCs w:val="20"/>
                <w:lang w:val="fr-FR" w:eastAsia="ru-RU"/>
              </w:rPr>
              <w:t>Procesul</w:t>
            </w:r>
            <w:proofErr w:type="spellEnd"/>
            <w:r w:rsidRPr="004823A6">
              <w:rPr>
                <w:rFonts w:ascii="Times New Roman" w:hAnsi="Times New Roman"/>
                <w:b/>
                <w:bCs/>
                <w:sz w:val="20"/>
                <w:szCs w:val="20"/>
                <w:lang w:val="fr-FR" w:eastAsia="ru-RU"/>
              </w:rPr>
              <w:t xml:space="preserve"> de </w:t>
            </w:r>
            <w:proofErr w:type="spellStart"/>
            <w:r w:rsidRPr="004823A6">
              <w:rPr>
                <w:rFonts w:ascii="Times New Roman" w:hAnsi="Times New Roman"/>
                <w:b/>
                <w:bCs/>
                <w:sz w:val="20"/>
                <w:szCs w:val="20"/>
                <w:lang w:val="fr-FR" w:eastAsia="ru-RU"/>
              </w:rPr>
              <w:t>stabilire</w:t>
            </w:r>
            <w:proofErr w:type="spellEnd"/>
            <w:r w:rsidRPr="004823A6">
              <w:rPr>
                <w:rFonts w:ascii="Times New Roman" w:hAnsi="Times New Roman"/>
                <w:b/>
                <w:bCs/>
                <w:sz w:val="20"/>
                <w:szCs w:val="20"/>
                <w:lang w:val="fr-FR" w:eastAsia="ru-RU"/>
              </w:rPr>
              <w:t xml:space="preserve"> a </w:t>
            </w:r>
            <w:proofErr w:type="spellStart"/>
            <w:r w:rsidRPr="004823A6">
              <w:rPr>
                <w:rFonts w:ascii="Times New Roman" w:hAnsi="Times New Roman"/>
                <w:b/>
                <w:bCs/>
                <w:sz w:val="20"/>
                <w:szCs w:val="20"/>
                <w:lang w:val="fr-FR" w:eastAsia="ru-RU"/>
              </w:rPr>
              <w:t>contribuțiilor</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statelor</w:t>
            </w:r>
            <w:proofErr w:type="spellEnd"/>
            <w:r w:rsidRPr="004823A6">
              <w:rPr>
                <w:rFonts w:ascii="Times New Roman" w:hAnsi="Times New Roman"/>
                <w:b/>
                <w:bCs/>
                <w:sz w:val="20"/>
                <w:szCs w:val="20"/>
                <w:lang w:val="fr-FR" w:eastAsia="ru-RU"/>
              </w:rPr>
              <w:t xml:space="preserve"> membre în </w:t>
            </w:r>
            <w:proofErr w:type="spellStart"/>
            <w:r w:rsidRPr="004823A6">
              <w:rPr>
                <w:rFonts w:ascii="Times New Roman" w:hAnsi="Times New Roman"/>
                <w:b/>
                <w:bCs/>
                <w:sz w:val="20"/>
                <w:szCs w:val="20"/>
                <w:lang w:val="fr-FR" w:eastAsia="ru-RU"/>
              </w:rPr>
              <w:t>domeniul</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eficienței</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energetice</w:t>
            </w:r>
            <w:proofErr w:type="spellEnd"/>
          </w:p>
          <w:p w14:paraId="22DA0D0D" w14:textId="2E7DADDA" w:rsidR="006D57F9" w:rsidRPr="006D57F9" w:rsidRDefault="00000000" w:rsidP="006D57F9">
            <w:pPr>
              <w:spacing w:after="0" w:line="240" w:lineRule="auto"/>
              <w:rPr>
                <w:rFonts w:ascii="Times New Roman" w:hAnsi="Times New Roman"/>
                <w:b/>
                <w:bCs/>
                <w:sz w:val="20"/>
                <w:szCs w:val="20"/>
                <w:lang w:val="fr-FR" w:eastAsia="ru-RU"/>
              </w:rPr>
            </w:pPr>
            <w:hyperlink r:id="rId18" w:tooltip="32019D0504: REPLACED" w:history="1">
              <w:r w:rsidR="006D57F9" w:rsidRPr="006D57F9">
                <w:rPr>
                  <w:rStyle w:val="af6"/>
                  <w:rFonts w:ascii="Times New Roman" w:eastAsia="Arial Unicode MS" w:hAnsi="Times New Roman"/>
                  <w:b/>
                  <w:bCs/>
                  <w:color w:val="23527C"/>
                  <w:sz w:val="20"/>
                  <w:szCs w:val="20"/>
                  <w:shd w:val="clear" w:color="auto" w:fill="FFFFFF"/>
                  <w:lang w:val="fr-FR"/>
                </w:rPr>
                <w:t>▼M1</w:t>
              </w:r>
            </w:hyperlink>
          </w:p>
          <w:p w14:paraId="33004BA4" w14:textId="5AA0FBEC" w:rsidR="00D37AB7" w:rsidRPr="004823A6" w:rsidRDefault="00D37AB7" w:rsidP="00F014B6">
            <w:pPr>
              <w:spacing w:after="0" w:line="240" w:lineRule="auto"/>
              <w:jc w:val="both"/>
              <w:rPr>
                <w:rFonts w:ascii="Times New Roman" w:hAnsi="Times New Roman"/>
                <w:sz w:val="20"/>
                <w:szCs w:val="20"/>
                <w:lang w:val="fr-FR" w:eastAsia="ru-RU"/>
              </w:rPr>
            </w:pPr>
            <w:r w:rsidRPr="004823A6">
              <w:rPr>
                <w:rFonts w:ascii="Times New Roman" w:hAnsi="Times New Roman"/>
                <w:sz w:val="20"/>
                <w:szCs w:val="20"/>
                <w:lang w:val="fr-FR" w:eastAsia="ru-RU"/>
              </w:rPr>
              <w:t xml:space="preserve">(1)La </w:t>
            </w:r>
            <w:proofErr w:type="spellStart"/>
            <w:r w:rsidRPr="004823A6">
              <w:rPr>
                <w:rFonts w:ascii="Times New Roman" w:hAnsi="Times New Roman"/>
                <w:sz w:val="20"/>
                <w:szCs w:val="20"/>
                <w:lang w:val="fr-FR" w:eastAsia="ru-RU"/>
              </w:rPr>
              <w:t>stabilirea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contribuției</w:t>
            </w:r>
            <w:proofErr w:type="spellEnd"/>
            <w:r w:rsidRPr="004823A6">
              <w:rPr>
                <w:rFonts w:ascii="Times New Roman" w:hAnsi="Times New Roman"/>
                <w:sz w:val="20"/>
                <w:szCs w:val="20"/>
                <w:lang w:val="fr-FR" w:eastAsia="ru-RU"/>
              </w:rPr>
              <w:t xml:space="preserve"> orientative </w:t>
            </w:r>
            <w:proofErr w:type="spellStart"/>
            <w:r w:rsidRPr="004823A6">
              <w:rPr>
                <w:rFonts w:ascii="Times New Roman" w:hAnsi="Times New Roman"/>
                <w:sz w:val="20"/>
                <w:szCs w:val="20"/>
                <w:lang w:val="fr-FR" w:eastAsia="ru-RU"/>
              </w:rPr>
              <w:t>privind</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eficiența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energetică</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pe</w:t>
            </w:r>
            <w:proofErr w:type="spellEnd"/>
            <w:r w:rsidRPr="004823A6">
              <w:rPr>
                <w:rFonts w:ascii="Times New Roman" w:hAnsi="Times New Roman"/>
                <w:sz w:val="20"/>
                <w:szCs w:val="20"/>
                <w:lang w:val="fr-FR" w:eastAsia="ru-RU"/>
              </w:rPr>
              <w:t xml:space="preserve"> plan </w:t>
            </w:r>
            <w:proofErr w:type="spellStart"/>
            <w:r w:rsidRPr="004823A6">
              <w:rPr>
                <w:rFonts w:ascii="Times New Roman" w:hAnsi="Times New Roman"/>
                <w:sz w:val="20"/>
                <w:szCs w:val="20"/>
                <w:lang w:val="fr-FR" w:eastAsia="ru-RU"/>
              </w:rPr>
              <w:t>național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pentru</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2030 și </w:t>
            </w:r>
            <w:proofErr w:type="spellStart"/>
            <w:r w:rsidRPr="004823A6">
              <w:rPr>
                <w:rFonts w:ascii="Times New Roman" w:hAnsi="Times New Roman"/>
                <w:sz w:val="20"/>
                <w:szCs w:val="20"/>
                <w:lang w:val="fr-FR" w:eastAsia="ru-RU"/>
              </w:rPr>
              <w:t>pentru</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ultimul</w:t>
            </w:r>
            <w:proofErr w:type="spellEnd"/>
            <w:r w:rsidRPr="004823A6">
              <w:rPr>
                <w:rFonts w:ascii="Times New Roman" w:hAnsi="Times New Roman"/>
                <w:sz w:val="20"/>
                <w:szCs w:val="20"/>
                <w:lang w:val="fr-FR" w:eastAsia="ru-RU"/>
              </w:rPr>
              <w:t xml:space="preserve"> an al </w:t>
            </w:r>
            <w:proofErr w:type="spellStart"/>
            <w:r w:rsidRPr="004823A6">
              <w:rPr>
                <w:rFonts w:ascii="Times New Roman" w:hAnsi="Times New Roman"/>
                <w:sz w:val="20"/>
                <w:szCs w:val="20"/>
                <w:lang w:val="fr-FR" w:eastAsia="ru-RU"/>
              </w:rPr>
              <w:t>perioadei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vizate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pentru</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planurile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naționale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ulterioare</w:t>
            </w:r>
            <w:proofErr w:type="spellEnd"/>
            <w:r w:rsidRPr="004823A6">
              <w:rPr>
                <w:rFonts w:ascii="Times New Roman" w:hAnsi="Times New Roman"/>
                <w:sz w:val="20"/>
                <w:szCs w:val="20"/>
                <w:lang w:val="fr-FR" w:eastAsia="ru-RU"/>
              </w:rPr>
              <w:t xml:space="preserve">, în conformitate </w:t>
            </w:r>
            <w:proofErr w:type="spellStart"/>
            <w:r w:rsidRPr="004823A6">
              <w:rPr>
                <w:rFonts w:ascii="Times New Roman" w:hAnsi="Times New Roman"/>
                <w:sz w:val="20"/>
                <w:szCs w:val="20"/>
                <w:lang w:val="fr-FR" w:eastAsia="ru-RU"/>
              </w:rPr>
              <w:t>cu</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articolul</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4 litera</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(b) </w:t>
            </w:r>
            <w:proofErr w:type="spellStart"/>
            <w:r w:rsidRPr="004823A6">
              <w:rPr>
                <w:rFonts w:ascii="Times New Roman" w:hAnsi="Times New Roman"/>
                <w:sz w:val="20"/>
                <w:szCs w:val="20"/>
                <w:lang w:val="fr-FR" w:eastAsia="ru-RU"/>
              </w:rPr>
              <w:t>punctul</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1</w:t>
            </w:r>
            <w:r w:rsidR="006D57F9">
              <w:rPr>
                <w:rFonts w:ascii="Times New Roman" w:hAnsi="Times New Roman"/>
                <w:sz w:val="20"/>
                <w:szCs w:val="20"/>
                <w:lang w:val="fr-FR" w:eastAsia="ru-RU"/>
              </w:rPr>
              <w:t xml:space="preserve"> </w:t>
            </w:r>
            <w:proofErr w:type="spellStart"/>
            <w:r w:rsidR="006D57F9">
              <w:rPr>
                <w:rFonts w:ascii="Times New Roman" w:hAnsi="Times New Roman"/>
                <w:sz w:val="20"/>
                <w:szCs w:val="20"/>
                <w:lang w:val="fr-FR" w:eastAsia="ru-RU"/>
              </w:rPr>
              <w:t>din</w:t>
            </w:r>
            <w:proofErr w:type="spellEnd"/>
            <w:r w:rsidR="006D57F9">
              <w:rPr>
                <w:rFonts w:ascii="Times New Roman" w:hAnsi="Times New Roman"/>
                <w:sz w:val="20"/>
                <w:szCs w:val="20"/>
                <w:lang w:val="fr-FR" w:eastAsia="ru-RU"/>
              </w:rPr>
              <w:t xml:space="preserve"> </w:t>
            </w:r>
            <w:proofErr w:type="spellStart"/>
            <w:r w:rsidR="006D57F9">
              <w:rPr>
                <w:rFonts w:ascii="Times New Roman" w:hAnsi="Times New Roman"/>
                <w:sz w:val="20"/>
                <w:szCs w:val="20"/>
                <w:lang w:val="fr-FR" w:eastAsia="ru-RU"/>
              </w:rPr>
              <w:t>prezentul</w:t>
            </w:r>
            <w:proofErr w:type="spellEnd"/>
            <w:r w:rsidR="006D57F9">
              <w:rPr>
                <w:rFonts w:ascii="Times New Roman" w:hAnsi="Times New Roman"/>
                <w:sz w:val="20"/>
                <w:szCs w:val="20"/>
                <w:lang w:val="fr-FR" w:eastAsia="ru-RU"/>
              </w:rPr>
              <w:t xml:space="preserve"> </w:t>
            </w:r>
            <w:proofErr w:type="spellStart"/>
            <w:r w:rsidR="006D57F9">
              <w:rPr>
                <w:rFonts w:ascii="Times New Roman" w:hAnsi="Times New Roman"/>
                <w:sz w:val="20"/>
                <w:szCs w:val="20"/>
                <w:lang w:val="fr-FR" w:eastAsia="ru-RU"/>
              </w:rPr>
              <w:t>regulament</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fiecare</w:t>
            </w:r>
            <w:proofErr w:type="spellEnd"/>
            <w:r w:rsidRPr="004823A6">
              <w:rPr>
                <w:rFonts w:ascii="Times New Roman" w:hAnsi="Times New Roman"/>
                <w:sz w:val="20"/>
                <w:szCs w:val="20"/>
                <w:lang w:val="fr-FR" w:eastAsia="ru-RU"/>
              </w:rPr>
              <w:t xml:space="preserve"> stat membru </w:t>
            </w:r>
            <w:proofErr w:type="spellStart"/>
            <w:r w:rsidRPr="004823A6">
              <w:rPr>
                <w:rFonts w:ascii="Times New Roman" w:hAnsi="Times New Roman"/>
                <w:sz w:val="20"/>
                <w:szCs w:val="20"/>
                <w:lang w:val="fr-FR" w:eastAsia="ru-RU"/>
              </w:rPr>
              <w:t>ține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seama</w:t>
            </w:r>
            <w:proofErr w:type="spellEnd"/>
            <w:r w:rsidRPr="004823A6">
              <w:rPr>
                <w:rFonts w:ascii="Times New Roman" w:hAnsi="Times New Roman"/>
                <w:sz w:val="20"/>
                <w:szCs w:val="20"/>
                <w:lang w:val="fr-FR" w:eastAsia="ru-RU"/>
              </w:rPr>
              <w:t xml:space="preserve"> de </w:t>
            </w:r>
            <w:proofErr w:type="spellStart"/>
            <w:r w:rsidRPr="004823A6">
              <w:rPr>
                <w:rFonts w:ascii="Times New Roman" w:hAnsi="Times New Roman"/>
                <w:sz w:val="20"/>
                <w:szCs w:val="20"/>
                <w:lang w:val="fr-FR" w:eastAsia="ru-RU"/>
              </w:rPr>
              <w:t>faptul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că</w:t>
            </w:r>
            <w:proofErr w:type="spellEnd"/>
            <w:r w:rsidRPr="004823A6">
              <w:rPr>
                <w:rFonts w:ascii="Times New Roman" w:hAnsi="Times New Roman"/>
                <w:sz w:val="20"/>
                <w:szCs w:val="20"/>
                <w:lang w:val="fr-FR" w:eastAsia="ru-RU"/>
              </w:rPr>
              <w:t xml:space="preserve">, în </w:t>
            </w:r>
            <w:r w:rsidRPr="004823A6">
              <w:rPr>
                <w:rFonts w:ascii="Times New Roman" w:hAnsi="Times New Roman"/>
                <w:sz w:val="20"/>
                <w:szCs w:val="20"/>
                <w:lang w:val="fr-FR" w:eastAsia="ru-RU"/>
              </w:rPr>
              <w:lastRenderedPageBreak/>
              <w:t xml:space="preserve">conformitate </w:t>
            </w:r>
            <w:proofErr w:type="spellStart"/>
            <w:r w:rsidRPr="004823A6">
              <w:rPr>
                <w:rFonts w:ascii="Times New Roman" w:hAnsi="Times New Roman"/>
                <w:sz w:val="20"/>
                <w:szCs w:val="20"/>
                <w:lang w:val="fr-FR" w:eastAsia="ru-RU"/>
              </w:rPr>
              <w:t>cu</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articolul</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3 </w:t>
            </w:r>
            <w:proofErr w:type="spellStart"/>
            <w:r w:rsidRPr="004823A6">
              <w:rPr>
                <w:rFonts w:ascii="Times New Roman" w:hAnsi="Times New Roman"/>
                <w:sz w:val="20"/>
                <w:szCs w:val="20"/>
                <w:lang w:val="fr-FR" w:eastAsia="ru-RU"/>
              </w:rPr>
              <w:t>din</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Directiva</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2012/27/UE, </w:t>
            </w:r>
            <w:proofErr w:type="spellStart"/>
            <w:r w:rsidRPr="004823A6">
              <w:rPr>
                <w:rFonts w:ascii="Times New Roman" w:hAnsi="Times New Roman"/>
                <w:sz w:val="20"/>
                <w:szCs w:val="20"/>
                <w:lang w:val="fr-FR" w:eastAsia="ru-RU"/>
              </w:rPr>
              <w:t>consumul</w:t>
            </w:r>
            <w:proofErr w:type="spellEnd"/>
            <w:r w:rsidRPr="004823A6">
              <w:rPr>
                <w:rFonts w:ascii="Times New Roman" w:hAnsi="Times New Roman"/>
                <w:sz w:val="20"/>
                <w:szCs w:val="20"/>
                <w:lang w:val="fr-FR" w:eastAsia="ru-RU"/>
              </w:rPr>
              <w:t xml:space="preserve">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al </w:t>
            </w:r>
            <w:proofErr w:type="spellStart"/>
            <w:r w:rsidRPr="004823A6">
              <w:rPr>
                <w:rFonts w:ascii="Times New Roman" w:hAnsi="Times New Roman"/>
                <w:sz w:val="20"/>
                <w:szCs w:val="20"/>
                <w:lang w:val="fr-FR" w:eastAsia="ru-RU"/>
              </w:rPr>
              <w:t>Uniunii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pentru</w:t>
            </w:r>
            <w:proofErr w:type="spellEnd"/>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2020 </w:t>
            </w:r>
            <w:proofErr w:type="spellStart"/>
            <w:r w:rsidRPr="004823A6">
              <w:rPr>
                <w:rFonts w:ascii="Times New Roman" w:hAnsi="Times New Roman"/>
                <w:sz w:val="20"/>
                <w:szCs w:val="20"/>
                <w:lang w:val="fr-FR" w:eastAsia="ru-RU"/>
              </w:rPr>
              <w:t>trebuie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să</w:t>
            </w:r>
            <w:proofErr w:type="spellEnd"/>
            <w:r w:rsidRPr="004823A6">
              <w:rPr>
                <w:rFonts w:ascii="Times New Roman" w:hAnsi="Times New Roman"/>
                <w:sz w:val="20"/>
                <w:szCs w:val="20"/>
                <w:lang w:val="fr-FR" w:eastAsia="ru-RU"/>
              </w:rPr>
              <w:t xml:space="preserve"> fie de maximum</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1</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483</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Mtep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primară</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sau</w:t>
            </w:r>
            <w:proofErr w:type="spellEnd"/>
            <w:r w:rsidRPr="004823A6">
              <w:rPr>
                <w:rFonts w:ascii="Times New Roman" w:hAnsi="Times New Roman"/>
                <w:sz w:val="20"/>
                <w:szCs w:val="20"/>
                <w:lang w:val="fr-FR" w:eastAsia="ru-RU"/>
              </w:rPr>
              <w:t xml:space="preserve"> de maximum</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1</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086</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Mtep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finală</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că</w:t>
            </w:r>
            <w:proofErr w:type="spellEnd"/>
            <w:r w:rsidRPr="004823A6">
              <w:rPr>
                <w:rFonts w:ascii="Times New Roman" w:hAnsi="Times New Roman"/>
                <w:sz w:val="20"/>
                <w:szCs w:val="20"/>
                <w:lang w:val="fr-FR" w:eastAsia="ru-RU"/>
              </w:rPr>
              <w:t>, în</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2030, </w:t>
            </w:r>
            <w:proofErr w:type="spellStart"/>
            <w:r w:rsidRPr="004823A6">
              <w:rPr>
                <w:rFonts w:ascii="Times New Roman" w:hAnsi="Times New Roman"/>
                <w:sz w:val="20"/>
                <w:szCs w:val="20"/>
                <w:lang w:val="fr-FR" w:eastAsia="ru-RU"/>
              </w:rPr>
              <w:t>consumul</w:t>
            </w:r>
            <w:proofErr w:type="spellEnd"/>
            <w:r w:rsidRPr="004823A6">
              <w:rPr>
                <w:rFonts w:ascii="Times New Roman" w:hAnsi="Times New Roman"/>
                <w:sz w:val="20"/>
                <w:szCs w:val="20"/>
                <w:lang w:val="fr-FR" w:eastAsia="ru-RU"/>
              </w:rPr>
              <w:t xml:space="preserve">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al </w:t>
            </w:r>
            <w:proofErr w:type="spellStart"/>
            <w:r w:rsidRPr="004823A6">
              <w:rPr>
                <w:rFonts w:ascii="Times New Roman" w:hAnsi="Times New Roman"/>
                <w:sz w:val="20"/>
                <w:szCs w:val="20"/>
                <w:lang w:val="fr-FR" w:eastAsia="ru-RU"/>
              </w:rPr>
              <w:t>Uniunii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trebuie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să</w:t>
            </w:r>
            <w:proofErr w:type="spellEnd"/>
            <w:r w:rsidRPr="004823A6">
              <w:rPr>
                <w:rFonts w:ascii="Times New Roman" w:hAnsi="Times New Roman"/>
                <w:sz w:val="20"/>
                <w:szCs w:val="20"/>
                <w:lang w:val="fr-FR" w:eastAsia="ru-RU"/>
              </w:rPr>
              <w:t xml:space="preserve"> fie de maximum</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1</w:t>
            </w:r>
            <w:r w:rsidR="00F014B6" w:rsidRPr="004823A6">
              <w:rPr>
                <w:rFonts w:ascii="Times New Roman" w:hAnsi="Times New Roman"/>
                <w:sz w:val="20"/>
                <w:szCs w:val="20"/>
                <w:lang w:val="fr-FR" w:eastAsia="ru-RU"/>
              </w:rPr>
              <w:t xml:space="preserve"> </w:t>
            </w:r>
            <w:r w:rsidR="006D57F9">
              <w:rPr>
                <w:rFonts w:ascii="Times New Roman" w:hAnsi="Times New Roman"/>
                <w:sz w:val="20"/>
                <w:szCs w:val="20"/>
                <w:lang w:val="fr-FR" w:eastAsia="ru-RU"/>
              </w:rPr>
              <w:t>128</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Mtep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primară</w:t>
            </w:r>
            <w:proofErr w:type="spellEnd"/>
            <w:r w:rsidRPr="004823A6">
              <w:rPr>
                <w:rFonts w:ascii="Times New Roman" w:hAnsi="Times New Roman"/>
                <w:sz w:val="20"/>
                <w:szCs w:val="20"/>
                <w:lang w:val="fr-FR" w:eastAsia="ru-RU"/>
              </w:rPr>
              <w:t xml:space="preserve"> și/</w:t>
            </w:r>
            <w:proofErr w:type="spellStart"/>
            <w:r w:rsidRPr="004823A6">
              <w:rPr>
                <w:rFonts w:ascii="Times New Roman" w:hAnsi="Times New Roman"/>
                <w:sz w:val="20"/>
                <w:szCs w:val="20"/>
                <w:lang w:val="fr-FR" w:eastAsia="ru-RU"/>
              </w:rPr>
              <w:t>sau</w:t>
            </w:r>
            <w:proofErr w:type="spellEnd"/>
            <w:r w:rsidRPr="004823A6">
              <w:rPr>
                <w:rFonts w:ascii="Times New Roman" w:hAnsi="Times New Roman"/>
                <w:sz w:val="20"/>
                <w:szCs w:val="20"/>
                <w:lang w:val="fr-FR" w:eastAsia="ru-RU"/>
              </w:rPr>
              <w:t xml:space="preserve"> de maximum</w:t>
            </w:r>
            <w:r w:rsidR="00F014B6" w:rsidRPr="004823A6">
              <w:rPr>
                <w:rFonts w:ascii="Times New Roman" w:hAnsi="Times New Roman"/>
                <w:sz w:val="20"/>
                <w:szCs w:val="20"/>
                <w:lang w:val="fr-FR" w:eastAsia="ru-RU"/>
              </w:rPr>
              <w:t xml:space="preserve"> </w:t>
            </w:r>
            <w:r w:rsidR="006D57F9">
              <w:rPr>
                <w:rFonts w:ascii="Times New Roman" w:hAnsi="Times New Roman"/>
                <w:sz w:val="20"/>
                <w:szCs w:val="20"/>
                <w:lang w:val="fr-FR" w:eastAsia="ru-RU"/>
              </w:rPr>
              <w:t>846</w:t>
            </w:r>
            <w:r w:rsidR="00F014B6"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Mtep de </w:t>
            </w:r>
            <w:proofErr w:type="spellStart"/>
            <w:r w:rsidRPr="004823A6">
              <w:rPr>
                <w:rFonts w:ascii="Times New Roman" w:hAnsi="Times New Roman"/>
                <w:sz w:val="20"/>
                <w:szCs w:val="20"/>
                <w:lang w:val="fr-FR" w:eastAsia="ru-RU"/>
              </w:rPr>
              <w:t>energie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finală</w:t>
            </w:r>
            <w:proofErr w:type="spellEnd"/>
            <w:r w:rsidRPr="004823A6">
              <w:rPr>
                <w:rFonts w:ascii="Times New Roman" w:hAnsi="Times New Roman"/>
                <w:sz w:val="20"/>
                <w:szCs w:val="20"/>
                <w:lang w:val="fr-FR" w:eastAsia="ru-RU"/>
              </w:rPr>
              <w:t>.</w:t>
            </w:r>
          </w:p>
          <w:p w14:paraId="2D62A646" w14:textId="0D966F34" w:rsidR="00D37AB7" w:rsidRPr="004823A6" w:rsidRDefault="00D37AB7" w:rsidP="00F014B6">
            <w:pPr>
              <w:spacing w:after="0" w:line="240" w:lineRule="auto"/>
              <w:rPr>
                <w:rFonts w:ascii="Times New Roman" w:hAnsi="Times New Roman"/>
                <w:sz w:val="20"/>
                <w:szCs w:val="20"/>
                <w:lang w:val="fr-FR" w:eastAsia="ru-RU"/>
              </w:rPr>
            </w:pPr>
            <w:r w:rsidRPr="004823A6">
              <w:rPr>
                <w:rFonts w:ascii="Times New Roman" w:hAnsi="Times New Roman"/>
                <w:sz w:val="20"/>
                <w:szCs w:val="20"/>
                <w:lang w:val="fr-FR" w:eastAsia="ru-RU"/>
              </w:rPr>
              <w:t xml:space="preserve">În plus, </w:t>
            </w:r>
            <w:proofErr w:type="spellStart"/>
            <w:r w:rsidRPr="004823A6">
              <w:rPr>
                <w:rFonts w:ascii="Times New Roman" w:hAnsi="Times New Roman"/>
                <w:sz w:val="20"/>
                <w:szCs w:val="20"/>
                <w:lang w:val="fr-FR" w:eastAsia="ru-RU"/>
              </w:rPr>
              <w:t>fiecare</w:t>
            </w:r>
            <w:proofErr w:type="spellEnd"/>
            <w:r w:rsidRPr="004823A6">
              <w:rPr>
                <w:rFonts w:ascii="Times New Roman" w:hAnsi="Times New Roman"/>
                <w:sz w:val="20"/>
                <w:szCs w:val="20"/>
                <w:lang w:val="fr-FR" w:eastAsia="ru-RU"/>
              </w:rPr>
              <w:t xml:space="preserve"> stat membru </w:t>
            </w:r>
            <w:proofErr w:type="spellStart"/>
            <w:r w:rsidRPr="004823A6">
              <w:rPr>
                <w:rFonts w:ascii="Times New Roman" w:hAnsi="Times New Roman"/>
                <w:sz w:val="20"/>
                <w:szCs w:val="20"/>
                <w:lang w:val="fr-FR" w:eastAsia="ru-RU"/>
              </w:rPr>
              <w:t>ține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seama</w:t>
            </w:r>
            <w:proofErr w:type="spellEnd"/>
            <w:r w:rsidRPr="004823A6">
              <w:rPr>
                <w:rFonts w:ascii="Times New Roman" w:hAnsi="Times New Roman"/>
                <w:sz w:val="20"/>
                <w:szCs w:val="20"/>
                <w:lang w:val="fr-FR" w:eastAsia="ru-RU"/>
              </w:rPr>
              <w:t xml:space="preserve"> </w:t>
            </w:r>
            <w:proofErr w:type="gramStart"/>
            <w:r w:rsidRPr="004823A6">
              <w:rPr>
                <w:rFonts w:ascii="Times New Roman" w:hAnsi="Times New Roman"/>
                <w:sz w:val="20"/>
                <w:szCs w:val="20"/>
                <w:lang w:val="fr-FR" w:eastAsia="ru-RU"/>
              </w:rPr>
              <w:t>de:</w:t>
            </w:r>
            <w:proofErr w:type="gramEnd"/>
          </w:p>
          <w:p w14:paraId="5F34E7EB" w14:textId="58AAB508" w:rsidR="00F014B6" w:rsidRPr="004823A6" w:rsidRDefault="00F014B6" w:rsidP="000C5A3B">
            <w:pPr>
              <w:pStyle w:val="af3"/>
              <w:numPr>
                <w:ilvl w:val="0"/>
                <w:numId w:val="99"/>
              </w:numPr>
              <w:spacing w:after="0" w:line="240" w:lineRule="auto"/>
              <w:rPr>
                <w:rFonts w:ascii="Times New Roman" w:hAnsi="Times New Roman"/>
                <w:sz w:val="20"/>
                <w:szCs w:val="20"/>
                <w:lang w:val="fr-FR" w:eastAsia="ru-RU"/>
              </w:rPr>
            </w:pPr>
            <w:proofErr w:type="spellStart"/>
            <w:proofErr w:type="gramStart"/>
            <w:r w:rsidRPr="004823A6">
              <w:rPr>
                <w:rFonts w:ascii="Times New Roman" w:hAnsi="Times New Roman"/>
                <w:sz w:val="20"/>
                <w:szCs w:val="20"/>
                <w:lang w:val="fr-FR" w:eastAsia="ru-RU"/>
              </w:rPr>
              <w:t>măsurile</w:t>
            </w:r>
            <w:proofErr w:type="spellEnd"/>
            <w:proofErr w:type="gram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prevăzute</w:t>
            </w:r>
            <w:proofErr w:type="spellEnd"/>
            <w:r w:rsidRPr="004823A6">
              <w:rPr>
                <w:rFonts w:ascii="Times New Roman" w:hAnsi="Times New Roman"/>
                <w:sz w:val="20"/>
                <w:szCs w:val="20"/>
                <w:lang w:val="fr-FR" w:eastAsia="ru-RU"/>
              </w:rPr>
              <w:t xml:space="preserve"> de </w:t>
            </w:r>
            <w:proofErr w:type="spellStart"/>
            <w:r w:rsidRPr="004823A6">
              <w:rPr>
                <w:rFonts w:ascii="Times New Roman" w:hAnsi="Times New Roman"/>
                <w:sz w:val="20"/>
                <w:szCs w:val="20"/>
                <w:lang w:val="fr-FR" w:eastAsia="ru-RU"/>
              </w:rPr>
              <w:t>Direc</w:t>
            </w:r>
            <w:proofErr w:type="spellEnd"/>
            <w:r w:rsidRPr="004823A6">
              <w:rPr>
                <w:rFonts w:ascii="Times New Roman" w:hAnsi="Times New Roman"/>
                <w:sz w:val="20"/>
                <w:szCs w:val="20"/>
                <w:lang w:val="fr-FR" w:eastAsia="ru-RU"/>
              </w:rPr>
              <w:cr/>
            </w:r>
            <w:proofErr w:type="spellStart"/>
            <w:proofErr w:type="gramStart"/>
            <w:r w:rsidRPr="004823A6">
              <w:rPr>
                <w:rFonts w:ascii="Times New Roman" w:hAnsi="Times New Roman"/>
                <w:sz w:val="20"/>
                <w:szCs w:val="20"/>
                <w:lang w:val="fr-FR" w:eastAsia="ru-RU"/>
              </w:rPr>
              <w:t>iva</w:t>
            </w:r>
            <w:proofErr w:type="spellEnd"/>
            <w:proofErr w:type="gramEnd"/>
            <w:r w:rsidRPr="004823A6">
              <w:rPr>
                <w:rFonts w:ascii="Times New Roman" w:hAnsi="Times New Roman"/>
                <w:sz w:val="20"/>
                <w:szCs w:val="20"/>
                <w:lang w:val="fr-FR" w:eastAsia="ru-RU"/>
              </w:rPr>
              <w:t xml:space="preserve"> (UE) 2012/27/UE;</w:t>
            </w:r>
          </w:p>
          <w:p w14:paraId="68D2C86A" w14:textId="1997C780" w:rsidR="00D37AB7" w:rsidRPr="00F014B6" w:rsidRDefault="00F014B6" w:rsidP="000C5A3B">
            <w:pPr>
              <w:pStyle w:val="af3"/>
              <w:numPr>
                <w:ilvl w:val="0"/>
                <w:numId w:val="99"/>
              </w:numPr>
              <w:spacing w:after="0" w:line="240" w:lineRule="auto"/>
              <w:rPr>
                <w:lang w:val="fr-FR" w:eastAsia="ru-RU"/>
              </w:rPr>
            </w:pPr>
            <w:proofErr w:type="spellStart"/>
            <w:proofErr w:type="gramStart"/>
            <w:r w:rsidRPr="004823A6">
              <w:rPr>
                <w:rFonts w:ascii="Times New Roman" w:hAnsi="Times New Roman"/>
                <w:sz w:val="20"/>
                <w:szCs w:val="20"/>
                <w:lang w:val="fr-FR" w:eastAsia="ru-RU"/>
              </w:rPr>
              <w:t>alte</w:t>
            </w:r>
            <w:proofErr w:type="spellEnd"/>
            <w:proofErr w:type="gram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măsuri</w:t>
            </w:r>
            <w:proofErr w:type="spellEnd"/>
            <w:r w:rsidRPr="004823A6">
              <w:rPr>
                <w:rFonts w:ascii="Times New Roman" w:hAnsi="Times New Roman"/>
                <w:sz w:val="20"/>
                <w:szCs w:val="20"/>
                <w:lang w:val="fr-FR" w:eastAsia="ru-RU"/>
              </w:rPr>
              <w:t xml:space="preserve"> de </w:t>
            </w:r>
            <w:proofErr w:type="spellStart"/>
            <w:r w:rsidRPr="004823A6">
              <w:rPr>
                <w:rFonts w:ascii="Times New Roman" w:hAnsi="Times New Roman"/>
                <w:sz w:val="20"/>
                <w:szCs w:val="20"/>
                <w:lang w:val="fr-FR" w:eastAsia="ru-RU"/>
              </w:rPr>
              <w:t>promovare</w:t>
            </w:r>
            <w:proofErr w:type="spellEnd"/>
            <w:r w:rsidRPr="004823A6">
              <w:rPr>
                <w:rFonts w:ascii="Times New Roman" w:hAnsi="Times New Roman"/>
                <w:sz w:val="20"/>
                <w:szCs w:val="20"/>
                <w:lang w:val="fr-FR" w:eastAsia="ru-RU"/>
              </w:rPr>
              <w:t xml:space="preserve"> a </w:t>
            </w:r>
            <w:proofErr w:type="spellStart"/>
            <w:r w:rsidRPr="004823A6">
              <w:rPr>
                <w:rFonts w:ascii="Times New Roman" w:hAnsi="Times New Roman"/>
                <w:sz w:val="20"/>
                <w:szCs w:val="20"/>
                <w:lang w:val="fr-FR" w:eastAsia="ru-RU"/>
              </w:rPr>
              <w:t>eficienței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energetice</w:t>
            </w:r>
            <w:proofErr w:type="spellEnd"/>
            <w:r w:rsidRPr="004823A6">
              <w:rPr>
                <w:rFonts w:ascii="Times New Roman" w:hAnsi="Times New Roman"/>
                <w:sz w:val="20"/>
                <w:szCs w:val="20"/>
                <w:lang w:val="fr-FR" w:eastAsia="ru-RU"/>
              </w:rPr>
              <w:t xml:space="preserve"> în </w:t>
            </w:r>
            <w:proofErr w:type="spellStart"/>
            <w:r w:rsidRPr="004823A6">
              <w:rPr>
                <w:rFonts w:ascii="Times New Roman" w:hAnsi="Times New Roman"/>
                <w:sz w:val="20"/>
                <w:szCs w:val="20"/>
                <w:lang w:val="fr-FR" w:eastAsia="ru-RU"/>
              </w:rPr>
              <w:t>cadrul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statului</w:t>
            </w:r>
            <w:proofErr w:type="spellEnd"/>
            <w:r w:rsidRPr="004823A6">
              <w:rPr>
                <w:rFonts w:ascii="Times New Roman" w:hAnsi="Times New Roman"/>
                <w:sz w:val="20"/>
                <w:szCs w:val="20"/>
                <w:lang w:val="fr-FR" w:eastAsia="ru-RU"/>
              </w:rPr>
              <w:t xml:space="preserve"> membru și la </w:t>
            </w:r>
            <w:proofErr w:type="spellStart"/>
            <w:r w:rsidRPr="004823A6">
              <w:rPr>
                <w:rFonts w:ascii="Times New Roman" w:hAnsi="Times New Roman"/>
                <w:sz w:val="20"/>
                <w:szCs w:val="20"/>
                <w:lang w:val="fr-FR" w:eastAsia="ru-RU"/>
              </w:rPr>
              <w:t>nivelul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Uniunii</w:t>
            </w:r>
            <w:proofErr w:type="spellEnd"/>
            <w:r w:rsidRPr="004823A6">
              <w:rPr>
                <w:rFonts w:ascii="Times New Roman" w:hAnsi="Times New Roman"/>
                <w:sz w:val="20"/>
                <w:szCs w:val="20"/>
                <w:lang w:val="fr-FR" w:eastAsia="ru-RU"/>
              </w:rPr>
              <w:t>.</w:t>
            </w:r>
          </w:p>
        </w:tc>
        <w:tc>
          <w:tcPr>
            <w:tcW w:w="4440" w:type="dxa"/>
          </w:tcPr>
          <w:p w14:paraId="795F8756" w14:textId="682FD01D" w:rsidR="00D37AB7" w:rsidRPr="004C01A1" w:rsidRDefault="00D37AB7" w:rsidP="004C01A1">
            <w:pPr>
              <w:shd w:val="clear" w:color="auto" w:fill="FFFFFF"/>
              <w:suppressAutoHyphens w:val="0"/>
              <w:autoSpaceDN/>
              <w:spacing w:after="0" w:line="240" w:lineRule="auto"/>
              <w:jc w:val="both"/>
              <w:textAlignment w:val="auto"/>
              <w:rPr>
                <w:rFonts w:ascii="Times New Roman" w:eastAsia="Times New Roman" w:hAnsi="Times New Roman"/>
                <w:sz w:val="20"/>
                <w:szCs w:val="20"/>
                <w:lang w:val="ro-RO" w:eastAsia="ru-RU"/>
              </w:rPr>
            </w:pPr>
          </w:p>
        </w:tc>
        <w:tc>
          <w:tcPr>
            <w:tcW w:w="1276" w:type="dxa"/>
          </w:tcPr>
          <w:p w14:paraId="60D7DF9B" w14:textId="35935154" w:rsidR="00D37AB7" w:rsidRPr="004A2039" w:rsidRDefault="002239ED" w:rsidP="00D37AB7">
            <w:pPr>
              <w:pStyle w:val="ColorfulList-Accent11"/>
              <w:spacing w:after="0" w:line="240" w:lineRule="auto"/>
              <w:ind w:left="0"/>
              <w:jc w:val="both"/>
              <w:rPr>
                <w:lang w:val="fr-FR"/>
              </w:rPr>
            </w:pPr>
            <w:r>
              <w:rPr>
                <w:rFonts w:ascii="Times New Roman" w:hAnsi="Times New Roman"/>
                <w:sz w:val="20"/>
                <w:szCs w:val="20"/>
                <w:lang w:val="ro-RO"/>
              </w:rPr>
              <w:t>C</w:t>
            </w:r>
            <w:r w:rsidR="00F014B6" w:rsidRPr="00C951E7">
              <w:rPr>
                <w:rFonts w:ascii="Times New Roman" w:hAnsi="Times New Roman"/>
                <w:sz w:val="20"/>
                <w:szCs w:val="20"/>
                <w:lang w:val="ro-RO"/>
              </w:rPr>
              <w:t>ompatibil</w:t>
            </w:r>
          </w:p>
        </w:tc>
        <w:tc>
          <w:tcPr>
            <w:tcW w:w="1276" w:type="dxa"/>
          </w:tcPr>
          <w:p w14:paraId="54AA36C4" w14:textId="77777777" w:rsidR="00D37AB7" w:rsidRPr="004A2039" w:rsidRDefault="00D37AB7" w:rsidP="00D37AB7">
            <w:pPr>
              <w:pStyle w:val="ColorfulList-Accent11"/>
              <w:spacing w:after="0" w:line="240" w:lineRule="auto"/>
              <w:ind w:left="0"/>
              <w:jc w:val="both"/>
              <w:rPr>
                <w:lang w:val="fr-FR"/>
              </w:rPr>
            </w:pPr>
          </w:p>
        </w:tc>
        <w:tc>
          <w:tcPr>
            <w:tcW w:w="1701" w:type="dxa"/>
          </w:tcPr>
          <w:p w14:paraId="6CC1B53B" w14:textId="38F704E1" w:rsidR="002C4B69" w:rsidRPr="00F13819" w:rsidRDefault="002C4B69" w:rsidP="002C4B69">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w:t>
            </w:r>
            <w:r w:rsidRPr="00F13819">
              <w:rPr>
                <w:rFonts w:ascii="Times New Roman" w:eastAsia="Times New Roman" w:hAnsi="Times New Roman"/>
                <w:sz w:val="20"/>
                <w:szCs w:val="20"/>
                <w:lang w:val="ro-RO"/>
              </w:rPr>
              <w:lastRenderedPageBreak/>
              <w:t>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5AB5223F" w14:textId="77777777" w:rsidR="00967546" w:rsidRDefault="00967546" w:rsidP="004C01A1">
            <w:pPr>
              <w:pStyle w:val="ColorfulList-Accent11"/>
              <w:spacing w:after="0" w:line="240" w:lineRule="auto"/>
              <w:ind w:left="0"/>
              <w:jc w:val="both"/>
              <w:rPr>
                <w:rFonts w:ascii="Times New Roman" w:eastAsia="Times New Roman" w:hAnsi="Times New Roman"/>
                <w:sz w:val="20"/>
                <w:szCs w:val="20"/>
                <w:lang w:val="ro-RO" w:eastAsia="ru-RU"/>
              </w:rPr>
            </w:pPr>
          </w:p>
          <w:p w14:paraId="5F64FF00" w14:textId="0F611CC3"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pct.15 și pct.16 din</w:t>
            </w:r>
            <w:r>
              <w:rPr>
                <w:rFonts w:ascii="Times New Roman" w:eastAsia="Times New Roman" w:hAnsi="Times New Roman"/>
                <w:sz w:val="20"/>
                <w:szCs w:val="20"/>
                <w:lang w:val="ro-RO" w:eastAsia="ru-RU"/>
              </w:rPr>
              <w:t xml:space="preserve"> </w:t>
            </w:r>
          </w:p>
          <w:p w14:paraId="2103E7E7" w14:textId="1157965B" w:rsidR="00D37AB7" w:rsidRPr="00F014B6"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53F110ED" w14:textId="77777777" w:rsidR="004823A6" w:rsidRPr="003F755D" w:rsidRDefault="00F014B6" w:rsidP="004823A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4823A6" w:rsidRPr="00A81801">
              <w:rPr>
                <w:rFonts w:ascii="Times New Roman" w:hAnsi="Times New Roman"/>
                <w:color w:val="000000" w:themeColor="text1"/>
                <w:sz w:val="20"/>
                <w:szCs w:val="20"/>
              </w:rPr>
              <w:t>Energiei</w:t>
            </w:r>
          </w:p>
          <w:p w14:paraId="6DBB71CE" w14:textId="1E2386A4" w:rsidR="00F014B6" w:rsidRPr="003F755D" w:rsidRDefault="00F014B6" w:rsidP="00F014B6">
            <w:pPr>
              <w:autoSpaceDE w:val="0"/>
              <w:spacing w:after="0" w:line="240" w:lineRule="auto"/>
              <w:rPr>
                <w:rFonts w:ascii="Times New Roman" w:hAnsi="Times New Roman"/>
                <w:sz w:val="20"/>
                <w:szCs w:val="20"/>
                <w:shd w:val="clear" w:color="auto" w:fill="FFFFFF"/>
                <w:lang w:val="ro-RO"/>
              </w:rPr>
            </w:pPr>
          </w:p>
          <w:p w14:paraId="2DE45592" w14:textId="77777777" w:rsidR="00D37AB7" w:rsidRPr="00F014B6" w:rsidRDefault="00D37AB7" w:rsidP="00D37AB7">
            <w:pPr>
              <w:pStyle w:val="ColorfulList-Accent11"/>
              <w:spacing w:after="0" w:line="240" w:lineRule="auto"/>
              <w:ind w:left="0"/>
              <w:jc w:val="both"/>
              <w:rPr>
                <w:lang w:val="ro-RO"/>
              </w:rPr>
            </w:pPr>
          </w:p>
        </w:tc>
      </w:tr>
      <w:tr w:rsidR="00D37AB7" w:rsidRPr="00D10B2C" w14:paraId="11949404" w14:textId="77777777" w:rsidTr="00A90105">
        <w:tc>
          <w:tcPr>
            <w:tcW w:w="4945" w:type="dxa"/>
          </w:tcPr>
          <w:p w14:paraId="7503CC78" w14:textId="1A287936" w:rsidR="00D37AB7" w:rsidRPr="004C01A1" w:rsidRDefault="00D37AB7" w:rsidP="00F014B6">
            <w:pPr>
              <w:spacing w:after="0" w:line="240" w:lineRule="auto"/>
              <w:jc w:val="both"/>
              <w:rPr>
                <w:rFonts w:ascii="Times New Roman" w:hAnsi="Times New Roman"/>
                <w:color w:val="000000" w:themeColor="text1"/>
                <w:sz w:val="20"/>
                <w:szCs w:val="20"/>
                <w:lang w:val="fr-FR" w:eastAsia="ru-RU"/>
              </w:rPr>
            </w:pPr>
            <w:r w:rsidRPr="004C01A1">
              <w:rPr>
                <w:rFonts w:ascii="Times New Roman" w:hAnsi="Times New Roman"/>
                <w:color w:val="000000" w:themeColor="text1"/>
                <w:sz w:val="20"/>
                <w:szCs w:val="20"/>
                <w:lang w:val="fr-FR" w:eastAsia="ru-RU"/>
              </w:rPr>
              <w:t>(2)</w:t>
            </w:r>
            <w:r w:rsidR="00F014B6" w:rsidRPr="004C01A1">
              <w:rPr>
                <w:rFonts w:ascii="Times New Roman" w:hAnsi="Times New Roman"/>
                <w:color w:val="000000" w:themeColor="text1"/>
                <w:sz w:val="20"/>
                <w:szCs w:val="20"/>
                <w:lang w:val="fr-FR" w:eastAsia="ru-RU"/>
              </w:rPr>
              <w:t xml:space="preserve"> </w:t>
            </w:r>
            <w:r w:rsidRPr="004C01A1">
              <w:rPr>
                <w:rFonts w:ascii="Times New Roman" w:hAnsi="Times New Roman"/>
                <w:color w:val="000000" w:themeColor="text1"/>
                <w:sz w:val="20"/>
                <w:szCs w:val="20"/>
                <w:lang w:val="fr-FR" w:eastAsia="ru-RU"/>
              </w:rPr>
              <w:t xml:space="preserve">La </w:t>
            </w:r>
            <w:proofErr w:type="spellStart"/>
            <w:r w:rsidRPr="004C01A1">
              <w:rPr>
                <w:rFonts w:ascii="Times New Roman" w:hAnsi="Times New Roman"/>
                <w:color w:val="000000" w:themeColor="text1"/>
                <w:sz w:val="20"/>
                <w:szCs w:val="20"/>
                <w:lang w:val="fr-FR" w:eastAsia="ru-RU"/>
              </w:rPr>
              <w:t>stabilirea</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contribuției</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menționate</w:t>
            </w:r>
            <w:proofErr w:type="spellEnd"/>
            <w:r w:rsidRPr="004C01A1">
              <w:rPr>
                <w:rFonts w:ascii="Times New Roman" w:hAnsi="Times New Roman"/>
                <w:color w:val="000000" w:themeColor="text1"/>
                <w:sz w:val="20"/>
                <w:szCs w:val="20"/>
                <w:lang w:val="fr-FR" w:eastAsia="ru-RU"/>
              </w:rPr>
              <w:t xml:space="preserve"> la </w:t>
            </w:r>
            <w:proofErr w:type="spellStart"/>
            <w:r w:rsidRPr="004C01A1">
              <w:rPr>
                <w:rFonts w:ascii="Times New Roman" w:hAnsi="Times New Roman"/>
                <w:color w:val="000000" w:themeColor="text1"/>
                <w:sz w:val="20"/>
                <w:szCs w:val="20"/>
                <w:lang w:val="fr-FR" w:eastAsia="ru-RU"/>
              </w:rPr>
              <w:t>alineatul</w:t>
            </w:r>
            <w:proofErr w:type="spellEnd"/>
            <w:r w:rsidR="00D10B2C" w:rsidRPr="004C01A1">
              <w:rPr>
                <w:rFonts w:ascii="Times New Roman" w:hAnsi="Times New Roman"/>
                <w:color w:val="000000" w:themeColor="text1"/>
                <w:sz w:val="20"/>
                <w:szCs w:val="20"/>
                <w:lang w:val="fr-FR" w:eastAsia="ru-RU"/>
              </w:rPr>
              <w:t xml:space="preserve"> </w:t>
            </w:r>
            <w:r w:rsidRPr="004C01A1">
              <w:rPr>
                <w:rFonts w:ascii="Times New Roman" w:hAnsi="Times New Roman"/>
                <w:color w:val="000000" w:themeColor="text1"/>
                <w:sz w:val="20"/>
                <w:szCs w:val="20"/>
                <w:lang w:val="fr-FR" w:eastAsia="ru-RU"/>
              </w:rPr>
              <w:t xml:space="preserve">(1), </w:t>
            </w:r>
            <w:proofErr w:type="spellStart"/>
            <w:r w:rsidRPr="004C01A1">
              <w:rPr>
                <w:rFonts w:ascii="Times New Roman" w:hAnsi="Times New Roman"/>
                <w:color w:val="000000" w:themeColor="text1"/>
                <w:sz w:val="20"/>
                <w:szCs w:val="20"/>
                <w:lang w:val="fr-FR" w:eastAsia="ru-RU"/>
              </w:rPr>
              <w:t>fiecare</w:t>
            </w:r>
            <w:proofErr w:type="spellEnd"/>
            <w:r w:rsidRPr="004C01A1">
              <w:rPr>
                <w:rFonts w:ascii="Times New Roman" w:hAnsi="Times New Roman"/>
                <w:color w:val="000000" w:themeColor="text1"/>
                <w:sz w:val="20"/>
                <w:szCs w:val="20"/>
                <w:lang w:val="fr-FR" w:eastAsia="ru-RU"/>
              </w:rPr>
              <w:t xml:space="preserve"> stat membru </w:t>
            </w:r>
            <w:proofErr w:type="spellStart"/>
            <w:r w:rsidRPr="004C01A1">
              <w:rPr>
                <w:rFonts w:ascii="Times New Roman" w:hAnsi="Times New Roman"/>
                <w:color w:val="000000" w:themeColor="text1"/>
                <w:sz w:val="20"/>
                <w:szCs w:val="20"/>
                <w:lang w:val="fr-FR" w:eastAsia="ru-RU"/>
              </w:rPr>
              <w:t>poate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ține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seama</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circumstanțele</w:t>
            </w:r>
            <w:proofErr w:type="spellEnd"/>
            <w:r w:rsidRPr="004C01A1">
              <w:rPr>
                <w:rFonts w:ascii="Times New Roman" w:hAnsi="Times New Roman"/>
                <w:color w:val="000000" w:themeColor="text1"/>
                <w:sz w:val="20"/>
                <w:szCs w:val="20"/>
                <w:lang w:val="fr-FR" w:eastAsia="ru-RU"/>
              </w:rPr>
              <w:t xml:space="preserve"> interne care </w:t>
            </w:r>
            <w:proofErr w:type="spellStart"/>
            <w:r w:rsidRPr="004C01A1">
              <w:rPr>
                <w:rFonts w:ascii="Times New Roman" w:hAnsi="Times New Roman"/>
                <w:color w:val="000000" w:themeColor="text1"/>
                <w:sz w:val="20"/>
                <w:szCs w:val="20"/>
                <w:lang w:val="fr-FR" w:eastAsia="ru-RU"/>
              </w:rPr>
              <w:t>afectează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consumul</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energie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primară</w:t>
            </w:r>
            <w:proofErr w:type="spellEnd"/>
            <w:r w:rsidRPr="004C01A1">
              <w:rPr>
                <w:rFonts w:ascii="Times New Roman" w:hAnsi="Times New Roman"/>
                <w:color w:val="000000" w:themeColor="text1"/>
                <w:sz w:val="20"/>
                <w:szCs w:val="20"/>
                <w:lang w:val="fr-FR" w:eastAsia="ru-RU"/>
              </w:rPr>
              <w:t xml:space="preserve"> și </w:t>
            </w:r>
            <w:proofErr w:type="spellStart"/>
            <w:r w:rsidRPr="004C01A1">
              <w:rPr>
                <w:rFonts w:ascii="Times New Roman" w:hAnsi="Times New Roman"/>
                <w:color w:val="000000" w:themeColor="text1"/>
                <w:sz w:val="20"/>
                <w:szCs w:val="20"/>
                <w:lang w:val="fr-FR" w:eastAsia="ru-RU"/>
              </w:rPr>
              <w:t>finală</w:t>
            </w:r>
            <w:proofErr w:type="spellEnd"/>
            <w:r w:rsidRPr="004C01A1">
              <w:rPr>
                <w:rFonts w:ascii="Times New Roman" w:hAnsi="Times New Roman"/>
                <w:color w:val="000000" w:themeColor="text1"/>
                <w:sz w:val="20"/>
                <w:szCs w:val="20"/>
                <w:lang w:val="fr-FR" w:eastAsia="ru-RU"/>
              </w:rPr>
              <w:t xml:space="preserve">, </w:t>
            </w:r>
            <w:proofErr w:type="spellStart"/>
            <w:proofErr w:type="gramStart"/>
            <w:r w:rsidRPr="004C01A1">
              <w:rPr>
                <w:rFonts w:ascii="Times New Roman" w:hAnsi="Times New Roman"/>
                <w:color w:val="000000" w:themeColor="text1"/>
                <w:sz w:val="20"/>
                <w:szCs w:val="20"/>
                <w:lang w:val="fr-FR" w:eastAsia="ru-RU"/>
              </w:rPr>
              <w:t>precum</w:t>
            </w:r>
            <w:proofErr w:type="spellEnd"/>
            <w:r w:rsidRPr="004C01A1">
              <w:rPr>
                <w:rFonts w:ascii="Times New Roman" w:hAnsi="Times New Roman"/>
                <w:color w:val="000000" w:themeColor="text1"/>
                <w:sz w:val="20"/>
                <w:szCs w:val="20"/>
                <w:lang w:val="fr-FR" w:eastAsia="ru-RU"/>
              </w:rPr>
              <w:t>:</w:t>
            </w:r>
            <w:proofErr w:type="gramEnd"/>
          </w:p>
          <w:p w14:paraId="53A2F09B" w14:textId="49266A27" w:rsidR="00F014B6" w:rsidRPr="004C01A1" w:rsidRDefault="00F014B6" w:rsidP="000C5A3B">
            <w:pPr>
              <w:pStyle w:val="af3"/>
              <w:numPr>
                <w:ilvl w:val="0"/>
                <w:numId w:val="100"/>
              </w:numPr>
              <w:spacing w:after="0" w:line="240" w:lineRule="auto"/>
              <w:jc w:val="both"/>
              <w:rPr>
                <w:rFonts w:ascii="Times New Roman" w:hAnsi="Times New Roman"/>
                <w:color w:val="000000" w:themeColor="text1"/>
                <w:sz w:val="20"/>
                <w:szCs w:val="20"/>
                <w:lang w:val="fr-FR" w:eastAsia="ru-RU"/>
              </w:rPr>
            </w:pPr>
            <w:proofErr w:type="spellStart"/>
            <w:proofErr w:type="gramStart"/>
            <w:r w:rsidRPr="004C01A1">
              <w:rPr>
                <w:rFonts w:ascii="Times New Roman" w:hAnsi="Times New Roman"/>
                <w:color w:val="000000" w:themeColor="text1"/>
                <w:sz w:val="20"/>
                <w:szCs w:val="20"/>
                <w:lang w:val="fr-FR" w:eastAsia="ru-RU"/>
              </w:rPr>
              <w:t>potențialul</w:t>
            </w:r>
            <w:proofErr w:type="spellEnd"/>
            <w:proofErr w:type="gram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rămas</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economisire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rentabilă</w:t>
            </w:r>
            <w:proofErr w:type="spellEnd"/>
            <w:r w:rsidRPr="004C01A1">
              <w:rPr>
                <w:rFonts w:ascii="Times New Roman" w:hAnsi="Times New Roman"/>
                <w:color w:val="000000" w:themeColor="text1"/>
                <w:sz w:val="20"/>
                <w:szCs w:val="20"/>
                <w:lang w:val="fr-FR" w:eastAsia="ru-RU"/>
              </w:rPr>
              <w:t xml:space="preserve"> a energiei;</w:t>
            </w:r>
          </w:p>
          <w:p w14:paraId="61C3331B" w14:textId="2A35BA97" w:rsidR="00F014B6" w:rsidRPr="004C01A1" w:rsidRDefault="00F014B6" w:rsidP="000C5A3B">
            <w:pPr>
              <w:pStyle w:val="af3"/>
              <w:numPr>
                <w:ilvl w:val="0"/>
                <w:numId w:val="100"/>
              </w:numPr>
              <w:spacing w:after="0" w:line="240" w:lineRule="auto"/>
              <w:jc w:val="both"/>
              <w:rPr>
                <w:rFonts w:ascii="Times New Roman" w:hAnsi="Times New Roman"/>
                <w:color w:val="000000" w:themeColor="text1"/>
                <w:sz w:val="20"/>
                <w:szCs w:val="20"/>
                <w:lang w:val="en-US" w:eastAsia="ru-RU"/>
              </w:rPr>
            </w:pPr>
            <w:proofErr w:type="spellStart"/>
            <w:r w:rsidRPr="004C01A1">
              <w:rPr>
                <w:rFonts w:ascii="Times New Roman" w:hAnsi="Times New Roman"/>
                <w:color w:val="000000" w:themeColor="text1"/>
                <w:sz w:val="20"/>
                <w:szCs w:val="20"/>
                <w:lang w:val="en-US" w:eastAsia="ru-RU"/>
              </w:rPr>
              <w:t>evoluția</w:t>
            </w:r>
            <w:proofErr w:type="spellEnd"/>
            <w:r w:rsidRPr="004C01A1">
              <w:rPr>
                <w:rFonts w:ascii="Times New Roman" w:hAnsi="Times New Roman"/>
                <w:color w:val="000000" w:themeColor="text1"/>
                <w:sz w:val="20"/>
                <w:szCs w:val="20"/>
                <w:lang w:val="en-US" w:eastAsia="ru-RU"/>
              </w:rPr>
              <w:t xml:space="preserve"> și </w:t>
            </w:r>
            <w:proofErr w:type="spellStart"/>
            <w:r w:rsidRPr="004C01A1">
              <w:rPr>
                <w:rFonts w:ascii="Times New Roman" w:hAnsi="Times New Roman"/>
                <w:color w:val="000000" w:themeColor="text1"/>
                <w:sz w:val="20"/>
                <w:szCs w:val="20"/>
                <w:lang w:val="en-US" w:eastAsia="ru-RU"/>
              </w:rPr>
              <w:t>previziunea</w:t>
            </w:r>
            <w:proofErr w:type="spellEnd"/>
            <w:r w:rsidRPr="004C01A1">
              <w:rPr>
                <w:rFonts w:ascii="Times New Roman" w:hAnsi="Times New Roman"/>
                <w:color w:val="000000" w:themeColor="text1"/>
                <w:sz w:val="20"/>
                <w:szCs w:val="20"/>
                <w:lang w:val="en-US" w:eastAsia="ru-RU"/>
              </w:rPr>
              <w:t xml:space="preserve"> </w:t>
            </w:r>
            <w:proofErr w:type="spellStart"/>
            <w:r w:rsidRPr="004C01A1">
              <w:rPr>
                <w:rFonts w:ascii="Times New Roman" w:hAnsi="Times New Roman"/>
                <w:color w:val="000000" w:themeColor="text1"/>
                <w:sz w:val="20"/>
                <w:szCs w:val="20"/>
                <w:lang w:val="en-US" w:eastAsia="ru-RU"/>
              </w:rPr>
              <w:t>produsului</w:t>
            </w:r>
            <w:proofErr w:type="spellEnd"/>
            <w:r w:rsidRPr="004C01A1">
              <w:rPr>
                <w:rFonts w:ascii="Times New Roman" w:hAnsi="Times New Roman"/>
                <w:color w:val="000000" w:themeColor="text1"/>
                <w:sz w:val="20"/>
                <w:szCs w:val="20"/>
                <w:lang w:val="en-US" w:eastAsia="ru-RU"/>
              </w:rPr>
              <w:t xml:space="preserve"> intern brut;</w:t>
            </w:r>
          </w:p>
          <w:p w14:paraId="6A43F47E" w14:textId="3CC17C40" w:rsidR="00F014B6" w:rsidRPr="004C01A1" w:rsidRDefault="00F014B6" w:rsidP="000C5A3B">
            <w:pPr>
              <w:pStyle w:val="af3"/>
              <w:numPr>
                <w:ilvl w:val="0"/>
                <w:numId w:val="100"/>
              </w:numPr>
              <w:spacing w:after="0" w:line="240" w:lineRule="auto"/>
              <w:jc w:val="both"/>
              <w:rPr>
                <w:rFonts w:ascii="Times New Roman" w:hAnsi="Times New Roman"/>
                <w:color w:val="000000" w:themeColor="text1"/>
                <w:sz w:val="20"/>
                <w:szCs w:val="20"/>
                <w:lang w:val="fr-FR" w:eastAsia="ru-RU"/>
              </w:rPr>
            </w:pPr>
            <w:proofErr w:type="spellStart"/>
            <w:proofErr w:type="gramStart"/>
            <w:r w:rsidRPr="004C01A1">
              <w:rPr>
                <w:rFonts w:ascii="Times New Roman" w:hAnsi="Times New Roman"/>
                <w:color w:val="000000" w:themeColor="text1"/>
                <w:sz w:val="20"/>
                <w:szCs w:val="20"/>
                <w:lang w:val="fr-FR" w:eastAsia="ru-RU"/>
              </w:rPr>
              <w:t>schimbările</w:t>
            </w:r>
            <w:proofErr w:type="spellEnd"/>
            <w:proofErr w:type="gram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înregistrate</w:t>
            </w:r>
            <w:proofErr w:type="spellEnd"/>
            <w:r w:rsidRPr="004C01A1">
              <w:rPr>
                <w:rFonts w:ascii="Times New Roman" w:hAnsi="Times New Roman"/>
                <w:color w:val="000000" w:themeColor="text1"/>
                <w:sz w:val="20"/>
                <w:szCs w:val="20"/>
                <w:lang w:val="fr-FR" w:eastAsia="ru-RU"/>
              </w:rPr>
              <w:t xml:space="preserve"> la </w:t>
            </w:r>
            <w:proofErr w:type="spellStart"/>
            <w:r w:rsidRPr="004C01A1">
              <w:rPr>
                <w:rFonts w:ascii="Times New Roman" w:hAnsi="Times New Roman"/>
                <w:color w:val="000000" w:themeColor="text1"/>
                <w:sz w:val="20"/>
                <w:szCs w:val="20"/>
                <w:lang w:val="fr-FR" w:eastAsia="ru-RU"/>
              </w:rPr>
              <w:t>nivelul</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importurilor</w:t>
            </w:r>
            <w:proofErr w:type="spellEnd"/>
            <w:r w:rsidRPr="004C01A1">
              <w:rPr>
                <w:rFonts w:ascii="Times New Roman" w:hAnsi="Times New Roman"/>
                <w:color w:val="000000" w:themeColor="text1"/>
                <w:sz w:val="20"/>
                <w:szCs w:val="20"/>
                <w:lang w:val="fr-FR" w:eastAsia="ru-RU"/>
              </w:rPr>
              <w:t xml:space="preserve"> și </w:t>
            </w:r>
            <w:proofErr w:type="spellStart"/>
            <w:r w:rsidRPr="004C01A1">
              <w:rPr>
                <w:rFonts w:ascii="Times New Roman" w:hAnsi="Times New Roman"/>
                <w:color w:val="000000" w:themeColor="text1"/>
                <w:sz w:val="20"/>
                <w:szCs w:val="20"/>
                <w:lang w:val="fr-FR" w:eastAsia="ru-RU"/>
              </w:rPr>
              <w:t>exporturilor</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energi</w:t>
            </w:r>
            <w:proofErr w:type="spellEnd"/>
            <w:r w:rsidRPr="004C01A1">
              <w:rPr>
                <w:rFonts w:ascii="Times New Roman" w:hAnsi="Times New Roman"/>
                <w:color w:val="000000" w:themeColor="text1"/>
                <w:sz w:val="20"/>
                <w:szCs w:val="20"/>
                <w:lang w:val="fr-FR" w:eastAsia="ru-RU"/>
              </w:rPr>
              <w:t>;</w:t>
            </w:r>
          </w:p>
          <w:p w14:paraId="65C8748C" w14:textId="604C31AA" w:rsidR="00F014B6" w:rsidRPr="004C01A1" w:rsidRDefault="00F014B6" w:rsidP="000C5A3B">
            <w:pPr>
              <w:pStyle w:val="af3"/>
              <w:numPr>
                <w:ilvl w:val="0"/>
                <w:numId w:val="100"/>
              </w:numPr>
              <w:spacing w:after="0" w:line="240" w:lineRule="auto"/>
              <w:jc w:val="both"/>
              <w:rPr>
                <w:rFonts w:ascii="Times New Roman" w:hAnsi="Times New Roman"/>
                <w:color w:val="000000" w:themeColor="text1"/>
                <w:sz w:val="20"/>
                <w:szCs w:val="20"/>
                <w:lang w:val="fr-FR" w:eastAsia="ru-RU"/>
              </w:rPr>
            </w:pPr>
            <w:proofErr w:type="spellStart"/>
            <w:proofErr w:type="gramStart"/>
            <w:r w:rsidRPr="004C01A1">
              <w:rPr>
                <w:rFonts w:ascii="Times New Roman" w:hAnsi="Times New Roman"/>
                <w:color w:val="000000" w:themeColor="text1"/>
                <w:sz w:val="20"/>
                <w:szCs w:val="20"/>
                <w:shd w:val="clear" w:color="auto" w:fill="FFFFFF"/>
                <w:lang w:val="fr-FR"/>
              </w:rPr>
              <w:t>schimbarea</w:t>
            </w:r>
            <w:proofErr w:type="spellEnd"/>
            <w:proofErr w:type="gramEnd"/>
            <w:r w:rsidRPr="004C01A1">
              <w:rPr>
                <w:rFonts w:ascii="Times New Roman" w:hAnsi="Times New Roman"/>
                <w:color w:val="000000" w:themeColor="text1"/>
                <w:sz w:val="20"/>
                <w:szCs w:val="20"/>
                <w:shd w:val="clear" w:color="auto" w:fill="FFFFFF"/>
                <w:lang w:val="fr-FR"/>
              </w:rPr>
              <w:t xml:space="preserve"> </w:t>
            </w:r>
            <w:proofErr w:type="spellStart"/>
            <w:r w:rsidRPr="004C01A1">
              <w:rPr>
                <w:rFonts w:ascii="Times New Roman" w:hAnsi="Times New Roman"/>
                <w:color w:val="000000" w:themeColor="text1"/>
                <w:sz w:val="20"/>
                <w:szCs w:val="20"/>
                <w:shd w:val="clear" w:color="auto" w:fill="FFFFFF"/>
                <w:lang w:val="fr-FR"/>
              </w:rPr>
              <w:t>mixului</w:t>
            </w:r>
            <w:proofErr w:type="spellEnd"/>
            <w:r w:rsidRPr="004C01A1">
              <w:rPr>
                <w:rFonts w:ascii="Times New Roman" w:hAnsi="Times New Roman"/>
                <w:color w:val="000000" w:themeColor="text1"/>
                <w:sz w:val="20"/>
                <w:szCs w:val="20"/>
                <w:shd w:val="clear" w:color="auto" w:fill="FFFFFF"/>
                <w:lang w:val="fr-FR"/>
              </w:rPr>
              <w:t xml:space="preserve"> </w:t>
            </w:r>
            <w:proofErr w:type="spellStart"/>
            <w:r w:rsidRPr="004C01A1">
              <w:rPr>
                <w:rFonts w:ascii="Times New Roman" w:hAnsi="Times New Roman"/>
                <w:color w:val="000000" w:themeColor="text1"/>
                <w:sz w:val="20"/>
                <w:szCs w:val="20"/>
                <w:shd w:val="clear" w:color="auto" w:fill="FFFFFF"/>
                <w:lang w:val="fr-FR"/>
              </w:rPr>
              <w:t>energetic</w:t>
            </w:r>
            <w:proofErr w:type="spellEnd"/>
            <w:r w:rsidRPr="004C01A1">
              <w:rPr>
                <w:rFonts w:ascii="Times New Roman" w:hAnsi="Times New Roman"/>
                <w:color w:val="000000" w:themeColor="text1"/>
                <w:sz w:val="20"/>
                <w:szCs w:val="20"/>
                <w:shd w:val="clear" w:color="auto" w:fill="FFFFFF"/>
                <w:lang w:val="fr-FR"/>
              </w:rPr>
              <w:t xml:space="preserve"> și </w:t>
            </w:r>
            <w:proofErr w:type="spellStart"/>
            <w:r w:rsidRPr="004C01A1">
              <w:rPr>
                <w:rFonts w:ascii="Times New Roman" w:hAnsi="Times New Roman"/>
                <w:color w:val="000000" w:themeColor="text1"/>
                <w:sz w:val="20"/>
                <w:szCs w:val="20"/>
                <w:shd w:val="clear" w:color="auto" w:fill="FFFFFF"/>
                <w:lang w:val="fr-FR"/>
              </w:rPr>
              <w:t>dezvoltarea</w:t>
            </w:r>
            <w:proofErr w:type="spellEnd"/>
            <w:r w:rsidRPr="004C01A1">
              <w:rPr>
                <w:rFonts w:ascii="Times New Roman" w:hAnsi="Times New Roman"/>
                <w:color w:val="000000" w:themeColor="text1"/>
                <w:sz w:val="20"/>
                <w:szCs w:val="20"/>
                <w:shd w:val="clear" w:color="auto" w:fill="FFFFFF"/>
                <w:lang w:val="fr-FR"/>
              </w:rPr>
              <w:t xml:space="preserve"> </w:t>
            </w:r>
            <w:proofErr w:type="spellStart"/>
            <w:r w:rsidRPr="004C01A1">
              <w:rPr>
                <w:rFonts w:ascii="Times New Roman" w:hAnsi="Times New Roman"/>
                <w:color w:val="000000" w:themeColor="text1"/>
                <w:sz w:val="20"/>
                <w:szCs w:val="20"/>
                <w:shd w:val="clear" w:color="auto" w:fill="FFFFFF"/>
                <w:lang w:val="fr-FR"/>
              </w:rPr>
              <w:t>captării</w:t>
            </w:r>
            <w:proofErr w:type="spellEnd"/>
            <w:r w:rsidRPr="004C01A1">
              <w:rPr>
                <w:rFonts w:ascii="Times New Roman" w:hAnsi="Times New Roman"/>
                <w:color w:val="000000" w:themeColor="text1"/>
                <w:sz w:val="20"/>
                <w:szCs w:val="20"/>
                <w:shd w:val="clear" w:color="auto" w:fill="FFFFFF"/>
                <w:lang w:val="fr-FR"/>
              </w:rPr>
              <w:t xml:space="preserve"> și </w:t>
            </w:r>
            <w:proofErr w:type="spellStart"/>
            <w:r w:rsidRPr="004C01A1">
              <w:rPr>
                <w:rFonts w:ascii="Times New Roman" w:hAnsi="Times New Roman"/>
                <w:color w:val="000000" w:themeColor="text1"/>
                <w:sz w:val="20"/>
                <w:szCs w:val="20"/>
                <w:shd w:val="clear" w:color="auto" w:fill="FFFFFF"/>
                <w:lang w:val="fr-FR"/>
              </w:rPr>
              <w:t>stocării</w:t>
            </w:r>
            <w:proofErr w:type="spellEnd"/>
            <w:r w:rsidRPr="004C01A1">
              <w:rPr>
                <w:rFonts w:ascii="Times New Roman" w:hAnsi="Times New Roman"/>
                <w:color w:val="000000" w:themeColor="text1"/>
                <w:sz w:val="20"/>
                <w:szCs w:val="20"/>
                <w:shd w:val="clear" w:color="auto" w:fill="FFFFFF"/>
                <w:lang w:val="fr-FR"/>
              </w:rPr>
              <w:t xml:space="preserve"> </w:t>
            </w:r>
            <w:proofErr w:type="spellStart"/>
            <w:r w:rsidRPr="004C01A1">
              <w:rPr>
                <w:rFonts w:ascii="Times New Roman" w:hAnsi="Times New Roman"/>
                <w:color w:val="000000" w:themeColor="text1"/>
                <w:sz w:val="20"/>
                <w:szCs w:val="20"/>
                <w:shd w:val="clear" w:color="auto" w:fill="FFFFFF"/>
                <w:lang w:val="fr-FR"/>
              </w:rPr>
              <w:t>dioxidului</w:t>
            </w:r>
            <w:proofErr w:type="spellEnd"/>
            <w:r w:rsidRPr="004C01A1">
              <w:rPr>
                <w:rFonts w:ascii="Times New Roman" w:hAnsi="Times New Roman"/>
                <w:color w:val="000000" w:themeColor="text1"/>
                <w:sz w:val="20"/>
                <w:szCs w:val="20"/>
                <w:shd w:val="clear" w:color="auto" w:fill="FFFFFF"/>
                <w:lang w:val="fr-FR"/>
              </w:rPr>
              <w:t xml:space="preserve"> de carbon; și</w:t>
            </w:r>
          </w:p>
          <w:p w14:paraId="054E8DD6" w14:textId="207DD135" w:rsidR="00F014B6" w:rsidRPr="004C01A1" w:rsidRDefault="00F014B6" w:rsidP="000C5A3B">
            <w:pPr>
              <w:pStyle w:val="af3"/>
              <w:numPr>
                <w:ilvl w:val="0"/>
                <w:numId w:val="100"/>
              </w:numPr>
              <w:spacing w:after="0" w:line="240" w:lineRule="auto"/>
              <w:jc w:val="both"/>
              <w:rPr>
                <w:rFonts w:ascii="Times New Roman" w:hAnsi="Times New Roman"/>
                <w:color w:val="000000" w:themeColor="text1"/>
                <w:sz w:val="20"/>
                <w:szCs w:val="20"/>
                <w:lang w:val="fr-FR" w:eastAsia="ru-RU"/>
              </w:rPr>
            </w:pPr>
            <w:r w:rsidRPr="004C01A1">
              <w:rPr>
                <w:rFonts w:ascii="Times New Roman" w:hAnsi="Times New Roman"/>
                <w:color w:val="000000" w:themeColor="text1"/>
                <w:sz w:val="20"/>
                <w:szCs w:val="20"/>
                <w:lang w:val="en-US" w:eastAsia="ru-RU"/>
              </w:rPr>
              <w:t>ac</w:t>
            </w:r>
            <w:r w:rsidRPr="004C01A1">
              <w:rPr>
                <w:rFonts w:ascii="Times New Roman" w:hAnsi="Times New Roman"/>
                <w:color w:val="000000" w:themeColor="text1"/>
                <w:sz w:val="20"/>
                <w:szCs w:val="20"/>
                <w:lang w:val="ru-RU" w:eastAsia="ru-RU"/>
              </w:rPr>
              <w:t>ț</w:t>
            </w:r>
            <w:proofErr w:type="spellStart"/>
            <w:r w:rsidRPr="004C01A1">
              <w:rPr>
                <w:rFonts w:ascii="Times New Roman" w:hAnsi="Times New Roman"/>
                <w:color w:val="000000" w:themeColor="text1"/>
                <w:sz w:val="20"/>
                <w:szCs w:val="20"/>
                <w:lang w:val="en-US" w:eastAsia="ru-RU"/>
              </w:rPr>
              <w:t>iuni</w:t>
            </w:r>
            <w:proofErr w:type="spellEnd"/>
            <w:r w:rsidRPr="004C01A1">
              <w:rPr>
                <w:rFonts w:ascii="Times New Roman" w:hAnsi="Times New Roman"/>
                <w:color w:val="000000" w:themeColor="text1"/>
                <w:sz w:val="20"/>
                <w:szCs w:val="20"/>
                <w:lang w:val="ru-RU" w:eastAsia="ru-RU"/>
              </w:rPr>
              <w:t xml:space="preserve"> </w:t>
            </w:r>
            <w:proofErr w:type="spellStart"/>
            <w:r w:rsidRPr="004C01A1">
              <w:rPr>
                <w:rFonts w:ascii="Times New Roman" w:hAnsi="Times New Roman"/>
                <w:color w:val="000000" w:themeColor="text1"/>
                <w:sz w:val="20"/>
                <w:szCs w:val="20"/>
                <w:lang w:val="en-US" w:eastAsia="ru-RU"/>
              </w:rPr>
              <w:t>timpurii</w:t>
            </w:r>
            <w:proofErr w:type="spellEnd"/>
            <w:r w:rsidRPr="004C01A1">
              <w:rPr>
                <w:rFonts w:ascii="Times New Roman" w:hAnsi="Times New Roman"/>
                <w:color w:val="000000" w:themeColor="text1"/>
                <w:sz w:val="20"/>
                <w:szCs w:val="20"/>
                <w:lang w:val="ru-RU" w:eastAsia="ru-RU"/>
              </w:rPr>
              <w:t>.</w:t>
            </w:r>
          </w:p>
          <w:p w14:paraId="23648471" w14:textId="0C50DCCC" w:rsidR="00D37AB7" w:rsidRPr="00F014B6" w:rsidRDefault="00D37AB7" w:rsidP="00F014B6">
            <w:pPr>
              <w:jc w:val="both"/>
              <w:rPr>
                <w:rFonts w:ascii="Times New Roman" w:hAnsi="Times New Roman"/>
                <w:sz w:val="20"/>
                <w:szCs w:val="20"/>
                <w:lang w:val="fr-FR" w:eastAsia="ru-RU"/>
              </w:rPr>
            </w:pPr>
            <w:r w:rsidRPr="004C01A1">
              <w:rPr>
                <w:rFonts w:ascii="Times New Roman" w:hAnsi="Times New Roman"/>
                <w:color w:val="000000" w:themeColor="text1"/>
                <w:sz w:val="20"/>
                <w:szCs w:val="20"/>
                <w:lang w:val="fr-FR" w:eastAsia="ru-RU"/>
              </w:rPr>
              <w:t xml:space="preserve">În </w:t>
            </w:r>
            <w:proofErr w:type="spellStart"/>
            <w:r w:rsidRPr="004C01A1">
              <w:rPr>
                <w:rFonts w:ascii="Times New Roman" w:hAnsi="Times New Roman"/>
                <w:color w:val="000000" w:themeColor="text1"/>
                <w:sz w:val="20"/>
                <w:szCs w:val="20"/>
                <w:lang w:val="fr-FR" w:eastAsia="ru-RU"/>
              </w:rPr>
              <w:t>legătură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cu</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primul</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paragraf</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fiecare</w:t>
            </w:r>
            <w:proofErr w:type="spellEnd"/>
            <w:r w:rsidRPr="004C01A1">
              <w:rPr>
                <w:rFonts w:ascii="Times New Roman" w:hAnsi="Times New Roman"/>
                <w:color w:val="000000" w:themeColor="text1"/>
                <w:sz w:val="20"/>
                <w:szCs w:val="20"/>
                <w:lang w:val="fr-FR" w:eastAsia="ru-RU"/>
              </w:rPr>
              <w:t xml:space="preserve"> stat membru </w:t>
            </w:r>
            <w:proofErr w:type="spellStart"/>
            <w:r w:rsidRPr="004C01A1">
              <w:rPr>
                <w:rFonts w:ascii="Times New Roman" w:hAnsi="Times New Roman"/>
                <w:color w:val="000000" w:themeColor="text1"/>
                <w:sz w:val="20"/>
                <w:szCs w:val="20"/>
                <w:lang w:val="fr-FR" w:eastAsia="ru-RU"/>
              </w:rPr>
              <w:t>indică</w:t>
            </w:r>
            <w:proofErr w:type="spellEnd"/>
            <w:r w:rsidRPr="004C01A1">
              <w:rPr>
                <w:rFonts w:ascii="Times New Roman" w:hAnsi="Times New Roman"/>
                <w:color w:val="000000" w:themeColor="text1"/>
                <w:sz w:val="20"/>
                <w:szCs w:val="20"/>
                <w:lang w:val="fr-FR" w:eastAsia="ru-RU"/>
              </w:rPr>
              <w:t xml:space="preserve"> în </w:t>
            </w:r>
            <w:proofErr w:type="spellStart"/>
            <w:r w:rsidRPr="004C01A1">
              <w:rPr>
                <w:rFonts w:ascii="Times New Roman" w:hAnsi="Times New Roman"/>
                <w:color w:val="000000" w:themeColor="text1"/>
                <w:sz w:val="20"/>
                <w:szCs w:val="20"/>
                <w:lang w:val="fr-FR" w:eastAsia="ru-RU"/>
              </w:rPr>
              <w:t>planul</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său</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național</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integrat</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privind</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energia</w:t>
            </w:r>
            <w:proofErr w:type="spellEnd"/>
            <w:r w:rsidRPr="004C01A1">
              <w:rPr>
                <w:rFonts w:ascii="Times New Roman" w:hAnsi="Times New Roman"/>
                <w:color w:val="000000" w:themeColor="text1"/>
                <w:sz w:val="20"/>
                <w:szCs w:val="20"/>
                <w:lang w:val="fr-FR" w:eastAsia="ru-RU"/>
              </w:rPr>
              <w:t xml:space="preserve"> și </w:t>
            </w:r>
            <w:proofErr w:type="spellStart"/>
            <w:r w:rsidRPr="004C01A1">
              <w:rPr>
                <w:rFonts w:ascii="Times New Roman" w:hAnsi="Times New Roman"/>
                <w:color w:val="000000" w:themeColor="text1"/>
                <w:sz w:val="20"/>
                <w:szCs w:val="20"/>
                <w:lang w:val="fr-FR" w:eastAsia="ru-RU"/>
              </w:rPr>
              <w:t>clima</w:t>
            </w:r>
            <w:proofErr w:type="spellEnd"/>
            <w:r w:rsidRPr="004C01A1">
              <w:rPr>
                <w:rFonts w:ascii="Times New Roman" w:hAnsi="Times New Roman"/>
                <w:color w:val="000000" w:themeColor="text1"/>
                <w:sz w:val="20"/>
                <w:szCs w:val="20"/>
                <w:lang w:val="fr-FR" w:eastAsia="ru-RU"/>
              </w:rPr>
              <w:t xml:space="preserve"> care </w:t>
            </w:r>
            <w:proofErr w:type="spellStart"/>
            <w:r w:rsidRPr="004C01A1">
              <w:rPr>
                <w:rFonts w:ascii="Times New Roman" w:hAnsi="Times New Roman"/>
                <w:color w:val="000000" w:themeColor="text1"/>
                <w:sz w:val="20"/>
                <w:szCs w:val="20"/>
                <w:lang w:val="fr-FR" w:eastAsia="ru-RU"/>
              </w:rPr>
              <w:t>sunt</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circumstanțele</w:t>
            </w:r>
            <w:proofErr w:type="spellEnd"/>
            <w:r w:rsidRPr="004C01A1">
              <w:rPr>
                <w:rFonts w:ascii="Times New Roman" w:hAnsi="Times New Roman"/>
                <w:color w:val="000000" w:themeColor="text1"/>
                <w:sz w:val="20"/>
                <w:szCs w:val="20"/>
                <w:lang w:val="fr-FR" w:eastAsia="ru-RU"/>
              </w:rPr>
              <w:t xml:space="preserve"> pertinente care </w:t>
            </w:r>
            <w:proofErr w:type="spellStart"/>
            <w:r w:rsidRPr="004C01A1">
              <w:rPr>
                <w:rFonts w:ascii="Times New Roman" w:hAnsi="Times New Roman"/>
                <w:color w:val="000000" w:themeColor="text1"/>
                <w:sz w:val="20"/>
                <w:szCs w:val="20"/>
                <w:lang w:val="fr-FR" w:eastAsia="ru-RU"/>
              </w:rPr>
              <w:t>afectează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consumul</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energie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primară</w:t>
            </w:r>
            <w:proofErr w:type="spellEnd"/>
            <w:r w:rsidRPr="004C01A1">
              <w:rPr>
                <w:rFonts w:ascii="Times New Roman" w:hAnsi="Times New Roman"/>
                <w:color w:val="000000" w:themeColor="text1"/>
                <w:sz w:val="20"/>
                <w:szCs w:val="20"/>
                <w:lang w:val="fr-FR" w:eastAsia="ru-RU"/>
              </w:rPr>
              <w:t xml:space="preserve"> și </w:t>
            </w:r>
            <w:proofErr w:type="spellStart"/>
            <w:r w:rsidRPr="004C01A1">
              <w:rPr>
                <w:rFonts w:ascii="Times New Roman" w:hAnsi="Times New Roman"/>
                <w:color w:val="000000" w:themeColor="text1"/>
                <w:sz w:val="20"/>
                <w:szCs w:val="20"/>
                <w:lang w:val="fr-FR" w:eastAsia="ru-RU"/>
              </w:rPr>
              <w:t>finală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dacă</w:t>
            </w:r>
            <w:proofErr w:type="spellEnd"/>
            <w:r w:rsidRPr="004C01A1">
              <w:rPr>
                <w:rFonts w:ascii="Times New Roman" w:hAnsi="Times New Roman"/>
                <w:color w:val="000000" w:themeColor="text1"/>
                <w:sz w:val="20"/>
                <w:szCs w:val="20"/>
                <w:lang w:val="fr-FR" w:eastAsia="ru-RU"/>
              </w:rPr>
              <w:t xml:space="preserve"> de care a </w:t>
            </w:r>
            <w:proofErr w:type="spellStart"/>
            <w:r w:rsidRPr="004C01A1">
              <w:rPr>
                <w:rFonts w:ascii="Times New Roman" w:hAnsi="Times New Roman"/>
                <w:color w:val="000000" w:themeColor="text1"/>
                <w:sz w:val="20"/>
                <w:szCs w:val="20"/>
                <w:lang w:val="fr-FR" w:eastAsia="ru-RU"/>
              </w:rPr>
              <w:t>ținut</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seama</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după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caz</w:t>
            </w:r>
            <w:proofErr w:type="spellEnd"/>
            <w:r w:rsidRPr="004C01A1">
              <w:rPr>
                <w:rFonts w:ascii="Times New Roman" w:hAnsi="Times New Roman"/>
                <w:color w:val="000000" w:themeColor="text1"/>
                <w:sz w:val="20"/>
                <w:szCs w:val="20"/>
                <w:lang w:val="fr-FR" w:eastAsia="ru-RU"/>
              </w:rPr>
              <w:t>.</w:t>
            </w:r>
          </w:p>
        </w:tc>
        <w:tc>
          <w:tcPr>
            <w:tcW w:w="4440" w:type="dxa"/>
          </w:tcPr>
          <w:p w14:paraId="623995B3" w14:textId="31725896" w:rsidR="00D37AB7" w:rsidRPr="00D10B2C" w:rsidRDefault="00D37AB7" w:rsidP="00D10B2C">
            <w:pPr>
              <w:shd w:val="clear" w:color="auto" w:fill="FFFFFF"/>
              <w:suppressAutoHyphens w:val="0"/>
              <w:autoSpaceDN/>
              <w:spacing w:after="0" w:line="240" w:lineRule="auto"/>
              <w:jc w:val="both"/>
              <w:textAlignment w:val="auto"/>
              <w:rPr>
                <w:rFonts w:ascii="Times New Roman" w:eastAsia="Times New Roman" w:hAnsi="Times New Roman"/>
                <w:sz w:val="20"/>
                <w:szCs w:val="20"/>
                <w:lang w:val="ro-RO" w:eastAsia="ru-RU"/>
              </w:rPr>
            </w:pPr>
          </w:p>
        </w:tc>
        <w:tc>
          <w:tcPr>
            <w:tcW w:w="1276" w:type="dxa"/>
          </w:tcPr>
          <w:p w14:paraId="5630EC23" w14:textId="1301E557" w:rsidR="00D37AB7" w:rsidRPr="00F014B6" w:rsidRDefault="00D10B2C" w:rsidP="00D37AB7">
            <w:pPr>
              <w:pStyle w:val="ColorfulList-Accent11"/>
              <w:spacing w:after="0" w:line="240" w:lineRule="auto"/>
              <w:ind w:left="0"/>
              <w:jc w:val="both"/>
              <w:rPr>
                <w:lang w:val="fr-FR"/>
              </w:rPr>
            </w:pPr>
            <w:r>
              <w:rPr>
                <w:rFonts w:ascii="Times New Roman" w:hAnsi="Times New Roman"/>
                <w:sz w:val="20"/>
                <w:szCs w:val="20"/>
                <w:lang w:val="ro-RO"/>
              </w:rPr>
              <w:t>C</w:t>
            </w:r>
            <w:r w:rsidR="00F014B6" w:rsidRPr="00C951E7">
              <w:rPr>
                <w:rFonts w:ascii="Times New Roman" w:hAnsi="Times New Roman"/>
                <w:sz w:val="20"/>
                <w:szCs w:val="20"/>
                <w:lang w:val="ro-RO"/>
              </w:rPr>
              <w:t>ompatibil</w:t>
            </w:r>
          </w:p>
        </w:tc>
        <w:tc>
          <w:tcPr>
            <w:tcW w:w="1276" w:type="dxa"/>
          </w:tcPr>
          <w:p w14:paraId="2DDFDB13" w14:textId="77777777" w:rsidR="00D37AB7" w:rsidRPr="00F014B6" w:rsidRDefault="00D37AB7" w:rsidP="00D37AB7">
            <w:pPr>
              <w:pStyle w:val="ColorfulList-Accent11"/>
              <w:spacing w:after="0" w:line="240" w:lineRule="auto"/>
              <w:ind w:left="0"/>
              <w:jc w:val="both"/>
              <w:rPr>
                <w:lang w:val="fr-FR"/>
              </w:rPr>
            </w:pPr>
          </w:p>
        </w:tc>
        <w:tc>
          <w:tcPr>
            <w:tcW w:w="1701" w:type="dxa"/>
          </w:tcPr>
          <w:p w14:paraId="572A5C4D" w14:textId="65D91394"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proofErr w:type="spellStart"/>
            <w:r w:rsidR="00967546">
              <w:rPr>
                <w:rFonts w:ascii="Times New Roman" w:eastAsia="Times New Roman" w:hAnsi="Times New Roman"/>
                <w:sz w:val="20"/>
                <w:szCs w:val="20"/>
                <w:lang w:val="ro-RO" w:eastAsia="ru-RU"/>
              </w:rPr>
              <w:t>lc</w:t>
            </w:r>
            <w:proofErr w:type="spellEnd"/>
            <w:r w:rsidR="00967546">
              <w:rPr>
                <w:rFonts w:ascii="Times New Roman" w:eastAsia="Times New Roman" w:hAnsi="Times New Roman"/>
                <w:sz w:val="20"/>
                <w:szCs w:val="20"/>
                <w:lang w:val="ro-RO" w:eastAsia="ru-RU"/>
              </w:rPr>
              <w:t xml:space="preserve"> pct.17 și pct.18 din</w:t>
            </w:r>
            <w:r>
              <w:rPr>
                <w:rFonts w:ascii="Times New Roman" w:eastAsia="Times New Roman" w:hAnsi="Times New Roman"/>
                <w:sz w:val="20"/>
                <w:szCs w:val="20"/>
                <w:lang w:val="ro-RO" w:eastAsia="ru-RU"/>
              </w:rPr>
              <w:t xml:space="preserve"> </w:t>
            </w:r>
          </w:p>
          <w:p w14:paraId="7FE43201" w14:textId="6E6EF322" w:rsidR="00D37AB7" w:rsidRPr="00F014B6"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23811177" w14:textId="77777777" w:rsidR="004823A6" w:rsidRPr="003F755D" w:rsidRDefault="00F014B6" w:rsidP="004823A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4823A6" w:rsidRPr="00A81801">
              <w:rPr>
                <w:rFonts w:ascii="Times New Roman" w:hAnsi="Times New Roman"/>
                <w:color w:val="000000" w:themeColor="text1"/>
                <w:sz w:val="20"/>
                <w:szCs w:val="20"/>
              </w:rPr>
              <w:t>Energiei</w:t>
            </w:r>
          </w:p>
          <w:p w14:paraId="6AB732C8" w14:textId="5265B943" w:rsidR="00F014B6" w:rsidRPr="003F755D" w:rsidRDefault="00F014B6" w:rsidP="00F014B6">
            <w:pPr>
              <w:autoSpaceDE w:val="0"/>
              <w:spacing w:after="0" w:line="240" w:lineRule="auto"/>
              <w:rPr>
                <w:rFonts w:ascii="Times New Roman" w:hAnsi="Times New Roman"/>
                <w:sz w:val="20"/>
                <w:szCs w:val="20"/>
                <w:shd w:val="clear" w:color="auto" w:fill="FFFFFF"/>
                <w:lang w:val="ro-RO"/>
              </w:rPr>
            </w:pPr>
          </w:p>
          <w:p w14:paraId="705F42DA" w14:textId="77777777" w:rsidR="00D37AB7" w:rsidRPr="00F014B6" w:rsidRDefault="00D37AB7" w:rsidP="00D37AB7">
            <w:pPr>
              <w:pStyle w:val="ColorfulList-Accent11"/>
              <w:spacing w:after="0" w:line="240" w:lineRule="auto"/>
              <w:ind w:left="0"/>
              <w:jc w:val="both"/>
              <w:rPr>
                <w:lang w:val="ro-RO"/>
              </w:rPr>
            </w:pPr>
          </w:p>
        </w:tc>
      </w:tr>
      <w:tr w:rsidR="00D37AB7" w:rsidRPr="00FD419A" w14:paraId="280C42C5" w14:textId="77777777" w:rsidTr="00A90105">
        <w:tc>
          <w:tcPr>
            <w:tcW w:w="4945" w:type="dxa"/>
          </w:tcPr>
          <w:p w14:paraId="5592DC6C" w14:textId="77777777" w:rsidR="00D37AB7" w:rsidRPr="004823A6" w:rsidRDefault="00D37AB7" w:rsidP="00F014B6">
            <w:pPr>
              <w:spacing w:after="0" w:line="240" w:lineRule="auto"/>
              <w:jc w:val="center"/>
              <w:rPr>
                <w:rFonts w:ascii="Times New Roman" w:hAnsi="Times New Roman"/>
                <w:sz w:val="20"/>
                <w:szCs w:val="20"/>
                <w:lang w:val="fr-FR" w:eastAsia="ru-RU"/>
              </w:rPr>
            </w:pPr>
            <w:proofErr w:type="spellStart"/>
            <w:r w:rsidRPr="004823A6">
              <w:rPr>
                <w:rFonts w:ascii="Times New Roman" w:hAnsi="Times New Roman"/>
                <w:sz w:val="20"/>
                <w:szCs w:val="20"/>
                <w:lang w:val="fr-FR" w:eastAsia="ru-RU"/>
              </w:rPr>
              <w:t>Articolul</w:t>
            </w:r>
            <w:proofErr w:type="spellEnd"/>
            <w:r w:rsidRPr="004823A6">
              <w:rPr>
                <w:rFonts w:ascii="Times New Roman" w:hAnsi="Times New Roman"/>
                <w:sz w:val="20"/>
                <w:szCs w:val="20"/>
                <w:lang w:val="fr-FR" w:eastAsia="ru-RU"/>
              </w:rPr>
              <w:t xml:space="preserve"> 7</w:t>
            </w:r>
          </w:p>
          <w:p w14:paraId="7E1F0A59" w14:textId="77777777" w:rsidR="00D37AB7" w:rsidRPr="004823A6" w:rsidRDefault="00D37AB7" w:rsidP="00F014B6">
            <w:pPr>
              <w:spacing w:after="0" w:line="240" w:lineRule="auto"/>
              <w:jc w:val="center"/>
              <w:rPr>
                <w:rFonts w:ascii="Times New Roman" w:hAnsi="Times New Roman"/>
                <w:b/>
                <w:bCs/>
                <w:sz w:val="20"/>
                <w:szCs w:val="20"/>
                <w:lang w:val="fr-FR" w:eastAsia="ru-RU"/>
              </w:rPr>
            </w:pPr>
            <w:proofErr w:type="spellStart"/>
            <w:r w:rsidRPr="004823A6">
              <w:rPr>
                <w:rFonts w:ascii="Times New Roman" w:hAnsi="Times New Roman"/>
                <w:b/>
                <w:bCs/>
                <w:sz w:val="20"/>
                <w:szCs w:val="20"/>
                <w:lang w:val="fr-FR" w:eastAsia="ru-RU"/>
              </w:rPr>
              <w:t>Politicile</w:t>
            </w:r>
            <w:proofErr w:type="spellEnd"/>
            <w:r w:rsidRPr="004823A6">
              <w:rPr>
                <w:rFonts w:ascii="Times New Roman" w:hAnsi="Times New Roman"/>
                <w:b/>
                <w:bCs/>
                <w:sz w:val="20"/>
                <w:szCs w:val="20"/>
                <w:lang w:val="fr-FR" w:eastAsia="ru-RU"/>
              </w:rPr>
              <w:t xml:space="preserve"> și </w:t>
            </w:r>
            <w:proofErr w:type="spellStart"/>
            <w:r w:rsidRPr="004823A6">
              <w:rPr>
                <w:rFonts w:ascii="Times New Roman" w:hAnsi="Times New Roman"/>
                <w:b/>
                <w:bCs/>
                <w:sz w:val="20"/>
                <w:szCs w:val="20"/>
                <w:lang w:val="fr-FR" w:eastAsia="ru-RU"/>
              </w:rPr>
              <w:t>măsurile</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naționale</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pentru</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fiecare</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dintre</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cele</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cinci</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dimensiuni</w:t>
            </w:r>
            <w:proofErr w:type="spellEnd"/>
            <w:r w:rsidRPr="004823A6">
              <w:rPr>
                <w:rFonts w:ascii="Times New Roman" w:hAnsi="Times New Roman"/>
                <w:b/>
                <w:bCs/>
                <w:sz w:val="20"/>
                <w:szCs w:val="20"/>
                <w:lang w:val="fr-FR" w:eastAsia="ru-RU"/>
              </w:rPr>
              <w:t xml:space="preserve"> ale </w:t>
            </w:r>
            <w:proofErr w:type="spellStart"/>
            <w:r w:rsidRPr="004823A6">
              <w:rPr>
                <w:rFonts w:ascii="Times New Roman" w:hAnsi="Times New Roman"/>
                <w:b/>
                <w:bCs/>
                <w:sz w:val="20"/>
                <w:szCs w:val="20"/>
                <w:lang w:val="fr-FR" w:eastAsia="ru-RU"/>
              </w:rPr>
              <w:t>uniunii</w:t>
            </w:r>
            <w:proofErr w:type="spellEnd"/>
            <w:r w:rsidRPr="004823A6">
              <w:rPr>
                <w:rFonts w:ascii="Times New Roman" w:hAnsi="Times New Roman"/>
                <w:b/>
                <w:bCs/>
                <w:sz w:val="20"/>
                <w:szCs w:val="20"/>
                <w:lang w:val="fr-FR" w:eastAsia="ru-RU"/>
              </w:rPr>
              <w:t xml:space="preserve"> </w:t>
            </w:r>
            <w:proofErr w:type="spellStart"/>
            <w:r w:rsidRPr="004823A6">
              <w:rPr>
                <w:rFonts w:ascii="Times New Roman" w:hAnsi="Times New Roman"/>
                <w:b/>
                <w:bCs/>
                <w:sz w:val="20"/>
                <w:szCs w:val="20"/>
                <w:lang w:val="fr-FR" w:eastAsia="ru-RU"/>
              </w:rPr>
              <w:t>energetice</w:t>
            </w:r>
            <w:proofErr w:type="spellEnd"/>
          </w:p>
          <w:p w14:paraId="07DD06D9" w14:textId="6AA460E9" w:rsidR="00D37AB7" w:rsidRPr="004823A6" w:rsidRDefault="00D37AB7" w:rsidP="00F014B6">
            <w:pPr>
              <w:spacing w:after="0" w:line="240" w:lineRule="auto"/>
              <w:jc w:val="both"/>
              <w:rPr>
                <w:rFonts w:ascii="Times New Roman" w:hAnsi="Times New Roman"/>
                <w:sz w:val="20"/>
                <w:szCs w:val="20"/>
                <w:lang w:val="fr-FR" w:eastAsia="ru-RU"/>
              </w:rPr>
            </w:pPr>
            <w:r w:rsidRPr="004823A6">
              <w:rPr>
                <w:rFonts w:ascii="Times New Roman" w:hAnsi="Times New Roman"/>
                <w:sz w:val="20"/>
                <w:szCs w:val="20"/>
                <w:lang w:val="fr-FR" w:eastAsia="ru-RU"/>
              </w:rPr>
              <w:t xml:space="preserve">În </w:t>
            </w:r>
            <w:proofErr w:type="spellStart"/>
            <w:r w:rsidRPr="004823A6">
              <w:rPr>
                <w:rFonts w:ascii="Times New Roman" w:hAnsi="Times New Roman"/>
                <w:sz w:val="20"/>
                <w:szCs w:val="20"/>
                <w:lang w:val="fr-FR" w:eastAsia="ru-RU"/>
              </w:rPr>
              <w:t>propriile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planuri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naționale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integrate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privind</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energia</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clima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statele</w:t>
            </w:r>
            <w:proofErr w:type="spellEnd"/>
            <w:r w:rsidRPr="004823A6">
              <w:rPr>
                <w:rFonts w:ascii="Times New Roman" w:hAnsi="Times New Roman"/>
                <w:sz w:val="20"/>
                <w:szCs w:val="20"/>
                <w:lang w:val="fr-FR" w:eastAsia="ru-RU"/>
              </w:rPr>
              <w:t xml:space="preserve"> membre </w:t>
            </w:r>
            <w:proofErr w:type="spellStart"/>
            <w:r w:rsidRPr="004823A6">
              <w:rPr>
                <w:rFonts w:ascii="Times New Roman" w:hAnsi="Times New Roman"/>
                <w:sz w:val="20"/>
                <w:szCs w:val="20"/>
                <w:lang w:val="fr-FR" w:eastAsia="ru-RU"/>
              </w:rPr>
              <w:t>descriu</w:t>
            </w:r>
            <w:proofErr w:type="spellEnd"/>
            <w:r w:rsidRPr="004823A6">
              <w:rPr>
                <w:rFonts w:ascii="Times New Roman" w:hAnsi="Times New Roman"/>
                <w:sz w:val="20"/>
                <w:szCs w:val="20"/>
                <w:lang w:val="fr-FR" w:eastAsia="ru-RU"/>
              </w:rPr>
              <w:t xml:space="preserve">, în conformitate </w:t>
            </w:r>
            <w:proofErr w:type="spellStart"/>
            <w:r w:rsidRPr="004823A6">
              <w:rPr>
                <w:rFonts w:ascii="Times New Roman" w:hAnsi="Times New Roman"/>
                <w:sz w:val="20"/>
                <w:szCs w:val="20"/>
                <w:lang w:val="fr-FR" w:eastAsia="ru-RU"/>
              </w:rPr>
              <w:t>cu</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anexa</w:t>
            </w:r>
            <w:proofErr w:type="spellEnd"/>
            <w:r w:rsidR="000F5A29" w:rsidRPr="004823A6">
              <w:rPr>
                <w:rFonts w:ascii="Times New Roman" w:hAnsi="Times New Roman"/>
                <w:sz w:val="20"/>
                <w:szCs w:val="20"/>
                <w:lang w:val="fr-FR" w:eastAsia="ru-RU"/>
              </w:rPr>
              <w:t xml:space="preserve"> </w:t>
            </w:r>
            <w:r w:rsidRPr="004823A6">
              <w:rPr>
                <w:rFonts w:ascii="Times New Roman" w:hAnsi="Times New Roman"/>
                <w:sz w:val="20"/>
                <w:szCs w:val="20"/>
                <w:lang w:val="fr-FR" w:eastAsia="ru-RU"/>
              </w:rPr>
              <w:t xml:space="preserve">I, </w:t>
            </w:r>
            <w:proofErr w:type="spellStart"/>
            <w:r w:rsidRPr="004823A6">
              <w:rPr>
                <w:rFonts w:ascii="Times New Roman" w:hAnsi="Times New Roman"/>
                <w:sz w:val="20"/>
                <w:szCs w:val="20"/>
                <w:lang w:val="fr-FR" w:eastAsia="ru-RU"/>
              </w:rPr>
              <w:t>principalele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politici</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măsuri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existente</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planificate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pentru</w:t>
            </w:r>
            <w:proofErr w:type="spellEnd"/>
            <w:r w:rsidRPr="004823A6">
              <w:rPr>
                <w:rFonts w:ascii="Times New Roman" w:hAnsi="Times New Roman"/>
                <w:sz w:val="20"/>
                <w:szCs w:val="20"/>
                <w:lang w:val="fr-FR" w:eastAsia="ru-RU"/>
              </w:rPr>
              <w:t xml:space="preserve"> a </w:t>
            </w:r>
            <w:proofErr w:type="spellStart"/>
            <w:r w:rsidRPr="004823A6">
              <w:rPr>
                <w:rFonts w:ascii="Times New Roman" w:hAnsi="Times New Roman"/>
                <w:sz w:val="20"/>
                <w:szCs w:val="20"/>
                <w:lang w:val="fr-FR" w:eastAsia="ru-RU"/>
              </w:rPr>
              <w:t>realiza</w:t>
            </w:r>
            <w:proofErr w:type="spellEnd"/>
            <w:r w:rsidRPr="004823A6">
              <w:rPr>
                <w:rFonts w:ascii="Times New Roman" w:hAnsi="Times New Roman"/>
                <w:sz w:val="20"/>
                <w:szCs w:val="20"/>
                <w:lang w:val="fr-FR" w:eastAsia="ru-RU"/>
              </w:rPr>
              <w:t xml:space="preserve"> în </w:t>
            </w:r>
            <w:proofErr w:type="spellStart"/>
            <w:r w:rsidRPr="004823A6">
              <w:rPr>
                <w:rFonts w:ascii="Times New Roman" w:hAnsi="Times New Roman"/>
                <w:sz w:val="20"/>
                <w:szCs w:val="20"/>
                <w:lang w:val="fr-FR" w:eastAsia="ru-RU"/>
              </w:rPr>
              <w:t>special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obiectivele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stabilite</w:t>
            </w:r>
            <w:proofErr w:type="spellEnd"/>
            <w:r w:rsidRPr="004823A6">
              <w:rPr>
                <w:rFonts w:ascii="Times New Roman" w:hAnsi="Times New Roman"/>
                <w:sz w:val="20"/>
                <w:szCs w:val="20"/>
                <w:lang w:val="fr-FR" w:eastAsia="ru-RU"/>
              </w:rPr>
              <w:t xml:space="preserve"> în </w:t>
            </w:r>
            <w:proofErr w:type="spellStart"/>
            <w:r w:rsidRPr="004823A6">
              <w:rPr>
                <w:rFonts w:ascii="Times New Roman" w:hAnsi="Times New Roman"/>
                <w:sz w:val="20"/>
                <w:szCs w:val="20"/>
                <w:lang w:val="fr-FR" w:eastAsia="ru-RU"/>
              </w:rPr>
              <w:t>planurile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naționale</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inclusiv</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dacă</w:t>
            </w:r>
            <w:proofErr w:type="spellEnd"/>
            <w:r w:rsidRPr="004823A6">
              <w:rPr>
                <w:rFonts w:ascii="Times New Roman" w:hAnsi="Times New Roman"/>
                <w:sz w:val="20"/>
                <w:szCs w:val="20"/>
                <w:lang w:val="fr-FR" w:eastAsia="ru-RU"/>
              </w:rPr>
              <w:t xml:space="preserve"> este </w:t>
            </w:r>
            <w:proofErr w:type="spellStart"/>
            <w:r w:rsidRPr="004823A6">
              <w:rPr>
                <w:rFonts w:ascii="Times New Roman" w:hAnsi="Times New Roman"/>
                <w:sz w:val="20"/>
                <w:szCs w:val="20"/>
                <w:lang w:val="fr-FR" w:eastAsia="ru-RU"/>
              </w:rPr>
              <w:t>cazul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măsuri</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referitoare</w:t>
            </w:r>
            <w:proofErr w:type="spellEnd"/>
            <w:r w:rsidRPr="004823A6">
              <w:rPr>
                <w:rFonts w:ascii="Times New Roman" w:hAnsi="Times New Roman"/>
                <w:sz w:val="20"/>
                <w:szCs w:val="20"/>
                <w:lang w:val="fr-FR" w:eastAsia="ru-RU"/>
              </w:rPr>
              <w:t xml:space="preserve"> la </w:t>
            </w:r>
            <w:proofErr w:type="spellStart"/>
            <w:r w:rsidRPr="004823A6">
              <w:rPr>
                <w:rFonts w:ascii="Times New Roman" w:hAnsi="Times New Roman"/>
                <w:sz w:val="20"/>
                <w:szCs w:val="20"/>
                <w:lang w:val="fr-FR" w:eastAsia="ru-RU"/>
              </w:rPr>
              <w:t>cooperarea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regională</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finanțarea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adecvată</w:t>
            </w:r>
            <w:proofErr w:type="spellEnd"/>
            <w:r w:rsidRPr="004823A6">
              <w:rPr>
                <w:rFonts w:ascii="Times New Roman" w:hAnsi="Times New Roman"/>
                <w:sz w:val="20"/>
                <w:szCs w:val="20"/>
                <w:lang w:val="fr-FR" w:eastAsia="ru-RU"/>
              </w:rPr>
              <w:t xml:space="preserve"> la </w:t>
            </w:r>
            <w:proofErr w:type="spellStart"/>
            <w:r w:rsidRPr="004823A6">
              <w:rPr>
                <w:rFonts w:ascii="Times New Roman" w:hAnsi="Times New Roman"/>
                <w:sz w:val="20"/>
                <w:szCs w:val="20"/>
                <w:lang w:val="fr-FR" w:eastAsia="ru-RU"/>
              </w:rPr>
              <w:t>nivel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național</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regional</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inclusiv</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mobilizarea</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programelor</w:t>
            </w:r>
            <w:proofErr w:type="spellEnd"/>
            <w:r w:rsidRPr="004823A6">
              <w:rPr>
                <w:rFonts w:ascii="Times New Roman" w:hAnsi="Times New Roman"/>
                <w:sz w:val="20"/>
                <w:szCs w:val="20"/>
                <w:lang w:val="fr-FR" w:eastAsia="ru-RU"/>
              </w:rPr>
              <w:t xml:space="preserve"> și </w:t>
            </w:r>
            <w:proofErr w:type="spellStart"/>
            <w:r w:rsidRPr="004823A6">
              <w:rPr>
                <w:rFonts w:ascii="Times New Roman" w:hAnsi="Times New Roman"/>
                <w:sz w:val="20"/>
                <w:szCs w:val="20"/>
                <w:lang w:val="fr-FR" w:eastAsia="ru-RU"/>
              </w:rPr>
              <w:t>instrumentelor</w:t>
            </w:r>
            <w:proofErr w:type="spellEnd"/>
            <w:r w:rsidRPr="004823A6">
              <w:rPr>
                <w:rFonts w:ascii="Times New Roman" w:hAnsi="Times New Roman"/>
                <w:sz w:val="20"/>
                <w:szCs w:val="20"/>
                <w:lang w:val="fr-FR" w:eastAsia="ru-RU"/>
              </w:rPr>
              <w:t xml:space="preserve"> </w:t>
            </w:r>
            <w:proofErr w:type="spellStart"/>
            <w:r w:rsidRPr="004823A6">
              <w:rPr>
                <w:rFonts w:ascii="Times New Roman" w:hAnsi="Times New Roman"/>
                <w:sz w:val="20"/>
                <w:szCs w:val="20"/>
                <w:lang w:val="fr-FR" w:eastAsia="ru-RU"/>
              </w:rPr>
              <w:t>Uniunii</w:t>
            </w:r>
            <w:proofErr w:type="spellEnd"/>
            <w:r w:rsidRPr="004823A6">
              <w:rPr>
                <w:rFonts w:ascii="Times New Roman" w:hAnsi="Times New Roman"/>
                <w:sz w:val="20"/>
                <w:szCs w:val="20"/>
                <w:lang w:val="fr-FR" w:eastAsia="ru-RU"/>
              </w:rPr>
              <w:t>.</w:t>
            </w:r>
          </w:p>
          <w:p w14:paraId="0BFF29CF" w14:textId="5D3C2068" w:rsidR="00D37AB7" w:rsidRPr="00F014B6" w:rsidRDefault="00D37AB7" w:rsidP="00F014B6">
            <w:pPr>
              <w:spacing w:after="0" w:line="240" w:lineRule="auto"/>
              <w:jc w:val="both"/>
              <w:rPr>
                <w:rFonts w:ascii="Times New Roman" w:hAnsi="Times New Roman"/>
                <w:sz w:val="20"/>
                <w:szCs w:val="20"/>
                <w:lang w:val="en-US" w:eastAsia="ru-RU"/>
              </w:rPr>
            </w:pPr>
            <w:proofErr w:type="spellStart"/>
            <w:r w:rsidRPr="004823A6">
              <w:rPr>
                <w:rFonts w:ascii="Times New Roman" w:hAnsi="Times New Roman"/>
                <w:sz w:val="20"/>
                <w:szCs w:val="20"/>
                <w:lang w:val="en-US" w:eastAsia="ru-RU"/>
              </w:rPr>
              <w:lastRenderedPageBreak/>
              <w:t>Statele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membre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realizează</w:t>
            </w:r>
            <w:proofErr w:type="spellEnd"/>
            <w:r w:rsidRPr="004823A6">
              <w:rPr>
                <w:rFonts w:ascii="Times New Roman" w:hAnsi="Times New Roman"/>
                <w:sz w:val="20"/>
                <w:szCs w:val="20"/>
                <w:lang w:val="en-US" w:eastAsia="ru-RU"/>
              </w:rPr>
              <w:t xml:space="preserve"> o </w:t>
            </w:r>
            <w:proofErr w:type="spellStart"/>
            <w:r w:rsidRPr="004823A6">
              <w:rPr>
                <w:rFonts w:ascii="Times New Roman" w:hAnsi="Times New Roman"/>
                <w:sz w:val="20"/>
                <w:szCs w:val="20"/>
                <w:lang w:val="en-US" w:eastAsia="ru-RU"/>
              </w:rPr>
              <w:t>prezentare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generală</w:t>
            </w:r>
            <w:proofErr w:type="spellEnd"/>
            <w:r w:rsidRPr="004823A6">
              <w:rPr>
                <w:rFonts w:ascii="Times New Roman" w:hAnsi="Times New Roman"/>
                <w:sz w:val="20"/>
                <w:szCs w:val="20"/>
                <w:lang w:val="en-US" w:eastAsia="ru-RU"/>
              </w:rPr>
              <w:t xml:space="preserve"> </w:t>
            </w:r>
            <w:proofErr w:type="gramStart"/>
            <w:r w:rsidRPr="004823A6">
              <w:rPr>
                <w:rFonts w:ascii="Times New Roman" w:hAnsi="Times New Roman"/>
                <w:sz w:val="20"/>
                <w:szCs w:val="20"/>
                <w:lang w:val="en-US" w:eastAsia="ru-RU"/>
              </w:rPr>
              <w:t>a</w:t>
            </w:r>
            <w:proofErr w:type="gram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investițiilor</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necesare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pentru</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realizarea</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obiectivelor</w:t>
            </w:r>
            <w:proofErr w:type="spellEnd"/>
            <w:r w:rsidRPr="004823A6">
              <w:rPr>
                <w:rFonts w:ascii="Times New Roman" w:hAnsi="Times New Roman"/>
                <w:sz w:val="20"/>
                <w:szCs w:val="20"/>
                <w:lang w:val="en-US" w:eastAsia="ru-RU"/>
              </w:rPr>
              <w:t xml:space="preserve"> și </w:t>
            </w:r>
            <w:proofErr w:type="spellStart"/>
            <w:r w:rsidRPr="004823A6">
              <w:rPr>
                <w:rFonts w:ascii="Times New Roman" w:hAnsi="Times New Roman"/>
                <w:sz w:val="20"/>
                <w:szCs w:val="20"/>
                <w:lang w:val="en-US" w:eastAsia="ru-RU"/>
              </w:rPr>
              <w:t>contribuțiilor</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incluse</w:t>
            </w:r>
            <w:proofErr w:type="spellEnd"/>
            <w:r w:rsidRPr="004823A6">
              <w:rPr>
                <w:rFonts w:ascii="Times New Roman" w:hAnsi="Times New Roman"/>
                <w:sz w:val="20"/>
                <w:szCs w:val="20"/>
                <w:lang w:val="en-US" w:eastAsia="ru-RU"/>
              </w:rPr>
              <w:t xml:space="preserve"> în </w:t>
            </w:r>
            <w:proofErr w:type="spellStart"/>
            <w:r w:rsidRPr="004823A6">
              <w:rPr>
                <w:rFonts w:ascii="Times New Roman" w:hAnsi="Times New Roman"/>
                <w:sz w:val="20"/>
                <w:szCs w:val="20"/>
                <w:lang w:val="en-US" w:eastAsia="ru-RU"/>
              </w:rPr>
              <w:t>planurile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naționale</w:t>
            </w:r>
            <w:proofErr w:type="spellEnd"/>
            <w:r w:rsidRPr="004823A6">
              <w:rPr>
                <w:rFonts w:ascii="Times New Roman" w:hAnsi="Times New Roman"/>
                <w:sz w:val="20"/>
                <w:szCs w:val="20"/>
                <w:lang w:val="en-US" w:eastAsia="ru-RU"/>
              </w:rPr>
              <w:t xml:space="preserve">, precum și o </w:t>
            </w:r>
            <w:proofErr w:type="spellStart"/>
            <w:r w:rsidRPr="004823A6">
              <w:rPr>
                <w:rFonts w:ascii="Times New Roman" w:hAnsi="Times New Roman"/>
                <w:sz w:val="20"/>
                <w:szCs w:val="20"/>
                <w:lang w:val="en-US" w:eastAsia="ru-RU"/>
              </w:rPr>
              <w:t>evaluare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generală</w:t>
            </w:r>
            <w:proofErr w:type="spellEnd"/>
            <w:r w:rsidRPr="004823A6">
              <w:rPr>
                <w:rFonts w:ascii="Times New Roman" w:hAnsi="Times New Roman"/>
                <w:sz w:val="20"/>
                <w:szCs w:val="20"/>
                <w:lang w:val="en-US" w:eastAsia="ru-RU"/>
              </w:rPr>
              <w:t xml:space="preserve"> a </w:t>
            </w:r>
            <w:proofErr w:type="spellStart"/>
            <w:r w:rsidRPr="004823A6">
              <w:rPr>
                <w:rFonts w:ascii="Times New Roman" w:hAnsi="Times New Roman"/>
                <w:sz w:val="20"/>
                <w:szCs w:val="20"/>
                <w:lang w:val="en-US" w:eastAsia="ru-RU"/>
              </w:rPr>
              <w:t>surselor</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pentru</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aceste</w:t>
            </w:r>
            <w:proofErr w:type="spellEnd"/>
            <w:r w:rsidRPr="004823A6">
              <w:rPr>
                <w:rFonts w:ascii="Times New Roman" w:hAnsi="Times New Roman"/>
                <w:sz w:val="20"/>
                <w:szCs w:val="20"/>
                <w:lang w:val="en-US" w:eastAsia="ru-RU"/>
              </w:rPr>
              <w:t xml:space="preserve"> </w:t>
            </w:r>
            <w:proofErr w:type="spellStart"/>
            <w:r w:rsidRPr="004823A6">
              <w:rPr>
                <w:rFonts w:ascii="Times New Roman" w:hAnsi="Times New Roman"/>
                <w:sz w:val="20"/>
                <w:szCs w:val="20"/>
                <w:lang w:val="en-US" w:eastAsia="ru-RU"/>
              </w:rPr>
              <w:t>investiții</w:t>
            </w:r>
            <w:proofErr w:type="spellEnd"/>
            <w:r w:rsidRPr="004823A6">
              <w:rPr>
                <w:rFonts w:ascii="Times New Roman" w:hAnsi="Times New Roman"/>
                <w:sz w:val="20"/>
                <w:szCs w:val="20"/>
                <w:lang w:val="en-US" w:eastAsia="ru-RU"/>
              </w:rPr>
              <w:t>.</w:t>
            </w:r>
          </w:p>
        </w:tc>
        <w:tc>
          <w:tcPr>
            <w:tcW w:w="4440" w:type="dxa"/>
          </w:tcPr>
          <w:p w14:paraId="56F3A132" w14:textId="6F0B1289" w:rsidR="00D37AB7" w:rsidRPr="00986184" w:rsidRDefault="00D37AB7" w:rsidP="00986184">
            <w:pPr>
              <w:shd w:val="clear" w:color="auto" w:fill="FFFFFF"/>
              <w:suppressAutoHyphens w:val="0"/>
              <w:autoSpaceDN/>
              <w:spacing w:after="0" w:line="240" w:lineRule="auto"/>
              <w:jc w:val="both"/>
              <w:textAlignment w:val="auto"/>
              <w:rPr>
                <w:rFonts w:ascii="Times New Roman" w:eastAsia="Times New Roman" w:hAnsi="Times New Roman"/>
                <w:sz w:val="20"/>
                <w:szCs w:val="20"/>
                <w:lang w:val="ro-RO" w:eastAsia="ru-RU"/>
              </w:rPr>
            </w:pPr>
          </w:p>
        </w:tc>
        <w:tc>
          <w:tcPr>
            <w:tcW w:w="1276" w:type="dxa"/>
          </w:tcPr>
          <w:p w14:paraId="5B7BE171" w14:textId="32312096" w:rsidR="00D37AB7" w:rsidRDefault="00FD419A" w:rsidP="00D37AB7">
            <w:pPr>
              <w:pStyle w:val="ColorfulList-Accent11"/>
              <w:spacing w:after="0" w:line="240" w:lineRule="auto"/>
              <w:ind w:left="0"/>
              <w:jc w:val="both"/>
              <w:rPr>
                <w:lang w:val="en-US"/>
              </w:rPr>
            </w:pPr>
            <w:r>
              <w:rPr>
                <w:rFonts w:ascii="Times New Roman" w:hAnsi="Times New Roman"/>
                <w:sz w:val="20"/>
                <w:szCs w:val="20"/>
                <w:lang w:val="ro-RO"/>
              </w:rPr>
              <w:t>C</w:t>
            </w:r>
            <w:r w:rsidR="000F5A29" w:rsidRPr="00C951E7">
              <w:rPr>
                <w:rFonts w:ascii="Times New Roman" w:hAnsi="Times New Roman"/>
                <w:sz w:val="20"/>
                <w:szCs w:val="20"/>
                <w:lang w:val="ro-RO"/>
              </w:rPr>
              <w:t>ompatibil</w:t>
            </w:r>
          </w:p>
        </w:tc>
        <w:tc>
          <w:tcPr>
            <w:tcW w:w="1276" w:type="dxa"/>
          </w:tcPr>
          <w:p w14:paraId="3A848391" w14:textId="77777777" w:rsidR="00D37AB7" w:rsidRDefault="00D37AB7" w:rsidP="00D37AB7">
            <w:pPr>
              <w:pStyle w:val="ColorfulList-Accent11"/>
              <w:spacing w:after="0" w:line="240" w:lineRule="auto"/>
              <w:ind w:left="0"/>
              <w:jc w:val="both"/>
              <w:rPr>
                <w:lang w:val="en-US"/>
              </w:rPr>
            </w:pPr>
          </w:p>
        </w:tc>
        <w:tc>
          <w:tcPr>
            <w:tcW w:w="1701" w:type="dxa"/>
          </w:tcPr>
          <w:p w14:paraId="59C6AA2B" w14:textId="64A45EB4"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pct.19 și pct.20</w:t>
            </w:r>
          </w:p>
          <w:p w14:paraId="08B83183" w14:textId="511007E1" w:rsidR="00D37AB7" w:rsidRPr="000F5A29"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4BE09524" w14:textId="4BF781A8" w:rsidR="000F5A29" w:rsidRPr="003F755D" w:rsidRDefault="000F5A29" w:rsidP="000F5A2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4823A6" w:rsidRPr="00A81801">
              <w:rPr>
                <w:rFonts w:ascii="Times New Roman" w:hAnsi="Times New Roman"/>
                <w:color w:val="000000" w:themeColor="text1"/>
                <w:sz w:val="20"/>
                <w:szCs w:val="20"/>
              </w:rPr>
              <w:t>Energiei</w:t>
            </w:r>
          </w:p>
          <w:p w14:paraId="1D502E48" w14:textId="77777777" w:rsidR="00D37AB7" w:rsidRPr="000F5A29" w:rsidRDefault="00D37AB7" w:rsidP="00D37AB7">
            <w:pPr>
              <w:pStyle w:val="ColorfulList-Accent11"/>
              <w:spacing w:after="0" w:line="240" w:lineRule="auto"/>
              <w:ind w:left="0"/>
              <w:jc w:val="both"/>
              <w:rPr>
                <w:lang w:val="ro-RO"/>
              </w:rPr>
            </w:pPr>
          </w:p>
        </w:tc>
      </w:tr>
      <w:tr w:rsidR="00D37AB7" w:rsidRPr="004B1F44" w14:paraId="6E30C179" w14:textId="77777777" w:rsidTr="00A90105">
        <w:tc>
          <w:tcPr>
            <w:tcW w:w="4945" w:type="dxa"/>
          </w:tcPr>
          <w:p w14:paraId="7F844F11" w14:textId="77777777" w:rsidR="00D37AB7" w:rsidRPr="00986184" w:rsidRDefault="00D37AB7" w:rsidP="000F5A29">
            <w:pPr>
              <w:spacing w:after="0" w:line="240" w:lineRule="auto"/>
              <w:jc w:val="center"/>
              <w:rPr>
                <w:rFonts w:ascii="Times New Roman" w:hAnsi="Times New Roman"/>
                <w:sz w:val="20"/>
                <w:szCs w:val="20"/>
                <w:lang w:val="en-US" w:eastAsia="ru-RU"/>
              </w:rPr>
            </w:pPr>
            <w:proofErr w:type="spellStart"/>
            <w:r w:rsidRPr="00986184">
              <w:rPr>
                <w:rFonts w:ascii="Times New Roman" w:hAnsi="Times New Roman"/>
                <w:sz w:val="20"/>
                <w:szCs w:val="20"/>
                <w:lang w:val="en-US" w:eastAsia="ru-RU"/>
              </w:rPr>
              <w:t>Articolul</w:t>
            </w:r>
            <w:proofErr w:type="spellEnd"/>
            <w:r w:rsidRPr="00986184">
              <w:rPr>
                <w:rFonts w:ascii="Times New Roman" w:hAnsi="Times New Roman"/>
                <w:sz w:val="20"/>
                <w:szCs w:val="20"/>
                <w:lang w:val="en-US" w:eastAsia="ru-RU"/>
              </w:rPr>
              <w:t xml:space="preserve"> 8</w:t>
            </w:r>
          </w:p>
          <w:p w14:paraId="11DA4A2C" w14:textId="77777777" w:rsidR="00D37AB7" w:rsidRPr="00986184" w:rsidRDefault="00D37AB7" w:rsidP="000F5A29">
            <w:pPr>
              <w:spacing w:after="0" w:line="240" w:lineRule="auto"/>
              <w:jc w:val="center"/>
              <w:rPr>
                <w:rFonts w:ascii="Times New Roman" w:hAnsi="Times New Roman"/>
                <w:b/>
                <w:bCs/>
                <w:sz w:val="20"/>
                <w:szCs w:val="20"/>
                <w:lang w:val="en-US" w:eastAsia="ru-RU"/>
              </w:rPr>
            </w:pPr>
            <w:proofErr w:type="spellStart"/>
            <w:r w:rsidRPr="00986184">
              <w:rPr>
                <w:rFonts w:ascii="Times New Roman" w:hAnsi="Times New Roman"/>
                <w:b/>
                <w:bCs/>
                <w:sz w:val="20"/>
                <w:szCs w:val="20"/>
                <w:lang w:val="en-US" w:eastAsia="ru-RU"/>
              </w:rPr>
              <w:t>Baza</w:t>
            </w:r>
            <w:proofErr w:type="spellEnd"/>
            <w:r w:rsidRPr="00986184">
              <w:rPr>
                <w:rFonts w:ascii="Times New Roman" w:hAnsi="Times New Roman"/>
                <w:b/>
                <w:bCs/>
                <w:sz w:val="20"/>
                <w:szCs w:val="20"/>
                <w:lang w:val="en-US" w:eastAsia="ru-RU"/>
              </w:rPr>
              <w:t xml:space="preserve"> </w:t>
            </w:r>
            <w:proofErr w:type="spellStart"/>
            <w:r w:rsidRPr="00986184">
              <w:rPr>
                <w:rFonts w:ascii="Times New Roman" w:hAnsi="Times New Roman"/>
                <w:b/>
                <w:bCs/>
                <w:sz w:val="20"/>
                <w:szCs w:val="20"/>
                <w:lang w:val="en-US" w:eastAsia="ru-RU"/>
              </w:rPr>
              <w:t>analitică</w:t>
            </w:r>
            <w:proofErr w:type="spellEnd"/>
            <w:r w:rsidRPr="00986184">
              <w:rPr>
                <w:rFonts w:ascii="Times New Roman" w:hAnsi="Times New Roman"/>
                <w:b/>
                <w:bCs/>
                <w:sz w:val="20"/>
                <w:szCs w:val="20"/>
                <w:lang w:val="en-US" w:eastAsia="ru-RU"/>
              </w:rPr>
              <w:t xml:space="preserve"> a </w:t>
            </w:r>
            <w:proofErr w:type="spellStart"/>
            <w:r w:rsidRPr="00986184">
              <w:rPr>
                <w:rFonts w:ascii="Times New Roman" w:hAnsi="Times New Roman"/>
                <w:b/>
                <w:bCs/>
                <w:sz w:val="20"/>
                <w:szCs w:val="20"/>
                <w:lang w:val="en-US" w:eastAsia="ru-RU"/>
              </w:rPr>
              <w:t>planurilor</w:t>
            </w:r>
            <w:proofErr w:type="spellEnd"/>
            <w:r w:rsidRPr="00986184">
              <w:rPr>
                <w:rFonts w:ascii="Times New Roman" w:hAnsi="Times New Roman"/>
                <w:b/>
                <w:bCs/>
                <w:sz w:val="20"/>
                <w:szCs w:val="20"/>
                <w:lang w:val="en-US" w:eastAsia="ru-RU"/>
              </w:rPr>
              <w:t xml:space="preserve"> </w:t>
            </w:r>
            <w:proofErr w:type="spellStart"/>
            <w:r w:rsidRPr="00986184">
              <w:rPr>
                <w:rFonts w:ascii="Times New Roman" w:hAnsi="Times New Roman"/>
                <w:b/>
                <w:bCs/>
                <w:sz w:val="20"/>
                <w:szCs w:val="20"/>
                <w:lang w:val="en-US" w:eastAsia="ru-RU"/>
              </w:rPr>
              <w:t>naționale</w:t>
            </w:r>
            <w:proofErr w:type="spellEnd"/>
            <w:r w:rsidRPr="00986184">
              <w:rPr>
                <w:rFonts w:ascii="Times New Roman" w:hAnsi="Times New Roman"/>
                <w:b/>
                <w:bCs/>
                <w:sz w:val="20"/>
                <w:szCs w:val="20"/>
                <w:lang w:val="en-US" w:eastAsia="ru-RU"/>
              </w:rPr>
              <w:t xml:space="preserve"> integrate </w:t>
            </w:r>
            <w:proofErr w:type="spellStart"/>
            <w:r w:rsidRPr="00986184">
              <w:rPr>
                <w:rFonts w:ascii="Times New Roman" w:hAnsi="Times New Roman"/>
                <w:b/>
                <w:bCs/>
                <w:sz w:val="20"/>
                <w:szCs w:val="20"/>
                <w:lang w:val="en-US" w:eastAsia="ru-RU"/>
              </w:rPr>
              <w:t>privind</w:t>
            </w:r>
            <w:proofErr w:type="spellEnd"/>
            <w:r w:rsidRPr="00986184">
              <w:rPr>
                <w:rFonts w:ascii="Times New Roman" w:hAnsi="Times New Roman"/>
                <w:b/>
                <w:bCs/>
                <w:sz w:val="20"/>
                <w:szCs w:val="20"/>
                <w:lang w:val="en-US" w:eastAsia="ru-RU"/>
              </w:rPr>
              <w:t xml:space="preserve"> </w:t>
            </w:r>
            <w:proofErr w:type="spellStart"/>
            <w:r w:rsidRPr="00986184">
              <w:rPr>
                <w:rFonts w:ascii="Times New Roman" w:hAnsi="Times New Roman"/>
                <w:b/>
                <w:bCs/>
                <w:sz w:val="20"/>
                <w:szCs w:val="20"/>
                <w:lang w:val="en-US" w:eastAsia="ru-RU"/>
              </w:rPr>
              <w:t>energia</w:t>
            </w:r>
            <w:proofErr w:type="spellEnd"/>
            <w:r w:rsidRPr="00986184">
              <w:rPr>
                <w:rFonts w:ascii="Times New Roman" w:hAnsi="Times New Roman"/>
                <w:b/>
                <w:bCs/>
                <w:sz w:val="20"/>
                <w:szCs w:val="20"/>
                <w:lang w:val="en-US" w:eastAsia="ru-RU"/>
              </w:rPr>
              <w:t xml:space="preserve"> și </w:t>
            </w:r>
            <w:proofErr w:type="spellStart"/>
            <w:r w:rsidRPr="00986184">
              <w:rPr>
                <w:rFonts w:ascii="Times New Roman" w:hAnsi="Times New Roman"/>
                <w:b/>
                <w:bCs/>
                <w:sz w:val="20"/>
                <w:szCs w:val="20"/>
                <w:lang w:val="en-US" w:eastAsia="ru-RU"/>
              </w:rPr>
              <w:t>clima</w:t>
            </w:r>
            <w:proofErr w:type="spellEnd"/>
          </w:p>
          <w:p w14:paraId="460DF88C" w14:textId="77777777" w:rsidR="00D37AB7" w:rsidRPr="00986184" w:rsidRDefault="00D37AB7" w:rsidP="000F5A29">
            <w:pPr>
              <w:spacing w:after="0" w:line="240" w:lineRule="auto"/>
              <w:jc w:val="both"/>
              <w:rPr>
                <w:rFonts w:ascii="Times New Roman" w:hAnsi="Times New Roman"/>
                <w:sz w:val="20"/>
                <w:szCs w:val="20"/>
                <w:lang w:val="fr-FR" w:eastAsia="ru-RU"/>
              </w:rPr>
            </w:pPr>
            <w:r w:rsidRPr="00986184">
              <w:rPr>
                <w:rFonts w:ascii="Times New Roman" w:hAnsi="Times New Roman"/>
                <w:sz w:val="20"/>
                <w:szCs w:val="20"/>
                <w:lang w:val="en-US" w:eastAsia="ru-RU"/>
              </w:rPr>
              <w:t>(</w:t>
            </w:r>
            <w:proofErr w:type="gramStart"/>
            <w:r w:rsidRPr="00986184">
              <w:rPr>
                <w:rFonts w:ascii="Times New Roman" w:hAnsi="Times New Roman"/>
                <w:sz w:val="20"/>
                <w:szCs w:val="20"/>
                <w:lang w:val="en-US" w:eastAsia="ru-RU"/>
              </w:rPr>
              <w:t>1)</w:t>
            </w:r>
            <w:proofErr w:type="spellStart"/>
            <w:r w:rsidRPr="00986184">
              <w:rPr>
                <w:rFonts w:ascii="Times New Roman" w:hAnsi="Times New Roman"/>
                <w:sz w:val="20"/>
                <w:szCs w:val="20"/>
                <w:lang w:val="en-US" w:eastAsia="ru-RU"/>
              </w:rPr>
              <w:t>Statele</w:t>
            </w:r>
            <w:proofErr w:type="spellEnd"/>
            <w:proofErr w:type="gram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membre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descriu</w:t>
            </w:r>
            <w:proofErr w:type="spellEnd"/>
            <w:r w:rsidRPr="00986184">
              <w:rPr>
                <w:rFonts w:ascii="Times New Roman" w:hAnsi="Times New Roman"/>
                <w:sz w:val="20"/>
                <w:szCs w:val="20"/>
                <w:lang w:val="en-US" w:eastAsia="ru-RU"/>
              </w:rPr>
              <w:t xml:space="preserve">, în conformitate cu </w:t>
            </w:r>
            <w:proofErr w:type="spellStart"/>
            <w:r w:rsidRPr="00986184">
              <w:rPr>
                <w:rFonts w:ascii="Times New Roman" w:hAnsi="Times New Roman"/>
                <w:sz w:val="20"/>
                <w:szCs w:val="20"/>
                <w:lang w:val="en-US" w:eastAsia="ru-RU"/>
              </w:rPr>
              <w:t>structura</w:t>
            </w:r>
            <w:proofErr w:type="spellEnd"/>
            <w:r w:rsidRPr="00986184">
              <w:rPr>
                <w:rFonts w:ascii="Times New Roman" w:hAnsi="Times New Roman"/>
                <w:sz w:val="20"/>
                <w:szCs w:val="20"/>
                <w:lang w:val="en-US" w:eastAsia="ru-RU"/>
              </w:rPr>
              <w:t xml:space="preserve"> și </w:t>
            </w:r>
            <w:proofErr w:type="spellStart"/>
            <w:r w:rsidRPr="00986184">
              <w:rPr>
                <w:rFonts w:ascii="Times New Roman" w:hAnsi="Times New Roman"/>
                <w:sz w:val="20"/>
                <w:szCs w:val="20"/>
                <w:lang w:val="en-US" w:eastAsia="ru-RU"/>
              </w:rPr>
              <w:t>formatul</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specificate</w:t>
            </w:r>
            <w:proofErr w:type="spellEnd"/>
            <w:r w:rsidRPr="00986184">
              <w:rPr>
                <w:rFonts w:ascii="Times New Roman" w:hAnsi="Times New Roman"/>
                <w:sz w:val="20"/>
                <w:szCs w:val="20"/>
                <w:lang w:val="en-US" w:eastAsia="ru-RU"/>
              </w:rPr>
              <w:t xml:space="preserve"> în </w:t>
            </w:r>
            <w:proofErr w:type="spellStart"/>
            <w:r w:rsidRPr="00986184">
              <w:rPr>
                <w:rFonts w:ascii="Times New Roman" w:hAnsi="Times New Roman"/>
                <w:sz w:val="20"/>
                <w:szCs w:val="20"/>
                <w:lang w:val="en-US" w:eastAsia="ru-RU"/>
              </w:rPr>
              <w:t>anexa</w:t>
            </w:r>
            <w:proofErr w:type="spellEnd"/>
            <w:r w:rsidR="000F5A29" w:rsidRPr="00986184">
              <w:rPr>
                <w:rFonts w:ascii="Times New Roman" w:hAnsi="Times New Roman"/>
                <w:sz w:val="20"/>
                <w:szCs w:val="20"/>
                <w:lang w:val="en-US" w:eastAsia="ru-RU"/>
              </w:rPr>
              <w:t xml:space="preserve"> </w:t>
            </w:r>
            <w:r w:rsidRPr="00986184">
              <w:rPr>
                <w:rFonts w:ascii="Times New Roman" w:hAnsi="Times New Roman"/>
                <w:sz w:val="20"/>
                <w:szCs w:val="20"/>
                <w:lang w:val="en-US" w:eastAsia="ru-RU"/>
              </w:rPr>
              <w:t xml:space="preserve">I, </w:t>
            </w:r>
            <w:proofErr w:type="spellStart"/>
            <w:r w:rsidRPr="00986184">
              <w:rPr>
                <w:rFonts w:ascii="Times New Roman" w:hAnsi="Times New Roman"/>
                <w:sz w:val="20"/>
                <w:szCs w:val="20"/>
                <w:lang w:val="en-US" w:eastAsia="ru-RU"/>
              </w:rPr>
              <w:t>situația</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actuală</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pentru</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fiecare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dintre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cele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cinci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dimensiuni</w:t>
            </w:r>
            <w:proofErr w:type="spellEnd"/>
            <w:r w:rsidRPr="00986184">
              <w:rPr>
                <w:rFonts w:ascii="Times New Roman" w:hAnsi="Times New Roman"/>
                <w:sz w:val="20"/>
                <w:szCs w:val="20"/>
                <w:lang w:val="en-US" w:eastAsia="ru-RU"/>
              </w:rPr>
              <w:t xml:space="preserve"> ale </w:t>
            </w:r>
            <w:proofErr w:type="spellStart"/>
            <w:r w:rsidRPr="00986184">
              <w:rPr>
                <w:rFonts w:ascii="Times New Roman" w:hAnsi="Times New Roman"/>
                <w:sz w:val="20"/>
                <w:szCs w:val="20"/>
                <w:lang w:val="en-US" w:eastAsia="ru-RU"/>
              </w:rPr>
              <w:t>uniunii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energetice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inclusiv</w:t>
            </w:r>
            <w:proofErr w:type="spellEnd"/>
            <w:r w:rsidRPr="00986184">
              <w:rPr>
                <w:rFonts w:ascii="Times New Roman" w:hAnsi="Times New Roman"/>
                <w:sz w:val="20"/>
                <w:szCs w:val="20"/>
                <w:lang w:val="en-US" w:eastAsia="ru-RU"/>
              </w:rPr>
              <w:t xml:space="preserve"> a </w:t>
            </w:r>
            <w:proofErr w:type="spellStart"/>
            <w:r w:rsidRPr="00986184">
              <w:rPr>
                <w:rFonts w:ascii="Times New Roman" w:hAnsi="Times New Roman"/>
                <w:sz w:val="20"/>
                <w:szCs w:val="20"/>
                <w:lang w:val="en-US" w:eastAsia="ru-RU"/>
              </w:rPr>
              <w:t>sistemului</w:t>
            </w:r>
            <w:proofErr w:type="spellEnd"/>
            <w:r w:rsidRPr="00986184">
              <w:rPr>
                <w:rFonts w:ascii="Times New Roman" w:hAnsi="Times New Roman"/>
                <w:sz w:val="20"/>
                <w:szCs w:val="20"/>
                <w:lang w:val="en-US" w:eastAsia="ru-RU"/>
              </w:rPr>
              <w:t xml:space="preserve"> energetic și a </w:t>
            </w:r>
            <w:proofErr w:type="spellStart"/>
            <w:r w:rsidRPr="00986184">
              <w:rPr>
                <w:rFonts w:ascii="Times New Roman" w:hAnsi="Times New Roman"/>
                <w:sz w:val="20"/>
                <w:szCs w:val="20"/>
                <w:lang w:val="en-US" w:eastAsia="ru-RU"/>
              </w:rPr>
              <w:t>emisiilor</w:t>
            </w:r>
            <w:proofErr w:type="spellEnd"/>
            <w:r w:rsidRPr="00986184">
              <w:rPr>
                <w:rFonts w:ascii="Times New Roman" w:hAnsi="Times New Roman"/>
                <w:sz w:val="20"/>
                <w:szCs w:val="20"/>
                <w:lang w:val="en-US" w:eastAsia="ru-RU"/>
              </w:rPr>
              <w:t xml:space="preserve"> și </w:t>
            </w:r>
            <w:proofErr w:type="spellStart"/>
            <w:r w:rsidRPr="00986184">
              <w:rPr>
                <w:rFonts w:ascii="Times New Roman" w:hAnsi="Times New Roman"/>
                <w:sz w:val="20"/>
                <w:szCs w:val="20"/>
                <w:lang w:val="en-US" w:eastAsia="ru-RU"/>
              </w:rPr>
              <w:t>absorbțiilor</w:t>
            </w:r>
            <w:proofErr w:type="spellEnd"/>
            <w:r w:rsidRPr="00986184">
              <w:rPr>
                <w:rFonts w:ascii="Times New Roman" w:hAnsi="Times New Roman"/>
                <w:sz w:val="20"/>
                <w:szCs w:val="20"/>
                <w:lang w:val="en-US" w:eastAsia="ru-RU"/>
              </w:rPr>
              <w:t xml:space="preserve"> de gaze cu </w:t>
            </w:r>
            <w:proofErr w:type="spellStart"/>
            <w:r w:rsidRPr="00986184">
              <w:rPr>
                <w:rFonts w:ascii="Times New Roman" w:hAnsi="Times New Roman"/>
                <w:sz w:val="20"/>
                <w:szCs w:val="20"/>
                <w:lang w:val="en-US" w:eastAsia="ru-RU"/>
              </w:rPr>
              <w:t>efect</w:t>
            </w:r>
            <w:proofErr w:type="spellEnd"/>
            <w:r w:rsidRPr="00986184">
              <w:rPr>
                <w:rFonts w:ascii="Times New Roman" w:hAnsi="Times New Roman"/>
                <w:sz w:val="20"/>
                <w:szCs w:val="20"/>
                <w:lang w:val="en-US" w:eastAsia="ru-RU"/>
              </w:rPr>
              <w:t xml:space="preserve"> de </w:t>
            </w:r>
            <w:proofErr w:type="spellStart"/>
            <w:r w:rsidRPr="00986184">
              <w:rPr>
                <w:rFonts w:ascii="Times New Roman" w:hAnsi="Times New Roman"/>
                <w:sz w:val="20"/>
                <w:szCs w:val="20"/>
                <w:lang w:val="en-US" w:eastAsia="ru-RU"/>
              </w:rPr>
              <w:t>seră</w:t>
            </w:r>
            <w:proofErr w:type="spellEnd"/>
            <w:r w:rsidRPr="00986184">
              <w:rPr>
                <w:rFonts w:ascii="Times New Roman" w:hAnsi="Times New Roman"/>
                <w:sz w:val="20"/>
                <w:szCs w:val="20"/>
                <w:lang w:val="en-US" w:eastAsia="ru-RU"/>
              </w:rPr>
              <w:t xml:space="preserve">, la </w:t>
            </w:r>
            <w:proofErr w:type="spellStart"/>
            <w:r w:rsidRPr="00986184">
              <w:rPr>
                <w:rFonts w:ascii="Times New Roman" w:hAnsi="Times New Roman"/>
                <w:sz w:val="20"/>
                <w:szCs w:val="20"/>
                <w:lang w:val="en-US" w:eastAsia="ru-RU"/>
              </w:rPr>
              <w:t>momentul</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prezentării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planului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național</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integrat</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privind</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energia</w:t>
            </w:r>
            <w:proofErr w:type="spellEnd"/>
            <w:r w:rsidRPr="00986184">
              <w:rPr>
                <w:rFonts w:ascii="Times New Roman" w:hAnsi="Times New Roman"/>
                <w:sz w:val="20"/>
                <w:szCs w:val="20"/>
                <w:lang w:val="en-US" w:eastAsia="ru-RU"/>
              </w:rPr>
              <w:t xml:space="preserve"> și </w:t>
            </w:r>
            <w:proofErr w:type="spellStart"/>
            <w:r w:rsidRPr="00986184">
              <w:rPr>
                <w:rFonts w:ascii="Times New Roman" w:hAnsi="Times New Roman"/>
                <w:sz w:val="20"/>
                <w:szCs w:val="20"/>
                <w:lang w:val="en-US" w:eastAsia="ru-RU"/>
              </w:rPr>
              <w:t>clima</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sau</w:t>
            </w:r>
            <w:proofErr w:type="spellEnd"/>
            <w:r w:rsidRPr="00986184">
              <w:rPr>
                <w:rFonts w:ascii="Times New Roman" w:hAnsi="Times New Roman"/>
                <w:sz w:val="20"/>
                <w:szCs w:val="20"/>
                <w:lang w:val="en-US" w:eastAsia="ru-RU"/>
              </w:rPr>
              <w:t xml:space="preserve"> pe </w:t>
            </w:r>
            <w:proofErr w:type="spellStart"/>
            <w:r w:rsidRPr="00986184">
              <w:rPr>
                <w:rFonts w:ascii="Times New Roman" w:hAnsi="Times New Roman"/>
                <w:sz w:val="20"/>
                <w:szCs w:val="20"/>
                <w:lang w:val="en-US" w:eastAsia="ru-RU"/>
              </w:rPr>
              <w:t>baza</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celor</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mai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recente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informații</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disponibile</w:t>
            </w:r>
            <w:proofErr w:type="spellEnd"/>
            <w:r w:rsidRPr="00986184">
              <w:rPr>
                <w:rFonts w:ascii="Times New Roman" w:hAnsi="Times New Roman"/>
                <w:sz w:val="20"/>
                <w:szCs w:val="20"/>
                <w:lang w:val="en-US" w:eastAsia="ru-RU"/>
              </w:rPr>
              <w:t xml:space="preserve">. </w:t>
            </w:r>
            <w:r w:rsidRPr="00986184">
              <w:rPr>
                <w:rFonts w:ascii="Times New Roman" w:hAnsi="Times New Roman"/>
                <w:sz w:val="20"/>
                <w:szCs w:val="20"/>
                <w:lang w:val="fr-FR" w:eastAsia="ru-RU"/>
              </w:rPr>
              <w:t xml:space="preserve">De </w:t>
            </w:r>
            <w:proofErr w:type="spellStart"/>
            <w:r w:rsidRPr="00986184">
              <w:rPr>
                <w:rFonts w:ascii="Times New Roman" w:hAnsi="Times New Roman"/>
                <w:sz w:val="20"/>
                <w:szCs w:val="20"/>
                <w:lang w:val="fr-FR" w:eastAsia="ru-RU"/>
              </w:rPr>
              <w:t>asemenea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statele</w:t>
            </w:r>
            <w:proofErr w:type="spellEnd"/>
            <w:r w:rsidRPr="00986184">
              <w:rPr>
                <w:rFonts w:ascii="Times New Roman" w:hAnsi="Times New Roman"/>
                <w:sz w:val="20"/>
                <w:szCs w:val="20"/>
                <w:lang w:val="fr-FR" w:eastAsia="ru-RU"/>
              </w:rPr>
              <w:t xml:space="preserve"> membre </w:t>
            </w:r>
            <w:proofErr w:type="spellStart"/>
            <w:r w:rsidRPr="00986184">
              <w:rPr>
                <w:rFonts w:ascii="Times New Roman" w:hAnsi="Times New Roman"/>
                <w:sz w:val="20"/>
                <w:szCs w:val="20"/>
                <w:lang w:val="fr-FR" w:eastAsia="ru-RU"/>
              </w:rPr>
              <w:t>stabilesc</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descriu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prognozele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pentru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fiecare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dintre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cinci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dimensiuni</w:t>
            </w:r>
            <w:proofErr w:type="spellEnd"/>
            <w:r w:rsidRPr="00986184">
              <w:rPr>
                <w:rFonts w:ascii="Times New Roman" w:hAnsi="Times New Roman"/>
                <w:sz w:val="20"/>
                <w:szCs w:val="20"/>
                <w:lang w:val="fr-FR" w:eastAsia="ru-RU"/>
              </w:rPr>
              <w:t xml:space="preserve"> ale </w:t>
            </w:r>
            <w:proofErr w:type="spellStart"/>
            <w:r w:rsidRPr="00986184">
              <w:rPr>
                <w:rFonts w:ascii="Times New Roman" w:hAnsi="Times New Roman"/>
                <w:sz w:val="20"/>
                <w:szCs w:val="20"/>
                <w:lang w:val="fr-FR" w:eastAsia="ru-RU"/>
              </w:rPr>
              <w:t>uniunii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energetice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cel</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puțin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pentru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durata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planului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respectiv</w:t>
            </w:r>
            <w:proofErr w:type="spellEnd"/>
            <w:r w:rsidRPr="00986184">
              <w:rPr>
                <w:rFonts w:ascii="Times New Roman" w:hAnsi="Times New Roman"/>
                <w:sz w:val="20"/>
                <w:szCs w:val="20"/>
                <w:lang w:val="fr-FR" w:eastAsia="ru-RU"/>
              </w:rPr>
              <w:t xml:space="preserve">, care </w:t>
            </w:r>
            <w:proofErr w:type="spellStart"/>
            <w:r w:rsidRPr="00986184">
              <w:rPr>
                <w:rFonts w:ascii="Times New Roman" w:hAnsi="Times New Roman"/>
                <w:sz w:val="20"/>
                <w:szCs w:val="20"/>
                <w:lang w:val="fr-FR" w:eastAsia="ru-RU"/>
              </w:rPr>
              <w:t>sunt</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preconizate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să</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rezulte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politicile</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măsurile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existente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Statele</w:t>
            </w:r>
            <w:proofErr w:type="spellEnd"/>
            <w:r w:rsidRPr="00986184">
              <w:rPr>
                <w:rFonts w:ascii="Times New Roman" w:hAnsi="Times New Roman"/>
                <w:sz w:val="20"/>
                <w:szCs w:val="20"/>
                <w:lang w:val="fr-FR" w:eastAsia="ru-RU"/>
              </w:rPr>
              <w:t xml:space="preserve"> membre </w:t>
            </w:r>
            <w:proofErr w:type="spellStart"/>
            <w:r w:rsidRPr="00986184">
              <w:rPr>
                <w:rFonts w:ascii="Times New Roman" w:hAnsi="Times New Roman"/>
                <w:sz w:val="20"/>
                <w:szCs w:val="20"/>
                <w:lang w:val="fr-FR" w:eastAsia="ru-RU"/>
              </w:rPr>
              <w:t>depun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eforturi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pentru</w:t>
            </w:r>
            <w:proofErr w:type="spellEnd"/>
            <w:r w:rsidRPr="00986184">
              <w:rPr>
                <w:rFonts w:ascii="Times New Roman" w:hAnsi="Times New Roman"/>
                <w:sz w:val="20"/>
                <w:szCs w:val="20"/>
                <w:lang w:val="fr-FR" w:eastAsia="ru-RU"/>
              </w:rPr>
              <w:t xml:space="preserve"> a </w:t>
            </w:r>
            <w:proofErr w:type="spellStart"/>
            <w:r w:rsidRPr="00986184">
              <w:rPr>
                <w:rFonts w:ascii="Times New Roman" w:hAnsi="Times New Roman"/>
                <w:sz w:val="20"/>
                <w:szCs w:val="20"/>
                <w:lang w:val="fr-FR" w:eastAsia="ru-RU"/>
              </w:rPr>
              <w:t>descrie</w:t>
            </w:r>
            <w:proofErr w:type="spellEnd"/>
            <w:r w:rsidRPr="00986184">
              <w:rPr>
                <w:rFonts w:ascii="Times New Roman" w:hAnsi="Times New Roman"/>
                <w:sz w:val="20"/>
                <w:szCs w:val="20"/>
                <w:lang w:val="fr-FR" w:eastAsia="ru-RU"/>
              </w:rPr>
              <w:t xml:space="preserve"> perspective </w:t>
            </w:r>
            <w:proofErr w:type="spellStart"/>
            <w:r w:rsidRPr="00986184">
              <w:rPr>
                <w:rFonts w:ascii="Times New Roman" w:hAnsi="Times New Roman"/>
                <w:sz w:val="20"/>
                <w:szCs w:val="20"/>
                <w:lang w:val="fr-FR" w:eastAsia="ru-RU"/>
              </w:rPr>
              <w:t>suplimentare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termen</w:t>
            </w:r>
            <w:proofErr w:type="spellEnd"/>
            <w:r w:rsidRPr="00986184">
              <w:rPr>
                <w:rFonts w:ascii="Times New Roman" w:hAnsi="Times New Roman"/>
                <w:sz w:val="20"/>
                <w:szCs w:val="20"/>
                <w:lang w:val="fr-FR" w:eastAsia="ru-RU"/>
              </w:rPr>
              <w:t xml:space="preserve"> mai </w:t>
            </w:r>
            <w:proofErr w:type="spellStart"/>
            <w:r w:rsidRPr="00986184">
              <w:rPr>
                <w:rFonts w:ascii="Times New Roman" w:hAnsi="Times New Roman"/>
                <w:sz w:val="20"/>
                <w:szCs w:val="20"/>
                <w:lang w:val="fr-FR" w:eastAsia="ru-RU"/>
              </w:rPr>
              <w:t>lung</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pentru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cinci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dimensiuni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dincolo</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durata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planului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național</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integrat</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privind</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energia</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clima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după</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caz</w:t>
            </w:r>
            <w:proofErr w:type="spellEnd"/>
            <w:r w:rsidRPr="00986184">
              <w:rPr>
                <w:rFonts w:ascii="Times New Roman" w:hAnsi="Times New Roman"/>
                <w:sz w:val="20"/>
                <w:szCs w:val="20"/>
                <w:lang w:val="fr-FR" w:eastAsia="ru-RU"/>
              </w:rPr>
              <w:t xml:space="preserve"> și în </w:t>
            </w:r>
            <w:proofErr w:type="spellStart"/>
            <w:r w:rsidRPr="00986184">
              <w:rPr>
                <w:rFonts w:ascii="Times New Roman" w:hAnsi="Times New Roman"/>
                <w:sz w:val="20"/>
                <w:szCs w:val="20"/>
                <w:lang w:val="fr-FR" w:eastAsia="ru-RU"/>
              </w:rPr>
              <w:t>măsura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posibilului</w:t>
            </w:r>
            <w:proofErr w:type="spellEnd"/>
            <w:r w:rsidRPr="00986184">
              <w:rPr>
                <w:rFonts w:ascii="Times New Roman" w:hAnsi="Times New Roman"/>
                <w:sz w:val="20"/>
                <w:szCs w:val="20"/>
                <w:lang w:val="fr-FR" w:eastAsia="ru-RU"/>
              </w:rPr>
              <w:t>.</w:t>
            </w:r>
          </w:p>
          <w:p w14:paraId="2D9AA67C" w14:textId="77777777" w:rsidR="000F5A29" w:rsidRPr="00986184" w:rsidRDefault="000F5A29" w:rsidP="000F5A29">
            <w:pPr>
              <w:spacing w:after="0" w:line="240" w:lineRule="auto"/>
              <w:jc w:val="both"/>
              <w:rPr>
                <w:rFonts w:ascii="Times New Roman" w:hAnsi="Times New Roman"/>
                <w:sz w:val="20"/>
                <w:szCs w:val="20"/>
                <w:lang w:val="ro-RO" w:eastAsia="ru-RU"/>
              </w:rPr>
            </w:pPr>
            <w:r w:rsidRPr="00986184">
              <w:rPr>
                <w:rFonts w:ascii="Times New Roman" w:hAnsi="Times New Roman"/>
                <w:sz w:val="20"/>
                <w:szCs w:val="20"/>
                <w:lang w:val="ro-RO" w:eastAsia="ru-RU"/>
              </w:rPr>
              <w:t>(2)În cadrul propriilor planuri naționale integrate privind energia și clima, statele membre își descriu evaluarea la nivel național și, dacă este cazul, regional privind:</w:t>
            </w:r>
          </w:p>
          <w:p w14:paraId="59EF9ADD" w14:textId="77777777" w:rsidR="000F5A29" w:rsidRPr="00986184" w:rsidRDefault="000F5A29" w:rsidP="000C5A3B">
            <w:pPr>
              <w:pStyle w:val="af3"/>
              <w:numPr>
                <w:ilvl w:val="0"/>
                <w:numId w:val="101"/>
              </w:numPr>
              <w:spacing w:after="0" w:line="240" w:lineRule="auto"/>
              <w:jc w:val="both"/>
              <w:rPr>
                <w:rFonts w:ascii="Times New Roman" w:hAnsi="Times New Roman"/>
                <w:sz w:val="20"/>
                <w:szCs w:val="20"/>
                <w:lang w:val="ro-RO" w:eastAsia="ru-RU"/>
              </w:rPr>
            </w:pPr>
            <w:r w:rsidRPr="00986184">
              <w:rPr>
                <w:rFonts w:ascii="Times New Roman" w:hAnsi="Times New Roman"/>
                <w:sz w:val="20"/>
                <w:szCs w:val="20"/>
                <w:lang w:val="ro-RO" w:eastAsia="ru-RU"/>
              </w:rPr>
              <w:t>impactul asupra evoluției sistemului energetic și a emisiilor și absorbțiilor de gaze cu efect de seră pentru durata planului și pentru o durată de zece ani care urmează ultimului an vizat de plan, în contextul politicilor și măsurilor sau al grupurilor de măsuri planificate, inclusiv o comparație cu prognozele bazate pe politicile și măsurile sau grupurile de măsuri existente menționate la alineatul (1);</w:t>
            </w:r>
          </w:p>
          <w:p w14:paraId="3DE6AC38" w14:textId="77777777" w:rsidR="000F5A29" w:rsidRPr="00986184" w:rsidRDefault="000F5A29" w:rsidP="000C5A3B">
            <w:pPr>
              <w:pStyle w:val="af3"/>
              <w:numPr>
                <w:ilvl w:val="0"/>
                <w:numId w:val="101"/>
              </w:numPr>
              <w:spacing w:after="0" w:line="240" w:lineRule="auto"/>
              <w:jc w:val="both"/>
              <w:rPr>
                <w:rFonts w:ascii="Times New Roman" w:hAnsi="Times New Roman"/>
                <w:sz w:val="20"/>
                <w:szCs w:val="20"/>
                <w:lang w:val="ro-RO" w:eastAsia="ru-RU"/>
              </w:rPr>
            </w:pPr>
            <w:r w:rsidRPr="00986184">
              <w:rPr>
                <w:rFonts w:ascii="Times New Roman" w:hAnsi="Times New Roman"/>
                <w:sz w:val="20"/>
                <w:szCs w:val="20"/>
                <w:lang w:val="ro-RO" w:eastAsia="ru-RU"/>
              </w:rPr>
              <w:t>impactul la nivel macroeconomic și, în măsura în care este posibil, la nivelul sănătății, social, precum și asupra mediului și a competențelor, al politicilor și măsurilor sau al grupurilor de măsuri planificate menționate la articolul 7 și specificate mai detaliat în anexa I, pentru prima perioadă de zece ani, cel puțin până în anul 2030, inclusiv o comparație cu prognozele bazate pe politicile și măsurile sau grupurile de măsuri existente menționate la alineatul (1) din prezentul articol. Metodologia utilizată pentru a evalua acest impact se publică;</w:t>
            </w:r>
          </w:p>
          <w:p w14:paraId="0C45F139" w14:textId="77777777" w:rsidR="000F5A29" w:rsidRPr="00986184" w:rsidRDefault="00503AF4" w:rsidP="000C5A3B">
            <w:pPr>
              <w:pStyle w:val="af3"/>
              <w:numPr>
                <w:ilvl w:val="0"/>
                <w:numId w:val="101"/>
              </w:numPr>
              <w:spacing w:after="0" w:line="240" w:lineRule="auto"/>
              <w:jc w:val="both"/>
              <w:rPr>
                <w:rFonts w:ascii="Times New Roman" w:hAnsi="Times New Roman"/>
                <w:sz w:val="20"/>
                <w:szCs w:val="20"/>
                <w:lang w:val="ro-RO" w:eastAsia="ru-RU"/>
              </w:rPr>
            </w:pPr>
            <w:proofErr w:type="spellStart"/>
            <w:proofErr w:type="gramStart"/>
            <w:r w:rsidRPr="00986184">
              <w:rPr>
                <w:rFonts w:ascii="Times New Roman" w:hAnsi="Times New Roman"/>
                <w:sz w:val="20"/>
                <w:szCs w:val="20"/>
                <w:lang w:val="fr-FR" w:eastAsia="ru-RU"/>
              </w:rPr>
              <w:t>interacțiunile</w:t>
            </w:r>
            <w:proofErr w:type="spellEnd"/>
            <w:proofErr w:type="gram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dintre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politicile</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măsurile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sau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grupurile</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măsuri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existente</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cele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planificate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lastRenderedPageBreak/>
              <w:t>cadrul</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unei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dimensiuni</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politică</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dintre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politicile</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măsurile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sau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grupurile</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măsuri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existente</w:t>
            </w:r>
            <w:proofErr w:type="spellEnd"/>
            <w:r w:rsidRPr="00986184">
              <w:rPr>
                <w:rFonts w:ascii="Times New Roman" w:hAnsi="Times New Roman"/>
                <w:sz w:val="20"/>
                <w:szCs w:val="20"/>
                <w:lang w:val="fr-FR" w:eastAsia="ru-RU"/>
              </w:rPr>
              <w:t xml:space="preserve"> și </w:t>
            </w:r>
            <w:proofErr w:type="spellStart"/>
            <w:r w:rsidRPr="00986184">
              <w:rPr>
                <w:rFonts w:ascii="Times New Roman" w:hAnsi="Times New Roman"/>
                <w:sz w:val="20"/>
                <w:szCs w:val="20"/>
                <w:lang w:val="fr-FR" w:eastAsia="ru-RU"/>
              </w:rPr>
              <w:t>cele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planificate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cadrul</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unor</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dimensiuni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diferite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pentru</w:t>
            </w:r>
            <w:proofErr w:type="spellEnd"/>
            <w:r w:rsidRPr="00986184">
              <w:rPr>
                <w:rFonts w:ascii="Times New Roman" w:hAnsi="Times New Roman"/>
                <w:sz w:val="20"/>
                <w:szCs w:val="20"/>
                <w:lang w:val="fr-FR" w:eastAsia="ru-RU"/>
              </w:rPr>
              <w:t xml:space="preserve"> prima </w:t>
            </w:r>
            <w:proofErr w:type="spellStart"/>
            <w:r w:rsidRPr="00986184">
              <w:rPr>
                <w:rFonts w:ascii="Times New Roman" w:hAnsi="Times New Roman"/>
                <w:sz w:val="20"/>
                <w:szCs w:val="20"/>
                <w:lang w:val="fr-FR" w:eastAsia="ru-RU"/>
              </w:rPr>
              <w:t>perioadă</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zece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ani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cel</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puțin</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până</w:t>
            </w:r>
            <w:proofErr w:type="spellEnd"/>
            <w:r w:rsidRPr="00986184">
              <w:rPr>
                <w:rFonts w:ascii="Times New Roman" w:hAnsi="Times New Roman"/>
                <w:sz w:val="20"/>
                <w:szCs w:val="20"/>
                <w:lang w:val="fr-FR" w:eastAsia="ru-RU"/>
              </w:rPr>
              <w:t xml:space="preserve"> în anul 2030. </w:t>
            </w:r>
            <w:proofErr w:type="spellStart"/>
            <w:r w:rsidRPr="00986184">
              <w:rPr>
                <w:rFonts w:ascii="Times New Roman" w:hAnsi="Times New Roman"/>
                <w:sz w:val="20"/>
                <w:szCs w:val="20"/>
                <w:lang w:val="fr-FR" w:eastAsia="ru-RU"/>
              </w:rPr>
              <w:t>Prognozele</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referitoare</w:t>
            </w:r>
            <w:proofErr w:type="spellEnd"/>
            <w:r w:rsidRPr="00986184">
              <w:rPr>
                <w:rFonts w:ascii="Times New Roman" w:hAnsi="Times New Roman"/>
                <w:sz w:val="20"/>
                <w:szCs w:val="20"/>
                <w:lang w:val="fr-FR" w:eastAsia="ru-RU"/>
              </w:rPr>
              <w:t xml:space="preserve"> la </w:t>
            </w:r>
            <w:proofErr w:type="spellStart"/>
            <w:r w:rsidRPr="00986184">
              <w:rPr>
                <w:rFonts w:ascii="Times New Roman" w:hAnsi="Times New Roman"/>
                <w:sz w:val="20"/>
                <w:szCs w:val="20"/>
                <w:lang w:val="fr-FR" w:eastAsia="ru-RU"/>
              </w:rPr>
              <w:t>siguranța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alimentării</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cu</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energie</w:t>
            </w:r>
            <w:proofErr w:type="spellEnd"/>
            <w:r w:rsidRPr="00986184">
              <w:rPr>
                <w:rFonts w:ascii="Times New Roman" w:hAnsi="Times New Roman"/>
                <w:sz w:val="20"/>
                <w:szCs w:val="20"/>
                <w:lang w:val="fr-FR" w:eastAsia="ru-RU"/>
              </w:rPr>
              <w:t xml:space="preserve">, la </w:t>
            </w:r>
            <w:proofErr w:type="spellStart"/>
            <w:r w:rsidRPr="00986184">
              <w:rPr>
                <w:rFonts w:ascii="Times New Roman" w:hAnsi="Times New Roman"/>
                <w:sz w:val="20"/>
                <w:szCs w:val="20"/>
                <w:lang w:val="fr-FR" w:eastAsia="ru-RU"/>
              </w:rPr>
              <w:t>infrastructură</w:t>
            </w:r>
            <w:proofErr w:type="spellEnd"/>
            <w:r w:rsidRPr="00986184">
              <w:rPr>
                <w:rFonts w:ascii="Times New Roman" w:hAnsi="Times New Roman"/>
                <w:sz w:val="20"/>
                <w:szCs w:val="20"/>
                <w:lang w:val="fr-FR" w:eastAsia="ru-RU"/>
              </w:rPr>
              <w:t xml:space="preserve"> și la </w:t>
            </w:r>
            <w:proofErr w:type="spellStart"/>
            <w:r w:rsidRPr="00986184">
              <w:rPr>
                <w:rFonts w:ascii="Times New Roman" w:hAnsi="Times New Roman"/>
                <w:sz w:val="20"/>
                <w:szCs w:val="20"/>
                <w:lang w:val="fr-FR" w:eastAsia="ru-RU"/>
              </w:rPr>
              <w:t>integrarea</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pieței</w:t>
            </w:r>
            <w:proofErr w:type="spellEnd"/>
            <w:r w:rsidRPr="00986184">
              <w:rPr>
                <w:rFonts w:ascii="Times New Roman" w:hAnsi="Times New Roman"/>
                <w:sz w:val="20"/>
                <w:szCs w:val="20"/>
                <w:lang w:val="fr-FR" w:eastAsia="ru-RU"/>
              </w:rPr>
              <w:t xml:space="preserve"> se </w:t>
            </w:r>
            <w:proofErr w:type="spellStart"/>
            <w:r w:rsidRPr="00986184">
              <w:rPr>
                <w:rFonts w:ascii="Times New Roman" w:hAnsi="Times New Roman"/>
                <w:sz w:val="20"/>
                <w:szCs w:val="20"/>
                <w:lang w:val="fr-FR" w:eastAsia="ru-RU"/>
              </w:rPr>
              <w:t>corelează</w:t>
            </w:r>
            <w:proofErr w:type="spellEnd"/>
            <w:r w:rsidRPr="00986184">
              <w:rPr>
                <w:rFonts w:ascii="Times New Roman" w:hAnsi="Times New Roman"/>
                <w:sz w:val="20"/>
                <w:szCs w:val="20"/>
                <w:lang w:val="fr-FR" w:eastAsia="ru-RU"/>
              </w:rPr>
              <w:t xml:space="preserve"> </w:t>
            </w:r>
            <w:proofErr w:type="spellStart"/>
            <w:r w:rsidRPr="00986184">
              <w:rPr>
                <w:rFonts w:ascii="Times New Roman" w:hAnsi="Times New Roman"/>
                <w:sz w:val="20"/>
                <w:szCs w:val="20"/>
                <w:lang w:val="fr-FR" w:eastAsia="ru-RU"/>
              </w:rPr>
              <w:t>cu</w:t>
            </w:r>
            <w:proofErr w:type="spellEnd"/>
            <w:r w:rsidRPr="00986184">
              <w:rPr>
                <w:rFonts w:ascii="Times New Roman" w:hAnsi="Times New Roman"/>
                <w:sz w:val="20"/>
                <w:szCs w:val="20"/>
                <w:lang w:val="fr-FR" w:eastAsia="ru-RU"/>
              </w:rPr>
              <w:t xml:space="preserve"> scenarii robuste în </w:t>
            </w:r>
            <w:proofErr w:type="spellStart"/>
            <w:r w:rsidRPr="00986184">
              <w:rPr>
                <w:rFonts w:ascii="Times New Roman" w:hAnsi="Times New Roman"/>
                <w:sz w:val="20"/>
                <w:szCs w:val="20"/>
                <w:lang w:val="fr-FR" w:eastAsia="ru-RU"/>
              </w:rPr>
              <w:t>materie</w:t>
            </w:r>
            <w:proofErr w:type="spellEnd"/>
            <w:r w:rsidRPr="00986184">
              <w:rPr>
                <w:rFonts w:ascii="Times New Roman" w:hAnsi="Times New Roman"/>
                <w:sz w:val="20"/>
                <w:szCs w:val="20"/>
                <w:lang w:val="fr-FR" w:eastAsia="ru-RU"/>
              </w:rPr>
              <w:t xml:space="preserve"> de </w:t>
            </w:r>
            <w:proofErr w:type="spellStart"/>
            <w:r w:rsidRPr="00986184">
              <w:rPr>
                <w:rFonts w:ascii="Times New Roman" w:hAnsi="Times New Roman"/>
                <w:sz w:val="20"/>
                <w:szCs w:val="20"/>
                <w:lang w:val="fr-FR" w:eastAsia="ru-RU"/>
              </w:rPr>
              <w:t>eficiență</w:t>
            </w:r>
            <w:proofErr w:type="spellEnd"/>
            <w:r w:rsidRPr="00986184">
              <w:rPr>
                <w:rFonts w:ascii="Times New Roman" w:hAnsi="Times New Roman"/>
                <w:sz w:val="20"/>
                <w:szCs w:val="20"/>
                <w:lang w:val="fr-FR" w:eastAsia="ru-RU"/>
              </w:rPr>
              <w:t xml:space="preserve"> </w:t>
            </w:r>
            <w:proofErr w:type="spellStart"/>
            <w:proofErr w:type="gramStart"/>
            <w:r w:rsidRPr="00986184">
              <w:rPr>
                <w:rFonts w:ascii="Times New Roman" w:hAnsi="Times New Roman"/>
                <w:sz w:val="20"/>
                <w:szCs w:val="20"/>
                <w:lang w:val="fr-FR" w:eastAsia="ru-RU"/>
              </w:rPr>
              <w:t>energetică</w:t>
            </w:r>
            <w:proofErr w:type="spellEnd"/>
            <w:r w:rsidRPr="00986184">
              <w:rPr>
                <w:rFonts w:ascii="Times New Roman" w:hAnsi="Times New Roman"/>
                <w:sz w:val="20"/>
                <w:szCs w:val="20"/>
                <w:lang w:val="fr-FR" w:eastAsia="ru-RU"/>
              </w:rPr>
              <w:t>;</w:t>
            </w:r>
            <w:proofErr w:type="gramEnd"/>
          </w:p>
          <w:p w14:paraId="2BA30DDC" w14:textId="77777777" w:rsidR="00503AF4" w:rsidRPr="00986184" w:rsidRDefault="00503AF4" w:rsidP="000C5A3B">
            <w:pPr>
              <w:pStyle w:val="af3"/>
              <w:numPr>
                <w:ilvl w:val="0"/>
                <w:numId w:val="101"/>
              </w:numPr>
              <w:spacing w:after="0" w:line="240" w:lineRule="auto"/>
              <w:jc w:val="both"/>
              <w:rPr>
                <w:rFonts w:ascii="Times New Roman" w:hAnsi="Times New Roman"/>
                <w:sz w:val="20"/>
                <w:szCs w:val="20"/>
                <w:lang w:val="ro-RO" w:eastAsia="ru-RU"/>
              </w:rPr>
            </w:pPr>
            <w:proofErr w:type="spellStart"/>
            <w:r w:rsidRPr="00986184">
              <w:rPr>
                <w:rFonts w:ascii="Times New Roman" w:hAnsi="Times New Roman"/>
                <w:sz w:val="20"/>
                <w:szCs w:val="20"/>
                <w:lang w:val="en-US" w:eastAsia="ru-RU"/>
              </w:rPr>
              <w:t>modul</w:t>
            </w:r>
            <w:proofErr w:type="spellEnd"/>
            <w:r w:rsidRPr="00986184">
              <w:rPr>
                <w:rFonts w:ascii="Times New Roman" w:hAnsi="Times New Roman"/>
                <w:sz w:val="20"/>
                <w:szCs w:val="20"/>
                <w:lang w:val="en-US" w:eastAsia="ru-RU"/>
              </w:rPr>
              <w:t xml:space="preserve"> în care </w:t>
            </w:r>
            <w:proofErr w:type="spellStart"/>
            <w:r w:rsidRPr="00986184">
              <w:rPr>
                <w:rFonts w:ascii="Times New Roman" w:hAnsi="Times New Roman"/>
                <w:sz w:val="20"/>
                <w:szCs w:val="20"/>
                <w:lang w:val="en-US" w:eastAsia="ru-RU"/>
              </w:rPr>
              <w:t>politicile</w:t>
            </w:r>
            <w:proofErr w:type="spellEnd"/>
            <w:r w:rsidRPr="00986184">
              <w:rPr>
                <w:rFonts w:ascii="Times New Roman" w:hAnsi="Times New Roman"/>
                <w:sz w:val="20"/>
                <w:szCs w:val="20"/>
                <w:lang w:val="en-US" w:eastAsia="ru-RU"/>
              </w:rPr>
              <w:t xml:space="preserve"> și </w:t>
            </w:r>
            <w:proofErr w:type="spellStart"/>
            <w:r w:rsidRPr="00986184">
              <w:rPr>
                <w:rFonts w:ascii="Times New Roman" w:hAnsi="Times New Roman"/>
                <w:sz w:val="20"/>
                <w:szCs w:val="20"/>
                <w:lang w:val="en-US" w:eastAsia="ru-RU"/>
              </w:rPr>
              <w:t>măsurile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existente</w:t>
            </w:r>
            <w:proofErr w:type="spellEnd"/>
            <w:r w:rsidRPr="00986184">
              <w:rPr>
                <w:rFonts w:ascii="Times New Roman" w:hAnsi="Times New Roman"/>
                <w:sz w:val="20"/>
                <w:szCs w:val="20"/>
                <w:lang w:val="en-US" w:eastAsia="ru-RU"/>
              </w:rPr>
              <w:t xml:space="preserve"> și </w:t>
            </w:r>
            <w:proofErr w:type="spellStart"/>
            <w:r w:rsidRPr="00986184">
              <w:rPr>
                <w:rFonts w:ascii="Times New Roman" w:hAnsi="Times New Roman"/>
                <w:sz w:val="20"/>
                <w:szCs w:val="20"/>
                <w:lang w:val="en-US" w:eastAsia="ru-RU"/>
              </w:rPr>
              <w:t>cele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planificate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vor</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atrage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investițiile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necesare</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pentru</w:t>
            </w:r>
            <w:proofErr w:type="spellEnd"/>
            <w:r w:rsidRPr="00986184">
              <w:rPr>
                <w:rFonts w:ascii="Times New Roman" w:hAnsi="Times New Roman"/>
                <w:sz w:val="20"/>
                <w:szCs w:val="20"/>
                <w:lang w:val="en-US" w:eastAsia="ru-RU"/>
              </w:rPr>
              <w:t xml:space="preserve"> </w:t>
            </w:r>
            <w:proofErr w:type="spellStart"/>
            <w:r w:rsidRPr="00986184">
              <w:rPr>
                <w:rFonts w:ascii="Times New Roman" w:hAnsi="Times New Roman"/>
                <w:sz w:val="20"/>
                <w:szCs w:val="20"/>
                <w:lang w:val="en-US" w:eastAsia="ru-RU"/>
              </w:rPr>
              <w:t>punerea</w:t>
            </w:r>
            <w:proofErr w:type="spellEnd"/>
            <w:r w:rsidRPr="00986184">
              <w:rPr>
                <w:rFonts w:ascii="Times New Roman" w:hAnsi="Times New Roman"/>
                <w:sz w:val="20"/>
                <w:szCs w:val="20"/>
                <w:lang w:val="en-US" w:eastAsia="ru-RU"/>
              </w:rPr>
              <w:t xml:space="preserve"> lor în </w:t>
            </w:r>
            <w:proofErr w:type="spellStart"/>
            <w:r w:rsidRPr="00986184">
              <w:rPr>
                <w:rFonts w:ascii="Times New Roman" w:hAnsi="Times New Roman"/>
                <w:sz w:val="20"/>
                <w:szCs w:val="20"/>
                <w:lang w:val="en-US" w:eastAsia="ru-RU"/>
              </w:rPr>
              <w:t>aplicare</w:t>
            </w:r>
            <w:proofErr w:type="spellEnd"/>
            <w:r w:rsidRPr="00986184">
              <w:rPr>
                <w:rFonts w:ascii="Times New Roman" w:hAnsi="Times New Roman"/>
                <w:sz w:val="20"/>
                <w:szCs w:val="20"/>
                <w:lang w:val="en-US" w:eastAsia="ru-RU"/>
              </w:rPr>
              <w:t>.</w:t>
            </w:r>
          </w:p>
          <w:p w14:paraId="237C49C3" w14:textId="453AE371" w:rsidR="004B1F44" w:rsidRPr="0099040C" w:rsidRDefault="00000000" w:rsidP="00503AF4">
            <w:pPr>
              <w:spacing w:after="0" w:line="240" w:lineRule="auto"/>
              <w:jc w:val="both"/>
              <w:rPr>
                <w:rFonts w:ascii="Times New Roman" w:hAnsi="Times New Roman"/>
                <w:sz w:val="20"/>
                <w:szCs w:val="20"/>
                <w:shd w:val="clear" w:color="auto" w:fill="FFFFFF"/>
                <w:lang w:val="fr-FR"/>
              </w:rPr>
            </w:pPr>
            <w:hyperlink r:id="rId19" w:tooltip="32021R1119: INSERTED" w:history="1">
              <w:r w:rsidR="0099040C" w:rsidRPr="0099040C">
                <w:rPr>
                  <w:rStyle w:val="af6"/>
                  <w:rFonts w:ascii="Times New Roman" w:eastAsia="Arial Unicode MS" w:hAnsi="Times New Roman"/>
                  <w:b/>
                  <w:bCs/>
                  <w:color w:val="23527C"/>
                  <w:sz w:val="20"/>
                  <w:szCs w:val="20"/>
                  <w:shd w:val="clear" w:color="auto" w:fill="FFFFFF"/>
                </w:rPr>
                <w:t>▼M2</w:t>
              </w:r>
            </w:hyperlink>
          </w:p>
          <w:p w14:paraId="249CE03F" w14:textId="139CEEFF" w:rsidR="004B1F44" w:rsidRPr="0099040C" w:rsidRDefault="0099040C" w:rsidP="00503AF4">
            <w:pPr>
              <w:spacing w:after="0" w:line="240" w:lineRule="auto"/>
              <w:jc w:val="both"/>
              <w:rPr>
                <w:rFonts w:ascii="Times New Roman" w:hAnsi="Times New Roman"/>
                <w:sz w:val="20"/>
                <w:szCs w:val="20"/>
                <w:shd w:val="clear" w:color="auto" w:fill="FFFFFF"/>
                <w:lang w:val="fr-FR"/>
              </w:rPr>
            </w:pPr>
            <w:r w:rsidRPr="0099040C">
              <w:rPr>
                <w:rFonts w:ascii="Times New Roman" w:eastAsia="Arial Unicode MS" w:hAnsi="Times New Roman"/>
                <w:sz w:val="20"/>
                <w:szCs w:val="20"/>
                <w:shd w:val="clear" w:color="auto" w:fill="FFFFFF"/>
                <w:lang w:val="fr-FR"/>
              </w:rPr>
              <w:t>(</w:t>
            </w:r>
            <w:proofErr w:type="gramStart"/>
            <w:r w:rsidRPr="0099040C">
              <w:rPr>
                <w:rFonts w:ascii="Times New Roman" w:eastAsia="Arial Unicode MS" w:hAnsi="Times New Roman"/>
                <w:sz w:val="20"/>
                <w:szCs w:val="20"/>
                <w:shd w:val="clear" w:color="auto" w:fill="FFFFFF"/>
                <w:lang w:val="fr-FR"/>
              </w:rPr>
              <w:t>e</w:t>
            </w:r>
            <w:proofErr w:type="gramEnd"/>
            <w:r w:rsidRPr="0099040C">
              <w:rPr>
                <w:rFonts w:ascii="Times New Roman" w:eastAsia="Arial Unicode MS" w:hAnsi="Times New Roman"/>
                <w:sz w:val="20"/>
                <w:szCs w:val="20"/>
                <w:shd w:val="clear" w:color="auto" w:fill="FFFFFF"/>
                <w:lang w:val="fr-FR"/>
              </w:rPr>
              <w:t>)</w:t>
            </w:r>
            <w:proofErr w:type="spellStart"/>
            <w:r w:rsidRPr="0099040C">
              <w:rPr>
                <w:rFonts w:ascii="Times New Roman" w:eastAsia="Arial Unicode MS" w:hAnsi="Times New Roman"/>
                <w:sz w:val="20"/>
                <w:szCs w:val="20"/>
                <w:shd w:val="clear" w:color="auto" w:fill="FFFFFF"/>
                <w:lang w:val="fr-FR"/>
              </w:rPr>
              <w:t>modul</w:t>
            </w:r>
            <w:proofErr w:type="spellEnd"/>
            <w:r w:rsidRPr="0099040C">
              <w:rPr>
                <w:rFonts w:ascii="Times New Roman" w:eastAsia="Arial Unicode MS" w:hAnsi="Times New Roman"/>
                <w:sz w:val="20"/>
                <w:szCs w:val="20"/>
                <w:shd w:val="clear" w:color="auto" w:fill="FFFFFF"/>
                <w:lang w:val="fr-FR"/>
              </w:rPr>
              <w:t xml:space="preserve"> în care </w:t>
            </w:r>
            <w:proofErr w:type="spellStart"/>
            <w:r w:rsidRPr="0099040C">
              <w:rPr>
                <w:rFonts w:ascii="Times New Roman" w:eastAsia="Arial Unicode MS" w:hAnsi="Times New Roman"/>
                <w:sz w:val="20"/>
                <w:szCs w:val="20"/>
                <w:shd w:val="clear" w:color="auto" w:fill="FFFFFF"/>
                <w:lang w:val="fr-FR"/>
              </w:rPr>
              <w:t>politicile</w:t>
            </w:r>
            <w:proofErr w:type="spellEnd"/>
            <w:r w:rsidRPr="0099040C">
              <w:rPr>
                <w:rFonts w:ascii="Times New Roman" w:eastAsia="Arial Unicode MS" w:hAnsi="Times New Roman"/>
                <w:sz w:val="20"/>
                <w:szCs w:val="20"/>
                <w:shd w:val="clear" w:color="auto" w:fill="FFFFFF"/>
                <w:lang w:val="fr-FR"/>
              </w:rPr>
              <w:t xml:space="preserve"> și </w:t>
            </w:r>
            <w:proofErr w:type="spellStart"/>
            <w:r w:rsidRPr="0099040C">
              <w:rPr>
                <w:rFonts w:ascii="Times New Roman" w:eastAsia="Arial Unicode MS" w:hAnsi="Times New Roman"/>
                <w:sz w:val="20"/>
                <w:szCs w:val="20"/>
                <w:shd w:val="clear" w:color="auto" w:fill="FFFFFF"/>
                <w:lang w:val="fr-FR"/>
              </w:rPr>
              <w:t>măsurile</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existente</w:t>
            </w:r>
            <w:proofErr w:type="spellEnd"/>
            <w:r w:rsidRPr="0099040C">
              <w:rPr>
                <w:rFonts w:ascii="Times New Roman" w:eastAsia="Arial Unicode MS" w:hAnsi="Times New Roman"/>
                <w:sz w:val="20"/>
                <w:szCs w:val="20"/>
                <w:shd w:val="clear" w:color="auto" w:fill="FFFFFF"/>
                <w:lang w:val="fr-FR"/>
              </w:rPr>
              <w:t xml:space="preserve"> și </w:t>
            </w:r>
            <w:proofErr w:type="spellStart"/>
            <w:r w:rsidRPr="0099040C">
              <w:rPr>
                <w:rFonts w:ascii="Times New Roman" w:eastAsia="Arial Unicode MS" w:hAnsi="Times New Roman"/>
                <w:sz w:val="20"/>
                <w:szCs w:val="20"/>
                <w:shd w:val="clear" w:color="auto" w:fill="FFFFFF"/>
                <w:lang w:val="fr-FR"/>
              </w:rPr>
              <w:t>cele</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planificate</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contribuie</w:t>
            </w:r>
            <w:proofErr w:type="spellEnd"/>
            <w:r w:rsidRPr="0099040C">
              <w:rPr>
                <w:rFonts w:ascii="Times New Roman" w:eastAsia="Arial Unicode MS" w:hAnsi="Times New Roman"/>
                <w:sz w:val="20"/>
                <w:szCs w:val="20"/>
                <w:shd w:val="clear" w:color="auto" w:fill="FFFFFF"/>
                <w:lang w:val="fr-FR"/>
              </w:rPr>
              <w:t xml:space="preserve"> la </w:t>
            </w:r>
            <w:proofErr w:type="spellStart"/>
            <w:r w:rsidRPr="0099040C">
              <w:rPr>
                <w:rFonts w:ascii="Times New Roman" w:eastAsia="Arial Unicode MS" w:hAnsi="Times New Roman"/>
                <w:sz w:val="20"/>
                <w:szCs w:val="20"/>
                <w:shd w:val="clear" w:color="auto" w:fill="FFFFFF"/>
                <w:lang w:val="fr-FR"/>
              </w:rPr>
              <w:t>îndeplinirea</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obiectivului</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Uniunii</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privind</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neutralitatea</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climatică</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prevăzut</w:t>
            </w:r>
            <w:proofErr w:type="spellEnd"/>
            <w:r w:rsidRPr="0099040C">
              <w:rPr>
                <w:rFonts w:ascii="Times New Roman" w:eastAsia="Arial Unicode MS" w:hAnsi="Times New Roman"/>
                <w:sz w:val="20"/>
                <w:szCs w:val="20"/>
                <w:shd w:val="clear" w:color="auto" w:fill="FFFFFF"/>
                <w:lang w:val="fr-FR"/>
              </w:rPr>
              <w:t xml:space="preserve"> la </w:t>
            </w:r>
            <w:proofErr w:type="spellStart"/>
            <w:r w:rsidRPr="0099040C">
              <w:rPr>
                <w:rFonts w:ascii="Times New Roman" w:eastAsia="Arial Unicode MS" w:hAnsi="Times New Roman"/>
                <w:sz w:val="20"/>
                <w:szCs w:val="20"/>
                <w:shd w:val="clear" w:color="auto" w:fill="FFFFFF"/>
                <w:lang w:val="fr-FR"/>
              </w:rPr>
              <w:t>articolul</w:t>
            </w:r>
            <w:proofErr w:type="spellEnd"/>
            <w:r w:rsidRPr="0099040C">
              <w:rPr>
                <w:rFonts w:ascii="Times New Roman" w:eastAsia="Arial Unicode MS" w:hAnsi="Times New Roman"/>
                <w:sz w:val="20"/>
                <w:szCs w:val="20"/>
                <w:shd w:val="clear" w:color="auto" w:fill="FFFFFF"/>
                <w:lang w:val="fr-FR"/>
              </w:rPr>
              <w:t xml:space="preserve"> 2 </w:t>
            </w:r>
            <w:proofErr w:type="spellStart"/>
            <w:r w:rsidRPr="0099040C">
              <w:rPr>
                <w:rFonts w:ascii="Times New Roman" w:eastAsia="Arial Unicode MS" w:hAnsi="Times New Roman"/>
                <w:sz w:val="20"/>
                <w:szCs w:val="20"/>
                <w:shd w:val="clear" w:color="auto" w:fill="FFFFFF"/>
                <w:lang w:val="fr-FR"/>
              </w:rPr>
              <w:t>alineatul</w:t>
            </w:r>
            <w:proofErr w:type="spellEnd"/>
            <w:r w:rsidRPr="0099040C">
              <w:rPr>
                <w:rFonts w:ascii="Times New Roman" w:eastAsia="Arial Unicode MS" w:hAnsi="Times New Roman"/>
                <w:sz w:val="20"/>
                <w:szCs w:val="20"/>
                <w:shd w:val="clear" w:color="auto" w:fill="FFFFFF"/>
                <w:lang w:val="fr-FR"/>
              </w:rPr>
              <w:t xml:space="preserve"> (1) </w:t>
            </w:r>
            <w:proofErr w:type="spellStart"/>
            <w:r w:rsidRPr="0099040C">
              <w:rPr>
                <w:rFonts w:ascii="Times New Roman" w:eastAsia="Arial Unicode MS" w:hAnsi="Times New Roman"/>
                <w:sz w:val="20"/>
                <w:szCs w:val="20"/>
                <w:shd w:val="clear" w:color="auto" w:fill="FFFFFF"/>
                <w:lang w:val="fr-FR"/>
              </w:rPr>
              <w:t>din</w:t>
            </w:r>
            <w:proofErr w:type="spellEnd"/>
            <w:r w:rsidRPr="0099040C">
              <w:rPr>
                <w:rFonts w:ascii="Times New Roman" w:eastAsia="Arial Unicode MS" w:hAnsi="Times New Roman"/>
                <w:sz w:val="20"/>
                <w:szCs w:val="20"/>
                <w:shd w:val="clear" w:color="auto" w:fill="FFFFFF"/>
                <w:lang w:val="fr-FR"/>
              </w:rPr>
              <w:t xml:space="preserve"> </w:t>
            </w:r>
            <w:proofErr w:type="spellStart"/>
            <w:r w:rsidRPr="0099040C">
              <w:rPr>
                <w:rFonts w:ascii="Times New Roman" w:eastAsia="Arial Unicode MS" w:hAnsi="Times New Roman"/>
                <w:sz w:val="20"/>
                <w:szCs w:val="20"/>
                <w:shd w:val="clear" w:color="auto" w:fill="FFFFFF"/>
                <w:lang w:val="fr-FR"/>
              </w:rPr>
              <w:t>Regulamentul</w:t>
            </w:r>
            <w:proofErr w:type="spellEnd"/>
            <w:r w:rsidRPr="0099040C">
              <w:rPr>
                <w:rFonts w:ascii="Times New Roman" w:eastAsia="Arial Unicode MS" w:hAnsi="Times New Roman"/>
                <w:sz w:val="20"/>
                <w:szCs w:val="20"/>
                <w:shd w:val="clear" w:color="auto" w:fill="FFFFFF"/>
                <w:lang w:val="fr-FR"/>
              </w:rPr>
              <w:t xml:space="preserve"> (UE) 2021/1119.</w:t>
            </w:r>
          </w:p>
          <w:p w14:paraId="1CA28180" w14:textId="58DA3E80" w:rsidR="004B1F44" w:rsidRPr="0099040C" w:rsidRDefault="00000000" w:rsidP="00503AF4">
            <w:pPr>
              <w:spacing w:after="0" w:line="240" w:lineRule="auto"/>
              <w:jc w:val="both"/>
              <w:rPr>
                <w:rFonts w:ascii="Times New Roman" w:hAnsi="Times New Roman"/>
                <w:sz w:val="20"/>
                <w:szCs w:val="20"/>
                <w:shd w:val="clear" w:color="auto" w:fill="FFFFFF"/>
                <w:lang w:val="fr-FR"/>
              </w:rPr>
            </w:pPr>
            <w:hyperlink r:id="rId20" w:tooltip="32018R1999" w:history="1">
              <w:r w:rsidR="0099040C" w:rsidRPr="00263A32">
                <w:rPr>
                  <w:rStyle w:val="af6"/>
                  <w:rFonts w:ascii="Times New Roman" w:eastAsia="Arial Unicode MS" w:hAnsi="Times New Roman"/>
                  <w:b/>
                  <w:bCs/>
                  <w:color w:val="23527C"/>
                  <w:sz w:val="20"/>
                  <w:szCs w:val="20"/>
                  <w:shd w:val="clear" w:color="auto" w:fill="FFFFFF"/>
                  <w:lang w:val="fr-FR"/>
                </w:rPr>
                <w:t>▼B</w:t>
              </w:r>
            </w:hyperlink>
          </w:p>
          <w:p w14:paraId="796A4565" w14:textId="3591AA58" w:rsidR="00503AF4" w:rsidRPr="00503AF4" w:rsidRDefault="00503AF4" w:rsidP="00503AF4">
            <w:pPr>
              <w:spacing w:after="0" w:line="240" w:lineRule="auto"/>
              <w:jc w:val="both"/>
              <w:rPr>
                <w:rFonts w:ascii="Times New Roman" w:hAnsi="Times New Roman"/>
                <w:sz w:val="20"/>
                <w:szCs w:val="20"/>
                <w:lang w:val="ro-RO" w:eastAsia="ru-RU"/>
              </w:rPr>
            </w:pPr>
            <w:r w:rsidRPr="00986184">
              <w:rPr>
                <w:rFonts w:ascii="Times New Roman" w:hAnsi="Times New Roman"/>
                <w:sz w:val="20"/>
                <w:szCs w:val="20"/>
                <w:shd w:val="clear" w:color="auto" w:fill="FFFFFF"/>
                <w:lang w:val="fr-FR"/>
              </w:rPr>
              <w:t>(3)</w:t>
            </w:r>
            <w:r w:rsidR="004C01A1">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Statele</w:t>
            </w:r>
            <w:proofErr w:type="spellEnd"/>
            <w:r w:rsidRPr="00986184">
              <w:rPr>
                <w:rFonts w:ascii="Times New Roman" w:hAnsi="Times New Roman"/>
                <w:sz w:val="20"/>
                <w:szCs w:val="20"/>
                <w:shd w:val="clear" w:color="auto" w:fill="FFFFFF"/>
                <w:lang w:val="fr-FR"/>
              </w:rPr>
              <w:t xml:space="preserve"> membre </w:t>
            </w:r>
            <w:proofErr w:type="spellStart"/>
            <w:r w:rsidRPr="00986184">
              <w:rPr>
                <w:rFonts w:ascii="Times New Roman" w:hAnsi="Times New Roman"/>
                <w:sz w:val="20"/>
                <w:szCs w:val="20"/>
                <w:shd w:val="clear" w:color="auto" w:fill="FFFFFF"/>
                <w:lang w:val="fr-FR"/>
              </w:rPr>
              <w:t>pun</w:t>
            </w:r>
            <w:proofErr w:type="spellEnd"/>
            <w:r w:rsidRPr="00986184">
              <w:rPr>
                <w:rFonts w:ascii="Times New Roman" w:hAnsi="Times New Roman"/>
                <w:sz w:val="20"/>
                <w:szCs w:val="20"/>
                <w:shd w:val="clear" w:color="auto" w:fill="FFFFFF"/>
                <w:lang w:val="fr-FR"/>
              </w:rPr>
              <w:t xml:space="preserve"> la </w:t>
            </w:r>
            <w:proofErr w:type="spellStart"/>
            <w:r w:rsidRPr="00986184">
              <w:rPr>
                <w:rFonts w:ascii="Times New Roman" w:hAnsi="Times New Roman"/>
                <w:sz w:val="20"/>
                <w:szCs w:val="20"/>
                <w:shd w:val="clear" w:color="auto" w:fill="FFFFFF"/>
                <w:lang w:val="fr-FR"/>
              </w:rPr>
              <w:t>dispoziția</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publicului</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informații</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complete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privind</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ipotezele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parametrii</w:t>
            </w:r>
            <w:proofErr w:type="spellEnd"/>
            <w:r w:rsidRPr="00986184">
              <w:rPr>
                <w:rFonts w:ascii="Times New Roman" w:hAnsi="Times New Roman"/>
                <w:sz w:val="20"/>
                <w:szCs w:val="20"/>
                <w:shd w:val="clear" w:color="auto" w:fill="FFFFFF"/>
                <w:lang w:val="fr-FR"/>
              </w:rPr>
              <w:t xml:space="preserve"> și </w:t>
            </w:r>
            <w:proofErr w:type="spellStart"/>
            <w:r w:rsidRPr="00986184">
              <w:rPr>
                <w:rFonts w:ascii="Times New Roman" w:hAnsi="Times New Roman"/>
                <w:sz w:val="20"/>
                <w:szCs w:val="20"/>
                <w:shd w:val="clear" w:color="auto" w:fill="FFFFFF"/>
                <w:lang w:val="fr-FR"/>
              </w:rPr>
              <w:t>metodologiile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utilizate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pentru</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scenariile</w:t>
            </w:r>
            <w:proofErr w:type="spellEnd"/>
            <w:r w:rsidRPr="00986184">
              <w:rPr>
                <w:rFonts w:ascii="Times New Roman" w:hAnsi="Times New Roman"/>
                <w:sz w:val="20"/>
                <w:szCs w:val="20"/>
                <w:shd w:val="clear" w:color="auto" w:fill="FFFFFF"/>
                <w:lang w:val="fr-FR"/>
              </w:rPr>
              <w:t xml:space="preserve"> și </w:t>
            </w:r>
            <w:proofErr w:type="spellStart"/>
            <w:r w:rsidRPr="00986184">
              <w:rPr>
                <w:rFonts w:ascii="Times New Roman" w:hAnsi="Times New Roman"/>
                <w:sz w:val="20"/>
                <w:szCs w:val="20"/>
                <w:shd w:val="clear" w:color="auto" w:fill="FFFFFF"/>
                <w:lang w:val="fr-FR"/>
              </w:rPr>
              <w:t>prognozele</w:t>
            </w:r>
            <w:proofErr w:type="spellEnd"/>
            <w:r w:rsidRPr="00986184">
              <w:rPr>
                <w:rFonts w:ascii="Times New Roman" w:hAnsi="Times New Roman"/>
                <w:sz w:val="20"/>
                <w:szCs w:val="20"/>
                <w:shd w:val="clear" w:color="auto" w:fill="FFFFFF"/>
                <w:lang w:val="fr-FR"/>
              </w:rPr>
              <w:t xml:space="preserve"> finale, </w:t>
            </w:r>
            <w:proofErr w:type="spellStart"/>
            <w:r w:rsidRPr="00986184">
              <w:rPr>
                <w:rFonts w:ascii="Times New Roman" w:hAnsi="Times New Roman"/>
                <w:sz w:val="20"/>
                <w:szCs w:val="20"/>
                <w:shd w:val="clear" w:color="auto" w:fill="FFFFFF"/>
                <w:lang w:val="fr-FR"/>
              </w:rPr>
              <w:t>luând</w:t>
            </w:r>
            <w:proofErr w:type="spellEnd"/>
            <w:r w:rsidRPr="00986184">
              <w:rPr>
                <w:rFonts w:ascii="Times New Roman" w:hAnsi="Times New Roman"/>
                <w:sz w:val="20"/>
                <w:szCs w:val="20"/>
                <w:shd w:val="clear" w:color="auto" w:fill="FFFFFF"/>
                <w:lang w:val="fr-FR"/>
              </w:rPr>
              <w:t xml:space="preserve"> în </w:t>
            </w:r>
            <w:proofErr w:type="spellStart"/>
            <w:r w:rsidRPr="00986184">
              <w:rPr>
                <w:rFonts w:ascii="Times New Roman" w:hAnsi="Times New Roman"/>
                <w:sz w:val="20"/>
                <w:szCs w:val="20"/>
                <w:shd w:val="clear" w:color="auto" w:fill="FFFFFF"/>
                <w:lang w:val="fr-FR"/>
              </w:rPr>
              <w:t>considerare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restricțiile</w:t>
            </w:r>
            <w:proofErr w:type="spellEnd"/>
            <w:r w:rsidRPr="00986184">
              <w:rPr>
                <w:rFonts w:ascii="Times New Roman" w:hAnsi="Times New Roman"/>
                <w:sz w:val="20"/>
                <w:szCs w:val="20"/>
                <w:shd w:val="clear" w:color="auto" w:fill="FFFFFF"/>
                <w:lang w:val="fr-FR"/>
              </w:rPr>
              <w:t xml:space="preserve"> de </w:t>
            </w:r>
            <w:proofErr w:type="spellStart"/>
            <w:r w:rsidRPr="00986184">
              <w:rPr>
                <w:rFonts w:ascii="Times New Roman" w:hAnsi="Times New Roman"/>
                <w:sz w:val="20"/>
                <w:szCs w:val="20"/>
                <w:shd w:val="clear" w:color="auto" w:fill="FFFFFF"/>
                <w:lang w:val="fr-FR"/>
              </w:rPr>
              <w:t>ordin</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statistic</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datele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sensibile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din</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punct</w:t>
            </w:r>
            <w:proofErr w:type="spellEnd"/>
            <w:r w:rsidRPr="00986184">
              <w:rPr>
                <w:rFonts w:ascii="Times New Roman" w:hAnsi="Times New Roman"/>
                <w:sz w:val="20"/>
                <w:szCs w:val="20"/>
                <w:shd w:val="clear" w:color="auto" w:fill="FFFFFF"/>
                <w:lang w:val="fr-FR"/>
              </w:rPr>
              <w:t xml:space="preserve"> de </w:t>
            </w:r>
            <w:proofErr w:type="spellStart"/>
            <w:r w:rsidRPr="00986184">
              <w:rPr>
                <w:rFonts w:ascii="Times New Roman" w:hAnsi="Times New Roman"/>
                <w:sz w:val="20"/>
                <w:szCs w:val="20"/>
                <w:shd w:val="clear" w:color="auto" w:fill="FFFFFF"/>
                <w:lang w:val="fr-FR"/>
              </w:rPr>
              <w:t>vedere</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comercial</w:t>
            </w:r>
            <w:proofErr w:type="spellEnd"/>
            <w:r w:rsidRPr="00986184">
              <w:rPr>
                <w:rFonts w:ascii="Times New Roman" w:hAnsi="Times New Roman"/>
                <w:sz w:val="20"/>
                <w:szCs w:val="20"/>
                <w:shd w:val="clear" w:color="auto" w:fill="FFFFFF"/>
                <w:lang w:val="fr-FR"/>
              </w:rPr>
              <w:t xml:space="preserve"> și </w:t>
            </w:r>
            <w:proofErr w:type="spellStart"/>
            <w:r w:rsidRPr="00986184">
              <w:rPr>
                <w:rFonts w:ascii="Times New Roman" w:hAnsi="Times New Roman"/>
                <w:sz w:val="20"/>
                <w:szCs w:val="20"/>
                <w:shd w:val="clear" w:color="auto" w:fill="FFFFFF"/>
                <w:lang w:val="fr-FR"/>
              </w:rPr>
              <w:t>respectarea</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normelor</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privind</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protecția</w:t>
            </w:r>
            <w:proofErr w:type="spellEnd"/>
            <w:r w:rsidRPr="00986184">
              <w:rPr>
                <w:rFonts w:ascii="Times New Roman" w:hAnsi="Times New Roman"/>
                <w:sz w:val="20"/>
                <w:szCs w:val="20"/>
                <w:shd w:val="clear" w:color="auto" w:fill="FFFFFF"/>
                <w:lang w:val="fr-FR"/>
              </w:rPr>
              <w:t xml:space="preserve"> </w:t>
            </w:r>
            <w:proofErr w:type="spellStart"/>
            <w:r w:rsidRPr="00986184">
              <w:rPr>
                <w:rFonts w:ascii="Times New Roman" w:hAnsi="Times New Roman"/>
                <w:sz w:val="20"/>
                <w:szCs w:val="20"/>
                <w:shd w:val="clear" w:color="auto" w:fill="FFFFFF"/>
                <w:lang w:val="fr-FR"/>
              </w:rPr>
              <w:t>datelor</w:t>
            </w:r>
            <w:proofErr w:type="spellEnd"/>
            <w:r w:rsidRPr="00986184">
              <w:rPr>
                <w:rFonts w:ascii="Times New Roman" w:hAnsi="Times New Roman"/>
                <w:sz w:val="20"/>
                <w:szCs w:val="20"/>
                <w:shd w:val="clear" w:color="auto" w:fill="FFFFFF"/>
                <w:lang w:val="fr-FR"/>
              </w:rPr>
              <w:t>.</w:t>
            </w:r>
          </w:p>
        </w:tc>
        <w:tc>
          <w:tcPr>
            <w:tcW w:w="4440" w:type="dxa"/>
          </w:tcPr>
          <w:p w14:paraId="7CF53EFB" w14:textId="7D9C437E" w:rsidR="00D37AB7" w:rsidRPr="0046139C" w:rsidRDefault="00D37AB7" w:rsidP="00986184">
            <w:pPr>
              <w:shd w:val="clear" w:color="auto" w:fill="FFFFFF"/>
              <w:suppressAutoHyphens w:val="0"/>
              <w:autoSpaceDN/>
              <w:spacing w:after="0" w:line="240" w:lineRule="auto"/>
              <w:jc w:val="both"/>
              <w:textAlignment w:val="auto"/>
              <w:rPr>
                <w:rFonts w:ascii="Times New Roman" w:eastAsia="Times New Roman" w:hAnsi="Times New Roman"/>
                <w:b/>
                <w:color w:val="000000" w:themeColor="text1"/>
                <w:sz w:val="20"/>
                <w:szCs w:val="20"/>
                <w:lang w:val="ro-RO" w:eastAsia="ru-RU"/>
              </w:rPr>
            </w:pPr>
          </w:p>
        </w:tc>
        <w:tc>
          <w:tcPr>
            <w:tcW w:w="1276" w:type="dxa"/>
          </w:tcPr>
          <w:p w14:paraId="677E16CC" w14:textId="32154856" w:rsidR="00D37AB7" w:rsidRPr="00745D9A" w:rsidRDefault="004B1F44" w:rsidP="00D37AB7">
            <w:pPr>
              <w:pStyle w:val="ColorfulList-Accent11"/>
              <w:spacing w:after="0" w:line="240" w:lineRule="auto"/>
              <w:ind w:left="0"/>
              <w:jc w:val="both"/>
              <w:rPr>
                <w:lang w:val="fr-FR"/>
              </w:rPr>
            </w:pPr>
            <w:r>
              <w:rPr>
                <w:rFonts w:ascii="Times New Roman" w:hAnsi="Times New Roman"/>
                <w:sz w:val="20"/>
                <w:szCs w:val="20"/>
                <w:lang w:val="ro-RO"/>
              </w:rPr>
              <w:t>C</w:t>
            </w:r>
            <w:r w:rsidR="000F5A29" w:rsidRPr="00C951E7">
              <w:rPr>
                <w:rFonts w:ascii="Times New Roman" w:hAnsi="Times New Roman"/>
                <w:sz w:val="20"/>
                <w:szCs w:val="20"/>
                <w:lang w:val="ro-RO"/>
              </w:rPr>
              <w:t>ompatibil</w:t>
            </w:r>
          </w:p>
        </w:tc>
        <w:tc>
          <w:tcPr>
            <w:tcW w:w="1276" w:type="dxa"/>
          </w:tcPr>
          <w:p w14:paraId="6B3D7470" w14:textId="77777777" w:rsidR="00D37AB7" w:rsidRPr="00745D9A" w:rsidRDefault="00D37AB7" w:rsidP="00D37AB7">
            <w:pPr>
              <w:pStyle w:val="ColorfulList-Accent11"/>
              <w:spacing w:after="0" w:line="240" w:lineRule="auto"/>
              <w:ind w:left="0"/>
              <w:jc w:val="both"/>
              <w:rPr>
                <w:lang w:val="fr-FR"/>
              </w:rPr>
            </w:pPr>
          </w:p>
        </w:tc>
        <w:tc>
          <w:tcPr>
            <w:tcW w:w="1701" w:type="dxa"/>
          </w:tcPr>
          <w:p w14:paraId="70A084B6" w14:textId="3EB58C1A"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pct.21-24 și la pct.95 din</w:t>
            </w:r>
          </w:p>
          <w:p w14:paraId="2FA8CED8" w14:textId="5CB74343" w:rsidR="00D37AB7" w:rsidRPr="000F5A29"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2CF3C648" w14:textId="40220A66" w:rsidR="000F5A29" w:rsidRPr="003F755D" w:rsidRDefault="000F5A29" w:rsidP="000F5A2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986184" w:rsidRPr="00A81801">
              <w:rPr>
                <w:rFonts w:ascii="Times New Roman" w:hAnsi="Times New Roman"/>
                <w:color w:val="000000" w:themeColor="text1"/>
                <w:sz w:val="20"/>
                <w:szCs w:val="20"/>
              </w:rPr>
              <w:t>Energiei</w:t>
            </w:r>
          </w:p>
          <w:p w14:paraId="7A140C82" w14:textId="77777777" w:rsidR="00D37AB7" w:rsidRPr="000F5A29" w:rsidRDefault="00D37AB7" w:rsidP="00D37AB7">
            <w:pPr>
              <w:pStyle w:val="ColorfulList-Accent11"/>
              <w:spacing w:after="0" w:line="240" w:lineRule="auto"/>
              <w:ind w:left="0"/>
              <w:jc w:val="both"/>
              <w:rPr>
                <w:lang w:val="ro-RO"/>
              </w:rPr>
            </w:pPr>
          </w:p>
        </w:tc>
      </w:tr>
      <w:tr w:rsidR="00D37AB7" w:rsidRPr="007E0348" w14:paraId="3F5E5FA7" w14:textId="77777777" w:rsidTr="00A90105">
        <w:tc>
          <w:tcPr>
            <w:tcW w:w="4945" w:type="dxa"/>
          </w:tcPr>
          <w:p w14:paraId="455F71AA" w14:textId="77777777" w:rsidR="00D37AB7" w:rsidRPr="00163D2F" w:rsidRDefault="00D37AB7" w:rsidP="00503AF4">
            <w:pPr>
              <w:spacing w:after="0" w:line="240" w:lineRule="auto"/>
              <w:jc w:val="center"/>
              <w:rPr>
                <w:rFonts w:ascii="Times New Roman" w:hAnsi="Times New Roman"/>
                <w:sz w:val="20"/>
                <w:szCs w:val="20"/>
                <w:lang w:eastAsia="ru-RU"/>
              </w:rPr>
            </w:pPr>
            <w:proofErr w:type="spellStart"/>
            <w:r w:rsidRPr="00163D2F">
              <w:rPr>
                <w:rFonts w:ascii="Times New Roman" w:hAnsi="Times New Roman"/>
                <w:sz w:val="20"/>
                <w:szCs w:val="20"/>
                <w:lang w:eastAsia="ru-RU"/>
              </w:rPr>
              <w:t>Articolul</w:t>
            </w:r>
            <w:proofErr w:type="spellEnd"/>
            <w:r w:rsidRPr="00163D2F">
              <w:rPr>
                <w:rFonts w:ascii="Times New Roman" w:hAnsi="Times New Roman"/>
                <w:sz w:val="20"/>
                <w:szCs w:val="20"/>
                <w:lang w:eastAsia="ru-RU"/>
              </w:rPr>
              <w:t xml:space="preserve"> 9</w:t>
            </w:r>
          </w:p>
          <w:p w14:paraId="79985355" w14:textId="77777777" w:rsidR="00D37AB7" w:rsidRPr="00163D2F" w:rsidRDefault="00D37AB7" w:rsidP="00503AF4">
            <w:pPr>
              <w:spacing w:after="0" w:line="240" w:lineRule="auto"/>
              <w:jc w:val="center"/>
              <w:rPr>
                <w:rFonts w:ascii="Times New Roman" w:hAnsi="Times New Roman"/>
                <w:b/>
                <w:bCs/>
                <w:sz w:val="20"/>
                <w:szCs w:val="20"/>
                <w:lang w:eastAsia="ru-RU"/>
              </w:rPr>
            </w:pPr>
            <w:proofErr w:type="spellStart"/>
            <w:r w:rsidRPr="00163D2F">
              <w:rPr>
                <w:rFonts w:ascii="Times New Roman" w:hAnsi="Times New Roman"/>
                <w:b/>
                <w:bCs/>
                <w:sz w:val="20"/>
                <w:szCs w:val="20"/>
                <w:lang w:eastAsia="ru-RU"/>
              </w:rPr>
              <w:t>Proiectele</w:t>
            </w:r>
            <w:proofErr w:type="spellEnd"/>
            <w:r w:rsidRPr="00163D2F">
              <w:rPr>
                <w:rFonts w:ascii="Times New Roman" w:hAnsi="Times New Roman"/>
                <w:b/>
                <w:bCs/>
                <w:sz w:val="20"/>
                <w:szCs w:val="20"/>
                <w:lang w:eastAsia="ru-RU"/>
              </w:rPr>
              <w:t xml:space="preserve"> de </w:t>
            </w:r>
            <w:proofErr w:type="spellStart"/>
            <w:r w:rsidRPr="00163D2F">
              <w:rPr>
                <w:rFonts w:ascii="Times New Roman" w:hAnsi="Times New Roman"/>
                <w:b/>
                <w:bCs/>
                <w:sz w:val="20"/>
                <w:szCs w:val="20"/>
                <w:lang w:eastAsia="ru-RU"/>
              </w:rPr>
              <w:t>planuri</w:t>
            </w:r>
            <w:proofErr w:type="spellEnd"/>
            <w:r w:rsidRPr="00163D2F">
              <w:rPr>
                <w:rFonts w:ascii="Times New Roman" w:hAnsi="Times New Roman"/>
                <w:b/>
                <w:bCs/>
                <w:sz w:val="20"/>
                <w:szCs w:val="20"/>
                <w:lang w:eastAsia="ru-RU"/>
              </w:rPr>
              <w:t xml:space="preserve"> </w:t>
            </w:r>
            <w:proofErr w:type="spellStart"/>
            <w:r w:rsidRPr="00163D2F">
              <w:rPr>
                <w:rFonts w:ascii="Times New Roman" w:hAnsi="Times New Roman"/>
                <w:b/>
                <w:bCs/>
                <w:sz w:val="20"/>
                <w:szCs w:val="20"/>
                <w:lang w:eastAsia="ru-RU"/>
              </w:rPr>
              <w:t>naționale</w:t>
            </w:r>
            <w:proofErr w:type="spellEnd"/>
            <w:r w:rsidRPr="00163D2F">
              <w:rPr>
                <w:rFonts w:ascii="Times New Roman" w:hAnsi="Times New Roman"/>
                <w:b/>
                <w:bCs/>
                <w:sz w:val="20"/>
                <w:szCs w:val="20"/>
                <w:lang w:eastAsia="ru-RU"/>
              </w:rPr>
              <w:t xml:space="preserve"> integrate </w:t>
            </w:r>
            <w:proofErr w:type="spellStart"/>
            <w:r w:rsidRPr="00163D2F">
              <w:rPr>
                <w:rFonts w:ascii="Times New Roman" w:hAnsi="Times New Roman"/>
                <w:b/>
                <w:bCs/>
                <w:sz w:val="20"/>
                <w:szCs w:val="20"/>
                <w:lang w:eastAsia="ru-RU"/>
              </w:rPr>
              <w:t>privind</w:t>
            </w:r>
            <w:proofErr w:type="spellEnd"/>
            <w:r w:rsidRPr="00163D2F">
              <w:rPr>
                <w:rFonts w:ascii="Times New Roman" w:hAnsi="Times New Roman"/>
                <w:b/>
                <w:bCs/>
                <w:sz w:val="20"/>
                <w:szCs w:val="20"/>
                <w:lang w:eastAsia="ru-RU"/>
              </w:rPr>
              <w:t xml:space="preserve"> </w:t>
            </w:r>
            <w:proofErr w:type="spellStart"/>
            <w:r w:rsidRPr="00163D2F">
              <w:rPr>
                <w:rFonts w:ascii="Times New Roman" w:hAnsi="Times New Roman"/>
                <w:b/>
                <w:bCs/>
                <w:sz w:val="20"/>
                <w:szCs w:val="20"/>
                <w:lang w:eastAsia="ru-RU"/>
              </w:rPr>
              <w:t>energia</w:t>
            </w:r>
            <w:proofErr w:type="spellEnd"/>
            <w:r w:rsidRPr="00163D2F">
              <w:rPr>
                <w:rFonts w:ascii="Times New Roman" w:hAnsi="Times New Roman"/>
                <w:b/>
                <w:bCs/>
                <w:sz w:val="20"/>
                <w:szCs w:val="20"/>
                <w:lang w:eastAsia="ru-RU"/>
              </w:rPr>
              <w:t xml:space="preserve"> și </w:t>
            </w:r>
            <w:proofErr w:type="spellStart"/>
            <w:proofErr w:type="gramStart"/>
            <w:r w:rsidRPr="00163D2F">
              <w:rPr>
                <w:rFonts w:ascii="Times New Roman" w:hAnsi="Times New Roman"/>
                <w:b/>
                <w:bCs/>
                <w:sz w:val="20"/>
                <w:szCs w:val="20"/>
                <w:lang w:eastAsia="ru-RU"/>
              </w:rPr>
              <w:t>clima</w:t>
            </w:r>
            <w:proofErr w:type="spellEnd"/>
            <w:proofErr w:type="gramEnd"/>
          </w:p>
          <w:p w14:paraId="3E4C79A7" w14:textId="77777777" w:rsidR="00D37AB7" w:rsidRPr="00163D2F" w:rsidRDefault="00D37AB7" w:rsidP="00503AF4">
            <w:pPr>
              <w:spacing w:after="0" w:line="240" w:lineRule="auto"/>
              <w:jc w:val="both"/>
              <w:rPr>
                <w:rFonts w:ascii="Times New Roman" w:hAnsi="Times New Roman"/>
                <w:sz w:val="20"/>
                <w:szCs w:val="20"/>
                <w:lang w:eastAsia="ru-RU"/>
              </w:rPr>
            </w:pPr>
            <w:r w:rsidRPr="00163D2F">
              <w:rPr>
                <w:rFonts w:ascii="Times New Roman" w:hAnsi="Times New Roman"/>
                <w:sz w:val="20"/>
                <w:szCs w:val="20"/>
                <w:lang w:eastAsia="ru-RU"/>
              </w:rPr>
              <w:t>(</w:t>
            </w:r>
            <w:proofErr w:type="gramStart"/>
            <w:r w:rsidRPr="00163D2F">
              <w:rPr>
                <w:rFonts w:ascii="Times New Roman" w:hAnsi="Times New Roman"/>
                <w:sz w:val="20"/>
                <w:szCs w:val="20"/>
                <w:lang w:eastAsia="ru-RU"/>
              </w:rPr>
              <w:t>1)</w:t>
            </w:r>
            <w:proofErr w:type="spellStart"/>
            <w:r w:rsidRPr="00163D2F">
              <w:rPr>
                <w:rFonts w:ascii="Times New Roman" w:hAnsi="Times New Roman"/>
                <w:sz w:val="20"/>
                <w:szCs w:val="20"/>
                <w:lang w:eastAsia="ru-RU"/>
              </w:rPr>
              <w:t>Până</w:t>
            </w:r>
            <w:proofErr w:type="spellEnd"/>
            <w:proofErr w:type="gramEnd"/>
            <w:r w:rsidRPr="00163D2F">
              <w:rPr>
                <w:rFonts w:ascii="Times New Roman" w:hAnsi="Times New Roman"/>
                <w:sz w:val="20"/>
                <w:szCs w:val="20"/>
                <w:lang w:eastAsia="ru-RU"/>
              </w:rPr>
              <w:t xml:space="preserve"> la</w:t>
            </w:r>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31</w:t>
            </w:r>
            <w:r w:rsidR="00503AF4"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decembrie</w:t>
            </w:r>
            <w:proofErr w:type="spellEnd"/>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 xml:space="preserve">2018 și </w:t>
            </w:r>
            <w:proofErr w:type="spellStart"/>
            <w:r w:rsidRPr="00163D2F">
              <w:rPr>
                <w:rFonts w:ascii="Times New Roman" w:hAnsi="Times New Roman"/>
                <w:sz w:val="20"/>
                <w:szCs w:val="20"/>
                <w:lang w:eastAsia="ru-RU"/>
              </w:rPr>
              <w:t>apoi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până</w:t>
            </w:r>
            <w:proofErr w:type="spellEnd"/>
            <w:r w:rsidRPr="00163D2F">
              <w:rPr>
                <w:rFonts w:ascii="Times New Roman" w:hAnsi="Times New Roman"/>
                <w:sz w:val="20"/>
                <w:szCs w:val="20"/>
                <w:lang w:eastAsia="ru-RU"/>
              </w:rPr>
              <w:t xml:space="preserve"> la</w:t>
            </w:r>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1</w:t>
            </w:r>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 xml:space="preserve">ianuarie2028 și, ulterior, la </w:t>
            </w:r>
            <w:proofErr w:type="spellStart"/>
            <w:r w:rsidRPr="00163D2F">
              <w:rPr>
                <w:rFonts w:ascii="Times New Roman" w:hAnsi="Times New Roman"/>
                <w:sz w:val="20"/>
                <w:szCs w:val="20"/>
                <w:lang w:eastAsia="ru-RU"/>
              </w:rPr>
              <w:t>fiecare</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zece</w:t>
            </w:r>
            <w:proofErr w:type="spellEnd"/>
            <w:r w:rsidRPr="00163D2F">
              <w:rPr>
                <w:rFonts w:ascii="Times New Roman" w:hAnsi="Times New Roman"/>
                <w:sz w:val="20"/>
                <w:szCs w:val="20"/>
                <w:lang w:eastAsia="ru-RU"/>
              </w:rPr>
              <w:t xml:space="preserve"> ani, </w:t>
            </w:r>
            <w:proofErr w:type="spellStart"/>
            <w:r w:rsidRPr="00163D2F">
              <w:rPr>
                <w:rFonts w:ascii="Times New Roman" w:hAnsi="Times New Roman"/>
                <w:sz w:val="20"/>
                <w:szCs w:val="20"/>
                <w:lang w:eastAsia="ru-RU"/>
              </w:rPr>
              <w:t>fiecare</w:t>
            </w:r>
            <w:proofErr w:type="spellEnd"/>
            <w:r w:rsidRPr="00163D2F">
              <w:rPr>
                <w:rFonts w:ascii="Times New Roman" w:hAnsi="Times New Roman"/>
                <w:sz w:val="20"/>
                <w:szCs w:val="20"/>
                <w:lang w:eastAsia="ru-RU"/>
              </w:rPr>
              <w:t xml:space="preserve"> stat </w:t>
            </w:r>
            <w:proofErr w:type="spellStart"/>
            <w:r w:rsidRPr="00163D2F">
              <w:rPr>
                <w:rFonts w:ascii="Times New Roman" w:hAnsi="Times New Roman"/>
                <w:sz w:val="20"/>
                <w:szCs w:val="20"/>
                <w:lang w:eastAsia="ru-RU"/>
              </w:rPr>
              <w:t>membru</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elaborează</w:t>
            </w:r>
            <w:proofErr w:type="spellEnd"/>
            <w:r w:rsidRPr="00163D2F">
              <w:rPr>
                <w:rFonts w:ascii="Times New Roman" w:hAnsi="Times New Roman"/>
                <w:sz w:val="20"/>
                <w:szCs w:val="20"/>
                <w:lang w:eastAsia="ru-RU"/>
              </w:rPr>
              <w:t xml:space="preserve"> și </w:t>
            </w:r>
            <w:proofErr w:type="spellStart"/>
            <w:r w:rsidRPr="00163D2F">
              <w:rPr>
                <w:rFonts w:ascii="Times New Roman" w:hAnsi="Times New Roman"/>
                <w:sz w:val="20"/>
                <w:szCs w:val="20"/>
                <w:lang w:eastAsia="ru-RU"/>
              </w:rPr>
              <w:t>prezintă</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Comisiei</w:t>
            </w:r>
            <w:proofErr w:type="spellEnd"/>
            <w:r w:rsidRPr="00163D2F">
              <w:rPr>
                <w:rFonts w:ascii="Times New Roman" w:hAnsi="Times New Roman"/>
                <w:sz w:val="20"/>
                <w:szCs w:val="20"/>
                <w:lang w:eastAsia="ru-RU"/>
              </w:rPr>
              <w:t xml:space="preserve"> un </w:t>
            </w:r>
            <w:proofErr w:type="spellStart"/>
            <w:r w:rsidRPr="00163D2F">
              <w:rPr>
                <w:rFonts w:ascii="Times New Roman" w:hAnsi="Times New Roman"/>
                <w:sz w:val="20"/>
                <w:szCs w:val="20"/>
                <w:lang w:eastAsia="ru-RU"/>
              </w:rPr>
              <w:t>proiect</w:t>
            </w:r>
            <w:proofErr w:type="spellEnd"/>
            <w:r w:rsidRPr="00163D2F">
              <w:rPr>
                <w:rFonts w:ascii="Times New Roman" w:hAnsi="Times New Roman"/>
                <w:sz w:val="20"/>
                <w:szCs w:val="20"/>
                <w:lang w:eastAsia="ru-RU"/>
              </w:rPr>
              <w:t xml:space="preserve"> al </w:t>
            </w:r>
            <w:proofErr w:type="spellStart"/>
            <w:r w:rsidRPr="00163D2F">
              <w:rPr>
                <w:rFonts w:ascii="Times New Roman" w:hAnsi="Times New Roman"/>
                <w:sz w:val="20"/>
                <w:szCs w:val="20"/>
                <w:lang w:eastAsia="ru-RU"/>
              </w:rPr>
              <w:t>planului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național</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integrat</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privind</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energia</w:t>
            </w:r>
            <w:proofErr w:type="spellEnd"/>
            <w:r w:rsidRPr="00163D2F">
              <w:rPr>
                <w:rFonts w:ascii="Times New Roman" w:hAnsi="Times New Roman"/>
                <w:sz w:val="20"/>
                <w:szCs w:val="20"/>
                <w:lang w:eastAsia="ru-RU"/>
              </w:rPr>
              <w:t xml:space="preserve"> și </w:t>
            </w:r>
            <w:proofErr w:type="spellStart"/>
            <w:r w:rsidRPr="00163D2F">
              <w:rPr>
                <w:rFonts w:ascii="Times New Roman" w:hAnsi="Times New Roman"/>
                <w:sz w:val="20"/>
                <w:szCs w:val="20"/>
                <w:lang w:eastAsia="ru-RU"/>
              </w:rPr>
              <w:t>clima</w:t>
            </w:r>
            <w:proofErr w:type="spellEnd"/>
            <w:r w:rsidRPr="00163D2F">
              <w:rPr>
                <w:rFonts w:ascii="Times New Roman" w:hAnsi="Times New Roman"/>
                <w:sz w:val="20"/>
                <w:szCs w:val="20"/>
                <w:lang w:eastAsia="ru-RU"/>
              </w:rPr>
              <w:t xml:space="preserve"> în conformitate cu </w:t>
            </w:r>
            <w:proofErr w:type="spellStart"/>
            <w:r w:rsidRPr="00163D2F">
              <w:rPr>
                <w:rFonts w:ascii="Times New Roman" w:hAnsi="Times New Roman"/>
                <w:sz w:val="20"/>
                <w:szCs w:val="20"/>
                <w:lang w:eastAsia="ru-RU"/>
              </w:rPr>
              <w:t>articolul</w:t>
            </w:r>
            <w:proofErr w:type="spellEnd"/>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 xml:space="preserve">3 </w:t>
            </w:r>
            <w:proofErr w:type="spellStart"/>
            <w:r w:rsidRPr="00163D2F">
              <w:rPr>
                <w:rFonts w:ascii="Times New Roman" w:hAnsi="Times New Roman"/>
                <w:sz w:val="20"/>
                <w:szCs w:val="20"/>
                <w:lang w:eastAsia="ru-RU"/>
              </w:rPr>
              <w:t>alineatul</w:t>
            </w:r>
            <w:proofErr w:type="spellEnd"/>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 xml:space="preserve">(1) și cu </w:t>
            </w:r>
            <w:proofErr w:type="spellStart"/>
            <w:r w:rsidRPr="00163D2F">
              <w:rPr>
                <w:rFonts w:ascii="Times New Roman" w:hAnsi="Times New Roman"/>
                <w:sz w:val="20"/>
                <w:szCs w:val="20"/>
                <w:lang w:eastAsia="ru-RU"/>
              </w:rPr>
              <w:t>anexa</w:t>
            </w:r>
            <w:proofErr w:type="spellEnd"/>
            <w:r w:rsidR="00503AF4" w:rsidRPr="00163D2F">
              <w:rPr>
                <w:rFonts w:ascii="Times New Roman" w:hAnsi="Times New Roman"/>
                <w:sz w:val="20"/>
                <w:szCs w:val="20"/>
                <w:lang w:eastAsia="ru-RU"/>
              </w:rPr>
              <w:t xml:space="preserve"> </w:t>
            </w:r>
            <w:r w:rsidRPr="00163D2F">
              <w:rPr>
                <w:rFonts w:ascii="Times New Roman" w:hAnsi="Times New Roman"/>
                <w:sz w:val="20"/>
                <w:szCs w:val="20"/>
                <w:lang w:eastAsia="ru-RU"/>
              </w:rPr>
              <w:t>I.</w:t>
            </w:r>
          </w:p>
          <w:p w14:paraId="5052CB23" w14:textId="6F26D6F0" w:rsidR="00503AF4" w:rsidRPr="00163D2F" w:rsidRDefault="00503AF4" w:rsidP="00503AF4">
            <w:pPr>
              <w:spacing w:after="0" w:line="240" w:lineRule="auto"/>
              <w:jc w:val="both"/>
              <w:rPr>
                <w:lang w:val="fr-FR" w:eastAsia="ru-RU"/>
              </w:rPr>
            </w:pPr>
            <w:r w:rsidRPr="00163D2F">
              <w:rPr>
                <w:lang w:eastAsia="ru-RU"/>
              </w:rPr>
              <w:t>(</w:t>
            </w:r>
            <w:proofErr w:type="gramStart"/>
            <w:r w:rsidRPr="00163D2F">
              <w:rPr>
                <w:rFonts w:ascii="Times New Roman" w:hAnsi="Times New Roman"/>
                <w:sz w:val="20"/>
                <w:szCs w:val="20"/>
                <w:lang w:eastAsia="ru-RU"/>
              </w:rPr>
              <w:t>2)</w:t>
            </w:r>
            <w:proofErr w:type="spellStart"/>
            <w:r w:rsidRPr="00163D2F">
              <w:rPr>
                <w:rFonts w:ascii="Times New Roman" w:hAnsi="Times New Roman"/>
                <w:sz w:val="20"/>
                <w:szCs w:val="20"/>
                <w:lang w:eastAsia="ru-RU"/>
              </w:rPr>
              <w:t>Comisia</w:t>
            </w:r>
            <w:proofErr w:type="spellEnd"/>
            <w:proofErr w:type="gram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evaluează</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proiectele</w:t>
            </w:r>
            <w:proofErr w:type="spellEnd"/>
            <w:r w:rsidRPr="00163D2F">
              <w:rPr>
                <w:rFonts w:ascii="Times New Roman" w:hAnsi="Times New Roman"/>
                <w:sz w:val="20"/>
                <w:szCs w:val="20"/>
                <w:lang w:eastAsia="ru-RU"/>
              </w:rPr>
              <w:t xml:space="preserve"> de </w:t>
            </w:r>
            <w:proofErr w:type="spellStart"/>
            <w:r w:rsidRPr="00163D2F">
              <w:rPr>
                <w:rFonts w:ascii="Times New Roman" w:hAnsi="Times New Roman"/>
                <w:sz w:val="20"/>
                <w:szCs w:val="20"/>
                <w:lang w:eastAsia="ru-RU"/>
              </w:rPr>
              <w:t>planuri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naționale</w:t>
            </w:r>
            <w:proofErr w:type="spellEnd"/>
            <w:r w:rsidRPr="00163D2F">
              <w:rPr>
                <w:rFonts w:ascii="Times New Roman" w:hAnsi="Times New Roman"/>
                <w:sz w:val="20"/>
                <w:szCs w:val="20"/>
                <w:lang w:eastAsia="ru-RU"/>
              </w:rPr>
              <w:t xml:space="preserve"> integrate </w:t>
            </w:r>
            <w:proofErr w:type="spellStart"/>
            <w:r w:rsidRPr="00163D2F">
              <w:rPr>
                <w:rFonts w:ascii="Times New Roman" w:hAnsi="Times New Roman"/>
                <w:sz w:val="20"/>
                <w:szCs w:val="20"/>
                <w:lang w:eastAsia="ru-RU"/>
              </w:rPr>
              <w:t>privind</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energia</w:t>
            </w:r>
            <w:proofErr w:type="spellEnd"/>
            <w:r w:rsidRPr="00163D2F">
              <w:rPr>
                <w:rFonts w:ascii="Times New Roman" w:hAnsi="Times New Roman"/>
                <w:sz w:val="20"/>
                <w:szCs w:val="20"/>
                <w:lang w:eastAsia="ru-RU"/>
              </w:rPr>
              <w:t xml:space="preserve"> și </w:t>
            </w:r>
            <w:proofErr w:type="spellStart"/>
            <w:r w:rsidRPr="00163D2F">
              <w:rPr>
                <w:rFonts w:ascii="Times New Roman" w:hAnsi="Times New Roman"/>
                <w:sz w:val="20"/>
                <w:szCs w:val="20"/>
                <w:lang w:eastAsia="ru-RU"/>
              </w:rPr>
              <w:t>clima</w:t>
            </w:r>
            <w:proofErr w:type="spellEnd"/>
            <w:r w:rsidRPr="00163D2F">
              <w:rPr>
                <w:rFonts w:ascii="Times New Roman" w:hAnsi="Times New Roman"/>
                <w:sz w:val="20"/>
                <w:szCs w:val="20"/>
                <w:lang w:eastAsia="ru-RU"/>
              </w:rPr>
              <w:t xml:space="preserve"> și </w:t>
            </w:r>
            <w:proofErr w:type="spellStart"/>
            <w:r w:rsidRPr="00163D2F">
              <w:rPr>
                <w:rFonts w:ascii="Times New Roman" w:hAnsi="Times New Roman"/>
                <w:sz w:val="20"/>
                <w:szCs w:val="20"/>
                <w:lang w:eastAsia="ru-RU"/>
              </w:rPr>
              <w:t>poate</w:t>
            </w:r>
            <w:proofErr w:type="spellEnd"/>
            <w:r w:rsidRPr="00163D2F">
              <w:rPr>
                <w:rFonts w:ascii="Times New Roman" w:hAnsi="Times New Roman"/>
                <w:sz w:val="20"/>
                <w:szCs w:val="20"/>
                <w:lang w:eastAsia="ru-RU"/>
              </w:rPr>
              <w:t xml:space="preserve"> formula </w:t>
            </w:r>
            <w:proofErr w:type="spellStart"/>
            <w:r w:rsidRPr="00163D2F">
              <w:rPr>
                <w:rFonts w:ascii="Times New Roman" w:hAnsi="Times New Roman"/>
                <w:sz w:val="20"/>
                <w:szCs w:val="20"/>
                <w:lang w:eastAsia="ru-RU"/>
              </w:rPr>
              <w:t>recomandări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specifice</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adresate</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fiecărui</w:t>
            </w:r>
            <w:proofErr w:type="spellEnd"/>
            <w:r w:rsidRPr="00163D2F">
              <w:rPr>
                <w:rFonts w:ascii="Times New Roman" w:hAnsi="Times New Roman"/>
                <w:sz w:val="20"/>
                <w:szCs w:val="20"/>
                <w:lang w:eastAsia="ru-RU"/>
              </w:rPr>
              <w:t xml:space="preserve"> stat </w:t>
            </w:r>
            <w:proofErr w:type="spellStart"/>
            <w:r w:rsidRPr="00163D2F">
              <w:rPr>
                <w:rFonts w:ascii="Times New Roman" w:hAnsi="Times New Roman"/>
                <w:sz w:val="20"/>
                <w:szCs w:val="20"/>
                <w:lang w:eastAsia="ru-RU"/>
              </w:rPr>
              <w:t>membru</w:t>
            </w:r>
            <w:proofErr w:type="spellEnd"/>
            <w:r w:rsidRPr="00163D2F">
              <w:rPr>
                <w:rFonts w:ascii="Times New Roman" w:hAnsi="Times New Roman"/>
                <w:sz w:val="20"/>
                <w:szCs w:val="20"/>
                <w:lang w:eastAsia="ru-RU"/>
              </w:rPr>
              <w:t xml:space="preserve"> în conformitate cu </w:t>
            </w:r>
            <w:proofErr w:type="spellStart"/>
            <w:r w:rsidRPr="00163D2F">
              <w:rPr>
                <w:rFonts w:ascii="Times New Roman" w:hAnsi="Times New Roman"/>
                <w:sz w:val="20"/>
                <w:szCs w:val="20"/>
                <w:lang w:eastAsia="ru-RU"/>
              </w:rPr>
              <w:t>articolul</w:t>
            </w:r>
            <w:proofErr w:type="spellEnd"/>
            <w:r w:rsidRPr="00163D2F">
              <w:rPr>
                <w:rFonts w:ascii="Times New Roman" w:hAnsi="Times New Roman"/>
                <w:sz w:val="20"/>
                <w:szCs w:val="20"/>
                <w:lang w:eastAsia="ru-RU"/>
              </w:rPr>
              <w:t xml:space="preserve"> 34, cu </w:t>
            </w:r>
            <w:proofErr w:type="spellStart"/>
            <w:r w:rsidRPr="00163D2F">
              <w:rPr>
                <w:rFonts w:ascii="Times New Roman" w:hAnsi="Times New Roman"/>
                <w:sz w:val="20"/>
                <w:szCs w:val="20"/>
                <w:lang w:eastAsia="ru-RU"/>
              </w:rPr>
              <w:t>cel</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puțin</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șase</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luni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înainte</w:t>
            </w:r>
            <w:proofErr w:type="spellEnd"/>
            <w:r w:rsidRPr="00163D2F">
              <w:rPr>
                <w:rFonts w:ascii="Times New Roman" w:hAnsi="Times New Roman"/>
                <w:sz w:val="20"/>
                <w:szCs w:val="20"/>
                <w:lang w:eastAsia="ru-RU"/>
              </w:rPr>
              <w:t xml:space="preserve"> de </w:t>
            </w:r>
            <w:proofErr w:type="spellStart"/>
            <w:r w:rsidRPr="00163D2F">
              <w:rPr>
                <w:rFonts w:ascii="Times New Roman" w:hAnsi="Times New Roman"/>
                <w:sz w:val="20"/>
                <w:szCs w:val="20"/>
                <w:lang w:eastAsia="ru-RU"/>
              </w:rPr>
              <w:t>termenul</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pentru</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prezentarea</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respectivelor</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planuri</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naționale</w:t>
            </w:r>
            <w:proofErr w:type="spellEnd"/>
            <w:r w:rsidRPr="00163D2F">
              <w:rPr>
                <w:rFonts w:ascii="Times New Roman" w:hAnsi="Times New Roman"/>
                <w:sz w:val="20"/>
                <w:szCs w:val="20"/>
                <w:lang w:eastAsia="ru-RU"/>
              </w:rPr>
              <w:t xml:space="preserve"> integrate </w:t>
            </w:r>
            <w:proofErr w:type="spellStart"/>
            <w:r w:rsidRPr="00163D2F">
              <w:rPr>
                <w:rFonts w:ascii="Times New Roman" w:hAnsi="Times New Roman"/>
                <w:sz w:val="20"/>
                <w:szCs w:val="20"/>
                <w:lang w:eastAsia="ru-RU"/>
              </w:rPr>
              <w:t>privind</w:t>
            </w:r>
            <w:proofErr w:type="spellEnd"/>
            <w:r w:rsidRPr="00163D2F">
              <w:rPr>
                <w:rFonts w:ascii="Times New Roman" w:hAnsi="Times New Roman"/>
                <w:sz w:val="20"/>
                <w:szCs w:val="20"/>
                <w:lang w:eastAsia="ru-RU"/>
              </w:rPr>
              <w:t xml:space="preserve"> </w:t>
            </w:r>
            <w:proofErr w:type="spellStart"/>
            <w:r w:rsidRPr="00163D2F">
              <w:rPr>
                <w:rFonts w:ascii="Times New Roman" w:hAnsi="Times New Roman"/>
                <w:sz w:val="20"/>
                <w:szCs w:val="20"/>
                <w:lang w:eastAsia="ru-RU"/>
              </w:rPr>
              <w:t>energia</w:t>
            </w:r>
            <w:proofErr w:type="spellEnd"/>
            <w:r w:rsidRPr="00163D2F">
              <w:rPr>
                <w:rFonts w:ascii="Times New Roman" w:hAnsi="Times New Roman"/>
                <w:sz w:val="20"/>
                <w:szCs w:val="20"/>
                <w:lang w:eastAsia="ru-RU"/>
              </w:rPr>
              <w:t xml:space="preserve"> și </w:t>
            </w:r>
            <w:proofErr w:type="spellStart"/>
            <w:r w:rsidRPr="00163D2F">
              <w:rPr>
                <w:rFonts w:ascii="Times New Roman" w:hAnsi="Times New Roman"/>
                <w:sz w:val="20"/>
                <w:szCs w:val="20"/>
                <w:lang w:eastAsia="ru-RU"/>
              </w:rPr>
              <w:t>clima</w:t>
            </w:r>
            <w:proofErr w:type="spellEnd"/>
            <w:r w:rsidRPr="00163D2F">
              <w:rPr>
                <w:rFonts w:ascii="Times New Roman" w:hAnsi="Times New Roman"/>
                <w:sz w:val="20"/>
                <w:szCs w:val="20"/>
                <w:lang w:eastAsia="ru-RU"/>
              </w:rPr>
              <w:t xml:space="preserve">. </w:t>
            </w:r>
            <w:r w:rsidRPr="00163D2F">
              <w:rPr>
                <w:rFonts w:ascii="Times New Roman" w:hAnsi="Times New Roman"/>
                <w:sz w:val="20"/>
                <w:szCs w:val="20"/>
                <w:lang w:val="fr-FR" w:eastAsia="ru-RU"/>
              </w:rPr>
              <w:t xml:space="preserve">Aceste </w:t>
            </w:r>
            <w:proofErr w:type="spellStart"/>
            <w:r w:rsidRPr="00163D2F">
              <w:rPr>
                <w:rFonts w:ascii="Times New Roman" w:hAnsi="Times New Roman"/>
                <w:sz w:val="20"/>
                <w:szCs w:val="20"/>
                <w:lang w:val="fr-FR" w:eastAsia="ru-RU"/>
              </w:rPr>
              <w:t>recomandări</w:t>
            </w:r>
            <w:proofErr w:type="spellEnd"/>
            <w:r w:rsidRPr="00163D2F">
              <w:rPr>
                <w:rFonts w:ascii="Times New Roman" w:hAnsi="Times New Roman"/>
                <w:sz w:val="20"/>
                <w:szCs w:val="20"/>
                <w:lang w:val="fr-FR" w:eastAsia="ru-RU"/>
              </w:rPr>
              <w:t xml:space="preserve"> pot </w:t>
            </w:r>
            <w:proofErr w:type="spellStart"/>
            <w:r w:rsidRPr="00163D2F">
              <w:rPr>
                <w:rFonts w:ascii="Times New Roman" w:hAnsi="Times New Roman"/>
                <w:sz w:val="20"/>
                <w:szCs w:val="20"/>
                <w:lang w:val="fr-FR" w:eastAsia="ru-RU"/>
              </w:rPr>
              <w:t>viza</w:t>
            </w:r>
            <w:proofErr w:type="spellEnd"/>
            <w:r w:rsidRPr="00163D2F">
              <w:rPr>
                <w:rFonts w:ascii="Times New Roman" w:hAnsi="Times New Roman"/>
                <w:sz w:val="20"/>
                <w:szCs w:val="20"/>
                <w:lang w:val="fr-FR" w:eastAsia="ru-RU"/>
              </w:rPr>
              <w:t xml:space="preserve"> în </w:t>
            </w:r>
            <w:proofErr w:type="spellStart"/>
            <w:proofErr w:type="gramStart"/>
            <w:r w:rsidRPr="00163D2F">
              <w:rPr>
                <w:rFonts w:ascii="Times New Roman" w:hAnsi="Times New Roman"/>
                <w:sz w:val="20"/>
                <w:szCs w:val="20"/>
                <w:lang w:val="fr-FR" w:eastAsia="ru-RU"/>
              </w:rPr>
              <w:t>special</w:t>
            </w:r>
            <w:proofErr w:type="spellEnd"/>
            <w:r w:rsidRPr="00163D2F">
              <w:rPr>
                <w:rFonts w:ascii="Times New Roman" w:hAnsi="Times New Roman"/>
                <w:sz w:val="20"/>
                <w:szCs w:val="20"/>
                <w:lang w:val="fr-FR" w:eastAsia="ru-RU"/>
              </w:rPr>
              <w:t>:</w:t>
            </w:r>
            <w:proofErr w:type="gramEnd"/>
          </w:p>
          <w:p w14:paraId="27FAF08D" w14:textId="77777777" w:rsidR="00503AF4" w:rsidRPr="00163D2F" w:rsidRDefault="00503AF4" w:rsidP="000C5A3B">
            <w:pPr>
              <w:pStyle w:val="af3"/>
              <w:numPr>
                <w:ilvl w:val="0"/>
                <w:numId w:val="102"/>
              </w:numPr>
              <w:spacing w:after="0" w:line="240" w:lineRule="auto"/>
              <w:jc w:val="both"/>
              <w:rPr>
                <w:rFonts w:ascii="Times New Roman" w:hAnsi="Times New Roman"/>
                <w:sz w:val="20"/>
                <w:szCs w:val="20"/>
                <w:lang w:val="fr-FR" w:eastAsia="ru-RU"/>
              </w:rPr>
            </w:pPr>
            <w:proofErr w:type="spellStart"/>
            <w:r w:rsidRPr="00163D2F">
              <w:rPr>
                <w:rFonts w:ascii="Times New Roman" w:hAnsi="Times New Roman"/>
                <w:sz w:val="20"/>
                <w:szCs w:val="20"/>
                <w:shd w:val="clear" w:color="auto" w:fill="FFFFFF"/>
                <w:lang w:val="fr-FR"/>
              </w:rPr>
              <w:t>nivelul</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ambiție</w:t>
            </w:r>
            <w:proofErr w:type="spellEnd"/>
            <w:r w:rsidRPr="00163D2F">
              <w:rPr>
                <w:rFonts w:ascii="Times New Roman" w:hAnsi="Times New Roman"/>
                <w:sz w:val="20"/>
                <w:szCs w:val="20"/>
                <w:shd w:val="clear" w:color="auto" w:fill="FFFFFF"/>
                <w:lang w:val="fr-FR"/>
              </w:rPr>
              <w:t xml:space="preserve"> al </w:t>
            </w:r>
            <w:proofErr w:type="spellStart"/>
            <w:r w:rsidRPr="00163D2F">
              <w:rPr>
                <w:rFonts w:ascii="Times New Roman" w:hAnsi="Times New Roman"/>
                <w:sz w:val="20"/>
                <w:szCs w:val="20"/>
                <w:shd w:val="clear" w:color="auto" w:fill="FFFFFF"/>
                <w:lang w:val="fr-FR"/>
              </w:rPr>
              <w:t>obiectivelor</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contribuțiilor</w:t>
            </w:r>
            <w:proofErr w:type="spellEnd"/>
            <w:r w:rsidRPr="00163D2F">
              <w:rPr>
                <w:rFonts w:ascii="Times New Roman" w:hAnsi="Times New Roman"/>
                <w:sz w:val="20"/>
                <w:szCs w:val="20"/>
                <w:shd w:val="clear" w:color="auto" w:fill="FFFFFF"/>
                <w:lang w:val="fr-FR"/>
              </w:rPr>
              <w:t xml:space="preserve"> în </w:t>
            </w:r>
            <w:proofErr w:type="spellStart"/>
            <w:r w:rsidRPr="00163D2F">
              <w:rPr>
                <w:rFonts w:ascii="Times New Roman" w:hAnsi="Times New Roman"/>
                <w:sz w:val="20"/>
                <w:szCs w:val="20"/>
                <w:shd w:val="clear" w:color="auto" w:fill="FFFFFF"/>
                <w:lang w:val="fr-FR"/>
              </w:rPr>
              <w:t>vederea</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realizării</w:t>
            </w:r>
            <w:proofErr w:type="spellEnd"/>
            <w:r w:rsidRPr="00163D2F">
              <w:rPr>
                <w:rFonts w:ascii="Times New Roman" w:hAnsi="Times New Roman"/>
                <w:sz w:val="20"/>
                <w:szCs w:val="20"/>
                <w:shd w:val="clear" w:color="auto" w:fill="FFFFFF"/>
                <w:lang w:val="fr-FR"/>
              </w:rPr>
              <w:t xml:space="preserve"> în mod </w:t>
            </w:r>
            <w:proofErr w:type="spellStart"/>
            <w:r w:rsidRPr="00163D2F">
              <w:rPr>
                <w:rFonts w:ascii="Times New Roman" w:hAnsi="Times New Roman"/>
                <w:sz w:val="20"/>
                <w:szCs w:val="20"/>
                <w:shd w:val="clear" w:color="auto" w:fill="FFFFFF"/>
                <w:lang w:val="fr-FR"/>
              </w:rPr>
              <w:t>colectiv</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obiectivelor</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uniunii</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energetice</w:t>
            </w:r>
            <w:proofErr w:type="spellEnd"/>
            <w:r w:rsidRPr="00163D2F">
              <w:rPr>
                <w:rFonts w:ascii="Times New Roman" w:hAnsi="Times New Roman"/>
                <w:sz w:val="20"/>
                <w:szCs w:val="20"/>
                <w:shd w:val="clear" w:color="auto" w:fill="FFFFFF"/>
                <w:lang w:val="fr-FR"/>
              </w:rPr>
              <w:t xml:space="preserve">, în </w:t>
            </w:r>
            <w:proofErr w:type="spellStart"/>
            <w:r w:rsidRPr="00163D2F">
              <w:rPr>
                <w:rFonts w:ascii="Times New Roman" w:hAnsi="Times New Roman"/>
                <w:sz w:val="20"/>
                <w:szCs w:val="20"/>
                <w:shd w:val="clear" w:color="auto" w:fill="FFFFFF"/>
                <w:lang w:val="fr-FR"/>
              </w:rPr>
              <w:t>special</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obiectivelor</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Uniunii</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pentru</w:t>
            </w:r>
            <w:proofErr w:type="spellEnd"/>
            <w:r w:rsidRPr="00163D2F">
              <w:rPr>
                <w:rFonts w:ascii="Times New Roman" w:hAnsi="Times New Roman"/>
                <w:sz w:val="20"/>
                <w:szCs w:val="20"/>
                <w:shd w:val="clear" w:color="auto" w:fill="FFFFFF"/>
                <w:lang w:val="fr-FR"/>
              </w:rPr>
              <w:t xml:space="preserve"> 2030 </w:t>
            </w:r>
            <w:proofErr w:type="spellStart"/>
            <w:r w:rsidRPr="00163D2F">
              <w:rPr>
                <w:rFonts w:ascii="Times New Roman" w:hAnsi="Times New Roman"/>
                <w:sz w:val="20"/>
                <w:szCs w:val="20"/>
                <w:shd w:val="clear" w:color="auto" w:fill="FFFFFF"/>
                <w:lang w:val="fr-FR"/>
              </w:rPr>
              <w:t>privind</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energia</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din</w:t>
            </w:r>
            <w:proofErr w:type="spellEnd"/>
            <w:r w:rsidRPr="00163D2F">
              <w:rPr>
                <w:rFonts w:ascii="Times New Roman" w:hAnsi="Times New Roman"/>
                <w:sz w:val="20"/>
                <w:szCs w:val="20"/>
                <w:shd w:val="clear" w:color="auto" w:fill="FFFFFF"/>
                <w:lang w:val="fr-FR"/>
              </w:rPr>
              <w:t xml:space="preserve"> surse </w:t>
            </w:r>
            <w:proofErr w:type="spellStart"/>
            <w:r w:rsidRPr="00163D2F">
              <w:rPr>
                <w:rFonts w:ascii="Times New Roman" w:hAnsi="Times New Roman"/>
                <w:sz w:val="20"/>
                <w:szCs w:val="20"/>
                <w:shd w:val="clear" w:color="auto" w:fill="FFFFFF"/>
                <w:lang w:val="fr-FR"/>
              </w:rPr>
              <w:t>regenerabile</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eficiența</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energetică</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precum</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nivelul</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interconectivitate</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rețelelor</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electrice</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spre</w:t>
            </w:r>
            <w:proofErr w:type="spellEnd"/>
            <w:r w:rsidRPr="00163D2F">
              <w:rPr>
                <w:rFonts w:ascii="Times New Roman" w:hAnsi="Times New Roman"/>
                <w:sz w:val="20"/>
                <w:szCs w:val="20"/>
                <w:shd w:val="clear" w:color="auto" w:fill="FFFFFF"/>
                <w:lang w:val="fr-FR"/>
              </w:rPr>
              <w:t xml:space="preserve"> care </w:t>
            </w:r>
            <w:proofErr w:type="spellStart"/>
            <w:r w:rsidRPr="00163D2F">
              <w:rPr>
                <w:rFonts w:ascii="Times New Roman" w:hAnsi="Times New Roman"/>
                <w:sz w:val="20"/>
                <w:szCs w:val="20"/>
                <w:shd w:val="clear" w:color="auto" w:fill="FFFFFF"/>
                <w:lang w:val="fr-FR"/>
              </w:rPr>
              <w:t>tinde</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statul</w:t>
            </w:r>
            <w:proofErr w:type="spellEnd"/>
            <w:r w:rsidRPr="00163D2F">
              <w:rPr>
                <w:rFonts w:ascii="Times New Roman" w:hAnsi="Times New Roman"/>
                <w:sz w:val="20"/>
                <w:szCs w:val="20"/>
                <w:shd w:val="clear" w:color="auto" w:fill="FFFFFF"/>
                <w:lang w:val="fr-FR"/>
              </w:rPr>
              <w:t xml:space="preserve"> membru </w:t>
            </w:r>
            <w:proofErr w:type="spellStart"/>
            <w:r w:rsidRPr="00163D2F">
              <w:rPr>
                <w:rFonts w:ascii="Times New Roman" w:hAnsi="Times New Roman"/>
                <w:sz w:val="20"/>
                <w:szCs w:val="20"/>
                <w:shd w:val="clear" w:color="auto" w:fill="FFFFFF"/>
                <w:lang w:val="fr-FR"/>
              </w:rPr>
              <w:t>pentru</w:t>
            </w:r>
            <w:proofErr w:type="spellEnd"/>
            <w:r w:rsidRPr="00163D2F">
              <w:rPr>
                <w:rFonts w:ascii="Times New Roman" w:hAnsi="Times New Roman"/>
                <w:sz w:val="20"/>
                <w:szCs w:val="20"/>
                <w:shd w:val="clear" w:color="auto" w:fill="FFFFFF"/>
                <w:lang w:val="fr-FR"/>
              </w:rPr>
              <w:t xml:space="preserve"> 2030 </w:t>
            </w:r>
            <w:proofErr w:type="spellStart"/>
            <w:r w:rsidRPr="00163D2F">
              <w:rPr>
                <w:rFonts w:ascii="Times New Roman" w:hAnsi="Times New Roman"/>
                <w:sz w:val="20"/>
                <w:szCs w:val="20"/>
                <w:shd w:val="clear" w:color="auto" w:fill="FFFFFF"/>
                <w:lang w:val="fr-FR"/>
              </w:rPr>
              <w:t>potrivit</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articolului</w:t>
            </w:r>
            <w:proofErr w:type="spellEnd"/>
            <w:r w:rsidRPr="00163D2F">
              <w:rPr>
                <w:rFonts w:ascii="Times New Roman" w:hAnsi="Times New Roman"/>
                <w:sz w:val="20"/>
                <w:szCs w:val="20"/>
                <w:shd w:val="clear" w:color="auto" w:fill="FFFFFF"/>
                <w:lang w:val="fr-FR"/>
              </w:rPr>
              <w:t xml:space="preserve"> 4 litera (d), </w:t>
            </w:r>
            <w:proofErr w:type="spellStart"/>
            <w:r w:rsidRPr="00163D2F">
              <w:rPr>
                <w:rFonts w:ascii="Times New Roman" w:hAnsi="Times New Roman"/>
                <w:sz w:val="20"/>
                <w:szCs w:val="20"/>
                <w:shd w:val="clear" w:color="auto" w:fill="FFFFFF"/>
                <w:lang w:val="fr-FR"/>
              </w:rPr>
              <w:t>ținând</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seama</w:t>
            </w:r>
            <w:proofErr w:type="spellEnd"/>
            <w:r w:rsidRPr="00163D2F">
              <w:rPr>
                <w:rFonts w:ascii="Times New Roman" w:hAnsi="Times New Roman"/>
                <w:sz w:val="20"/>
                <w:szCs w:val="20"/>
                <w:shd w:val="clear" w:color="auto" w:fill="FFFFFF"/>
                <w:lang w:val="fr-FR"/>
              </w:rPr>
              <w:t xml:space="preserve"> în mod </w:t>
            </w:r>
            <w:proofErr w:type="spellStart"/>
            <w:r w:rsidRPr="00163D2F">
              <w:rPr>
                <w:rFonts w:ascii="Times New Roman" w:hAnsi="Times New Roman"/>
                <w:sz w:val="20"/>
                <w:szCs w:val="20"/>
                <w:shd w:val="clear" w:color="auto" w:fill="FFFFFF"/>
                <w:lang w:val="fr-FR"/>
              </w:rPr>
              <w:t>corespunzător</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circumstanțele</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relevante</w:t>
            </w:r>
            <w:proofErr w:type="spellEnd"/>
            <w:r w:rsidRPr="00163D2F">
              <w:rPr>
                <w:rFonts w:ascii="Times New Roman" w:hAnsi="Times New Roman"/>
                <w:sz w:val="20"/>
                <w:szCs w:val="20"/>
                <w:shd w:val="clear" w:color="auto" w:fill="FFFFFF"/>
                <w:lang w:val="fr-FR"/>
              </w:rPr>
              <w:t xml:space="preserve"> care </w:t>
            </w:r>
            <w:proofErr w:type="spellStart"/>
            <w:r w:rsidRPr="00163D2F">
              <w:rPr>
                <w:rFonts w:ascii="Times New Roman" w:hAnsi="Times New Roman"/>
                <w:sz w:val="20"/>
                <w:szCs w:val="20"/>
                <w:shd w:val="clear" w:color="auto" w:fill="FFFFFF"/>
                <w:lang w:val="fr-FR"/>
              </w:rPr>
              <w:lastRenderedPageBreak/>
              <w:t>afectează</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utilizarea</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surselor</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regenerabile</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energie</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consumul</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energie</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astfel</w:t>
            </w:r>
            <w:proofErr w:type="spellEnd"/>
            <w:r w:rsidRPr="00163D2F">
              <w:rPr>
                <w:rFonts w:ascii="Times New Roman" w:hAnsi="Times New Roman"/>
                <w:sz w:val="20"/>
                <w:szCs w:val="20"/>
                <w:shd w:val="clear" w:color="auto" w:fill="FFFFFF"/>
                <w:lang w:val="fr-FR"/>
              </w:rPr>
              <w:t xml:space="preserve"> cum </w:t>
            </w:r>
            <w:proofErr w:type="spellStart"/>
            <w:r w:rsidRPr="00163D2F">
              <w:rPr>
                <w:rFonts w:ascii="Times New Roman" w:hAnsi="Times New Roman"/>
                <w:sz w:val="20"/>
                <w:szCs w:val="20"/>
                <w:shd w:val="clear" w:color="auto" w:fill="FFFFFF"/>
                <w:lang w:val="fr-FR"/>
              </w:rPr>
              <w:t>sunt</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indicate</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statul</w:t>
            </w:r>
            <w:proofErr w:type="spellEnd"/>
            <w:r w:rsidRPr="00163D2F">
              <w:rPr>
                <w:rFonts w:ascii="Times New Roman" w:hAnsi="Times New Roman"/>
                <w:sz w:val="20"/>
                <w:szCs w:val="20"/>
                <w:shd w:val="clear" w:color="auto" w:fill="FFFFFF"/>
                <w:lang w:val="fr-FR"/>
              </w:rPr>
              <w:t xml:space="preserve"> membru în </w:t>
            </w:r>
            <w:proofErr w:type="spellStart"/>
            <w:r w:rsidRPr="00163D2F">
              <w:rPr>
                <w:rFonts w:ascii="Times New Roman" w:hAnsi="Times New Roman"/>
                <w:sz w:val="20"/>
                <w:szCs w:val="20"/>
                <w:shd w:val="clear" w:color="auto" w:fill="FFFFFF"/>
                <w:lang w:val="fr-FR"/>
              </w:rPr>
              <w:t>cauză</w:t>
            </w:r>
            <w:proofErr w:type="spellEnd"/>
            <w:r w:rsidRPr="00163D2F">
              <w:rPr>
                <w:rFonts w:ascii="Times New Roman" w:hAnsi="Times New Roman"/>
                <w:sz w:val="20"/>
                <w:szCs w:val="20"/>
                <w:shd w:val="clear" w:color="auto" w:fill="FFFFFF"/>
                <w:lang w:val="fr-FR"/>
              </w:rPr>
              <w:t xml:space="preserve"> în </w:t>
            </w:r>
            <w:proofErr w:type="spellStart"/>
            <w:r w:rsidRPr="00163D2F">
              <w:rPr>
                <w:rFonts w:ascii="Times New Roman" w:hAnsi="Times New Roman"/>
                <w:sz w:val="20"/>
                <w:szCs w:val="20"/>
                <w:shd w:val="clear" w:color="auto" w:fill="FFFFFF"/>
                <w:lang w:val="fr-FR"/>
              </w:rPr>
              <w:t>proiectul</w:t>
            </w:r>
            <w:proofErr w:type="spellEnd"/>
            <w:r w:rsidRPr="00163D2F">
              <w:rPr>
                <w:rFonts w:ascii="Times New Roman" w:hAnsi="Times New Roman"/>
                <w:sz w:val="20"/>
                <w:szCs w:val="20"/>
                <w:shd w:val="clear" w:color="auto" w:fill="FFFFFF"/>
                <w:lang w:val="fr-FR"/>
              </w:rPr>
              <w:t xml:space="preserve"> de plan </w:t>
            </w:r>
            <w:proofErr w:type="spellStart"/>
            <w:r w:rsidRPr="00163D2F">
              <w:rPr>
                <w:rFonts w:ascii="Times New Roman" w:hAnsi="Times New Roman"/>
                <w:sz w:val="20"/>
                <w:szCs w:val="20"/>
                <w:shd w:val="clear" w:color="auto" w:fill="FFFFFF"/>
                <w:lang w:val="fr-FR"/>
              </w:rPr>
              <w:t>național</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integrat</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privind</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energia</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clima</w:t>
            </w:r>
            <w:proofErr w:type="spellEnd"/>
            <w:r w:rsidRPr="00163D2F">
              <w:rPr>
                <w:rFonts w:ascii="Times New Roman" w:hAnsi="Times New Roman"/>
                <w:sz w:val="20"/>
                <w:szCs w:val="20"/>
                <w:shd w:val="clear" w:color="auto" w:fill="FFFFFF"/>
                <w:lang w:val="fr-FR"/>
              </w:rPr>
              <w:t xml:space="preserve"> și de </w:t>
            </w:r>
            <w:proofErr w:type="spellStart"/>
            <w:r w:rsidRPr="00163D2F">
              <w:rPr>
                <w:rFonts w:ascii="Times New Roman" w:hAnsi="Times New Roman"/>
                <w:sz w:val="20"/>
                <w:szCs w:val="20"/>
                <w:shd w:val="clear" w:color="auto" w:fill="FFFFFF"/>
                <w:lang w:val="fr-FR"/>
              </w:rPr>
              <w:t>indicatorii</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gradului</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urgență</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măsurilor</w:t>
            </w:r>
            <w:proofErr w:type="spellEnd"/>
            <w:r w:rsidRPr="00163D2F">
              <w:rPr>
                <w:rFonts w:ascii="Times New Roman" w:hAnsi="Times New Roman"/>
                <w:sz w:val="20"/>
                <w:szCs w:val="20"/>
                <w:shd w:val="clear" w:color="auto" w:fill="FFFFFF"/>
                <w:lang w:val="fr-FR"/>
              </w:rPr>
              <w:t xml:space="preserve"> de </w:t>
            </w:r>
            <w:proofErr w:type="spellStart"/>
            <w:r w:rsidRPr="00163D2F">
              <w:rPr>
                <w:rFonts w:ascii="Times New Roman" w:hAnsi="Times New Roman"/>
                <w:sz w:val="20"/>
                <w:szCs w:val="20"/>
                <w:shd w:val="clear" w:color="auto" w:fill="FFFFFF"/>
                <w:lang w:val="fr-FR"/>
              </w:rPr>
              <w:t>asigurare</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interconectivității</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prevăzuți</w:t>
            </w:r>
            <w:proofErr w:type="spellEnd"/>
            <w:r w:rsidRPr="00163D2F">
              <w:rPr>
                <w:rFonts w:ascii="Times New Roman" w:hAnsi="Times New Roman"/>
                <w:sz w:val="20"/>
                <w:szCs w:val="20"/>
                <w:shd w:val="clear" w:color="auto" w:fill="FFFFFF"/>
                <w:lang w:val="fr-FR"/>
              </w:rPr>
              <w:t xml:space="preserve"> în </w:t>
            </w:r>
            <w:proofErr w:type="spellStart"/>
            <w:r w:rsidRPr="00163D2F">
              <w:rPr>
                <w:rFonts w:ascii="Times New Roman" w:hAnsi="Times New Roman"/>
                <w:sz w:val="20"/>
                <w:szCs w:val="20"/>
                <w:shd w:val="clear" w:color="auto" w:fill="FFFFFF"/>
                <w:lang w:val="fr-FR"/>
              </w:rPr>
              <w:t>partea</w:t>
            </w:r>
            <w:proofErr w:type="spellEnd"/>
            <w:r w:rsidRPr="00163D2F">
              <w:rPr>
                <w:rFonts w:ascii="Times New Roman" w:hAnsi="Times New Roman"/>
                <w:sz w:val="20"/>
                <w:szCs w:val="20"/>
                <w:shd w:val="clear" w:color="auto" w:fill="FFFFFF"/>
                <w:lang w:val="fr-FR"/>
              </w:rPr>
              <w:t xml:space="preserve"> 1 </w:t>
            </w:r>
            <w:proofErr w:type="spellStart"/>
            <w:r w:rsidRPr="00163D2F">
              <w:rPr>
                <w:rFonts w:ascii="Times New Roman" w:hAnsi="Times New Roman"/>
                <w:sz w:val="20"/>
                <w:szCs w:val="20"/>
                <w:shd w:val="clear" w:color="auto" w:fill="FFFFFF"/>
                <w:lang w:val="fr-FR"/>
              </w:rPr>
              <w:t>secțiunea</w:t>
            </w:r>
            <w:proofErr w:type="spellEnd"/>
            <w:r w:rsidRPr="00163D2F">
              <w:rPr>
                <w:rFonts w:ascii="Times New Roman" w:hAnsi="Times New Roman"/>
                <w:sz w:val="20"/>
                <w:szCs w:val="20"/>
                <w:shd w:val="clear" w:color="auto" w:fill="FFFFFF"/>
                <w:lang w:val="fr-FR"/>
              </w:rPr>
              <w:t xml:space="preserve"> A </w:t>
            </w:r>
            <w:proofErr w:type="spellStart"/>
            <w:r w:rsidRPr="00163D2F">
              <w:rPr>
                <w:rFonts w:ascii="Times New Roman" w:hAnsi="Times New Roman"/>
                <w:sz w:val="20"/>
                <w:szCs w:val="20"/>
                <w:shd w:val="clear" w:color="auto" w:fill="FFFFFF"/>
                <w:lang w:val="fr-FR"/>
              </w:rPr>
              <w:t>punctul</w:t>
            </w:r>
            <w:proofErr w:type="spellEnd"/>
            <w:r w:rsidRPr="00163D2F">
              <w:rPr>
                <w:rFonts w:ascii="Times New Roman" w:hAnsi="Times New Roman"/>
                <w:sz w:val="20"/>
                <w:szCs w:val="20"/>
                <w:shd w:val="clear" w:color="auto" w:fill="FFFFFF"/>
                <w:lang w:val="fr-FR"/>
              </w:rPr>
              <w:t xml:space="preserve"> 2.4.1 </w:t>
            </w:r>
            <w:proofErr w:type="spellStart"/>
            <w:r w:rsidRPr="00163D2F">
              <w:rPr>
                <w:rFonts w:ascii="Times New Roman" w:hAnsi="Times New Roman"/>
                <w:sz w:val="20"/>
                <w:szCs w:val="20"/>
                <w:shd w:val="clear" w:color="auto" w:fill="FFFFFF"/>
                <w:lang w:val="fr-FR"/>
              </w:rPr>
              <w:t>din</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anexa</w:t>
            </w:r>
            <w:proofErr w:type="spellEnd"/>
            <w:r w:rsidRPr="00163D2F">
              <w:rPr>
                <w:rFonts w:ascii="Times New Roman" w:hAnsi="Times New Roman"/>
                <w:sz w:val="20"/>
                <w:szCs w:val="20"/>
                <w:shd w:val="clear" w:color="auto" w:fill="FFFFFF"/>
                <w:lang w:val="fr-FR"/>
              </w:rPr>
              <w:t xml:space="preserve"> I;</w:t>
            </w:r>
          </w:p>
          <w:p w14:paraId="4F1979B8" w14:textId="77777777" w:rsidR="00503AF4" w:rsidRPr="00163D2F" w:rsidRDefault="00503AF4" w:rsidP="000C5A3B">
            <w:pPr>
              <w:pStyle w:val="af3"/>
              <w:numPr>
                <w:ilvl w:val="0"/>
                <w:numId w:val="102"/>
              </w:numPr>
              <w:spacing w:after="0" w:line="240" w:lineRule="auto"/>
              <w:jc w:val="both"/>
              <w:rPr>
                <w:rFonts w:ascii="Times New Roman" w:hAnsi="Times New Roman"/>
                <w:sz w:val="20"/>
                <w:szCs w:val="20"/>
                <w:lang w:val="fr-FR" w:eastAsia="ru-RU"/>
              </w:rPr>
            </w:pPr>
            <w:proofErr w:type="spellStart"/>
            <w:proofErr w:type="gramStart"/>
            <w:r w:rsidRPr="00163D2F">
              <w:rPr>
                <w:rFonts w:ascii="Times New Roman" w:hAnsi="Times New Roman"/>
                <w:sz w:val="20"/>
                <w:szCs w:val="20"/>
                <w:lang w:val="fr-FR" w:eastAsia="ru-RU"/>
              </w:rPr>
              <w:t>politicile</w:t>
            </w:r>
            <w:proofErr w:type="spellEnd"/>
            <w:proofErr w:type="gram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măsurile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legate</w:t>
            </w:r>
            <w:proofErr w:type="spellEnd"/>
            <w:r w:rsidRPr="00163D2F">
              <w:rPr>
                <w:rFonts w:ascii="Times New Roman" w:hAnsi="Times New Roman"/>
                <w:sz w:val="20"/>
                <w:szCs w:val="20"/>
                <w:lang w:val="fr-FR" w:eastAsia="ru-RU"/>
              </w:rPr>
              <w:t xml:space="preserve"> de </w:t>
            </w:r>
            <w:proofErr w:type="spellStart"/>
            <w:r w:rsidRPr="00163D2F">
              <w:rPr>
                <w:rFonts w:ascii="Times New Roman" w:hAnsi="Times New Roman"/>
                <w:sz w:val="20"/>
                <w:szCs w:val="20"/>
                <w:lang w:val="fr-FR" w:eastAsia="ru-RU"/>
              </w:rPr>
              <w:t>obiectivele</w:t>
            </w:r>
            <w:proofErr w:type="spellEnd"/>
            <w:r w:rsidRPr="00163D2F">
              <w:rPr>
                <w:rFonts w:ascii="Times New Roman" w:hAnsi="Times New Roman"/>
                <w:sz w:val="20"/>
                <w:szCs w:val="20"/>
                <w:lang w:val="fr-FR" w:eastAsia="ru-RU"/>
              </w:rPr>
              <w:t xml:space="preserve"> la </w:t>
            </w:r>
            <w:proofErr w:type="spellStart"/>
            <w:r w:rsidRPr="00163D2F">
              <w:rPr>
                <w:rFonts w:ascii="Times New Roman" w:hAnsi="Times New Roman"/>
                <w:sz w:val="20"/>
                <w:szCs w:val="20"/>
                <w:lang w:val="fr-FR" w:eastAsia="ru-RU"/>
              </w:rPr>
              <w:t>nivelul</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statelor</w:t>
            </w:r>
            <w:proofErr w:type="spellEnd"/>
            <w:r w:rsidRPr="00163D2F">
              <w:rPr>
                <w:rFonts w:ascii="Times New Roman" w:hAnsi="Times New Roman"/>
                <w:sz w:val="20"/>
                <w:szCs w:val="20"/>
                <w:lang w:val="fr-FR" w:eastAsia="ru-RU"/>
              </w:rPr>
              <w:t xml:space="preserve"> membre și al </w:t>
            </w:r>
            <w:proofErr w:type="spellStart"/>
            <w:r w:rsidRPr="00163D2F">
              <w:rPr>
                <w:rFonts w:ascii="Times New Roman" w:hAnsi="Times New Roman"/>
                <w:sz w:val="20"/>
                <w:szCs w:val="20"/>
                <w:lang w:val="fr-FR" w:eastAsia="ru-RU"/>
              </w:rPr>
              <w:t>Uniunii</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precum</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alte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politici</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măsuri</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cu</w:t>
            </w:r>
            <w:proofErr w:type="spellEnd"/>
            <w:r w:rsidRPr="00163D2F">
              <w:rPr>
                <w:rFonts w:ascii="Times New Roman" w:hAnsi="Times New Roman"/>
                <w:sz w:val="20"/>
                <w:szCs w:val="20"/>
                <w:lang w:val="fr-FR" w:eastAsia="ru-RU"/>
              </w:rPr>
              <w:t xml:space="preserve"> o </w:t>
            </w:r>
            <w:proofErr w:type="spellStart"/>
            <w:r w:rsidRPr="00163D2F">
              <w:rPr>
                <w:rFonts w:ascii="Times New Roman" w:hAnsi="Times New Roman"/>
                <w:sz w:val="20"/>
                <w:szCs w:val="20"/>
                <w:lang w:val="fr-FR" w:eastAsia="ru-RU"/>
              </w:rPr>
              <w:t>potențială</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relevanță</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transfrontalieră</w:t>
            </w:r>
            <w:proofErr w:type="spellEnd"/>
            <w:r w:rsidRPr="00163D2F">
              <w:rPr>
                <w:rFonts w:ascii="Times New Roman" w:hAnsi="Times New Roman"/>
                <w:sz w:val="20"/>
                <w:szCs w:val="20"/>
                <w:lang w:val="fr-FR" w:eastAsia="ru-RU"/>
              </w:rPr>
              <w:t>;</w:t>
            </w:r>
          </w:p>
          <w:p w14:paraId="5F7A107F" w14:textId="552D8A24" w:rsidR="00503AF4" w:rsidRPr="00163D2F" w:rsidRDefault="00503AF4" w:rsidP="000C5A3B">
            <w:pPr>
              <w:pStyle w:val="af3"/>
              <w:numPr>
                <w:ilvl w:val="0"/>
                <w:numId w:val="102"/>
              </w:numPr>
              <w:spacing w:after="0" w:line="240" w:lineRule="auto"/>
              <w:jc w:val="both"/>
              <w:rPr>
                <w:rFonts w:ascii="Times New Roman" w:hAnsi="Times New Roman"/>
                <w:sz w:val="20"/>
                <w:szCs w:val="20"/>
                <w:lang w:val="fr-FR" w:eastAsia="ru-RU"/>
              </w:rPr>
            </w:pPr>
            <w:proofErr w:type="spellStart"/>
            <w:r w:rsidRPr="00163D2F">
              <w:rPr>
                <w:rFonts w:ascii="Times New Roman" w:hAnsi="Times New Roman"/>
                <w:sz w:val="20"/>
                <w:szCs w:val="20"/>
                <w:lang w:val="en-US" w:eastAsia="ru-RU"/>
              </w:rPr>
              <w:t>orice</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politică</w:t>
            </w:r>
            <w:proofErr w:type="spellEnd"/>
            <w:r w:rsidRPr="00163D2F">
              <w:rPr>
                <w:rFonts w:ascii="Times New Roman" w:hAnsi="Times New Roman"/>
                <w:sz w:val="20"/>
                <w:szCs w:val="20"/>
                <w:lang w:val="en-US" w:eastAsia="ru-RU"/>
              </w:rPr>
              <w:t xml:space="preserve"> și </w:t>
            </w:r>
            <w:proofErr w:type="spellStart"/>
            <w:r w:rsidRPr="00163D2F">
              <w:rPr>
                <w:rFonts w:ascii="Times New Roman" w:hAnsi="Times New Roman"/>
                <w:sz w:val="20"/>
                <w:szCs w:val="20"/>
                <w:lang w:val="en-US" w:eastAsia="ru-RU"/>
              </w:rPr>
              <w:t>măsură</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suplimentară</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ce</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ar</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putea</w:t>
            </w:r>
            <w:proofErr w:type="spellEnd"/>
            <w:r w:rsidRPr="00163D2F">
              <w:rPr>
                <w:rFonts w:ascii="Times New Roman" w:hAnsi="Times New Roman"/>
                <w:sz w:val="20"/>
                <w:szCs w:val="20"/>
                <w:lang w:val="en-US" w:eastAsia="ru-RU"/>
              </w:rPr>
              <w:t xml:space="preserve"> fi </w:t>
            </w:r>
            <w:proofErr w:type="spellStart"/>
            <w:r w:rsidRPr="00163D2F">
              <w:rPr>
                <w:rFonts w:ascii="Times New Roman" w:hAnsi="Times New Roman"/>
                <w:sz w:val="20"/>
                <w:szCs w:val="20"/>
                <w:lang w:val="en-US" w:eastAsia="ru-RU"/>
              </w:rPr>
              <w:t>necesară</w:t>
            </w:r>
            <w:proofErr w:type="spellEnd"/>
            <w:r w:rsidRPr="00163D2F">
              <w:rPr>
                <w:rFonts w:ascii="Times New Roman" w:hAnsi="Times New Roman"/>
                <w:sz w:val="20"/>
                <w:szCs w:val="20"/>
                <w:lang w:val="en-US" w:eastAsia="ru-RU"/>
              </w:rPr>
              <w:t xml:space="preserve"> în </w:t>
            </w:r>
            <w:proofErr w:type="spellStart"/>
            <w:r w:rsidRPr="00163D2F">
              <w:rPr>
                <w:rFonts w:ascii="Times New Roman" w:hAnsi="Times New Roman"/>
                <w:sz w:val="20"/>
                <w:szCs w:val="20"/>
                <w:lang w:val="en-US" w:eastAsia="ru-RU"/>
              </w:rPr>
              <w:t>cadrul</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planurilor</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naționale</w:t>
            </w:r>
            <w:proofErr w:type="spellEnd"/>
            <w:r w:rsidRPr="00163D2F">
              <w:rPr>
                <w:rFonts w:ascii="Times New Roman" w:hAnsi="Times New Roman"/>
                <w:sz w:val="20"/>
                <w:szCs w:val="20"/>
                <w:lang w:val="en-US" w:eastAsia="ru-RU"/>
              </w:rPr>
              <w:t xml:space="preserve"> integrate </w:t>
            </w:r>
            <w:proofErr w:type="spellStart"/>
            <w:r w:rsidRPr="00163D2F">
              <w:rPr>
                <w:rFonts w:ascii="Times New Roman" w:hAnsi="Times New Roman"/>
                <w:sz w:val="20"/>
                <w:szCs w:val="20"/>
                <w:lang w:val="en-US" w:eastAsia="ru-RU"/>
              </w:rPr>
              <w:t>privind</w:t>
            </w:r>
            <w:proofErr w:type="spellEnd"/>
            <w:r w:rsidRPr="00163D2F">
              <w:rPr>
                <w:rFonts w:ascii="Times New Roman" w:hAnsi="Times New Roman"/>
                <w:sz w:val="20"/>
                <w:szCs w:val="20"/>
                <w:lang w:val="en-US" w:eastAsia="ru-RU"/>
              </w:rPr>
              <w:t xml:space="preserve"> </w:t>
            </w:r>
            <w:proofErr w:type="spellStart"/>
            <w:r w:rsidRPr="00163D2F">
              <w:rPr>
                <w:rFonts w:ascii="Times New Roman" w:hAnsi="Times New Roman"/>
                <w:sz w:val="20"/>
                <w:szCs w:val="20"/>
                <w:lang w:val="en-US" w:eastAsia="ru-RU"/>
              </w:rPr>
              <w:t>energia</w:t>
            </w:r>
            <w:proofErr w:type="spellEnd"/>
            <w:r w:rsidRPr="00163D2F">
              <w:rPr>
                <w:rFonts w:ascii="Times New Roman" w:hAnsi="Times New Roman"/>
                <w:sz w:val="20"/>
                <w:szCs w:val="20"/>
                <w:lang w:val="en-US" w:eastAsia="ru-RU"/>
              </w:rPr>
              <w:t xml:space="preserve"> și </w:t>
            </w:r>
            <w:proofErr w:type="spellStart"/>
            <w:r w:rsidRPr="00163D2F">
              <w:rPr>
                <w:rFonts w:ascii="Times New Roman" w:hAnsi="Times New Roman"/>
                <w:sz w:val="20"/>
                <w:szCs w:val="20"/>
                <w:lang w:val="en-US" w:eastAsia="ru-RU"/>
              </w:rPr>
              <w:t>clima</w:t>
            </w:r>
            <w:proofErr w:type="spellEnd"/>
            <w:r w:rsidRPr="00163D2F">
              <w:rPr>
                <w:rFonts w:ascii="Times New Roman" w:hAnsi="Times New Roman"/>
                <w:sz w:val="20"/>
                <w:szCs w:val="20"/>
                <w:lang w:val="en-US" w:eastAsia="ru-RU"/>
              </w:rPr>
              <w:t>;</w:t>
            </w:r>
          </w:p>
          <w:p w14:paraId="58D1C049" w14:textId="77777777" w:rsidR="00503AF4" w:rsidRDefault="00503AF4" w:rsidP="000C5A3B">
            <w:pPr>
              <w:pStyle w:val="af3"/>
              <w:numPr>
                <w:ilvl w:val="0"/>
                <w:numId w:val="102"/>
              </w:numPr>
              <w:spacing w:after="0" w:line="240" w:lineRule="auto"/>
              <w:jc w:val="both"/>
              <w:rPr>
                <w:rFonts w:ascii="Times New Roman" w:hAnsi="Times New Roman"/>
                <w:sz w:val="20"/>
                <w:szCs w:val="20"/>
                <w:lang w:val="fr-FR" w:eastAsia="ru-RU"/>
              </w:rPr>
            </w:pPr>
            <w:proofErr w:type="spellStart"/>
            <w:proofErr w:type="gramStart"/>
            <w:r w:rsidRPr="00163D2F">
              <w:rPr>
                <w:rFonts w:ascii="Times New Roman" w:hAnsi="Times New Roman"/>
                <w:sz w:val="20"/>
                <w:szCs w:val="20"/>
                <w:lang w:val="fr-FR" w:eastAsia="ru-RU"/>
              </w:rPr>
              <w:t>consecvența</w:t>
            </w:r>
            <w:proofErr w:type="spellEnd"/>
            <w:proofErr w:type="gram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interacțiunile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dintre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politicile</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măsurile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existente</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cele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planificate</w:t>
            </w:r>
            <w:proofErr w:type="spellEnd"/>
            <w:r w:rsidRPr="00163D2F">
              <w:rPr>
                <w:rFonts w:ascii="Times New Roman" w:hAnsi="Times New Roman"/>
                <w:sz w:val="20"/>
                <w:szCs w:val="20"/>
                <w:lang w:val="fr-FR" w:eastAsia="ru-RU"/>
              </w:rPr>
              <w:t xml:space="preserve"> incluse în </w:t>
            </w:r>
            <w:proofErr w:type="spellStart"/>
            <w:r w:rsidRPr="00163D2F">
              <w:rPr>
                <w:rFonts w:ascii="Times New Roman" w:hAnsi="Times New Roman"/>
                <w:sz w:val="20"/>
                <w:szCs w:val="20"/>
                <w:lang w:val="fr-FR" w:eastAsia="ru-RU"/>
              </w:rPr>
              <w:t>planul</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național</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integrat</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privind</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energia</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clima</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din</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cadrul</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unei</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singure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dimensiuni</w:t>
            </w:r>
            <w:proofErr w:type="spellEnd"/>
            <w:r w:rsidRPr="00163D2F">
              <w:rPr>
                <w:rFonts w:ascii="Times New Roman" w:hAnsi="Times New Roman"/>
                <w:sz w:val="20"/>
                <w:szCs w:val="20"/>
                <w:lang w:val="fr-FR" w:eastAsia="ru-RU"/>
              </w:rPr>
              <w:t xml:space="preserve"> și </w:t>
            </w:r>
            <w:proofErr w:type="spellStart"/>
            <w:r w:rsidRPr="00163D2F">
              <w:rPr>
                <w:rFonts w:ascii="Times New Roman" w:hAnsi="Times New Roman"/>
                <w:sz w:val="20"/>
                <w:szCs w:val="20"/>
                <w:lang w:val="fr-FR" w:eastAsia="ru-RU"/>
              </w:rPr>
              <w:t>între</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dimensiuni</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diferite</w:t>
            </w:r>
            <w:proofErr w:type="spellEnd"/>
            <w:r w:rsidRPr="00163D2F">
              <w:rPr>
                <w:rFonts w:ascii="Times New Roman" w:hAnsi="Times New Roman"/>
                <w:sz w:val="20"/>
                <w:szCs w:val="20"/>
                <w:lang w:val="fr-FR" w:eastAsia="ru-RU"/>
              </w:rPr>
              <w:t xml:space="preserve"> ale </w:t>
            </w:r>
            <w:proofErr w:type="spellStart"/>
            <w:r w:rsidRPr="00163D2F">
              <w:rPr>
                <w:rFonts w:ascii="Times New Roman" w:hAnsi="Times New Roman"/>
                <w:sz w:val="20"/>
                <w:szCs w:val="20"/>
                <w:lang w:val="fr-FR" w:eastAsia="ru-RU"/>
              </w:rPr>
              <w:t>uniunii</w:t>
            </w:r>
            <w:proofErr w:type="spellEnd"/>
            <w:r w:rsidRPr="00163D2F">
              <w:rPr>
                <w:rFonts w:ascii="Times New Roman" w:hAnsi="Times New Roman"/>
                <w:sz w:val="20"/>
                <w:szCs w:val="20"/>
                <w:lang w:val="fr-FR" w:eastAsia="ru-RU"/>
              </w:rPr>
              <w:t xml:space="preserve"> </w:t>
            </w:r>
            <w:proofErr w:type="spellStart"/>
            <w:r w:rsidRPr="00163D2F">
              <w:rPr>
                <w:rFonts w:ascii="Times New Roman" w:hAnsi="Times New Roman"/>
                <w:sz w:val="20"/>
                <w:szCs w:val="20"/>
                <w:lang w:val="fr-FR" w:eastAsia="ru-RU"/>
              </w:rPr>
              <w:t>energetice</w:t>
            </w:r>
            <w:proofErr w:type="spellEnd"/>
            <w:r w:rsidRPr="00163D2F">
              <w:rPr>
                <w:rFonts w:ascii="Times New Roman" w:hAnsi="Times New Roman"/>
                <w:sz w:val="20"/>
                <w:szCs w:val="20"/>
                <w:lang w:val="fr-FR" w:eastAsia="ru-RU"/>
              </w:rPr>
              <w:t>.</w:t>
            </w:r>
          </w:p>
          <w:p w14:paraId="211885D9" w14:textId="46E1447A" w:rsidR="00CD4349" w:rsidRPr="00CD4349" w:rsidRDefault="00000000" w:rsidP="00CD4349">
            <w:pPr>
              <w:spacing w:after="0" w:line="240" w:lineRule="auto"/>
              <w:jc w:val="both"/>
              <w:rPr>
                <w:rFonts w:ascii="Times New Roman" w:hAnsi="Times New Roman"/>
                <w:sz w:val="20"/>
                <w:szCs w:val="20"/>
                <w:lang w:val="fr-FR" w:eastAsia="ru-RU"/>
              </w:rPr>
            </w:pPr>
            <w:hyperlink r:id="rId21" w:tooltip="32023R0839: INSERTED" w:history="1">
              <w:r w:rsidR="00CD4349" w:rsidRPr="00CD4349">
                <w:rPr>
                  <w:rStyle w:val="af6"/>
                  <w:rFonts w:ascii="Times New Roman" w:eastAsia="Arial Unicode MS" w:hAnsi="Times New Roman"/>
                  <w:b/>
                  <w:bCs/>
                  <w:color w:val="23527C"/>
                  <w:sz w:val="20"/>
                  <w:szCs w:val="20"/>
                  <w:shd w:val="clear" w:color="auto" w:fill="FFFFFF"/>
                </w:rPr>
                <w:t>▼M3</w:t>
              </w:r>
            </w:hyperlink>
          </w:p>
          <w:p w14:paraId="036FEE6B" w14:textId="224F78C6" w:rsidR="00CD4349" w:rsidRPr="00CD4349" w:rsidRDefault="00CD4349" w:rsidP="000C5A3B">
            <w:pPr>
              <w:pStyle w:val="af3"/>
              <w:numPr>
                <w:ilvl w:val="0"/>
                <w:numId w:val="102"/>
              </w:numPr>
              <w:spacing w:after="0" w:line="240" w:lineRule="auto"/>
              <w:jc w:val="both"/>
              <w:rPr>
                <w:rFonts w:ascii="Times New Roman" w:hAnsi="Times New Roman"/>
                <w:sz w:val="20"/>
                <w:szCs w:val="20"/>
                <w:lang w:val="fr-FR" w:eastAsia="ru-RU"/>
              </w:rPr>
            </w:pPr>
            <w:proofErr w:type="spellStart"/>
            <w:r w:rsidRPr="00CD4349">
              <w:rPr>
                <w:rFonts w:ascii="Times New Roman" w:eastAsia="Arial Unicode MS" w:hAnsi="Times New Roman"/>
                <w:sz w:val="20"/>
                <w:szCs w:val="20"/>
                <w:shd w:val="clear" w:color="auto" w:fill="FFFFFF"/>
                <w:lang w:val="fr-FR"/>
              </w:rPr>
              <w:t>coerența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măsurilor</w:t>
            </w:r>
            <w:proofErr w:type="spellEnd"/>
            <w:r w:rsidRPr="00CD4349">
              <w:rPr>
                <w:rFonts w:ascii="Times New Roman" w:eastAsia="Arial Unicode MS" w:hAnsi="Times New Roman"/>
                <w:sz w:val="20"/>
                <w:szCs w:val="20"/>
                <w:shd w:val="clear" w:color="auto" w:fill="FFFFFF"/>
                <w:lang w:val="fr-FR"/>
              </w:rPr>
              <w:t xml:space="preserve"> de </w:t>
            </w:r>
            <w:proofErr w:type="spellStart"/>
            <w:r w:rsidRPr="00CD4349">
              <w:rPr>
                <w:rFonts w:ascii="Times New Roman" w:eastAsia="Arial Unicode MS" w:hAnsi="Times New Roman"/>
                <w:sz w:val="20"/>
                <w:szCs w:val="20"/>
                <w:shd w:val="clear" w:color="auto" w:fill="FFFFFF"/>
                <w:lang w:val="fr-FR"/>
              </w:rPr>
              <w:t>finanțare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relevante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inclusiv</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partea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corespunzătoare</w:t>
            </w:r>
            <w:proofErr w:type="spellEnd"/>
            <w:r w:rsidRPr="00CD4349">
              <w:rPr>
                <w:rFonts w:ascii="Times New Roman" w:eastAsia="Arial Unicode MS" w:hAnsi="Times New Roman"/>
                <w:sz w:val="20"/>
                <w:szCs w:val="20"/>
                <w:shd w:val="clear" w:color="auto" w:fill="FFFFFF"/>
                <w:lang w:val="fr-FR"/>
              </w:rPr>
              <w:t xml:space="preserve"> a </w:t>
            </w:r>
            <w:proofErr w:type="spellStart"/>
            <w:r w:rsidRPr="00CD4349">
              <w:rPr>
                <w:rFonts w:ascii="Times New Roman" w:eastAsia="Arial Unicode MS" w:hAnsi="Times New Roman"/>
                <w:sz w:val="20"/>
                <w:szCs w:val="20"/>
                <w:shd w:val="clear" w:color="auto" w:fill="FFFFFF"/>
                <w:lang w:val="fr-FR"/>
              </w:rPr>
              <w:t>veniturilor</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generate</w:t>
            </w:r>
            <w:proofErr w:type="spellEnd"/>
            <w:r w:rsidRPr="00CD4349">
              <w:rPr>
                <w:rFonts w:ascii="Times New Roman" w:eastAsia="Arial Unicode MS" w:hAnsi="Times New Roman"/>
                <w:sz w:val="20"/>
                <w:szCs w:val="20"/>
                <w:shd w:val="clear" w:color="auto" w:fill="FFFFFF"/>
                <w:lang w:val="fr-FR"/>
              </w:rPr>
              <w:t xml:space="preserve"> în </w:t>
            </w:r>
            <w:proofErr w:type="spellStart"/>
            <w:r w:rsidRPr="00CD4349">
              <w:rPr>
                <w:rFonts w:ascii="Times New Roman" w:eastAsia="Arial Unicode MS" w:hAnsi="Times New Roman"/>
                <w:sz w:val="20"/>
                <w:szCs w:val="20"/>
                <w:shd w:val="clear" w:color="auto" w:fill="FFFFFF"/>
                <w:lang w:val="fr-FR"/>
              </w:rPr>
              <w:t>urma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licitării</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certificatelor</w:t>
            </w:r>
            <w:proofErr w:type="spellEnd"/>
            <w:r w:rsidRPr="00CD4349">
              <w:rPr>
                <w:rFonts w:ascii="Times New Roman" w:eastAsia="Arial Unicode MS" w:hAnsi="Times New Roman"/>
                <w:sz w:val="20"/>
                <w:szCs w:val="20"/>
                <w:shd w:val="clear" w:color="auto" w:fill="FFFFFF"/>
                <w:lang w:val="fr-FR"/>
              </w:rPr>
              <w:t xml:space="preserve"> EU</w:t>
            </w:r>
            <w:r>
              <w:rPr>
                <w:rFonts w:ascii="Times New Roman" w:eastAsia="Arial Unicode MS" w:hAnsi="Times New Roman"/>
                <w:sz w:val="20"/>
                <w:szCs w:val="20"/>
                <w:shd w:val="clear" w:color="auto" w:fill="FFFFFF"/>
                <w:lang w:val="fr-FR"/>
              </w:rPr>
              <w:t xml:space="preserve"> </w:t>
            </w:r>
            <w:r w:rsidRPr="00CD4349">
              <w:rPr>
                <w:rFonts w:ascii="Times New Roman" w:eastAsia="Arial Unicode MS" w:hAnsi="Times New Roman"/>
                <w:sz w:val="20"/>
                <w:szCs w:val="20"/>
                <w:shd w:val="clear" w:color="auto" w:fill="FFFFFF"/>
                <w:lang w:val="fr-FR"/>
              </w:rPr>
              <w:t xml:space="preserve">ETS în </w:t>
            </w:r>
            <w:proofErr w:type="spellStart"/>
            <w:r w:rsidRPr="00CD4349">
              <w:rPr>
                <w:rFonts w:ascii="Times New Roman" w:eastAsia="Arial Unicode MS" w:hAnsi="Times New Roman"/>
                <w:sz w:val="20"/>
                <w:szCs w:val="20"/>
                <w:shd w:val="clear" w:color="auto" w:fill="FFFFFF"/>
                <w:lang w:val="fr-FR"/>
              </w:rPr>
              <w:t>temeiul</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Directivei</w:t>
            </w:r>
            <w:proofErr w:type="spellEnd"/>
            <w:r>
              <w:rPr>
                <w:rFonts w:ascii="Times New Roman" w:eastAsia="Arial Unicode MS" w:hAnsi="Times New Roman"/>
                <w:sz w:val="20"/>
                <w:szCs w:val="20"/>
                <w:shd w:val="clear" w:color="auto" w:fill="FFFFFF"/>
                <w:lang w:val="fr-FR"/>
              </w:rPr>
              <w:t xml:space="preserve"> </w:t>
            </w:r>
            <w:r w:rsidRPr="00CD4349">
              <w:rPr>
                <w:rFonts w:ascii="Times New Roman" w:eastAsia="Arial Unicode MS" w:hAnsi="Times New Roman"/>
                <w:sz w:val="20"/>
                <w:szCs w:val="20"/>
                <w:shd w:val="clear" w:color="auto" w:fill="FFFFFF"/>
                <w:lang w:val="fr-FR"/>
              </w:rPr>
              <w:t xml:space="preserve">2003/87/CE care </w:t>
            </w:r>
            <w:proofErr w:type="spellStart"/>
            <w:r w:rsidRPr="00CD4349">
              <w:rPr>
                <w:rFonts w:ascii="Times New Roman" w:eastAsia="Arial Unicode MS" w:hAnsi="Times New Roman"/>
                <w:sz w:val="20"/>
                <w:szCs w:val="20"/>
                <w:shd w:val="clear" w:color="auto" w:fill="FFFFFF"/>
                <w:lang w:val="fr-FR"/>
              </w:rPr>
              <w:t>sunt</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utilizate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pentru</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exploatarea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terenurilor</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schimbarea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destinației</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terenurilor</w:t>
            </w:r>
            <w:proofErr w:type="spellEnd"/>
            <w:r w:rsidRPr="00CD4349">
              <w:rPr>
                <w:rFonts w:ascii="Times New Roman" w:eastAsia="Arial Unicode MS" w:hAnsi="Times New Roman"/>
                <w:sz w:val="20"/>
                <w:szCs w:val="20"/>
                <w:shd w:val="clear" w:color="auto" w:fill="FFFFFF"/>
                <w:lang w:val="fr-FR"/>
              </w:rPr>
              <w:t xml:space="preserve"> și </w:t>
            </w:r>
            <w:proofErr w:type="spellStart"/>
            <w:r w:rsidRPr="00CD4349">
              <w:rPr>
                <w:rFonts w:ascii="Times New Roman" w:eastAsia="Arial Unicode MS" w:hAnsi="Times New Roman"/>
                <w:sz w:val="20"/>
                <w:szCs w:val="20"/>
                <w:shd w:val="clear" w:color="auto" w:fill="FFFFFF"/>
                <w:lang w:val="fr-FR"/>
              </w:rPr>
              <w:t>silvicultură</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sprijinul</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din</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partea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Uniunii</w:t>
            </w:r>
            <w:proofErr w:type="spellEnd"/>
            <w:r w:rsidRPr="00CD4349">
              <w:rPr>
                <w:rFonts w:ascii="Times New Roman" w:eastAsia="Arial Unicode MS" w:hAnsi="Times New Roman"/>
                <w:sz w:val="20"/>
                <w:szCs w:val="20"/>
                <w:shd w:val="clear" w:color="auto" w:fill="FFFFFF"/>
                <w:lang w:val="fr-FR"/>
              </w:rPr>
              <w:t xml:space="preserve"> și </w:t>
            </w:r>
            <w:proofErr w:type="spellStart"/>
            <w:r w:rsidRPr="00CD4349">
              <w:rPr>
                <w:rFonts w:ascii="Times New Roman" w:eastAsia="Arial Unicode MS" w:hAnsi="Times New Roman"/>
                <w:sz w:val="20"/>
                <w:szCs w:val="20"/>
                <w:shd w:val="clear" w:color="auto" w:fill="FFFFFF"/>
                <w:lang w:val="fr-FR"/>
              </w:rPr>
              <w:t>utilizarea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fondurilor</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Uniunii</w:t>
            </w:r>
            <w:proofErr w:type="spellEnd"/>
            <w:r w:rsidRPr="00CD4349">
              <w:rPr>
                <w:rFonts w:ascii="Times New Roman" w:eastAsia="Arial Unicode MS" w:hAnsi="Times New Roman"/>
                <w:sz w:val="20"/>
                <w:szCs w:val="20"/>
                <w:shd w:val="clear" w:color="auto" w:fill="FFFFFF"/>
                <w:lang w:val="fr-FR"/>
              </w:rPr>
              <w:t xml:space="preserve">, cum </w:t>
            </w:r>
            <w:proofErr w:type="spellStart"/>
            <w:r w:rsidRPr="00CD4349">
              <w:rPr>
                <w:rFonts w:ascii="Times New Roman" w:eastAsia="Arial Unicode MS" w:hAnsi="Times New Roman"/>
                <w:sz w:val="20"/>
                <w:szCs w:val="20"/>
                <w:shd w:val="clear" w:color="auto" w:fill="FFFFFF"/>
                <w:lang w:val="fr-FR"/>
              </w:rPr>
              <w:t>ar</w:t>
            </w:r>
            <w:proofErr w:type="spellEnd"/>
            <w:r w:rsidRPr="00CD4349">
              <w:rPr>
                <w:rFonts w:ascii="Times New Roman" w:eastAsia="Arial Unicode MS" w:hAnsi="Times New Roman"/>
                <w:sz w:val="20"/>
                <w:szCs w:val="20"/>
                <w:shd w:val="clear" w:color="auto" w:fill="FFFFFF"/>
                <w:lang w:val="fr-FR"/>
              </w:rPr>
              <w:t xml:space="preserve"> fi </w:t>
            </w:r>
            <w:proofErr w:type="spellStart"/>
            <w:r w:rsidRPr="00CD4349">
              <w:rPr>
                <w:rFonts w:ascii="Times New Roman" w:eastAsia="Arial Unicode MS" w:hAnsi="Times New Roman"/>
                <w:sz w:val="20"/>
                <w:szCs w:val="20"/>
                <w:shd w:val="clear" w:color="auto" w:fill="FFFFFF"/>
                <w:lang w:val="fr-FR"/>
              </w:rPr>
              <w:t>instrumentele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politicii</w:t>
            </w:r>
            <w:proofErr w:type="spellEnd"/>
            <w:r w:rsidRPr="00CD4349">
              <w:rPr>
                <w:rFonts w:ascii="Times New Roman" w:eastAsia="Arial Unicode MS" w:hAnsi="Times New Roman"/>
                <w:sz w:val="20"/>
                <w:szCs w:val="20"/>
                <w:shd w:val="clear" w:color="auto" w:fill="FFFFFF"/>
                <w:lang w:val="fr-FR"/>
              </w:rPr>
              <w:t xml:space="preserve"> agricole </w:t>
            </w:r>
            <w:proofErr w:type="spellStart"/>
            <w:r w:rsidRPr="00CD4349">
              <w:rPr>
                <w:rFonts w:ascii="Times New Roman" w:eastAsia="Arial Unicode MS" w:hAnsi="Times New Roman"/>
                <w:sz w:val="20"/>
                <w:szCs w:val="20"/>
                <w:shd w:val="clear" w:color="auto" w:fill="FFFFFF"/>
                <w:lang w:val="fr-FR"/>
              </w:rPr>
              <w:t>comune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politicile</w:t>
            </w:r>
            <w:proofErr w:type="spellEnd"/>
            <w:r w:rsidRPr="00CD4349">
              <w:rPr>
                <w:rFonts w:ascii="Times New Roman" w:eastAsia="Arial Unicode MS" w:hAnsi="Times New Roman"/>
                <w:sz w:val="20"/>
                <w:szCs w:val="20"/>
                <w:shd w:val="clear" w:color="auto" w:fill="FFFFFF"/>
                <w:lang w:val="fr-FR"/>
              </w:rPr>
              <w:t xml:space="preserve"> și </w:t>
            </w:r>
            <w:proofErr w:type="spellStart"/>
            <w:r w:rsidRPr="00CD4349">
              <w:rPr>
                <w:rFonts w:ascii="Times New Roman" w:eastAsia="Arial Unicode MS" w:hAnsi="Times New Roman"/>
                <w:sz w:val="20"/>
                <w:szCs w:val="20"/>
                <w:shd w:val="clear" w:color="auto" w:fill="FFFFFF"/>
                <w:lang w:val="fr-FR"/>
              </w:rPr>
              <w:t>măsurile</w:t>
            </w:r>
            <w:proofErr w:type="spellEnd"/>
            <w:r w:rsidRPr="00CD4349">
              <w:rPr>
                <w:rFonts w:ascii="Times New Roman" w:eastAsia="Arial Unicode MS" w:hAnsi="Times New Roman"/>
                <w:sz w:val="20"/>
                <w:szCs w:val="20"/>
                <w:shd w:val="clear" w:color="auto" w:fill="FFFFFF"/>
                <w:lang w:val="fr-FR"/>
              </w:rPr>
              <w:t xml:space="preserve">, în </w:t>
            </w:r>
            <w:proofErr w:type="spellStart"/>
            <w:r w:rsidRPr="00CD4349">
              <w:rPr>
                <w:rFonts w:ascii="Times New Roman" w:eastAsia="Arial Unicode MS" w:hAnsi="Times New Roman"/>
                <w:sz w:val="20"/>
                <w:szCs w:val="20"/>
                <w:shd w:val="clear" w:color="auto" w:fill="FFFFFF"/>
                <w:lang w:val="fr-FR"/>
              </w:rPr>
              <w:t>ceea</w:t>
            </w:r>
            <w:proofErr w:type="spellEnd"/>
            <w:r w:rsidRPr="00CD4349">
              <w:rPr>
                <w:rFonts w:ascii="Times New Roman" w:eastAsia="Arial Unicode MS" w:hAnsi="Times New Roman"/>
                <w:sz w:val="20"/>
                <w:szCs w:val="20"/>
                <w:shd w:val="clear" w:color="auto" w:fill="FFFFFF"/>
                <w:lang w:val="fr-FR"/>
              </w:rPr>
              <w:t xml:space="preserve"> ce </w:t>
            </w:r>
            <w:proofErr w:type="spellStart"/>
            <w:r w:rsidRPr="00CD4349">
              <w:rPr>
                <w:rFonts w:ascii="Times New Roman" w:eastAsia="Arial Unicode MS" w:hAnsi="Times New Roman"/>
                <w:sz w:val="20"/>
                <w:szCs w:val="20"/>
                <w:shd w:val="clear" w:color="auto" w:fill="FFFFFF"/>
                <w:lang w:val="fr-FR"/>
              </w:rPr>
              <w:t>privește</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îndeplinirea</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angajamentelor</w:t>
            </w:r>
            <w:proofErr w:type="spellEnd"/>
            <w:r w:rsidRPr="00CD4349">
              <w:rPr>
                <w:rFonts w:ascii="Times New Roman" w:eastAsia="Arial Unicode MS" w:hAnsi="Times New Roman"/>
                <w:sz w:val="20"/>
                <w:szCs w:val="20"/>
                <w:shd w:val="clear" w:color="auto" w:fill="FFFFFF"/>
                <w:lang w:val="fr-FR"/>
              </w:rPr>
              <w:t xml:space="preserve">, a </w:t>
            </w:r>
            <w:proofErr w:type="spellStart"/>
            <w:r w:rsidRPr="00CD4349">
              <w:rPr>
                <w:rFonts w:ascii="Times New Roman" w:eastAsia="Arial Unicode MS" w:hAnsi="Times New Roman"/>
                <w:sz w:val="20"/>
                <w:szCs w:val="20"/>
                <w:shd w:val="clear" w:color="auto" w:fill="FFFFFF"/>
                <w:lang w:val="fr-FR"/>
              </w:rPr>
              <w:t>obiectivelor</w:t>
            </w:r>
            <w:proofErr w:type="spellEnd"/>
            <w:r w:rsidRPr="00CD4349">
              <w:rPr>
                <w:rFonts w:ascii="Times New Roman" w:eastAsia="Arial Unicode MS" w:hAnsi="Times New Roman"/>
                <w:sz w:val="20"/>
                <w:szCs w:val="20"/>
                <w:shd w:val="clear" w:color="auto" w:fill="FFFFFF"/>
                <w:lang w:val="fr-FR"/>
              </w:rPr>
              <w:t xml:space="preserve"> și a </w:t>
            </w:r>
            <w:proofErr w:type="spellStart"/>
            <w:r w:rsidRPr="00CD4349">
              <w:rPr>
                <w:rFonts w:ascii="Times New Roman" w:eastAsia="Arial Unicode MS" w:hAnsi="Times New Roman"/>
                <w:sz w:val="20"/>
                <w:szCs w:val="20"/>
                <w:shd w:val="clear" w:color="auto" w:fill="FFFFFF"/>
                <w:lang w:val="fr-FR"/>
              </w:rPr>
              <w:t>bugetelor</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statelor</w:t>
            </w:r>
            <w:proofErr w:type="spellEnd"/>
            <w:r w:rsidRPr="00CD4349">
              <w:rPr>
                <w:rFonts w:ascii="Times New Roman" w:eastAsia="Arial Unicode MS" w:hAnsi="Times New Roman"/>
                <w:sz w:val="20"/>
                <w:szCs w:val="20"/>
                <w:shd w:val="clear" w:color="auto" w:fill="FFFFFF"/>
                <w:lang w:val="fr-FR"/>
              </w:rPr>
              <w:t xml:space="preserve"> membre </w:t>
            </w:r>
            <w:proofErr w:type="spellStart"/>
            <w:r w:rsidRPr="00CD4349">
              <w:rPr>
                <w:rFonts w:ascii="Times New Roman" w:eastAsia="Arial Unicode MS" w:hAnsi="Times New Roman"/>
                <w:sz w:val="20"/>
                <w:szCs w:val="20"/>
                <w:shd w:val="clear" w:color="auto" w:fill="FFFFFF"/>
                <w:lang w:val="fr-FR"/>
              </w:rPr>
              <w:t>stabilite</w:t>
            </w:r>
            <w:proofErr w:type="spellEnd"/>
            <w:r w:rsidRPr="00CD4349">
              <w:rPr>
                <w:rFonts w:ascii="Times New Roman" w:eastAsia="Arial Unicode MS" w:hAnsi="Times New Roman"/>
                <w:sz w:val="20"/>
                <w:szCs w:val="20"/>
                <w:shd w:val="clear" w:color="auto" w:fill="FFFFFF"/>
                <w:lang w:val="fr-FR"/>
              </w:rPr>
              <w:t xml:space="preserve"> în conformitate </w:t>
            </w:r>
            <w:proofErr w:type="spellStart"/>
            <w:r w:rsidRPr="00CD4349">
              <w:rPr>
                <w:rFonts w:ascii="Times New Roman" w:eastAsia="Arial Unicode MS" w:hAnsi="Times New Roman"/>
                <w:sz w:val="20"/>
                <w:szCs w:val="20"/>
                <w:shd w:val="clear" w:color="auto" w:fill="FFFFFF"/>
                <w:lang w:val="fr-FR"/>
              </w:rPr>
              <w:t>cu</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articolul</w:t>
            </w:r>
            <w:proofErr w:type="spellEnd"/>
            <w:r>
              <w:rPr>
                <w:rFonts w:ascii="Times New Roman" w:eastAsia="Arial Unicode MS" w:hAnsi="Times New Roman"/>
                <w:sz w:val="20"/>
                <w:szCs w:val="20"/>
                <w:shd w:val="clear" w:color="auto" w:fill="FFFFFF"/>
                <w:lang w:val="fr-FR"/>
              </w:rPr>
              <w:t xml:space="preserve"> </w:t>
            </w:r>
            <w:r w:rsidRPr="00CD4349">
              <w:rPr>
                <w:rFonts w:ascii="Times New Roman" w:eastAsia="Arial Unicode MS" w:hAnsi="Times New Roman"/>
                <w:sz w:val="20"/>
                <w:szCs w:val="20"/>
                <w:shd w:val="clear" w:color="auto" w:fill="FFFFFF"/>
                <w:lang w:val="fr-FR"/>
              </w:rPr>
              <w:t xml:space="preserve">4 </w:t>
            </w:r>
            <w:proofErr w:type="spellStart"/>
            <w:r w:rsidRPr="00CD4349">
              <w:rPr>
                <w:rFonts w:ascii="Times New Roman" w:eastAsia="Arial Unicode MS" w:hAnsi="Times New Roman"/>
                <w:sz w:val="20"/>
                <w:szCs w:val="20"/>
                <w:shd w:val="clear" w:color="auto" w:fill="FFFFFF"/>
                <w:lang w:val="fr-FR"/>
              </w:rPr>
              <w:t>din</w:t>
            </w:r>
            <w:proofErr w:type="spellEnd"/>
            <w:r w:rsidRPr="00CD4349">
              <w:rPr>
                <w:rFonts w:ascii="Times New Roman" w:eastAsia="Arial Unicode MS" w:hAnsi="Times New Roman"/>
                <w:sz w:val="20"/>
                <w:szCs w:val="20"/>
                <w:shd w:val="clear" w:color="auto" w:fill="FFFFFF"/>
                <w:lang w:val="fr-FR"/>
              </w:rPr>
              <w:t xml:space="preserve"> </w:t>
            </w:r>
            <w:proofErr w:type="spellStart"/>
            <w:r w:rsidRPr="00CD4349">
              <w:rPr>
                <w:rFonts w:ascii="Times New Roman" w:eastAsia="Arial Unicode MS" w:hAnsi="Times New Roman"/>
                <w:sz w:val="20"/>
                <w:szCs w:val="20"/>
                <w:shd w:val="clear" w:color="auto" w:fill="FFFFFF"/>
                <w:lang w:val="fr-FR"/>
              </w:rPr>
              <w:t>Regulamentul</w:t>
            </w:r>
            <w:proofErr w:type="spellEnd"/>
            <w:r w:rsidRPr="00CD4349">
              <w:rPr>
                <w:rFonts w:ascii="Times New Roman" w:eastAsia="Arial Unicode MS" w:hAnsi="Times New Roman"/>
                <w:sz w:val="20"/>
                <w:szCs w:val="20"/>
                <w:shd w:val="clear" w:color="auto" w:fill="FFFFFF"/>
                <w:lang w:val="fr-FR"/>
              </w:rPr>
              <w:t xml:space="preserve"> (UE)</w:t>
            </w:r>
            <w:r>
              <w:rPr>
                <w:rFonts w:ascii="Times New Roman" w:eastAsia="Arial Unicode MS" w:hAnsi="Times New Roman"/>
                <w:sz w:val="20"/>
                <w:szCs w:val="20"/>
                <w:shd w:val="clear" w:color="auto" w:fill="FFFFFF"/>
                <w:lang w:val="fr-FR"/>
              </w:rPr>
              <w:t xml:space="preserve"> </w:t>
            </w:r>
            <w:r w:rsidRPr="00CD4349">
              <w:rPr>
                <w:rFonts w:ascii="Times New Roman" w:eastAsia="Arial Unicode MS" w:hAnsi="Times New Roman"/>
                <w:sz w:val="20"/>
                <w:szCs w:val="20"/>
                <w:shd w:val="clear" w:color="auto" w:fill="FFFFFF"/>
                <w:lang w:val="fr-FR"/>
              </w:rPr>
              <w:t>2018/841.</w:t>
            </w:r>
          </w:p>
          <w:p w14:paraId="3334EA3B" w14:textId="03594630" w:rsidR="00CD4349" w:rsidRPr="001A1E50" w:rsidRDefault="00000000" w:rsidP="00CD4349">
            <w:pPr>
              <w:spacing w:after="0" w:line="240" w:lineRule="auto"/>
              <w:jc w:val="both"/>
              <w:rPr>
                <w:rFonts w:ascii="Times New Roman" w:hAnsi="Times New Roman"/>
                <w:sz w:val="20"/>
                <w:szCs w:val="20"/>
                <w:lang w:val="en-US" w:eastAsia="ru-RU"/>
              </w:rPr>
            </w:pPr>
            <w:hyperlink r:id="rId22" w:tooltip="32018R1999" w:history="1">
              <w:r w:rsidR="00CD4349" w:rsidRPr="00CD4349">
                <w:rPr>
                  <w:rStyle w:val="af6"/>
                  <w:rFonts w:ascii="Times New Roman" w:eastAsia="Arial Unicode MS" w:hAnsi="Times New Roman"/>
                  <w:b/>
                  <w:bCs/>
                  <w:color w:val="23527C"/>
                  <w:sz w:val="20"/>
                  <w:szCs w:val="20"/>
                  <w:shd w:val="clear" w:color="auto" w:fill="FFFFFF"/>
                </w:rPr>
                <w:t>▼B</w:t>
              </w:r>
            </w:hyperlink>
          </w:p>
          <w:p w14:paraId="23902BE3" w14:textId="5D26500C" w:rsidR="007B4ED6" w:rsidRPr="00163D2F" w:rsidRDefault="007B4ED6" w:rsidP="007B4ED6">
            <w:pPr>
              <w:spacing w:after="0" w:line="240" w:lineRule="auto"/>
              <w:jc w:val="both"/>
              <w:rPr>
                <w:rFonts w:ascii="Times New Roman" w:hAnsi="Times New Roman"/>
                <w:sz w:val="20"/>
                <w:szCs w:val="20"/>
                <w:shd w:val="clear" w:color="auto" w:fill="FFFFFF"/>
              </w:rPr>
            </w:pPr>
            <w:r w:rsidRPr="00163D2F">
              <w:rPr>
                <w:rFonts w:ascii="Times New Roman" w:hAnsi="Times New Roman"/>
                <w:sz w:val="20"/>
                <w:szCs w:val="20"/>
                <w:shd w:val="clear" w:color="auto" w:fill="FFFFFF"/>
              </w:rPr>
              <w:t xml:space="preserve">(3) </w:t>
            </w:r>
            <w:proofErr w:type="spellStart"/>
            <w:r w:rsidRPr="00163D2F">
              <w:rPr>
                <w:rFonts w:ascii="Times New Roman" w:hAnsi="Times New Roman"/>
                <w:sz w:val="20"/>
                <w:szCs w:val="20"/>
                <w:shd w:val="clear" w:color="auto" w:fill="FFFFFF"/>
              </w:rPr>
              <w:t>Fiecare</w:t>
            </w:r>
            <w:proofErr w:type="spellEnd"/>
            <w:r w:rsidRPr="00163D2F">
              <w:rPr>
                <w:rFonts w:ascii="Times New Roman" w:hAnsi="Times New Roman"/>
                <w:sz w:val="20"/>
                <w:szCs w:val="20"/>
                <w:shd w:val="clear" w:color="auto" w:fill="FFFFFF"/>
              </w:rPr>
              <w:t xml:space="preserve"> stat </w:t>
            </w:r>
            <w:proofErr w:type="spellStart"/>
            <w:r w:rsidRPr="00163D2F">
              <w:rPr>
                <w:rFonts w:ascii="Times New Roman" w:hAnsi="Times New Roman"/>
                <w:sz w:val="20"/>
                <w:szCs w:val="20"/>
                <w:shd w:val="clear" w:color="auto" w:fill="FFFFFF"/>
              </w:rPr>
              <w:t>membru</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acordă</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atenția</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corespunzătoare</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tuturor</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recomandărilor</w:t>
            </w:r>
            <w:proofErr w:type="spellEnd"/>
            <w:r w:rsidRPr="00163D2F">
              <w:rPr>
                <w:rFonts w:ascii="Times New Roman" w:hAnsi="Times New Roman"/>
                <w:sz w:val="20"/>
                <w:szCs w:val="20"/>
                <w:shd w:val="clear" w:color="auto" w:fill="FFFFFF"/>
              </w:rPr>
              <w:t xml:space="preserve"> din </w:t>
            </w:r>
            <w:proofErr w:type="spellStart"/>
            <w:r w:rsidRPr="00163D2F">
              <w:rPr>
                <w:rFonts w:ascii="Times New Roman" w:hAnsi="Times New Roman"/>
                <w:sz w:val="20"/>
                <w:szCs w:val="20"/>
                <w:shd w:val="clear" w:color="auto" w:fill="FFFFFF"/>
              </w:rPr>
              <w:t>partea</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Comisiei</w:t>
            </w:r>
            <w:proofErr w:type="spellEnd"/>
            <w:r w:rsidRPr="00163D2F">
              <w:rPr>
                <w:rFonts w:ascii="Times New Roman" w:hAnsi="Times New Roman"/>
                <w:sz w:val="20"/>
                <w:szCs w:val="20"/>
                <w:shd w:val="clear" w:color="auto" w:fill="FFFFFF"/>
              </w:rPr>
              <w:t xml:space="preserve"> în </w:t>
            </w:r>
            <w:proofErr w:type="spellStart"/>
            <w:r w:rsidRPr="00163D2F">
              <w:rPr>
                <w:rFonts w:ascii="Times New Roman" w:hAnsi="Times New Roman"/>
                <w:sz w:val="20"/>
                <w:szCs w:val="20"/>
                <w:shd w:val="clear" w:color="auto" w:fill="FFFFFF"/>
              </w:rPr>
              <w:t>planul</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său</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național</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integrat</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privind</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energia</w:t>
            </w:r>
            <w:proofErr w:type="spellEnd"/>
            <w:r w:rsidRPr="00163D2F">
              <w:rPr>
                <w:rFonts w:ascii="Times New Roman" w:hAnsi="Times New Roman"/>
                <w:sz w:val="20"/>
                <w:szCs w:val="20"/>
                <w:shd w:val="clear" w:color="auto" w:fill="FFFFFF"/>
              </w:rPr>
              <w:t xml:space="preserve"> și </w:t>
            </w:r>
            <w:proofErr w:type="spellStart"/>
            <w:r w:rsidRPr="00163D2F">
              <w:rPr>
                <w:rFonts w:ascii="Times New Roman" w:hAnsi="Times New Roman"/>
                <w:sz w:val="20"/>
                <w:szCs w:val="20"/>
                <w:shd w:val="clear" w:color="auto" w:fill="FFFFFF"/>
              </w:rPr>
              <w:t>clima</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Dacă</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statul</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membru</w:t>
            </w:r>
            <w:proofErr w:type="spellEnd"/>
            <w:r w:rsidRPr="00163D2F">
              <w:rPr>
                <w:rFonts w:ascii="Times New Roman" w:hAnsi="Times New Roman"/>
                <w:sz w:val="20"/>
                <w:szCs w:val="20"/>
                <w:shd w:val="clear" w:color="auto" w:fill="FFFFFF"/>
              </w:rPr>
              <w:t xml:space="preserve"> în </w:t>
            </w:r>
            <w:proofErr w:type="spellStart"/>
            <w:r w:rsidRPr="00163D2F">
              <w:rPr>
                <w:rFonts w:ascii="Times New Roman" w:hAnsi="Times New Roman"/>
                <w:sz w:val="20"/>
                <w:szCs w:val="20"/>
                <w:shd w:val="clear" w:color="auto" w:fill="FFFFFF"/>
              </w:rPr>
              <w:t>cauză</w:t>
            </w:r>
            <w:proofErr w:type="spellEnd"/>
            <w:r w:rsidRPr="00163D2F">
              <w:rPr>
                <w:rFonts w:ascii="Times New Roman" w:hAnsi="Times New Roman"/>
                <w:sz w:val="20"/>
                <w:szCs w:val="20"/>
                <w:shd w:val="clear" w:color="auto" w:fill="FFFFFF"/>
              </w:rPr>
              <w:t xml:space="preserve"> nu </w:t>
            </w:r>
            <w:proofErr w:type="spellStart"/>
            <w:r w:rsidRPr="00163D2F">
              <w:rPr>
                <w:rFonts w:ascii="Times New Roman" w:hAnsi="Times New Roman"/>
                <w:sz w:val="20"/>
                <w:szCs w:val="20"/>
                <w:shd w:val="clear" w:color="auto" w:fill="FFFFFF"/>
              </w:rPr>
              <w:t>dă</w:t>
            </w:r>
            <w:proofErr w:type="spellEnd"/>
            <w:r w:rsidRPr="00163D2F">
              <w:rPr>
                <w:rFonts w:ascii="Times New Roman" w:hAnsi="Times New Roman"/>
                <w:sz w:val="20"/>
                <w:szCs w:val="20"/>
                <w:shd w:val="clear" w:color="auto" w:fill="FFFFFF"/>
              </w:rPr>
              <w:t xml:space="preserve"> curs </w:t>
            </w:r>
            <w:proofErr w:type="spellStart"/>
            <w:r w:rsidRPr="00163D2F">
              <w:rPr>
                <w:rFonts w:ascii="Times New Roman" w:hAnsi="Times New Roman"/>
                <w:sz w:val="20"/>
                <w:szCs w:val="20"/>
                <w:shd w:val="clear" w:color="auto" w:fill="FFFFFF"/>
              </w:rPr>
              <w:t>unei</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recomandări</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sau</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unei</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părți</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considerabile</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dintr</w:t>
            </w:r>
            <w:proofErr w:type="spellEnd"/>
            <w:r w:rsidRPr="00163D2F">
              <w:rPr>
                <w:rFonts w:ascii="Times New Roman" w:hAnsi="Times New Roman"/>
                <w:sz w:val="20"/>
                <w:szCs w:val="20"/>
                <w:shd w:val="clear" w:color="auto" w:fill="FFFFFF"/>
              </w:rPr>
              <w:t xml:space="preserve">-o </w:t>
            </w:r>
            <w:proofErr w:type="spellStart"/>
            <w:r w:rsidRPr="00163D2F">
              <w:rPr>
                <w:rFonts w:ascii="Times New Roman" w:hAnsi="Times New Roman"/>
                <w:sz w:val="20"/>
                <w:szCs w:val="20"/>
                <w:shd w:val="clear" w:color="auto" w:fill="FFFFFF"/>
              </w:rPr>
              <w:t>recomandare</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acesta</w:t>
            </w:r>
            <w:proofErr w:type="spellEnd"/>
            <w:r w:rsidRPr="00163D2F">
              <w:rPr>
                <w:rFonts w:ascii="Times New Roman" w:hAnsi="Times New Roman"/>
                <w:sz w:val="20"/>
                <w:szCs w:val="20"/>
                <w:shd w:val="clear" w:color="auto" w:fill="FFFFFF"/>
              </w:rPr>
              <w:t xml:space="preserve"> </w:t>
            </w:r>
            <w:proofErr w:type="spellStart"/>
            <w:r w:rsidRPr="00163D2F">
              <w:rPr>
                <w:rFonts w:ascii="Times New Roman" w:hAnsi="Times New Roman"/>
                <w:sz w:val="20"/>
                <w:szCs w:val="20"/>
                <w:shd w:val="clear" w:color="auto" w:fill="FFFFFF"/>
              </w:rPr>
              <w:t>prezintă</w:t>
            </w:r>
            <w:proofErr w:type="spellEnd"/>
            <w:r w:rsidRPr="00163D2F">
              <w:rPr>
                <w:rFonts w:ascii="Times New Roman" w:hAnsi="Times New Roman"/>
                <w:sz w:val="20"/>
                <w:szCs w:val="20"/>
                <w:shd w:val="clear" w:color="auto" w:fill="FFFFFF"/>
              </w:rPr>
              <w:t xml:space="preserve"> o </w:t>
            </w:r>
            <w:proofErr w:type="spellStart"/>
            <w:r w:rsidRPr="00163D2F">
              <w:rPr>
                <w:rFonts w:ascii="Times New Roman" w:hAnsi="Times New Roman"/>
                <w:sz w:val="20"/>
                <w:szCs w:val="20"/>
                <w:shd w:val="clear" w:color="auto" w:fill="FFFFFF"/>
              </w:rPr>
              <w:t>justificare</w:t>
            </w:r>
            <w:proofErr w:type="spellEnd"/>
            <w:r w:rsidRPr="00163D2F">
              <w:rPr>
                <w:rFonts w:ascii="Times New Roman" w:hAnsi="Times New Roman"/>
                <w:sz w:val="20"/>
                <w:szCs w:val="20"/>
                <w:shd w:val="clear" w:color="auto" w:fill="FFFFFF"/>
              </w:rPr>
              <w:t xml:space="preserve">, pe care o face </w:t>
            </w:r>
            <w:proofErr w:type="spellStart"/>
            <w:r w:rsidRPr="00163D2F">
              <w:rPr>
                <w:rFonts w:ascii="Times New Roman" w:hAnsi="Times New Roman"/>
                <w:sz w:val="20"/>
                <w:szCs w:val="20"/>
                <w:shd w:val="clear" w:color="auto" w:fill="FFFFFF"/>
              </w:rPr>
              <w:t>publică</w:t>
            </w:r>
            <w:proofErr w:type="spellEnd"/>
            <w:r w:rsidRPr="00163D2F">
              <w:rPr>
                <w:rFonts w:ascii="Times New Roman" w:hAnsi="Times New Roman"/>
                <w:sz w:val="20"/>
                <w:szCs w:val="20"/>
                <w:shd w:val="clear" w:color="auto" w:fill="FFFFFF"/>
              </w:rPr>
              <w:t>.</w:t>
            </w:r>
          </w:p>
          <w:p w14:paraId="2ADAC8D0" w14:textId="3188836A" w:rsidR="007B4ED6" w:rsidRPr="007B4ED6" w:rsidRDefault="007B4ED6" w:rsidP="007B4ED6">
            <w:pPr>
              <w:spacing w:after="0" w:line="240" w:lineRule="auto"/>
              <w:jc w:val="both"/>
              <w:rPr>
                <w:rFonts w:ascii="Times New Roman" w:hAnsi="Times New Roman"/>
                <w:sz w:val="20"/>
                <w:szCs w:val="20"/>
                <w:lang w:val="fr-FR" w:eastAsia="ru-RU"/>
              </w:rPr>
            </w:pPr>
            <w:r w:rsidRPr="00163D2F">
              <w:rPr>
                <w:rFonts w:ascii="Times New Roman" w:hAnsi="Times New Roman"/>
                <w:sz w:val="20"/>
                <w:szCs w:val="20"/>
                <w:shd w:val="clear" w:color="auto" w:fill="FFFFFF"/>
                <w:lang w:val="fr-FR"/>
              </w:rPr>
              <w:t xml:space="preserve">(4) În </w:t>
            </w:r>
            <w:proofErr w:type="spellStart"/>
            <w:r w:rsidRPr="00163D2F">
              <w:rPr>
                <w:rFonts w:ascii="Times New Roman" w:hAnsi="Times New Roman"/>
                <w:sz w:val="20"/>
                <w:szCs w:val="20"/>
                <w:shd w:val="clear" w:color="auto" w:fill="FFFFFF"/>
                <w:lang w:val="fr-FR"/>
              </w:rPr>
              <w:t>contextul</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consultărilor</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publice</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menționate</w:t>
            </w:r>
            <w:proofErr w:type="spellEnd"/>
            <w:r w:rsidRPr="00163D2F">
              <w:rPr>
                <w:rFonts w:ascii="Times New Roman" w:hAnsi="Times New Roman"/>
                <w:sz w:val="20"/>
                <w:szCs w:val="20"/>
                <w:shd w:val="clear" w:color="auto" w:fill="FFFFFF"/>
                <w:lang w:val="fr-FR"/>
              </w:rPr>
              <w:t xml:space="preserve"> la </w:t>
            </w:r>
            <w:proofErr w:type="spellStart"/>
            <w:r w:rsidRPr="00163D2F">
              <w:rPr>
                <w:rFonts w:ascii="Times New Roman" w:hAnsi="Times New Roman"/>
                <w:sz w:val="20"/>
                <w:szCs w:val="20"/>
                <w:shd w:val="clear" w:color="auto" w:fill="FFFFFF"/>
                <w:lang w:val="fr-FR"/>
              </w:rPr>
              <w:t>articolul</w:t>
            </w:r>
            <w:proofErr w:type="spellEnd"/>
            <w:r w:rsidRPr="00163D2F">
              <w:rPr>
                <w:rFonts w:ascii="Times New Roman" w:hAnsi="Times New Roman"/>
                <w:sz w:val="20"/>
                <w:szCs w:val="20"/>
                <w:shd w:val="clear" w:color="auto" w:fill="FFFFFF"/>
                <w:lang w:val="fr-FR"/>
              </w:rPr>
              <w:t xml:space="preserve"> 10, </w:t>
            </w:r>
            <w:proofErr w:type="spellStart"/>
            <w:r w:rsidRPr="00163D2F">
              <w:rPr>
                <w:rFonts w:ascii="Times New Roman" w:hAnsi="Times New Roman"/>
                <w:sz w:val="20"/>
                <w:szCs w:val="20"/>
                <w:shd w:val="clear" w:color="auto" w:fill="FFFFFF"/>
                <w:lang w:val="fr-FR"/>
              </w:rPr>
              <w:t>fiecare</w:t>
            </w:r>
            <w:proofErr w:type="spellEnd"/>
            <w:r w:rsidRPr="00163D2F">
              <w:rPr>
                <w:rFonts w:ascii="Times New Roman" w:hAnsi="Times New Roman"/>
                <w:sz w:val="20"/>
                <w:szCs w:val="20"/>
                <w:shd w:val="clear" w:color="auto" w:fill="FFFFFF"/>
                <w:lang w:val="fr-FR"/>
              </w:rPr>
              <w:t xml:space="preserve"> stat membru </w:t>
            </w:r>
            <w:proofErr w:type="spellStart"/>
            <w:r w:rsidRPr="00163D2F">
              <w:rPr>
                <w:rFonts w:ascii="Times New Roman" w:hAnsi="Times New Roman"/>
                <w:sz w:val="20"/>
                <w:szCs w:val="20"/>
                <w:shd w:val="clear" w:color="auto" w:fill="FFFFFF"/>
                <w:lang w:val="fr-FR"/>
              </w:rPr>
              <w:t>pune</w:t>
            </w:r>
            <w:proofErr w:type="spellEnd"/>
            <w:r w:rsidRPr="00163D2F">
              <w:rPr>
                <w:rFonts w:ascii="Times New Roman" w:hAnsi="Times New Roman"/>
                <w:sz w:val="20"/>
                <w:szCs w:val="20"/>
                <w:shd w:val="clear" w:color="auto" w:fill="FFFFFF"/>
                <w:lang w:val="fr-FR"/>
              </w:rPr>
              <w:t xml:space="preserve"> la </w:t>
            </w:r>
            <w:proofErr w:type="spellStart"/>
            <w:r w:rsidRPr="00163D2F">
              <w:rPr>
                <w:rFonts w:ascii="Times New Roman" w:hAnsi="Times New Roman"/>
                <w:sz w:val="20"/>
                <w:szCs w:val="20"/>
                <w:shd w:val="clear" w:color="auto" w:fill="FFFFFF"/>
                <w:lang w:val="fr-FR"/>
              </w:rPr>
              <w:t>dispoziția</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publicului</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proiectul</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său</w:t>
            </w:r>
            <w:proofErr w:type="spellEnd"/>
            <w:r w:rsidRPr="00163D2F">
              <w:rPr>
                <w:rFonts w:ascii="Times New Roman" w:hAnsi="Times New Roman"/>
                <w:sz w:val="20"/>
                <w:szCs w:val="20"/>
                <w:shd w:val="clear" w:color="auto" w:fill="FFFFFF"/>
                <w:lang w:val="fr-FR"/>
              </w:rPr>
              <w:t xml:space="preserve"> de plan </w:t>
            </w:r>
            <w:proofErr w:type="spellStart"/>
            <w:r w:rsidRPr="00163D2F">
              <w:rPr>
                <w:rFonts w:ascii="Times New Roman" w:hAnsi="Times New Roman"/>
                <w:sz w:val="20"/>
                <w:szCs w:val="20"/>
                <w:shd w:val="clear" w:color="auto" w:fill="FFFFFF"/>
                <w:lang w:val="fr-FR"/>
              </w:rPr>
              <w:t>național</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integrat</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privind</w:t>
            </w:r>
            <w:proofErr w:type="spellEnd"/>
            <w:r w:rsidRPr="00163D2F">
              <w:rPr>
                <w:rFonts w:ascii="Times New Roman" w:hAnsi="Times New Roman"/>
                <w:sz w:val="20"/>
                <w:szCs w:val="20"/>
                <w:shd w:val="clear" w:color="auto" w:fill="FFFFFF"/>
                <w:lang w:val="fr-FR"/>
              </w:rPr>
              <w:t xml:space="preserve"> </w:t>
            </w:r>
            <w:proofErr w:type="spellStart"/>
            <w:r w:rsidRPr="00163D2F">
              <w:rPr>
                <w:rFonts w:ascii="Times New Roman" w:hAnsi="Times New Roman"/>
                <w:sz w:val="20"/>
                <w:szCs w:val="20"/>
                <w:shd w:val="clear" w:color="auto" w:fill="FFFFFF"/>
                <w:lang w:val="fr-FR"/>
              </w:rPr>
              <w:t>energia</w:t>
            </w:r>
            <w:proofErr w:type="spellEnd"/>
            <w:r w:rsidRPr="00163D2F">
              <w:rPr>
                <w:rFonts w:ascii="Times New Roman" w:hAnsi="Times New Roman"/>
                <w:sz w:val="20"/>
                <w:szCs w:val="20"/>
                <w:shd w:val="clear" w:color="auto" w:fill="FFFFFF"/>
                <w:lang w:val="fr-FR"/>
              </w:rPr>
              <w:t xml:space="preserve"> și </w:t>
            </w:r>
            <w:proofErr w:type="spellStart"/>
            <w:r w:rsidRPr="00163D2F">
              <w:rPr>
                <w:rFonts w:ascii="Times New Roman" w:hAnsi="Times New Roman"/>
                <w:sz w:val="20"/>
                <w:szCs w:val="20"/>
                <w:shd w:val="clear" w:color="auto" w:fill="FFFFFF"/>
                <w:lang w:val="fr-FR"/>
              </w:rPr>
              <w:t>clima</w:t>
            </w:r>
            <w:proofErr w:type="spellEnd"/>
            <w:r w:rsidRPr="00163D2F">
              <w:rPr>
                <w:rFonts w:ascii="Times New Roman" w:hAnsi="Times New Roman"/>
                <w:sz w:val="20"/>
                <w:szCs w:val="20"/>
                <w:shd w:val="clear" w:color="auto" w:fill="FFFFFF"/>
                <w:lang w:val="fr-FR"/>
              </w:rPr>
              <w:t>.</w:t>
            </w:r>
          </w:p>
        </w:tc>
        <w:tc>
          <w:tcPr>
            <w:tcW w:w="4440" w:type="dxa"/>
          </w:tcPr>
          <w:p w14:paraId="26568FA8" w14:textId="7B6EEA68" w:rsidR="00D37AB7" w:rsidRPr="00163D2F" w:rsidRDefault="00D37AB7" w:rsidP="00163D2F">
            <w:pPr>
              <w:shd w:val="clear" w:color="auto" w:fill="FFFFFF"/>
              <w:suppressAutoHyphens w:val="0"/>
              <w:autoSpaceDN/>
              <w:spacing w:after="0" w:line="240" w:lineRule="auto"/>
              <w:jc w:val="both"/>
              <w:textAlignment w:val="auto"/>
              <w:rPr>
                <w:rFonts w:ascii="Times New Roman" w:eastAsia="Times New Roman" w:hAnsi="Times New Roman"/>
                <w:b/>
                <w:sz w:val="24"/>
                <w:szCs w:val="24"/>
                <w:lang w:val="ro-RO" w:eastAsia="ru-RU"/>
              </w:rPr>
            </w:pPr>
          </w:p>
        </w:tc>
        <w:tc>
          <w:tcPr>
            <w:tcW w:w="1276" w:type="dxa"/>
          </w:tcPr>
          <w:p w14:paraId="61D1ED6E" w14:textId="63F822E3" w:rsidR="00D37AB7" w:rsidRPr="00745D9A" w:rsidRDefault="007E0348" w:rsidP="00D37AB7">
            <w:pPr>
              <w:pStyle w:val="ColorfulList-Accent11"/>
              <w:spacing w:after="0" w:line="240" w:lineRule="auto"/>
              <w:ind w:left="0"/>
              <w:jc w:val="both"/>
              <w:rPr>
                <w:lang w:val="fr-FR"/>
              </w:rPr>
            </w:pPr>
            <w:r>
              <w:rPr>
                <w:rFonts w:ascii="Times New Roman" w:hAnsi="Times New Roman"/>
                <w:sz w:val="20"/>
                <w:szCs w:val="20"/>
                <w:lang w:val="ro-RO"/>
              </w:rPr>
              <w:t>C</w:t>
            </w:r>
            <w:r w:rsidR="00503AF4" w:rsidRPr="00C951E7">
              <w:rPr>
                <w:rFonts w:ascii="Times New Roman" w:hAnsi="Times New Roman"/>
                <w:sz w:val="20"/>
                <w:szCs w:val="20"/>
                <w:lang w:val="ro-RO"/>
              </w:rPr>
              <w:t>ompatibil</w:t>
            </w:r>
          </w:p>
        </w:tc>
        <w:tc>
          <w:tcPr>
            <w:tcW w:w="1276" w:type="dxa"/>
          </w:tcPr>
          <w:p w14:paraId="4D8E8727" w14:textId="77777777" w:rsidR="00D37AB7" w:rsidRPr="00745D9A" w:rsidRDefault="00D37AB7" w:rsidP="00D37AB7">
            <w:pPr>
              <w:pStyle w:val="ColorfulList-Accent11"/>
              <w:spacing w:after="0" w:line="240" w:lineRule="auto"/>
              <w:ind w:left="0"/>
              <w:jc w:val="both"/>
              <w:rPr>
                <w:lang w:val="fr-FR"/>
              </w:rPr>
            </w:pPr>
          </w:p>
        </w:tc>
        <w:tc>
          <w:tcPr>
            <w:tcW w:w="1701" w:type="dxa"/>
          </w:tcPr>
          <w:p w14:paraId="55E8BC15" w14:textId="046E3B99" w:rsidR="00163D2F" w:rsidRPr="00F13819" w:rsidRDefault="00163D2F" w:rsidP="00163D2F">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Termenele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1C797AF6" w14:textId="77777777" w:rsidR="004C01A1" w:rsidRDefault="004C01A1" w:rsidP="004C01A1">
            <w:pPr>
              <w:pStyle w:val="ColorfulList-Accent11"/>
              <w:spacing w:after="0" w:line="240" w:lineRule="auto"/>
              <w:ind w:left="0"/>
              <w:jc w:val="both"/>
              <w:rPr>
                <w:rFonts w:ascii="Times New Roman" w:eastAsia="Times New Roman" w:hAnsi="Times New Roman"/>
                <w:sz w:val="20"/>
                <w:szCs w:val="20"/>
                <w:lang w:val="ro-RO" w:eastAsia="ru-RU"/>
              </w:rPr>
            </w:pPr>
          </w:p>
          <w:p w14:paraId="047534FD" w14:textId="4D1BAED3"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pct.25-27 și pct.95 din</w:t>
            </w:r>
            <w:r>
              <w:rPr>
                <w:rFonts w:ascii="Times New Roman" w:eastAsia="Times New Roman" w:hAnsi="Times New Roman"/>
                <w:sz w:val="20"/>
                <w:szCs w:val="20"/>
                <w:lang w:val="ro-RO" w:eastAsia="ru-RU"/>
              </w:rPr>
              <w:t xml:space="preserve"> </w:t>
            </w:r>
          </w:p>
          <w:p w14:paraId="6FE3B61C" w14:textId="541F5A29" w:rsidR="00D37AB7" w:rsidRPr="00503AF4"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w:t>
            </w:r>
            <w:r w:rsidRPr="007E64AF">
              <w:rPr>
                <w:rFonts w:ascii="Times New Roman" w:hAnsi="Times New Roman"/>
                <w:color w:val="000000" w:themeColor="text1"/>
                <w:sz w:val="20"/>
                <w:szCs w:val="20"/>
                <w:shd w:val="clear" w:color="auto" w:fill="FFFFFF"/>
              </w:rPr>
              <w:lastRenderedPageBreak/>
              <w:t xml:space="preserve">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01B68619" w14:textId="77777777" w:rsidR="00163D2F" w:rsidRPr="003F755D" w:rsidRDefault="00163D2F" w:rsidP="00163D2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0DCE534D" w14:textId="77777777" w:rsidR="00D37AB7" w:rsidRPr="00503AF4" w:rsidRDefault="00D37AB7" w:rsidP="00163D2F">
            <w:pPr>
              <w:autoSpaceDE w:val="0"/>
              <w:spacing w:after="0" w:line="240" w:lineRule="auto"/>
              <w:rPr>
                <w:lang w:val="ro-RO"/>
              </w:rPr>
            </w:pPr>
          </w:p>
        </w:tc>
      </w:tr>
      <w:tr w:rsidR="00D37AB7" w:rsidRPr="00FD0D5E" w14:paraId="2AC77CBD" w14:textId="77777777" w:rsidTr="00A90105">
        <w:tc>
          <w:tcPr>
            <w:tcW w:w="4945" w:type="dxa"/>
          </w:tcPr>
          <w:p w14:paraId="30B7ED9A" w14:textId="77777777" w:rsidR="00D37AB7" w:rsidRPr="004C01A1" w:rsidRDefault="00D37AB7" w:rsidP="007B4ED6">
            <w:pPr>
              <w:spacing w:after="0" w:line="240" w:lineRule="auto"/>
              <w:jc w:val="both"/>
              <w:rPr>
                <w:rFonts w:ascii="Times New Roman" w:hAnsi="Times New Roman"/>
                <w:color w:val="000000" w:themeColor="text1"/>
                <w:sz w:val="20"/>
                <w:szCs w:val="20"/>
                <w:lang w:val="ro-RO" w:eastAsia="ru-RU"/>
              </w:rPr>
            </w:pPr>
            <w:r w:rsidRPr="004C01A1">
              <w:rPr>
                <w:rFonts w:ascii="Times New Roman" w:hAnsi="Times New Roman"/>
                <w:color w:val="000000" w:themeColor="text1"/>
                <w:sz w:val="20"/>
                <w:szCs w:val="20"/>
                <w:lang w:val="ro-RO" w:eastAsia="ru-RU"/>
              </w:rPr>
              <w:t>Articolul 10</w:t>
            </w:r>
          </w:p>
          <w:p w14:paraId="1B230CA2" w14:textId="77777777" w:rsidR="00D37AB7" w:rsidRPr="004C01A1" w:rsidRDefault="00D37AB7" w:rsidP="00967546">
            <w:pPr>
              <w:spacing w:after="0" w:line="240" w:lineRule="auto"/>
              <w:jc w:val="center"/>
              <w:rPr>
                <w:rFonts w:ascii="Times New Roman" w:hAnsi="Times New Roman"/>
                <w:b/>
                <w:bCs/>
                <w:color w:val="000000" w:themeColor="text1"/>
                <w:sz w:val="20"/>
                <w:szCs w:val="20"/>
                <w:lang w:val="ro-RO" w:eastAsia="ru-RU"/>
              </w:rPr>
            </w:pPr>
            <w:r w:rsidRPr="004C01A1">
              <w:rPr>
                <w:rFonts w:ascii="Times New Roman" w:hAnsi="Times New Roman"/>
                <w:b/>
                <w:bCs/>
                <w:color w:val="000000" w:themeColor="text1"/>
                <w:sz w:val="20"/>
                <w:szCs w:val="20"/>
                <w:lang w:val="ro-RO" w:eastAsia="ru-RU"/>
              </w:rPr>
              <w:t>Consultarea publică</w:t>
            </w:r>
          </w:p>
          <w:p w14:paraId="2AA8549B" w14:textId="0E57B9AE" w:rsidR="00D37AB7" w:rsidRPr="004C01A1" w:rsidRDefault="00D37AB7" w:rsidP="007B4ED6">
            <w:pPr>
              <w:spacing w:after="0" w:line="240" w:lineRule="auto"/>
              <w:jc w:val="both"/>
              <w:rPr>
                <w:rFonts w:ascii="Times New Roman" w:hAnsi="Times New Roman"/>
                <w:color w:val="000000" w:themeColor="text1"/>
                <w:sz w:val="20"/>
                <w:szCs w:val="20"/>
                <w:lang w:val="fr-FR" w:eastAsia="ru-RU"/>
              </w:rPr>
            </w:pPr>
            <w:r w:rsidRPr="004C01A1">
              <w:rPr>
                <w:rFonts w:ascii="Times New Roman" w:hAnsi="Times New Roman"/>
                <w:color w:val="000000" w:themeColor="text1"/>
                <w:sz w:val="20"/>
                <w:szCs w:val="20"/>
                <w:lang w:val="ro-RO" w:eastAsia="ru-RU"/>
              </w:rPr>
              <w:t xml:space="preserve">Fără a aduce atingere niciunei alte cerințe legislative a Uniunii, fiecare stat membru se asigură că publicul beneficiază din timp de posibilități efective de a participa la </w:t>
            </w:r>
            <w:r w:rsidRPr="004C01A1">
              <w:rPr>
                <w:rFonts w:ascii="Times New Roman" w:hAnsi="Times New Roman"/>
                <w:color w:val="000000" w:themeColor="text1"/>
                <w:sz w:val="20"/>
                <w:szCs w:val="20"/>
                <w:lang w:val="ro-RO" w:eastAsia="ru-RU"/>
              </w:rPr>
              <w:lastRenderedPageBreak/>
              <w:t>elaborarea proiectului de plan național integrat privind energia și clima (în ceea ce privește planurile pentru perioada</w:t>
            </w:r>
            <w:r w:rsidR="007B4ED6" w:rsidRPr="004C01A1">
              <w:rPr>
                <w:rFonts w:ascii="Times New Roman" w:hAnsi="Times New Roman"/>
                <w:color w:val="000000" w:themeColor="text1"/>
                <w:sz w:val="20"/>
                <w:szCs w:val="20"/>
                <w:lang w:val="ro-RO" w:eastAsia="ru-RU"/>
              </w:rPr>
              <w:t xml:space="preserve"> </w:t>
            </w:r>
            <w:r w:rsidRPr="004C01A1">
              <w:rPr>
                <w:rFonts w:ascii="Times New Roman" w:hAnsi="Times New Roman"/>
                <w:color w:val="000000" w:themeColor="text1"/>
                <w:sz w:val="20"/>
                <w:szCs w:val="20"/>
                <w:lang w:val="ro-RO" w:eastAsia="ru-RU"/>
              </w:rPr>
              <w:t>2021-2030, la elaborarea planului final cu mult înainte de adoptarea acestuia), precum și la elaborarea strategiilor pe termen lung menționate la articolul</w:t>
            </w:r>
            <w:r w:rsidR="007B4ED6" w:rsidRPr="004C01A1">
              <w:rPr>
                <w:rFonts w:ascii="Times New Roman" w:hAnsi="Times New Roman"/>
                <w:color w:val="000000" w:themeColor="text1"/>
                <w:sz w:val="20"/>
                <w:szCs w:val="20"/>
                <w:lang w:val="ro-RO" w:eastAsia="ru-RU"/>
              </w:rPr>
              <w:t xml:space="preserve"> </w:t>
            </w:r>
            <w:r w:rsidRPr="004C01A1">
              <w:rPr>
                <w:rFonts w:ascii="Times New Roman" w:hAnsi="Times New Roman"/>
                <w:color w:val="000000" w:themeColor="text1"/>
                <w:sz w:val="20"/>
                <w:szCs w:val="20"/>
                <w:lang w:val="ro-RO" w:eastAsia="ru-RU"/>
              </w:rPr>
              <w:t xml:space="preserve">15. </w:t>
            </w:r>
            <w:proofErr w:type="spellStart"/>
            <w:r w:rsidRPr="004C01A1">
              <w:rPr>
                <w:rFonts w:ascii="Times New Roman" w:hAnsi="Times New Roman"/>
                <w:color w:val="000000" w:themeColor="text1"/>
                <w:sz w:val="20"/>
                <w:szCs w:val="20"/>
                <w:lang w:val="fr-FR" w:eastAsia="ru-RU"/>
              </w:rPr>
              <w:t>Fiecare</w:t>
            </w:r>
            <w:proofErr w:type="spellEnd"/>
            <w:r w:rsidRPr="004C01A1">
              <w:rPr>
                <w:rFonts w:ascii="Times New Roman" w:hAnsi="Times New Roman"/>
                <w:color w:val="000000" w:themeColor="text1"/>
                <w:sz w:val="20"/>
                <w:szCs w:val="20"/>
                <w:lang w:val="fr-FR" w:eastAsia="ru-RU"/>
              </w:rPr>
              <w:t xml:space="preserve"> stat membru </w:t>
            </w:r>
            <w:proofErr w:type="spellStart"/>
            <w:r w:rsidRPr="004C01A1">
              <w:rPr>
                <w:rFonts w:ascii="Times New Roman" w:hAnsi="Times New Roman"/>
                <w:color w:val="000000" w:themeColor="text1"/>
                <w:sz w:val="20"/>
                <w:szCs w:val="20"/>
                <w:lang w:val="fr-FR" w:eastAsia="ru-RU"/>
              </w:rPr>
              <w:t>anexează</w:t>
            </w:r>
            <w:proofErr w:type="spellEnd"/>
            <w:r w:rsidRPr="004C01A1">
              <w:rPr>
                <w:rFonts w:ascii="Times New Roman" w:hAnsi="Times New Roman"/>
                <w:color w:val="000000" w:themeColor="text1"/>
                <w:sz w:val="20"/>
                <w:szCs w:val="20"/>
                <w:lang w:val="fr-FR" w:eastAsia="ru-RU"/>
              </w:rPr>
              <w:t xml:space="preserve"> la </w:t>
            </w:r>
            <w:proofErr w:type="spellStart"/>
            <w:r w:rsidRPr="004C01A1">
              <w:rPr>
                <w:rFonts w:ascii="Times New Roman" w:hAnsi="Times New Roman"/>
                <w:color w:val="000000" w:themeColor="text1"/>
                <w:sz w:val="20"/>
                <w:szCs w:val="20"/>
                <w:lang w:val="fr-FR" w:eastAsia="ru-RU"/>
              </w:rPr>
              <w:t>aceste</w:t>
            </w:r>
            <w:proofErr w:type="spellEnd"/>
            <w:r w:rsidRPr="004C01A1">
              <w:rPr>
                <w:rFonts w:ascii="Times New Roman" w:hAnsi="Times New Roman"/>
                <w:color w:val="000000" w:themeColor="text1"/>
                <w:sz w:val="20"/>
                <w:szCs w:val="20"/>
                <w:lang w:val="fr-FR" w:eastAsia="ru-RU"/>
              </w:rPr>
              <w:t xml:space="preserve"> documente </w:t>
            </w:r>
            <w:proofErr w:type="spellStart"/>
            <w:r w:rsidRPr="004C01A1">
              <w:rPr>
                <w:rFonts w:ascii="Times New Roman" w:hAnsi="Times New Roman"/>
                <w:color w:val="000000" w:themeColor="text1"/>
                <w:sz w:val="20"/>
                <w:szCs w:val="20"/>
                <w:lang w:val="fr-FR" w:eastAsia="ru-RU"/>
              </w:rPr>
              <w:t>prezentate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Comisiei</w:t>
            </w:r>
            <w:proofErr w:type="spellEnd"/>
            <w:r w:rsidRPr="004C01A1">
              <w:rPr>
                <w:rFonts w:ascii="Times New Roman" w:hAnsi="Times New Roman"/>
                <w:color w:val="000000" w:themeColor="text1"/>
                <w:sz w:val="20"/>
                <w:szCs w:val="20"/>
                <w:lang w:val="fr-FR" w:eastAsia="ru-RU"/>
              </w:rPr>
              <w:t xml:space="preserve"> un </w:t>
            </w:r>
            <w:proofErr w:type="spellStart"/>
            <w:r w:rsidRPr="004C01A1">
              <w:rPr>
                <w:rFonts w:ascii="Times New Roman" w:hAnsi="Times New Roman"/>
                <w:color w:val="000000" w:themeColor="text1"/>
                <w:sz w:val="20"/>
                <w:szCs w:val="20"/>
                <w:lang w:val="fr-FR" w:eastAsia="ru-RU"/>
              </w:rPr>
              <w:t>rezumat</w:t>
            </w:r>
            <w:proofErr w:type="spellEnd"/>
            <w:r w:rsidRPr="004C01A1">
              <w:rPr>
                <w:rFonts w:ascii="Times New Roman" w:hAnsi="Times New Roman"/>
                <w:color w:val="000000" w:themeColor="text1"/>
                <w:sz w:val="20"/>
                <w:szCs w:val="20"/>
                <w:lang w:val="fr-FR" w:eastAsia="ru-RU"/>
              </w:rPr>
              <w:t xml:space="preserve"> al </w:t>
            </w:r>
            <w:proofErr w:type="spellStart"/>
            <w:r w:rsidRPr="004C01A1">
              <w:rPr>
                <w:rFonts w:ascii="Times New Roman" w:hAnsi="Times New Roman"/>
                <w:color w:val="000000" w:themeColor="text1"/>
                <w:sz w:val="20"/>
                <w:szCs w:val="20"/>
                <w:lang w:val="fr-FR" w:eastAsia="ru-RU"/>
              </w:rPr>
              <w:t>opiniilor</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publicului</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sau</w:t>
            </w:r>
            <w:proofErr w:type="spellEnd"/>
            <w:r w:rsidRPr="004C01A1">
              <w:rPr>
                <w:rFonts w:ascii="Times New Roman" w:hAnsi="Times New Roman"/>
                <w:color w:val="000000" w:themeColor="text1"/>
                <w:sz w:val="20"/>
                <w:szCs w:val="20"/>
                <w:lang w:val="fr-FR" w:eastAsia="ru-RU"/>
              </w:rPr>
              <w:t xml:space="preserve"> al </w:t>
            </w:r>
            <w:proofErr w:type="spellStart"/>
            <w:r w:rsidRPr="004C01A1">
              <w:rPr>
                <w:rFonts w:ascii="Times New Roman" w:hAnsi="Times New Roman"/>
                <w:color w:val="000000" w:themeColor="text1"/>
                <w:sz w:val="20"/>
                <w:szCs w:val="20"/>
                <w:lang w:val="fr-FR" w:eastAsia="ru-RU"/>
              </w:rPr>
              <w:t>opiniilor</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provizorii</w:t>
            </w:r>
            <w:proofErr w:type="spellEnd"/>
            <w:r w:rsidRPr="004C01A1">
              <w:rPr>
                <w:rFonts w:ascii="Times New Roman" w:hAnsi="Times New Roman"/>
                <w:color w:val="000000" w:themeColor="text1"/>
                <w:sz w:val="20"/>
                <w:szCs w:val="20"/>
                <w:lang w:val="fr-FR" w:eastAsia="ru-RU"/>
              </w:rPr>
              <w:t xml:space="preserve">. În </w:t>
            </w:r>
            <w:proofErr w:type="spellStart"/>
            <w:r w:rsidRPr="004C01A1">
              <w:rPr>
                <w:rFonts w:ascii="Times New Roman" w:hAnsi="Times New Roman"/>
                <w:color w:val="000000" w:themeColor="text1"/>
                <w:sz w:val="20"/>
                <w:szCs w:val="20"/>
                <w:lang w:val="fr-FR" w:eastAsia="ru-RU"/>
              </w:rPr>
              <w:t>măsura</w:t>
            </w:r>
            <w:proofErr w:type="spellEnd"/>
            <w:r w:rsidRPr="004C01A1">
              <w:rPr>
                <w:rFonts w:ascii="Times New Roman" w:hAnsi="Times New Roman"/>
                <w:color w:val="000000" w:themeColor="text1"/>
                <w:sz w:val="20"/>
                <w:szCs w:val="20"/>
                <w:lang w:val="fr-FR" w:eastAsia="ru-RU"/>
              </w:rPr>
              <w:t xml:space="preserve"> în care se </w:t>
            </w:r>
            <w:proofErr w:type="spellStart"/>
            <w:r w:rsidRPr="004C01A1">
              <w:rPr>
                <w:rFonts w:ascii="Times New Roman" w:hAnsi="Times New Roman"/>
                <w:color w:val="000000" w:themeColor="text1"/>
                <w:sz w:val="20"/>
                <w:szCs w:val="20"/>
                <w:lang w:val="fr-FR" w:eastAsia="ru-RU"/>
              </w:rPr>
              <w:t>aplică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Directiva</w:t>
            </w:r>
            <w:proofErr w:type="spellEnd"/>
            <w:r w:rsidR="007B4ED6" w:rsidRPr="004C01A1">
              <w:rPr>
                <w:rFonts w:ascii="Times New Roman" w:hAnsi="Times New Roman"/>
                <w:color w:val="000000" w:themeColor="text1"/>
                <w:sz w:val="20"/>
                <w:szCs w:val="20"/>
                <w:lang w:val="fr-FR" w:eastAsia="ru-RU"/>
              </w:rPr>
              <w:t xml:space="preserve"> </w:t>
            </w:r>
            <w:r w:rsidRPr="004C01A1">
              <w:rPr>
                <w:rFonts w:ascii="Times New Roman" w:hAnsi="Times New Roman"/>
                <w:color w:val="000000" w:themeColor="text1"/>
                <w:sz w:val="20"/>
                <w:szCs w:val="20"/>
                <w:lang w:val="fr-FR" w:eastAsia="ru-RU"/>
              </w:rPr>
              <w:t xml:space="preserve">2001/42/CE, </w:t>
            </w:r>
            <w:proofErr w:type="spellStart"/>
            <w:r w:rsidRPr="004C01A1">
              <w:rPr>
                <w:rFonts w:ascii="Times New Roman" w:hAnsi="Times New Roman"/>
                <w:color w:val="000000" w:themeColor="text1"/>
                <w:sz w:val="20"/>
                <w:szCs w:val="20"/>
                <w:lang w:val="fr-FR" w:eastAsia="ru-RU"/>
              </w:rPr>
              <w:t>consultările</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efectuate</w:t>
            </w:r>
            <w:proofErr w:type="spellEnd"/>
            <w:r w:rsidRPr="004C01A1">
              <w:rPr>
                <w:rFonts w:ascii="Times New Roman" w:hAnsi="Times New Roman"/>
                <w:color w:val="000000" w:themeColor="text1"/>
                <w:sz w:val="20"/>
                <w:szCs w:val="20"/>
                <w:lang w:val="fr-FR" w:eastAsia="ru-RU"/>
              </w:rPr>
              <w:t xml:space="preserve"> în </w:t>
            </w:r>
            <w:proofErr w:type="spellStart"/>
            <w:r w:rsidRPr="004C01A1">
              <w:rPr>
                <w:rFonts w:ascii="Times New Roman" w:hAnsi="Times New Roman"/>
                <w:color w:val="000000" w:themeColor="text1"/>
                <w:sz w:val="20"/>
                <w:szCs w:val="20"/>
                <w:lang w:val="fr-FR" w:eastAsia="ru-RU"/>
              </w:rPr>
              <w:t>privința</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proiectului</w:t>
            </w:r>
            <w:proofErr w:type="spellEnd"/>
            <w:r w:rsidRPr="004C01A1">
              <w:rPr>
                <w:rFonts w:ascii="Times New Roman" w:hAnsi="Times New Roman"/>
                <w:color w:val="000000" w:themeColor="text1"/>
                <w:sz w:val="20"/>
                <w:szCs w:val="20"/>
                <w:lang w:val="fr-FR" w:eastAsia="ru-RU"/>
              </w:rPr>
              <w:t xml:space="preserve"> în conformitate </w:t>
            </w:r>
            <w:proofErr w:type="spellStart"/>
            <w:r w:rsidRPr="004C01A1">
              <w:rPr>
                <w:rFonts w:ascii="Times New Roman" w:hAnsi="Times New Roman"/>
                <w:color w:val="000000" w:themeColor="text1"/>
                <w:sz w:val="20"/>
                <w:szCs w:val="20"/>
                <w:lang w:val="fr-FR" w:eastAsia="ru-RU"/>
              </w:rPr>
              <w:t>cu</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directiva</w:t>
            </w:r>
            <w:proofErr w:type="spellEnd"/>
            <w:r w:rsidRPr="004C01A1">
              <w:rPr>
                <w:rFonts w:ascii="Times New Roman" w:hAnsi="Times New Roman"/>
                <w:color w:val="000000" w:themeColor="text1"/>
                <w:sz w:val="20"/>
                <w:szCs w:val="20"/>
                <w:lang w:val="fr-FR" w:eastAsia="ru-RU"/>
              </w:rPr>
              <w:t xml:space="preserve"> în </w:t>
            </w:r>
            <w:proofErr w:type="spellStart"/>
            <w:r w:rsidRPr="004C01A1">
              <w:rPr>
                <w:rFonts w:ascii="Times New Roman" w:hAnsi="Times New Roman"/>
                <w:color w:val="000000" w:themeColor="text1"/>
                <w:sz w:val="20"/>
                <w:szCs w:val="20"/>
                <w:lang w:val="fr-FR" w:eastAsia="ru-RU"/>
              </w:rPr>
              <w:t>cauză</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sunt</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considerate</w:t>
            </w:r>
            <w:proofErr w:type="spellEnd"/>
            <w:r w:rsidRPr="004C01A1">
              <w:rPr>
                <w:rFonts w:ascii="Times New Roman" w:hAnsi="Times New Roman"/>
                <w:color w:val="000000" w:themeColor="text1"/>
                <w:sz w:val="20"/>
                <w:szCs w:val="20"/>
                <w:lang w:val="fr-FR" w:eastAsia="ru-RU"/>
              </w:rPr>
              <w:t xml:space="preserve"> a </w:t>
            </w:r>
            <w:proofErr w:type="spellStart"/>
            <w:r w:rsidRPr="004C01A1">
              <w:rPr>
                <w:rFonts w:ascii="Times New Roman" w:hAnsi="Times New Roman"/>
                <w:color w:val="000000" w:themeColor="text1"/>
                <w:sz w:val="20"/>
                <w:szCs w:val="20"/>
                <w:lang w:val="fr-FR" w:eastAsia="ru-RU"/>
              </w:rPr>
              <w:t>îndeplini</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obligațiile</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consultare</w:t>
            </w:r>
            <w:proofErr w:type="spellEnd"/>
            <w:r w:rsidRPr="004C01A1">
              <w:rPr>
                <w:rFonts w:ascii="Times New Roman" w:hAnsi="Times New Roman"/>
                <w:color w:val="000000" w:themeColor="text1"/>
                <w:sz w:val="20"/>
                <w:szCs w:val="20"/>
                <w:lang w:val="fr-FR" w:eastAsia="ru-RU"/>
              </w:rPr>
              <w:t xml:space="preserve"> a </w:t>
            </w:r>
            <w:proofErr w:type="spellStart"/>
            <w:r w:rsidRPr="004C01A1">
              <w:rPr>
                <w:rFonts w:ascii="Times New Roman" w:hAnsi="Times New Roman"/>
                <w:color w:val="000000" w:themeColor="text1"/>
                <w:sz w:val="20"/>
                <w:szCs w:val="20"/>
                <w:lang w:val="fr-FR" w:eastAsia="ru-RU"/>
              </w:rPr>
              <w:t>publicului</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prevăzute</w:t>
            </w:r>
            <w:proofErr w:type="spellEnd"/>
            <w:r w:rsidRPr="004C01A1">
              <w:rPr>
                <w:rFonts w:ascii="Times New Roman" w:hAnsi="Times New Roman"/>
                <w:color w:val="000000" w:themeColor="text1"/>
                <w:sz w:val="20"/>
                <w:szCs w:val="20"/>
                <w:lang w:val="fr-FR" w:eastAsia="ru-RU"/>
              </w:rPr>
              <w:t xml:space="preserve"> de </w:t>
            </w:r>
            <w:proofErr w:type="spellStart"/>
            <w:r w:rsidRPr="004C01A1">
              <w:rPr>
                <w:rFonts w:ascii="Times New Roman" w:hAnsi="Times New Roman"/>
                <w:color w:val="000000" w:themeColor="text1"/>
                <w:sz w:val="20"/>
                <w:szCs w:val="20"/>
                <w:lang w:val="fr-FR" w:eastAsia="ru-RU"/>
              </w:rPr>
              <w:t>prezentul</w:t>
            </w:r>
            <w:proofErr w:type="spellEnd"/>
            <w:r w:rsidRPr="004C01A1">
              <w:rPr>
                <w:rFonts w:ascii="Times New Roman" w:hAnsi="Times New Roman"/>
                <w:color w:val="000000" w:themeColor="text1"/>
                <w:sz w:val="20"/>
                <w:szCs w:val="20"/>
                <w:lang w:val="fr-FR" w:eastAsia="ru-RU"/>
              </w:rPr>
              <w:t xml:space="preserve"> </w:t>
            </w:r>
            <w:proofErr w:type="spellStart"/>
            <w:r w:rsidRPr="004C01A1">
              <w:rPr>
                <w:rFonts w:ascii="Times New Roman" w:hAnsi="Times New Roman"/>
                <w:color w:val="000000" w:themeColor="text1"/>
                <w:sz w:val="20"/>
                <w:szCs w:val="20"/>
                <w:lang w:val="fr-FR" w:eastAsia="ru-RU"/>
              </w:rPr>
              <w:t>regulament</w:t>
            </w:r>
            <w:proofErr w:type="spellEnd"/>
            <w:r w:rsidRPr="004C01A1">
              <w:rPr>
                <w:rFonts w:ascii="Times New Roman" w:hAnsi="Times New Roman"/>
                <w:color w:val="000000" w:themeColor="text1"/>
                <w:sz w:val="20"/>
                <w:szCs w:val="20"/>
                <w:lang w:val="fr-FR" w:eastAsia="ru-RU"/>
              </w:rPr>
              <w:t>.</w:t>
            </w:r>
          </w:p>
          <w:p w14:paraId="609B910E" w14:textId="77777777" w:rsidR="001E6038" w:rsidRDefault="001E6038" w:rsidP="007B4ED6">
            <w:pPr>
              <w:spacing w:after="0" w:line="240" w:lineRule="auto"/>
              <w:jc w:val="both"/>
              <w:rPr>
                <w:rFonts w:ascii="Times New Roman" w:hAnsi="Times New Roman"/>
                <w:sz w:val="20"/>
                <w:szCs w:val="20"/>
                <w:lang w:val="fr-FR" w:eastAsia="ru-RU"/>
              </w:rPr>
            </w:pPr>
          </w:p>
          <w:p w14:paraId="0BA20E6D" w14:textId="77777777" w:rsidR="001E6038" w:rsidRDefault="001E6038" w:rsidP="007B4ED6">
            <w:pPr>
              <w:spacing w:after="0" w:line="240" w:lineRule="auto"/>
              <w:jc w:val="both"/>
              <w:rPr>
                <w:rFonts w:ascii="Times New Roman" w:hAnsi="Times New Roman"/>
                <w:sz w:val="20"/>
                <w:szCs w:val="20"/>
                <w:lang w:val="fr-FR" w:eastAsia="ru-RU"/>
              </w:rPr>
            </w:pPr>
          </w:p>
          <w:p w14:paraId="7EC99372" w14:textId="77777777" w:rsidR="001E6038" w:rsidRDefault="001E6038" w:rsidP="007B4ED6">
            <w:pPr>
              <w:spacing w:after="0" w:line="240" w:lineRule="auto"/>
              <w:jc w:val="both"/>
              <w:rPr>
                <w:rFonts w:ascii="Times New Roman" w:hAnsi="Times New Roman"/>
                <w:sz w:val="20"/>
                <w:szCs w:val="20"/>
                <w:lang w:val="fr-FR" w:eastAsia="ru-RU"/>
              </w:rPr>
            </w:pPr>
          </w:p>
          <w:p w14:paraId="78A4F800" w14:textId="77777777" w:rsidR="001E6038" w:rsidRDefault="001E6038" w:rsidP="007B4ED6">
            <w:pPr>
              <w:spacing w:after="0" w:line="240" w:lineRule="auto"/>
              <w:jc w:val="both"/>
              <w:rPr>
                <w:rFonts w:ascii="Times New Roman" w:hAnsi="Times New Roman"/>
                <w:sz w:val="20"/>
                <w:szCs w:val="20"/>
                <w:lang w:val="fr-FR" w:eastAsia="ru-RU"/>
              </w:rPr>
            </w:pPr>
          </w:p>
          <w:p w14:paraId="6AFBE2BC" w14:textId="77777777" w:rsidR="001E6038" w:rsidRDefault="001E6038" w:rsidP="007B4ED6">
            <w:pPr>
              <w:spacing w:after="0" w:line="240" w:lineRule="auto"/>
              <w:jc w:val="both"/>
              <w:rPr>
                <w:rFonts w:ascii="Times New Roman" w:hAnsi="Times New Roman"/>
                <w:sz w:val="20"/>
                <w:szCs w:val="20"/>
                <w:lang w:val="fr-FR" w:eastAsia="ru-RU"/>
              </w:rPr>
            </w:pPr>
          </w:p>
          <w:p w14:paraId="25E89487" w14:textId="77777777" w:rsidR="001E6038" w:rsidRDefault="001E6038" w:rsidP="007B4ED6">
            <w:pPr>
              <w:spacing w:after="0" w:line="240" w:lineRule="auto"/>
              <w:jc w:val="both"/>
              <w:rPr>
                <w:rFonts w:ascii="Times New Roman" w:hAnsi="Times New Roman"/>
                <w:sz w:val="20"/>
                <w:szCs w:val="20"/>
                <w:lang w:val="fr-FR" w:eastAsia="ru-RU"/>
              </w:rPr>
            </w:pPr>
          </w:p>
          <w:p w14:paraId="43DA49F9" w14:textId="188433A1" w:rsidR="001E6038" w:rsidRDefault="001E6038" w:rsidP="007B4ED6">
            <w:pPr>
              <w:spacing w:after="0" w:line="240" w:lineRule="auto"/>
              <w:jc w:val="both"/>
              <w:rPr>
                <w:rFonts w:ascii="Times New Roman" w:hAnsi="Times New Roman"/>
                <w:sz w:val="20"/>
                <w:szCs w:val="20"/>
                <w:lang w:val="fr-FR" w:eastAsia="ru-RU"/>
              </w:rPr>
            </w:pPr>
          </w:p>
          <w:p w14:paraId="22BD66E2" w14:textId="5720A135" w:rsidR="001E6038" w:rsidRDefault="001E6038" w:rsidP="007B4ED6">
            <w:pPr>
              <w:spacing w:after="0" w:line="240" w:lineRule="auto"/>
              <w:jc w:val="both"/>
              <w:rPr>
                <w:rFonts w:ascii="Times New Roman" w:hAnsi="Times New Roman"/>
                <w:sz w:val="20"/>
                <w:szCs w:val="20"/>
                <w:lang w:val="fr-FR" w:eastAsia="ru-RU"/>
              </w:rPr>
            </w:pPr>
          </w:p>
          <w:p w14:paraId="19D547A5" w14:textId="262A532B" w:rsidR="001E6038" w:rsidRDefault="001E6038" w:rsidP="007B4ED6">
            <w:pPr>
              <w:spacing w:after="0" w:line="240" w:lineRule="auto"/>
              <w:jc w:val="both"/>
              <w:rPr>
                <w:rFonts w:ascii="Times New Roman" w:hAnsi="Times New Roman"/>
                <w:sz w:val="20"/>
                <w:szCs w:val="20"/>
                <w:lang w:val="fr-FR" w:eastAsia="ru-RU"/>
              </w:rPr>
            </w:pPr>
          </w:p>
          <w:p w14:paraId="40C56460" w14:textId="6FA882DA" w:rsidR="001E6038" w:rsidRDefault="001E6038" w:rsidP="007B4ED6">
            <w:pPr>
              <w:spacing w:after="0" w:line="240" w:lineRule="auto"/>
              <w:jc w:val="both"/>
              <w:rPr>
                <w:rFonts w:ascii="Times New Roman" w:hAnsi="Times New Roman"/>
                <w:sz w:val="20"/>
                <w:szCs w:val="20"/>
                <w:lang w:val="fr-FR" w:eastAsia="ru-RU"/>
              </w:rPr>
            </w:pPr>
          </w:p>
          <w:p w14:paraId="2EB0C614" w14:textId="4EABC1DC" w:rsidR="001E6038" w:rsidRDefault="001E6038" w:rsidP="007B4ED6">
            <w:pPr>
              <w:spacing w:after="0" w:line="240" w:lineRule="auto"/>
              <w:jc w:val="both"/>
              <w:rPr>
                <w:rFonts w:ascii="Times New Roman" w:hAnsi="Times New Roman"/>
                <w:sz w:val="20"/>
                <w:szCs w:val="20"/>
                <w:lang w:val="fr-FR" w:eastAsia="ru-RU"/>
              </w:rPr>
            </w:pPr>
          </w:p>
          <w:p w14:paraId="2E38F189" w14:textId="5996DBBA" w:rsidR="001E6038" w:rsidRDefault="001E6038" w:rsidP="007B4ED6">
            <w:pPr>
              <w:spacing w:after="0" w:line="240" w:lineRule="auto"/>
              <w:jc w:val="both"/>
              <w:rPr>
                <w:rFonts w:ascii="Times New Roman" w:hAnsi="Times New Roman"/>
                <w:sz w:val="20"/>
                <w:szCs w:val="20"/>
                <w:lang w:val="fr-FR" w:eastAsia="ru-RU"/>
              </w:rPr>
            </w:pPr>
          </w:p>
          <w:p w14:paraId="0B7848F0" w14:textId="77777777" w:rsidR="001E6038" w:rsidRDefault="001E6038" w:rsidP="007B4ED6">
            <w:pPr>
              <w:spacing w:after="0" w:line="240" w:lineRule="auto"/>
              <w:jc w:val="both"/>
              <w:rPr>
                <w:rFonts w:ascii="Times New Roman" w:hAnsi="Times New Roman"/>
                <w:sz w:val="20"/>
                <w:szCs w:val="20"/>
                <w:lang w:val="fr-FR" w:eastAsia="ru-RU"/>
              </w:rPr>
            </w:pPr>
          </w:p>
          <w:p w14:paraId="52C4B491" w14:textId="77777777" w:rsidR="001E6038" w:rsidRDefault="001E6038" w:rsidP="007B4ED6">
            <w:pPr>
              <w:spacing w:after="0" w:line="240" w:lineRule="auto"/>
              <w:jc w:val="both"/>
              <w:rPr>
                <w:rFonts w:ascii="Times New Roman" w:hAnsi="Times New Roman"/>
                <w:sz w:val="20"/>
                <w:szCs w:val="20"/>
                <w:lang w:val="fr-FR" w:eastAsia="ru-RU"/>
              </w:rPr>
            </w:pPr>
          </w:p>
          <w:p w14:paraId="16C2892A" w14:textId="2854A82E" w:rsidR="00D37AB7" w:rsidRPr="00CC2819" w:rsidRDefault="00D37AB7" w:rsidP="007B4ED6">
            <w:pPr>
              <w:spacing w:after="0" w:line="240" w:lineRule="auto"/>
              <w:jc w:val="both"/>
              <w:rPr>
                <w:rFonts w:ascii="Times New Roman" w:hAnsi="Times New Roman"/>
                <w:sz w:val="20"/>
                <w:szCs w:val="20"/>
                <w:lang w:val="fr-FR" w:eastAsia="ru-RU"/>
              </w:rPr>
            </w:pPr>
            <w:proofErr w:type="spellStart"/>
            <w:r w:rsidRPr="00CC2819">
              <w:rPr>
                <w:rFonts w:ascii="Times New Roman" w:hAnsi="Times New Roman"/>
                <w:sz w:val="20"/>
                <w:szCs w:val="20"/>
                <w:lang w:val="fr-FR" w:eastAsia="ru-RU"/>
              </w:rPr>
              <w:t>Fiecare</w:t>
            </w:r>
            <w:proofErr w:type="spellEnd"/>
            <w:r w:rsidRPr="00CC2819">
              <w:rPr>
                <w:rFonts w:ascii="Times New Roman" w:hAnsi="Times New Roman"/>
                <w:sz w:val="20"/>
                <w:szCs w:val="20"/>
                <w:lang w:val="fr-FR" w:eastAsia="ru-RU"/>
              </w:rPr>
              <w:t xml:space="preserve"> stat membru se </w:t>
            </w:r>
            <w:proofErr w:type="spellStart"/>
            <w:r w:rsidRPr="00CC2819">
              <w:rPr>
                <w:rFonts w:ascii="Times New Roman" w:hAnsi="Times New Roman"/>
                <w:sz w:val="20"/>
                <w:szCs w:val="20"/>
                <w:lang w:val="fr-FR" w:eastAsia="ru-RU"/>
              </w:rPr>
              <w:t>asigură</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că</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publicul</w:t>
            </w:r>
            <w:proofErr w:type="spellEnd"/>
            <w:r w:rsidRPr="00CC2819">
              <w:rPr>
                <w:rFonts w:ascii="Times New Roman" w:hAnsi="Times New Roman"/>
                <w:sz w:val="20"/>
                <w:szCs w:val="20"/>
                <w:lang w:val="fr-FR" w:eastAsia="ru-RU"/>
              </w:rPr>
              <w:t xml:space="preserve"> este </w:t>
            </w:r>
            <w:proofErr w:type="spellStart"/>
            <w:r w:rsidRPr="00CC2819">
              <w:rPr>
                <w:rFonts w:ascii="Times New Roman" w:hAnsi="Times New Roman"/>
                <w:sz w:val="20"/>
                <w:szCs w:val="20"/>
                <w:lang w:val="fr-FR" w:eastAsia="ru-RU"/>
              </w:rPr>
              <w:t>informat</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Fiecare</w:t>
            </w:r>
            <w:proofErr w:type="spellEnd"/>
            <w:r w:rsidRPr="00CC2819">
              <w:rPr>
                <w:rFonts w:ascii="Times New Roman" w:hAnsi="Times New Roman"/>
                <w:sz w:val="20"/>
                <w:szCs w:val="20"/>
                <w:lang w:val="fr-FR" w:eastAsia="ru-RU"/>
              </w:rPr>
              <w:t xml:space="preserve"> stat membru </w:t>
            </w:r>
            <w:proofErr w:type="spellStart"/>
            <w:r w:rsidRPr="00CC2819">
              <w:rPr>
                <w:rFonts w:ascii="Times New Roman" w:hAnsi="Times New Roman"/>
                <w:sz w:val="20"/>
                <w:szCs w:val="20"/>
                <w:lang w:val="fr-FR" w:eastAsia="ru-RU"/>
              </w:rPr>
              <w:t>stabilește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termene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rezonabile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prin</w:t>
            </w:r>
            <w:proofErr w:type="spellEnd"/>
            <w:r w:rsidRPr="00CC2819">
              <w:rPr>
                <w:rFonts w:ascii="Times New Roman" w:hAnsi="Times New Roman"/>
                <w:sz w:val="20"/>
                <w:szCs w:val="20"/>
                <w:lang w:val="fr-FR" w:eastAsia="ru-RU"/>
              </w:rPr>
              <w:t xml:space="preserve"> care </w:t>
            </w:r>
            <w:proofErr w:type="spellStart"/>
            <w:r w:rsidRPr="00CC2819">
              <w:rPr>
                <w:rFonts w:ascii="Times New Roman" w:hAnsi="Times New Roman"/>
                <w:sz w:val="20"/>
                <w:szCs w:val="20"/>
                <w:lang w:val="fr-FR" w:eastAsia="ru-RU"/>
              </w:rPr>
              <w:t>acordă</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publicului</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timp</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suficient</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pentru</w:t>
            </w:r>
            <w:proofErr w:type="spellEnd"/>
            <w:r w:rsidRPr="00CC2819">
              <w:rPr>
                <w:rFonts w:ascii="Times New Roman" w:hAnsi="Times New Roman"/>
                <w:sz w:val="20"/>
                <w:szCs w:val="20"/>
                <w:lang w:val="fr-FR" w:eastAsia="ru-RU"/>
              </w:rPr>
              <w:t xml:space="preserve"> a </w:t>
            </w:r>
            <w:proofErr w:type="gramStart"/>
            <w:r w:rsidRPr="00CC2819">
              <w:rPr>
                <w:rFonts w:ascii="Times New Roman" w:hAnsi="Times New Roman"/>
                <w:sz w:val="20"/>
                <w:szCs w:val="20"/>
                <w:lang w:val="fr-FR" w:eastAsia="ru-RU"/>
              </w:rPr>
              <w:t>se informa</w:t>
            </w:r>
            <w:proofErr w:type="gramEnd"/>
            <w:r w:rsidRPr="00CC2819">
              <w:rPr>
                <w:rFonts w:ascii="Times New Roman" w:hAnsi="Times New Roman"/>
                <w:sz w:val="20"/>
                <w:szCs w:val="20"/>
                <w:lang w:val="fr-FR" w:eastAsia="ru-RU"/>
              </w:rPr>
              <w:t xml:space="preserve">, a participa și a-și exprima </w:t>
            </w:r>
            <w:proofErr w:type="spellStart"/>
            <w:r w:rsidRPr="00CC2819">
              <w:rPr>
                <w:rFonts w:ascii="Times New Roman" w:hAnsi="Times New Roman"/>
                <w:sz w:val="20"/>
                <w:szCs w:val="20"/>
                <w:lang w:val="fr-FR" w:eastAsia="ru-RU"/>
              </w:rPr>
              <w:t>opiniile</w:t>
            </w:r>
            <w:proofErr w:type="spellEnd"/>
            <w:r w:rsidRPr="00CC2819">
              <w:rPr>
                <w:rFonts w:ascii="Times New Roman" w:hAnsi="Times New Roman"/>
                <w:sz w:val="20"/>
                <w:szCs w:val="20"/>
                <w:lang w:val="fr-FR" w:eastAsia="ru-RU"/>
              </w:rPr>
              <w:t>.</w:t>
            </w:r>
          </w:p>
          <w:p w14:paraId="5230FC63" w14:textId="77777777" w:rsidR="00D37AB7" w:rsidRDefault="00D37AB7" w:rsidP="007B4ED6">
            <w:pPr>
              <w:spacing w:after="0" w:line="240" w:lineRule="auto"/>
              <w:jc w:val="both"/>
              <w:rPr>
                <w:rFonts w:ascii="Times New Roman" w:hAnsi="Times New Roman"/>
                <w:sz w:val="20"/>
                <w:szCs w:val="20"/>
                <w:lang w:val="en-US" w:eastAsia="ru-RU"/>
              </w:rPr>
            </w:pPr>
            <w:r w:rsidRPr="00CC2819">
              <w:rPr>
                <w:rFonts w:ascii="Times New Roman" w:hAnsi="Times New Roman"/>
                <w:sz w:val="20"/>
                <w:szCs w:val="20"/>
                <w:lang w:val="en-US" w:eastAsia="ru-RU"/>
              </w:rPr>
              <w:t xml:space="preserve">La </w:t>
            </w:r>
            <w:proofErr w:type="spellStart"/>
            <w:r w:rsidRPr="00CC2819">
              <w:rPr>
                <w:rFonts w:ascii="Times New Roman" w:hAnsi="Times New Roman"/>
                <w:sz w:val="20"/>
                <w:szCs w:val="20"/>
                <w:lang w:val="en-US" w:eastAsia="ru-RU"/>
              </w:rPr>
              <w:t>punerea</w:t>
            </w:r>
            <w:proofErr w:type="spellEnd"/>
            <w:r w:rsidRPr="00CC2819">
              <w:rPr>
                <w:rFonts w:ascii="Times New Roman" w:hAnsi="Times New Roman"/>
                <w:sz w:val="20"/>
                <w:szCs w:val="20"/>
                <w:lang w:val="en-US" w:eastAsia="ru-RU"/>
              </w:rPr>
              <w:t xml:space="preserve"> în </w:t>
            </w:r>
            <w:proofErr w:type="spellStart"/>
            <w:r w:rsidRPr="00CC2819">
              <w:rPr>
                <w:rFonts w:ascii="Times New Roman" w:hAnsi="Times New Roman"/>
                <w:sz w:val="20"/>
                <w:szCs w:val="20"/>
                <w:lang w:val="en-US" w:eastAsia="ru-RU"/>
              </w:rPr>
              <w:t>aplicare</w:t>
            </w:r>
            <w:proofErr w:type="spellEnd"/>
            <w:r w:rsidRPr="00CC2819">
              <w:rPr>
                <w:rFonts w:ascii="Times New Roman" w:hAnsi="Times New Roman"/>
                <w:sz w:val="20"/>
                <w:szCs w:val="20"/>
                <w:lang w:val="en-US" w:eastAsia="ru-RU"/>
              </w:rPr>
              <w:t xml:space="preserve"> a </w:t>
            </w:r>
            <w:proofErr w:type="spellStart"/>
            <w:r w:rsidRPr="00CC2819">
              <w:rPr>
                <w:rFonts w:ascii="Times New Roman" w:hAnsi="Times New Roman"/>
                <w:sz w:val="20"/>
                <w:szCs w:val="20"/>
                <w:lang w:val="en-US" w:eastAsia="ru-RU"/>
              </w:rPr>
              <w:t>prezentului</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articol</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fiecare</w:t>
            </w:r>
            <w:proofErr w:type="spellEnd"/>
            <w:r w:rsidRPr="00CC2819">
              <w:rPr>
                <w:rFonts w:ascii="Times New Roman" w:hAnsi="Times New Roman"/>
                <w:sz w:val="20"/>
                <w:szCs w:val="20"/>
                <w:lang w:val="en-US" w:eastAsia="ru-RU"/>
              </w:rPr>
              <w:t xml:space="preserve"> stat </w:t>
            </w:r>
            <w:proofErr w:type="spellStart"/>
            <w:r w:rsidRPr="00CC2819">
              <w:rPr>
                <w:rFonts w:ascii="Times New Roman" w:hAnsi="Times New Roman"/>
                <w:sz w:val="20"/>
                <w:szCs w:val="20"/>
                <w:lang w:val="en-US" w:eastAsia="ru-RU"/>
              </w:rPr>
              <w:t>membru</w:t>
            </w:r>
            <w:proofErr w:type="spellEnd"/>
            <w:r w:rsidRPr="00CC2819">
              <w:rPr>
                <w:rFonts w:ascii="Times New Roman" w:hAnsi="Times New Roman"/>
                <w:sz w:val="20"/>
                <w:szCs w:val="20"/>
                <w:lang w:val="en-US" w:eastAsia="ru-RU"/>
              </w:rPr>
              <w:t xml:space="preserve"> reduce </w:t>
            </w:r>
            <w:proofErr w:type="spellStart"/>
            <w:r w:rsidRPr="00CC2819">
              <w:rPr>
                <w:rFonts w:ascii="Times New Roman" w:hAnsi="Times New Roman"/>
                <w:sz w:val="20"/>
                <w:szCs w:val="20"/>
                <w:lang w:val="en-US" w:eastAsia="ru-RU"/>
              </w:rPr>
              <w:t>complexitatea</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administrativă</w:t>
            </w:r>
            <w:proofErr w:type="spellEnd"/>
            <w:r w:rsidRPr="00CC2819">
              <w:rPr>
                <w:rFonts w:ascii="Times New Roman" w:hAnsi="Times New Roman"/>
                <w:sz w:val="20"/>
                <w:szCs w:val="20"/>
                <w:lang w:val="en-US" w:eastAsia="ru-RU"/>
              </w:rPr>
              <w:t>.</w:t>
            </w:r>
          </w:p>
          <w:p w14:paraId="2EB7EA09" w14:textId="08695849" w:rsidR="00B17D76" w:rsidRPr="00B17D76" w:rsidRDefault="00000000" w:rsidP="007B4ED6">
            <w:pPr>
              <w:spacing w:after="0" w:line="240" w:lineRule="auto"/>
              <w:jc w:val="both"/>
              <w:rPr>
                <w:rFonts w:ascii="Times New Roman" w:hAnsi="Times New Roman"/>
                <w:sz w:val="20"/>
                <w:szCs w:val="20"/>
                <w:lang w:val="en-US" w:eastAsia="ru-RU"/>
              </w:rPr>
            </w:pPr>
            <w:hyperlink r:id="rId23" w:tooltip="32021R1119: REPLACED" w:history="1">
              <w:r w:rsidR="00B17D76" w:rsidRPr="00B17D76">
                <w:rPr>
                  <w:rStyle w:val="af6"/>
                  <w:rFonts w:ascii="Times New Roman" w:eastAsia="Arial Unicode MS" w:hAnsi="Times New Roman"/>
                  <w:b/>
                  <w:bCs/>
                  <w:color w:val="23527C"/>
                  <w:sz w:val="20"/>
                  <w:szCs w:val="20"/>
                  <w:shd w:val="clear" w:color="auto" w:fill="FFFFFF"/>
                </w:rPr>
                <w:t>▼M2</w:t>
              </w:r>
            </w:hyperlink>
          </w:p>
        </w:tc>
        <w:tc>
          <w:tcPr>
            <w:tcW w:w="4440" w:type="dxa"/>
          </w:tcPr>
          <w:p w14:paraId="609A1616" w14:textId="78745C3D" w:rsidR="001E6038" w:rsidRPr="00CC2819" w:rsidRDefault="001E6038" w:rsidP="00C35974">
            <w:pPr>
              <w:shd w:val="clear" w:color="auto" w:fill="FFFFFF"/>
              <w:suppressAutoHyphens w:val="0"/>
              <w:autoSpaceDN/>
              <w:spacing w:after="0" w:line="240" w:lineRule="auto"/>
              <w:jc w:val="both"/>
              <w:textAlignment w:val="auto"/>
              <w:rPr>
                <w:rFonts w:ascii="Times New Roman" w:eastAsia="Times New Roman" w:hAnsi="Times New Roman"/>
                <w:b/>
                <w:sz w:val="24"/>
                <w:szCs w:val="24"/>
                <w:lang w:val="ro-MD" w:eastAsia="ru-RU"/>
              </w:rPr>
            </w:pPr>
          </w:p>
        </w:tc>
        <w:tc>
          <w:tcPr>
            <w:tcW w:w="1276" w:type="dxa"/>
          </w:tcPr>
          <w:p w14:paraId="124E3A63" w14:textId="140787FC" w:rsidR="00D37AB7" w:rsidRPr="007B4ED6" w:rsidRDefault="00FD0D5E" w:rsidP="00D37AB7">
            <w:pPr>
              <w:pStyle w:val="ColorfulList-Accent11"/>
              <w:spacing w:after="0" w:line="240" w:lineRule="auto"/>
              <w:ind w:left="0"/>
              <w:jc w:val="both"/>
              <w:rPr>
                <w:lang w:val="ro-MD"/>
              </w:rPr>
            </w:pPr>
            <w:r>
              <w:rPr>
                <w:rFonts w:ascii="Times New Roman" w:hAnsi="Times New Roman"/>
                <w:sz w:val="20"/>
                <w:szCs w:val="20"/>
                <w:lang w:val="ro-RO"/>
              </w:rPr>
              <w:t>Compatibil</w:t>
            </w:r>
          </w:p>
        </w:tc>
        <w:tc>
          <w:tcPr>
            <w:tcW w:w="1276" w:type="dxa"/>
          </w:tcPr>
          <w:p w14:paraId="5E22AD1F" w14:textId="77777777" w:rsidR="00D37AB7" w:rsidRPr="007B4ED6" w:rsidRDefault="00D37AB7" w:rsidP="00D37AB7">
            <w:pPr>
              <w:pStyle w:val="ColorfulList-Accent11"/>
              <w:spacing w:after="0" w:line="240" w:lineRule="auto"/>
              <w:ind w:left="0"/>
              <w:jc w:val="both"/>
              <w:rPr>
                <w:lang w:val="ro-MD"/>
              </w:rPr>
            </w:pPr>
          </w:p>
        </w:tc>
        <w:tc>
          <w:tcPr>
            <w:tcW w:w="1701" w:type="dxa"/>
          </w:tcPr>
          <w:p w14:paraId="22EF4175" w14:textId="02090AE1" w:rsidR="00D41F36" w:rsidRDefault="00D41F36" w:rsidP="001E6038">
            <w:pPr>
              <w:autoSpaceDE w:val="0"/>
              <w:spacing w:after="0" w:line="240" w:lineRule="auto"/>
              <w:rPr>
                <w:rFonts w:ascii="Times New Roman" w:hAnsi="Times New Roman"/>
                <w:sz w:val="20"/>
                <w:szCs w:val="20"/>
                <w:lang w:val="ro-RO"/>
              </w:rPr>
            </w:pPr>
            <w:r>
              <w:rPr>
                <w:rFonts w:ascii="Times New Roman" w:hAnsi="Times New Roman"/>
                <w:sz w:val="20"/>
                <w:szCs w:val="20"/>
                <w:lang w:val="ro-RO"/>
              </w:rPr>
              <w:t xml:space="preserve">Prevederile referitoare la informarea și consultarea publice sunt </w:t>
            </w:r>
            <w:r>
              <w:rPr>
                <w:rFonts w:ascii="Times New Roman" w:hAnsi="Times New Roman"/>
                <w:sz w:val="20"/>
                <w:szCs w:val="20"/>
                <w:lang w:val="ro-RO"/>
              </w:rPr>
              <w:lastRenderedPageBreak/>
              <w:t>transpuse în art.7</w:t>
            </w:r>
            <w:r w:rsidRPr="00D41F36">
              <w:rPr>
                <w:rFonts w:ascii="Times New Roman" w:hAnsi="Times New Roman"/>
                <w:sz w:val="20"/>
                <w:szCs w:val="20"/>
                <w:vertAlign w:val="superscript"/>
                <w:lang w:val="ro-RO"/>
              </w:rPr>
              <w:t>4</w:t>
            </w:r>
            <w:r>
              <w:rPr>
                <w:rFonts w:ascii="Times New Roman" w:eastAsia="Times New Roman" w:hAnsi="Times New Roman"/>
                <w:bCs/>
                <w:sz w:val="20"/>
                <w:szCs w:val="20"/>
                <w:lang w:val="ro-MD"/>
              </w:rPr>
              <w:t xml:space="preserve"> din </w:t>
            </w:r>
            <w:r w:rsidRPr="00860B9C">
              <w:rPr>
                <w:rFonts w:ascii="Times New Roman" w:eastAsia="Times New Roman" w:hAnsi="Times New Roman"/>
                <w:bCs/>
                <w:sz w:val="20"/>
                <w:szCs w:val="20"/>
                <w:lang w:val="ro-MD"/>
              </w:rPr>
              <w:t>Legea nr.174/2017 cu privire la energetică</w:t>
            </w:r>
            <w:r>
              <w:rPr>
                <w:rFonts w:ascii="Times New Roman" w:eastAsia="Times New Roman" w:hAnsi="Times New Roman"/>
                <w:bCs/>
                <w:sz w:val="20"/>
                <w:szCs w:val="20"/>
                <w:lang w:val="ro-MD"/>
              </w:rPr>
              <w:t>.</w:t>
            </w:r>
          </w:p>
          <w:p w14:paraId="3BFED18D" w14:textId="19E66240" w:rsidR="001E6038" w:rsidRPr="00F13819" w:rsidRDefault="001E6038" w:rsidP="001E6038">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w:t>
            </w:r>
            <w:r w:rsidR="00D41F36">
              <w:rPr>
                <w:rFonts w:ascii="Times New Roman" w:hAnsi="Times New Roman"/>
                <w:sz w:val="20"/>
                <w:szCs w:val="20"/>
                <w:lang w:val="ro-RO"/>
              </w:rPr>
              <w:t xml:space="preserve">referitoare la </w:t>
            </w:r>
            <w:r>
              <w:rPr>
                <w:rFonts w:ascii="Times New Roman" w:hAnsi="Times New Roman"/>
                <w:sz w:val="20"/>
                <w:szCs w:val="20"/>
                <w:lang w:val="ro-RO"/>
              </w:rPr>
              <w:t xml:space="preserve">prezentarea către </w:t>
            </w:r>
            <w:r w:rsidRPr="001E6038">
              <w:rPr>
                <w:rFonts w:ascii="Times New Roman" w:hAnsi="Times New Roman"/>
                <w:sz w:val="20"/>
                <w:szCs w:val="20"/>
                <w:shd w:val="clear" w:color="auto" w:fill="FFFFFF"/>
                <w:lang w:val="ro-RO"/>
              </w:rPr>
              <w:t xml:space="preserve">Secretariatului Comunității Energetice </w:t>
            </w:r>
            <w:r w:rsidRPr="001E6038">
              <w:rPr>
                <w:rFonts w:ascii="Times New Roman" w:hAnsi="Times New Roman"/>
                <w:sz w:val="20"/>
                <w:szCs w:val="20"/>
                <w:shd w:val="clear" w:color="auto" w:fill="FFFFFF"/>
                <w:lang w:val="ro-MD"/>
              </w:rPr>
              <w:t>rezumat</w:t>
            </w:r>
            <w:r>
              <w:rPr>
                <w:rFonts w:ascii="Times New Roman" w:hAnsi="Times New Roman"/>
                <w:sz w:val="20"/>
                <w:szCs w:val="20"/>
                <w:shd w:val="clear" w:color="auto" w:fill="FFFFFF"/>
                <w:lang w:val="ro-MD"/>
              </w:rPr>
              <w:t>ului</w:t>
            </w:r>
            <w:r w:rsidRPr="001E6038">
              <w:rPr>
                <w:rFonts w:ascii="Times New Roman" w:hAnsi="Times New Roman"/>
                <w:sz w:val="20"/>
                <w:szCs w:val="20"/>
                <w:shd w:val="clear" w:color="auto" w:fill="FFFFFF"/>
                <w:lang w:val="ro-MD"/>
              </w:rPr>
              <w:t xml:space="preserve"> al opiniilor publicului sau al opiniilor provizorii</w:t>
            </w:r>
            <w:r>
              <w:rPr>
                <w:rFonts w:ascii="Times New Roman" w:hAnsi="Times New Roman"/>
                <w:sz w:val="20"/>
                <w:szCs w:val="20"/>
                <w:lang w:val="ro-RO"/>
              </w:rPr>
              <w:t xml:space="preserve"> 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52BDB37C" w14:textId="593174AB"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 xml:space="preserve">la pct.95, pct.100 și pct.103 din </w:t>
            </w:r>
            <w:r>
              <w:rPr>
                <w:rFonts w:ascii="Times New Roman" w:eastAsia="Times New Roman" w:hAnsi="Times New Roman"/>
                <w:sz w:val="20"/>
                <w:szCs w:val="20"/>
                <w:lang w:val="ro-RO" w:eastAsia="ru-RU"/>
              </w:rPr>
              <w:t xml:space="preserve"> </w:t>
            </w:r>
          </w:p>
          <w:p w14:paraId="73587133" w14:textId="239A7B2E" w:rsidR="00D41F36" w:rsidRPr="001E6038" w:rsidRDefault="004C01A1" w:rsidP="007B4ED6">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57F85002" w14:textId="77777777" w:rsidR="00163D2F" w:rsidRPr="003F755D" w:rsidRDefault="007B4ED6" w:rsidP="00163D2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163D2F" w:rsidRPr="00A81801">
              <w:rPr>
                <w:rFonts w:ascii="Times New Roman" w:hAnsi="Times New Roman"/>
                <w:color w:val="000000" w:themeColor="text1"/>
                <w:sz w:val="20"/>
                <w:szCs w:val="20"/>
              </w:rPr>
              <w:t>Energiei</w:t>
            </w:r>
          </w:p>
          <w:p w14:paraId="22FBA3CC" w14:textId="5916BA5C" w:rsidR="00D37AB7" w:rsidRPr="007B4ED6" w:rsidRDefault="00D37AB7" w:rsidP="00163D2F">
            <w:pPr>
              <w:autoSpaceDE w:val="0"/>
              <w:spacing w:after="0" w:line="240" w:lineRule="auto"/>
              <w:rPr>
                <w:lang w:val="ro-MD"/>
              </w:rPr>
            </w:pPr>
          </w:p>
        </w:tc>
      </w:tr>
      <w:tr w:rsidR="00D37AB7" w:rsidRPr="0064623B" w14:paraId="5977A9F6" w14:textId="77777777" w:rsidTr="00A90105">
        <w:tc>
          <w:tcPr>
            <w:tcW w:w="4945" w:type="dxa"/>
          </w:tcPr>
          <w:p w14:paraId="1D747B1E" w14:textId="77777777" w:rsidR="00D37AB7" w:rsidRPr="00CC2819" w:rsidRDefault="00D37AB7" w:rsidP="0064623B">
            <w:pPr>
              <w:spacing w:after="0" w:line="240" w:lineRule="auto"/>
              <w:jc w:val="center"/>
              <w:rPr>
                <w:rFonts w:ascii="Times New Roman" w:hAnsi="Times New Roman"/>
                <w:sz w:val="20"/>
                <w:szCs w:val="20"/>
                <w:lang w:val="fr-FR" w:eastAsia="ru-RU"/>
              </w:rPr>
            </w:pPr>
            <w:proofErr w:type="spellStart"/>
            <w:r w:rsidRPr="00CC2819">
              <w:rPr>
                <w:rFonts w:ascii="Times New Roman" w:hAnsi="Times New Roman"/>
                <w:sz w:val="20"/>
                <w:szCs w:val="20"/>
                <w:lang w:val="fr-FR" w:eastAsia="ru-RU"/>
              </w:rPr>
              <w:t>Articolul</w:t>
            </w:r>
            <w:proofErr w:type="spellEnd"/>
            <w:r w:rsidRPr="00CC2819">
              <w:rPr>
                <w:rFonts w:ascii="Times New Roman" w:hAnsi="Times New Roman"/>
                <w:sz w:val="20"/>
                <w:szCs w:val="20"/>
                <w:lang w:val="fr-FR" w:eastAsia="ru-RU"/>
              </w:rPr>
              <w:t xml:space="preserve"> 11</w:t>
            </w:r>
          </w:p>
          <w:p w14:paraId="18A3F528" w14:textId="77777777" w:rsidR="00D37AB7" w:rsidRPr="00CC2819" w:rsidRDefault="00D37AB7" w:rsidP="0064623B">
            <w:pPr>
              <w:spacing w:after="0" w:line="240" w:lineRule="auto"/>
              <w:jc w:val="center"/>
              <w:rPr>
                <w:rFonts w:ascii="Times New Roman" w:hAnsi="Times New Roman"/>
                <w:b/>
                <w:bCs/>
                <w:sz w:val="20"/>
                <w:szCs w:val="20"/>
                <w:lang w:val="fr-FR" w:eastAsia="ru-RU"/>
              </w:rPr>
            </w:pPr>
            <w:proofErr w:type="spellStart"/>
            <w:r w:rsidRPr="00CC2819">
              <w:rPr>
                <w:rFonts w:ascii="Times New Roman" w:hAnsi="Times New Roman"/>
                <w:b/>
                <w:bCs/>
                <w:sz w:val="20"/>
                <w:szCs w:val="20"/>
                <w:lang w:val="fr-FR" w:eastAsia="ru-RU"/>
              </w:rPr>
              <w:t>Dialogul</w:t>
            </w:r>
            <w:proofErr w:type="spellEnd"/>
            <w:r w:rsidRPr="00CC2819">
              <w:rPr>
                <w:rFonts w:ascii="Times New Roman" w:hAnsi="Times New Roman"/>
                <w:b/>
                <w:bCs/>
                <w:sz w:val="20"/>
                <w:szCs w:val="20"/>
                <w:lang w:val="fr-FR" w:eastAsia="ru-RU"/>
              </w:rPr>
              <w:t xml:space="preserve"> </w:t>
            </w:r>
            <w:proofErr w:type="spellStart"/>
            <w:r w:rsidRPr="00CC2819">
              <w:rPr>
                <w:rFonts w:ascii="Times New Roman" w:hAnsi="Times New Roman"/>
                <w:b/>
                <w:bCs/>
                <w:sz w:val="20"/>
                <w:szCs w:val="20"/>
                <w:lang w:val="fr-FR" w:eastAsia="ru-RU"/>
              </w:rPr>
              <w:t>pe</w:t>
            </w:r>
            <w:proofErr w:type="spellEnd"/>
            <w:r w:rsidRPr="00CC2819">
              <w:rPr>
                <w:rFonts w:ascii="Times New Roman" w:hAnsi="Times New Roman"/>
                <w:b/>
                <w:bCs/>
                <w:sz w:val="20"/>
                <w:szCs w:val="20"/>
                <w:lang w:val="fr-FR" w:eastAsia="ru-RU"/>
              </w:rPr>
              <w:t xml:space="preserve"> mai </w:t>
            </w:r>
            <w:proofErr w:type="spellStart"/>
            <w:r w:rsidRPr="00CC2819">
              <w:rPr>
                <w:rFonts w:ascii="Times New Roman" w:hAnsi="Times New Roman"/>
                <w:b/>
                <w:bCs/>
                <w:sz w:val="20"/>
                <w:szCs w:val="20"/>
                <w:lang w:val="fr-FR" w:eastAsia="ru-RU"/>
              </w:rPr>
              <w:t>multe</w:t>
            </w:r>
            <w:proofErr w:type="spellEnd"/>
            <w:r w:rsidRPr="00CC2819">
              <w:rPr>
                <w:rFonts w:ascii="Times New Roman" w:hAnsi="Times New Roman"/>
                <w:b/>
                <w:bCs/>
                <w:sz w:val="20"/>
                <w:szCs w:val="20"/>
                <w:lang w:val="fr-FR" w:eastAsia="ru-RU"/>
              </w:rPr>
              <w:t xml:space="preserve"> </w:t>
            </w:r>
            <w:proofErr w:type="spellStart"/>
            <w:r w:rsidRPr="00CC2819">
              <w:rPr>
                <w:rFonts w:ascii="Times New Roman" w:hAnsi="Times New Roman"/>
                <w:b/>
                <w:bCs/>
                <w:sz w:val="20"/>
                <w:szCs w:val="20"/>
                <w:lang w:val="fr-FR" w:eastAsia="ru-RU"/>
              </w:rPr>
              <w:t>niveluri</w:t>
            </w:r>
            <w:proofErr w:type="spellEnd"/>
            <w:r w:rsidRPr="00CC2819">
              <w:rPr>
                <w:rFonts w:ascii="Times New Roman" w:hAnsi="Times New Roman"/>
                <w:b/>
                <w:bCs/>
                <w:sz w:val="20"/>
                <w:szCs w:val="20"/>
                <w:lang w:val="fr-FR" w:eastAsia="ru-RU"/>
              </w:rPr>
              <w:t xml:space="preserve"> </w:t>
            </w:r>
            <w:proofErr w:type="spellStart"/>
            <w:r w:rsidRPr="00CC2819">
              <w:rPr>
                <w:rFonts w:ascii="Times New Roman" w:hAnsi="Times New Roman"/>
                <w:b/>
                <w:bCs/>
                <w:sz w:val="20"/>
                <w:szCs w:val="20"/>
                <w:lang w:val="fr-FR" w:eastAsia="ru-RU"/>
              </w:rPr>
              <w:t>pe</w:t>
            </w:r>
            <w:proofErr w:type="spellEnd"/>
            <w:r w:rsidRPr="00CC2819">
              <w:rPr>
                <w:rFonts w:ascii="Times New Roman" w:hAnsi="Times New Roman"/>
                <w:b/>
                <w:bCs/>
                <w:sz w:val="20"/>
                <w:szCs w:val="20"/>
                <w:lang w:val="fr-FR" w:eastAsia="ru-RU"/>
              </w:rPr>
              <w:t xml:space="preserve"> </w:t>
            </w:r>
            <w:proofErr w:type="spellStart"/>
            <w:r w:rsidRPr="00CC2819">
              <w:rPr>
                <w:rFonts w:ascii="Times New Roman" w:hAnsi="Times New Roman"/>
                <w:b/>
                <w:bCs/>
                <w:sz w:val="20"/>
                <w:szCs w:val="20"/>
                <w:lang w:val="fr-FR" w:eastAsia="ru-RU"/>
              </w:rPr>
              <w:t>tema</w:t>
            </w:r>
            <w:proofErr w:type="spellEnd"/>
            <w:r w:rsidRPr="00CC2819">
              <w:rPr>
                <w:rFonts w:ascii="Times New Roman" w:hAnsi="Times New Roman"/>
                <w:b/>
                <w:bCs/>
                <w:sz w:val="20"/>
                <w:szCs w:val="20"/>
                <w:lang w:val="fr-FR" w:eastAsia="ru-RU"/>
              </w:rPr>
              <w:t xml:space="preserve"> energiei și a </w:t>
            </w:r>
            <w:proofErr w:type="spellStart"/>
            <w:r w:rsidRPr="00CC2819">
              <w:rPr>
                <w:rFonts w:ascii="Times New Roman" w:hAnsi="Times New Roman"/>
                <w:b/>
                <w:bCs/>
                <w:sz w:val="20"/>
                <w:szCs w:val="20"/>
                <w:lang w:val="fr-FR" w:eastAsia="ru-RU"/>
              </w:rPr>
              <w:t>climei</w:t>
            </w:r>
            <w:proofErr w:type="spellEnd"/>
          </w:p>
          <w:p w14:paraId="3B84723B" w14:textId="77777777" w:rsidR="00D37AB7" w:rsidRDefault="00D37AB7" w:rsidP="0064623B">
            <w:pPr>
              <w:spacing w:after="0" w:line="240" w:lineRule="auto"/>
              <w:jc w:val="both"/>
              <w:rPr>
                <w:rFonts w:ascii="Times New Roman" w:hAnsi="Times New Roman"/>
                <w:sz w:val="20"/>
                <w:szCs w:val="20"/>
                <w:lang w:val="en-US" w:eastAsia="ru-RU"/>
              </w:rPr>
            </w:pPr>
            <w:proofErr w:type="spellStart"/>
            <w:r w:rsidRPr="00CC2819">
              <w:rPr>
                <w:rFonts w:ascii="Times New Roman" w:hAnsi="Times New Roman"/>
                <w:sz w:val="20"/>
                <w:szCs w:val="20"/>
                <w:lang w:val="fr-FR" w:eastAsia="ru-RU"/>
              </w:rPr>
              <w:t>Statele</w:t>
            </w:r>
            <w:proofErr w:type="spellEnd"/>
            <w:r w:rsidRPr="00CC2819">
              <w:rPr>
                <w:rFonts w:ascii="Times New Roman" w:hAnsi="Times New Roman"/>
                <w:sz w:val="20"/>
                <w:szCs w:val="20"/>
                <w:lang w:val="fr-FR" w:eastAsia="ru-RU"/>
              </w:rPr>
              <w:t xml:space="preserve"> membre </w:t>
            </w:r>
            <w:proofErr w:type="spellStart"/>
            <w:r w:rsidRPr="00CC2819">
              <w:rPr>
                <w:rFonts w:ascii="Times New Roman" w:hAnsi="Times New Roman"/>
                <w:sz w:val="20"/>
                <w:szCs w:val="20"/>
                <w:lang w:val="fr-FR" w:eastAsia="ru-RU"/>
              </w:rPr>
              <w:t>înființează</w:t>
            </w:r>
            <w:proofErr w:type="spellEnd"/>
            <w:r w:rsidRPr="00CC2819">
              <w:rPr>
                <w:rFonts w:ascii="Times New Roman" w:hAnsi="Times New Roman"/>
                <w:sz w:val="20"/>
                <w:szCs w:val="20"/>
                <w:lang w:val="fr-FR" w:eastAsia="ru-RU"/>
              </w:rPr>
              <w:t xml:space="preserve"> un </w:t>
            </w:r>
            <w:proofErr w:type="spellStart"/>
            <w:r w:rsidRPr="00CC2819">
              <w:rPr>
                <w:rFonts w:ascii="Times New Roman" w:hAnsi="Times New Roman"/>
                <w:sz w:val="20"/>
                <w:szCs w:val="20"/>
                <w:lang w:val="fr-FR" w:eastAsia="ru-RU"/>
              </w:rPr>
              <w:t>dialog</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w:t>
            </w:r>
            <w:proofErr w:type="spellEnd"/>
            <w:r w:rsidRPr="00CC2819">
              <w:rPr>
                <w:rFonts w:ascii="Times New Roman" w:hAnsi="Times New Roman"/>
                <w:sz w:val="20"/>
                <w:szCs w:val="20"/>
                <w:lang w:val="fr-FR" w:eastAsia="ru-RU"/>
              </w:rPr>
              <w:t xml:space="preserve"> mai </w:t>
            </w:r>
            <w:proofErr w:type="spellStart"/>
            <w:r w:rsidRPr="00CC2819">
              <w:rPr>
                <w:rFonts w:ascii="Times New Roman" w:hAnsi="Times New Roman"/>
                <w:sz w:val="20"/>
                <w:szCs w:val="20"/>
                <w:lang w:val="fr-FR" w:eastAsia="ru-RU"/>
              </w:rPr>
              <w:t>multe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niveluri</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tema</w:t>
            </w:r>
            <w:proofErr w:type="spellEnd"/>
            <w:r w:rsidRPr="00CC2819">
              <w:rPr>
                <w:rFonts w:ascii="Times New Roman" w:hAnsi="Times New Roman"/>
                <w:sz w:val="20"/>
                <w:szCs w:val="20"/>
                <w:lang w:val="fr-FR" w:eastAsia="ru-RU"/>
              </w:rPr>
              <w:t xml:space="preserve"> energiei și a </w:t>
            </w:r>
            <w:proofErr w:type="spellStart"/>
            <w:r w:rsidRPr="00CC2819">
              <w:rPr>
                <w:rFonts w:ascii="Times New Roman" w:hAnsi="Times New Roman"/>
                <w:sz w:val="20"/>
                <w:szCs w:val="20"/>
                <w:lang w:val="fr-FR" w:eastAsia="ru-RU"/>
              </w:rPr>
              <w:t>climei</w:t>
            </w:r>
            <w:proofErr w:type="spellEnd"/>
            <w:r w:rsidRPr="00CC2819">
              <w:rPr>
                <w:rFonts w:ascii="Times New Roman" w:hAnsi="Times New Roman"/>
                <w:sz w:val="20"/>
                <w:szCs w:val="20"/>
                <w:lang w:val="fr-FR" w:eastAsia="ru-RU"/>
              </w:rPr>
              <w:t xml:space="preserve">, în conformitate </w:t>
            </w:r>
            <w:proofErr w:type="spellStart"/>
            <w:r w:rsidRPr="00CC2819">
              <w:rPr>
                <w:rFonts w:ascii="Times New Roman" w:hAnsi="Times New Roman"/>
                <w:sz w:val="20"/>
                <w:szCs w:val="20"/>
                <w:lang w:val="fr-FR" w:eastAsia="ru-RU"/>
              </w:rPr>
              <w:t>cu</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normele</w:t>
            </w:r>
            <w:proofErr w:type="spellEnd"/>
            <w:r w:rsidRPr="00CC2819">
              <w:rPr>
                <w:rFonts w:ascii="Times New Roman" w:hAnsi="Times New Roman"/>
                <w:sz w:val="20"/>
                <w:szCs w:val="20"/>
                <w:lang w:val="fr-FR" w:eastAsia="ru-RU"/>
              </w:rPr>
              <w:t xml:space="preserve"> interne, în </w:t>
            </w:r>
            <w:proofErr w:type="spellStart"/>
            <w:r w:rsidRPr="00CC2819">
              <w:rPr>
                <w:rFonts w:ascii="Times New Roman" w:hAnsi="Times New Roman"/>
                <w:sz w:val="20"/>
                <w:szCs w:val="20"/>
                <w:lang w:val="fr-FR" w:eastAsia="ru-RU"/>
              </w:rPr>
              <w:t>cadrul</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căruia</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autoritățile</w:t>
            </w:r>
            <w:proofErr w:type="spellEnd"/>
            <w:r w:rsidRPr="00CC2819">
              <w:rPr>
                <w:rFonts w:ascii="Times New Roman" w:hAnsi="Times New Roman"/>
                <w:sz w:val="20"/>
                <w:szCs w:val="20"/>
                <w:lang w:val="fr-FR" w:eastAsia="ru-RU"/>
              </w:rPr>
              <w:t xml:space="preserve"> locale, </w:t>
            </w:r>
            <w:proofErr w:type="spellStart"/>
            <w:r w:rsidRPr="00CC2819">
              <w:rPr>
                <w:rFonts w:ascii="Times New Roman" w:hAnsi="Times New Roman"/>
                <w:sz w:val="20"/>
                <w:szCs w:val="20"/>
                <w:lang w:val="fr-FR" w:eastAsia="ru-RU"/>
              </w:rPr>
              <w:t>organizațiile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societății</w:t>
            </w:r>
            <w:proofErr w:type="spellEnd"/>
            <w:r w:rsidRPr="00CC2819">
              <w:rPr>
                <w:rFonts w:ascii="Times New Roman" w:hAnsi="Times New Roman"/>
                <w:sz w:val="20"/>
                <w:szCs w:val="20"/>
                <w:lang w:val="fr-FR" w:eastAsia="ru-RU"/>
              </w:rPr>
              <w:t xml:space="preserve"> civile, </w:t>
            </w:r>
            <w:proofErr w:type="spellStart"/>
            <w:r w:rsidRPr="00CC2819">
              <w:rPr>
                <w:rFonts w:ascii="Times New Roman" w:hAnsi="Times New Roman"/>
                <w:sz w:val="20"/>
                <w:szCs w:val="20"/>
                <w:lang w:val="fr-FR" w:eastAsia="ru-RU"/>
              </w:rPr>
              <w:t>comunitatea</w:t>
            </w:r>
            <w:proofErr w:type="spellEnd"/>
            <w:r w:rsidRPr="00CC2819">
              <w:rPr>
                <w:rFonts w:ascii="Times New Roman" w:hAnsi="Times New Roman"/>
                <w:sz w:val="20"/>
                <w:szCs w:val="20"/>
                <w:lang w:val="fr-FR" w:eastAsia="ru-RU"/>
              </w:rPr>
              <w:t xml:space="preserve"> de </w:t>
            </w:r>
            <w:proofErr w:type="spellStart"/>
            <w:r w:rsidRPr="00CC2819">
              <w:rPr>
                <w:rFonts w:ascii="Times New Roman" w:hAnsi="Times New Roman"/>
                <w:sz w:val="20"/>
                <w:szCs w:val="20"/>
                <w:lang w:val="fr-FR" w:eastAsia="ru-RU"/>
              </w:rPr>
              <w:t>afaceri</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investitorii</w:t>
            </w:r>
            <w:proofErr w:type="spellEnd"/>
            <w:r w:rsidRPr="00CC2819">
              <w:rPr>
                <w:rFonts w:ascii="Times New Roman" w:hAnsi="Times New Roman"/>
                <w:sz w:val="20"/>
                <w:szCs w:val="20"/>
                <w:lang w:val="fr-FR" w:eastAsia="ru-RU"/>
              </w:rPr>
              <w:t xml:space="preserve"> și </w:t>
            </w:r>
            <w:proofErr w:type="spellStart"/>
            <w:r w:rsidRPr="00CC2819">
              <w:rPr>
                <w:rFonts w:ascii="Times New Roman" w:hAnsi="Times New Roman"/>
                <w:sz w:val="20"/>
                <w:szCs w:val="20"/>
                <w:lang w:val="fr-FR" w:eastAsia="ru-RU"/>
              </w:rPr>
              <w:t>alte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lastRenderedPageBreak/>
              <w:t>părți</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interesate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vizate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precum</w:t>
            </w:r>
            <w:proofErr w:type="spellEnd"/>
            <w:r w:rsidRPr="00CC2819">
              <w:rPr>
                <w:rFonts w:ascii="Times New Roman" w:hAnsi="Times New Roman"/>
                <w:sz w:val="20"/>
                <w:szCs w:val="20"/>
                <w:lang w:val="fr-FR" w:eastAsia="ru-RU"/>
              </w:rPr>
              <w:t xml:space="preserve"> și </w:t>
            </w:r>
            <w:proofErr w:type="spellStart"/>
            <w:r w:rsidRPr="00CC2819">
              <w:rPr>
                <w:rFonts w:ascii="Times New Roman" w:hAnsi="Times New Roman"/>
                <w:sz w:val="20"/>
                <w:szCs w:val="20"/>
                <w:lang w:val="fr-FR" w:eastAsia="ru-RU"/>
              </w:rPr>
              <w:t>publicul</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larg</w:t>
            </w:r>
            <w:proofErr w:type="spellEnd"/>
            <w:r w:rsidRPr="00CC2819">
              <w:rPr>
                <w:rFonts w:ascii="Times New Roman" w:hAnsi="Times New Roman"/>
                <w:sz w:val="20"/>
                <w:szCs w:val="20"/>
                <w:lang w:val="fr-FR" w:eastAsia="ru-RU"/>
              </w:rPr>
              <w:t xml:space="preserve"> pot participa </w:t>
            </w:r>
            <w:proofErr w:type="spellStart"/>
            <w:r w:rsidRPr="00CC2819">
              <w:rPr>
                <w:rFonts w:ascii="Times New Roman" w:hAnsi="Times New Roman"/>
                <w:sz w:val="20"/>
                <w:szCs w:val="20"/>
                <w:lang w:val="fr-FR" w:eastAsia="ru-RU"/>
              </w:rPr>
              <w:t>activ</w:t>
            </w:r>
            <w:proofErr w:type="spellEnd"/>
            <w:r w:rsidRPr="00CC2819">
              <w:rPr>
                <w:rFonts w:ascii="Times New Roman" w:hAnsi="Times New Roman"/>
                <w:sz w:val="20"/>
                <w:szCs w:val="20"/>
                <w:lang w:val="fr-FR" w:eastAsia="ru-RU"/>
              </w:rPr>
              <w:t xml:space="preserve"> și discuta </w:t>
            </w:r>
            <w:proofErr w:type="spellStart"/>
            <w:r w:rsidRPr="00CC2819">
              <w:rPr>
                <w:rFonts w:ascii="Times New Roman" w:hAnsi="Times New Roman"/>
                <w:sz w:val="20"/>
                <w:szCs w:val="20"/>
                <w:lang w:val="fr-FR" w:eastAsia="ru-RU"/>
              </w:rPr>
              <w:t>diferitele</w:t>
            </w:r>
            <w:proofErr w:type="spellEnd"/>
            <w:r w:rsidRPr="00CC2819">
              <w:rPr>
                <w:rFonts w:ascii="Times New Roman" w:hAnsi="Times New Roman"/>
                <w:sz w:val="20"/>
                <w:szCs w:val="20"/>
                <w:lang w:val="fr-FR" w:eastAsia="ru-RU"/>
              </w:rPr>
              <w:t xml:space="preserve"> scenarii </w:t>
            </w:r>
            <w:proofErr w:type="spellStart"/>
            <w:r w:rsidRPr="00CC2819">
              <w:rPr>
                <w:rFonts w:ascii="Times New Roman" w:hAnsi="Times New Roman"/>
                <w:sz w:val="20"/>
                <w:szCs w:val="20"/>
                <w:lang w:val="fr-FR" w:eastAsia="ru-RU"/>
              </w:rPr>
              <w:t>preconizate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pentru</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politicile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privind</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energia</w:t>
            </w:r>
            <w:proofErr w:type="spellEnd"/>
            <w:r w:rsidRPr="00CC2819">
              <w:rPr>
                <w:rFonts w:ascii="Times New Roman" w:hAnsi="Times New Roman"/>
                <w:sz w:val="20"/>
                <w:szCs w:val="20"/>
                <w:lang w:val="fr-FR" w:eastAsia="ru-RU"/>
              </w:rPr>
              <w:t xml:space="preserve"> și </w:t>
            </w:r>
            <w:proofErr w:type="spellStart"/>
            <w:r w:rsidRPr="00CC2819">
              <w:rPr>
                <w:rFonts w:ascii="Times New Roman" w:hAnsi="Times New Roman"/>
                <w:sz w:val="20"/>
                <w:szCs w:val="20"/>
                <w:lang w:val="fr-FR" w:eastAsia="ru-RU"/>
              </w:rPr>
              <w:t>clima</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inclusiv</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pentru</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cele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termen</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lung</w:t>
            </w:r>
            <w:proofErr w:type="spellEnd"/>
            <w:r w:rsidRPr="00CC2819">
              <w:rPr>
                <w:rFonts w:ascii="Times New Roman" w:hAnsi="Times New Roman"/>
                <w:sz w:val="20"/>
                <w:szCs w:val="20"/>
                <w:lang w:val="fr-FR" w:eastAsia="ru-RU"/>
              </w:rPr>
              <w:t xml:space="preserve">, și </w:t>
            </w:r>
            <w:proofErr w:type="spellStart"/>
            <w:r w:rsidRPr="00CC2819">
              <w:rPr>
                <w:rFonts w:ascii="Times New Roman" w:hAnsi="Times New Roman"/>
                <w:sz w:val="20"/>
                <w:szCs w:val="20"/>
                <w:lang w:val="fr-FR" w:eastAsia="ru-RU"/>
              </w:rPr>
              <w:t>să</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analizeze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progresele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realizate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cu</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excepția</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cazului</w:t>
            </w:r>
            <w:proofErr w:type="spellEnd"/>
            <w:r w:rsidRPr="00CC2819">
              <w:rPr>
                <w:rFonts w:ascii="Times New Roman" w:hAnsi="Times New Roman"/>
                <w:sz w:val="20"/>
                <w:szCs w:val="20"/>
                <w:lang w:val="fr-FR" w:eastAsia="ru-RU"/>
              </w:rPr>
              <w:t xml:space="preserve"> în care au </w:t>
            </w:r>
            <w:proofErr w:type="spellStart"/>
            <w:r w:rsidRPr="00CC2819">
              <w:rPr>
                <w:rFonts w:ascii="Times New Roman" w:hAnsi="Times New Roman"/>
                <w:sz w:val="20"/>
                <w:szCs w:val="20"/>
                <w:lang w:val="fr-FR" w:eastAsia="ru-RU"/>
              </w:rPr>
              <w:t>deja</w:t>
            </w:r>
            <w:proofErr w:type="spellEnd"/>
            <w:r w:rsidRPr="00CC2819">
              <w:rPr>
                <w:rFonts w:ascii="Times New Roman" w:hAnsi="Times New Roman"/>
                <w:sz w:val="20"/>
                <w:szCs w:val="20"/>
                <w:lang w:val="fr-FR" w:eastAsia="ru-RU"/>
              </w:rPr>
              <w:t xml:space="preserve"> o </w:t>
            </w:r>
            <w:proofErr w:type="spellStart"/>
            <w:r w:rsidRPr="00CC2819">
              <w:rPr>
                <w:rFonts w:ascii="Times New Roman" w:hAnsi="Times New Roman"/>
                <w:sz w:val="20"/>
                <w:szCs w:val="20"/>
                <w:lang w:val="fr-FR" w:eastAsia="ru-RU"/>
              </w:rPr>
              <w:t>structură</w:t>
            </w:r>
            <w:proofErr w:type="spellEnd"/>
            <w:r w:rsidRPr="00CC2819">
              <w:rPr>
                <w:rFonts w:ascii="Times New Roman" w:hAnsi="Times New Roman"/>
                <w:sz w:val="20"/>
                <w:szCs w:val="20"/>
                <w:lang w:val="fr-FR" w:eastAsia="ru-RU"/>
              </w:rPr>
              <w:t xml:space="preserve"> care </w:t>
            </w:r>
            <w:proofErr w:type="spellStart"/>
            <w:r w:rsidRPr="00CC2819">
              <w:rPr>
                <w:rFonts w:ascii="Times New Roman" w:hAnsi="Times New Roman"/>
                <w:sz w:val="20"/>
                <w:szCs w:val="20"/>
                <w:lang w:val="fr-FR" w:eastAsia="ru-RU"/>
              </w:rPr>
              <w:t>îndeplinește</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această</w:t>
            </w:r>
            <w:proofErr w:type="spellEnd"/>
            <w:r w:rsidRPr="00CC2819">
              <w:rPr>
                <w:rFonts w:ascii="Times New Roman" w:hAnsi="Times New Roman"/>
                <w:sz w:val="20"/>
                <w:szCs w:val="20"/>
                <w:lang w:val="fr-FR" w:eastAsia="ru-RU"/>
              </w:rPr>
              <w:t xml:space="preserve"> </w:t>
            </w:r>
            <w:proofErr w:type="spellStart"/>
            <w:r w:rsidRPr="00CC2819">
              <w:rPr>
                <w:rFonts w:ascii="Times New Roman" w:hAnsi="Times New Roman"/>
                <w:sz w:val="20"/>
                <w:szCs w:val="20"/>
                <w:lang w:val="fr-FR" w:eastAsia="ru-RU"/>
              </w:rPr>
              <w:t>funcție</w:t>
            </w:r>
            <w:proofErr w:type="spellEnd"/>
            <w:r w:rsidRPr="00CC2819">
              <w:rPr>
                <w:rFonts w:ascii="Times New Roman" w:hAnsi="Times New Roman"/>
                <w:sz w:val="20"/>
                <w:szCs w:val="20"/>
                <w:lang w:val="fr-FR" w:eastAsia="ru-RU"/>
              </w:rPr>
              <w:t xml:space="preserve">. </w:t>
            </w:r>
            <w:r w:rsidRPr="00CC2819">
              <w:rPr>
                <w:rFonts w:ascii="Times New Roman" w:hAnsi="Times New Roman"/>
                <w:sz w:val="20"/>
                <w:szCs w:val="20"/>
                <w:lang w:val="en-US" w:eastAsia="ru-RU"/>
              </w:rPr>
              <w:t xml:space="preserve">În </w:t>
            </w:r>
            <w:proofErr w:type="spellStart"/>
            <w:r w:rsidRPr="00CC2819">
              <w:rPr>
                <w:rFonts w:ascii="Times New Roman" w:hAnsi="Times New Roman"/>
                <w:sz w:val="20"/>
                <w:szCs w:val="20"/>
                <w:lang w:val="en-US" w:eastAsia="ru-RU"/>
              </w:rPr>
              <w:t>cadrul</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acestui</w:t>
            </w:r>
            <w:proofErr w:type="spellEnd"/>
            <w:r w:rsidRPr="00CC2819">
              <w:rPr>
                <w:rFonts w:ascii="Times New Roman" w:hAnsi="Times New Roman"/>
                <w:sz w:val="20"/>
                <w:szCs w:val="20"/>
                <w:lang w:val="en-US" w:eastAsia="ru-RU"/>
              </w:rPr>
              <w:t xml:space="preserve"> dialog pot fi </w:t>
            </w:r>
            <w:proofErr w:type="spellStart"/>
            <w:r w:rsidRPr="00CC2819">
              <w:rPr>
                <w:rFonts w:ascii="Times New Roman" w:hAnsi="Times New Roman"/>
                <w:sz w:val="20"/>
                <w:szCs w:val="20"/>
                <w:lang w:val="en-US" w:eastAsia="ru-RU"/>
              </w:rPr>
              <w:t>discutate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planurile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naționale</w:t>
            </w:r>
            <w:proofErr w:type="spellEnd"/>
            <w:r w:rsidRPr="00CC2819">
              <w:rPr>
                <w:rFonts w:ascii="Times New Roman" w:hAnsi="Times New Roman"/>
                <w:sz w:val="20"/>
                <w:szCs w:val="20"/>
                <w:lang w:val="en-US" w:eastAsia="ru-RU"/>
              </w:rPr>
              <w:t xml:space="preserve"> integrate </w:t>
            </w:r>
            <w:proofErr w:type="spellStart"/>
            <w:r w:rsidRPr="00CC2819">
              <w:rPr>
                <w:rFonts w:ascii="Times New Roman" w:hAnsi="Times New Roman"/>
                <w:sz w:val="20"/>
                <w:szCs w:val="20"/>
                <w:lang w:val="en-US" w:eastAsia="ru-RU"/>
              </w:rPr>
              <w:t>privind</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energia</w:t>
            </w:r>
            <w:proofErr w:type="spellEnd"/>
            <w:r w:rsidRPr="00CC2819">
              <w:rPr>
                <w:rFonts w:ascii="Times New Roman" w:hAnsi="Times New Roman"/>
                <w:sz w:val="20"/>
                <w:szCs w:val="20"/>
                <w:lang w:val="en-US" w:eastAsia="ru-RU"/>
              </w:rPr>
              <w:t xml:space="preserve"> și </w:t>
            </w:r>
            <w:proofErr w:type="spellStart"/>
            <w:r w:rsidRPr="00CC2819">
              <w:rPr>
                <w:rFonts w:ascii="Times New Roman" w:hAnsi="Times New Roman"/>
                <w:sz w:val="20"/>
                <w:szCs w:val="20"/>
                <w:lang w:val="en-US" w:eastAsia="ru-RU"/>
              </w:rPr>
              <w:t>clima</w:t>
            </w:r>
            <w:proofErr w:type="spellEnd"/>
            <w:r w:rsidRPr="00CC2819">
              <w:rPr>
                <w:rFonts w:ascii="Times New Roman" w:hAnsi="Times New Roman"/>
                <w:sz w:val="20"/>
                <w:szCs w:val="20"/>
                <w:lang w:val="en-US" w:eastAsia="ru-RU"/>
              </w:rPr>
              <w:t>.</w:t>
            </w:r>
          </w:p>
          <w:p w14:paraId="420917E8" w14:textId="75567F13" w:rsidR="00B17D76" w:rsidRPr="00B17D76" w:rsidRDefault="00000000" w:rsidP="0064623B">
            <w:pPr>
              <w:spacing w:after="0" w:line="240" w:lineRule="auto"/>
              <w:jc w:val="both"/>
              <w:rPr>
                <w:rFonts w:ascii="Times New Roman" w:hAnsi="Times New Roman"/>
                <w:sz w:val="20"/>
                <w:szCs w:val="20"/>
                <w:lang w:val="en-US" w:eastAsia="ru-RU"/>
              </w:rPr>
            </w:pPr>
            <w:hyperlink r:id="rId24" w:tooltip="32018R1999" w:history="1">
              <w:r w:rsidR="00B17D76" w:rsidRPr="00B17D76">
                <w:rPr>
                  <w:rStyle w:val="af6"/>
                  <w:rFonts w:ascii="Times New Roman" w:eastAsia="Arial Unicode MS" w:hAnsi="Times New Roman"/>
                  <w:b/>
                  <w:bCs/>
                  <w:color w:val="23527C"/>
                  <w:sz w:val="20"/>
                  <w:szCs w:val="20"/>
                  <w:shd w:val="clear" w:color="auto" w:fill="FFFFFF"/>
                </w:rPr>
                <w:t>▼B</w:t>
              </w:r>
            </w:hyperlink>
          </w:p>
        </w:tc>
        <w:tc>
          <w:tcPr>
            <w:tcW w:w="4440" w:type="dxa"/>
          </w:tcPr>
          <w:p w14:paraId="71E6F06D" w14:textId="53D0FED0" w:rsidR="00A75AA1" w:rsidRPr="00DB202B" w:rsidRDefault="00A75AA1" w:rsidP="00DB202B">
            <w:pPr>
              <w:shd w:val="clear" w:color="auto" w:fill="FFFFFF"/>
              <w:suppressAutoHyphens w:val="0"/>
              <w:autoSpaceDN/>
              <w:spacing w:after="0" w:line="240" w:lineRule="auto"/>
              <w:jc w:val="both"/>
              <w:textAlignment w:val="auto"/>
              <w:rPr>
                <w:rFonts w:ascii="Times New Roman" w:eastAsia="Times New Roman" w:hAnsi="Times New Roman"/>
                <w:b/>
                <w:sz w:val="20"/>
                <w:szCs w:val="20"/>
                <w:lang w:val="ro-RO" w:eastAsia="ru-RU"/>
              </w:rPr>
            </w:pPr>
          </w:p>
        </w:tc>
        <w:tc>
          <w:tcPr>
            <w:tcW w:w="1276" w:type="dxa"/>
          </w:tcPr>
          <w:p w14:paraId="43A27AEF" w14:textId="047F3A0D" w:rsidR="00D37AB7" w:rsidRPr="0064623B" w:rsidRDefault="0064623B" w:rsidP="00D37AB7">
            <w:pPr>
              <w:pStyle w:val="ColorfulList-Accent11"/>
              <w:spacing w:after="0" w:line="240" w:lineRule="auto"/>
              <w:ind w:left="0"/>
              <w:jc w:val="both"/>
              <w:rPr>
                <w:rFonts w:ascii="Times New Roman" w:hAnsi="Times New Roman"/>
                <w:sz w:val="20"/>
                <w:szCs w:val="20"/>
                <w:lang w:val="fr-FR"/>
              </w:rPr>
            </w:pPr>
            <w:proofErr w:type="spellStart"/>
            <w:r w:rsidRPr="0064623B">
              <w:rPr>
                <w:rFonts w:ascii="Times New Roman" w:hAnsi="Times New Roman"/>
                <w:sz w:val="20"/>
                <w:szCs w:val="20"/>
                <w:lang w:val="fr-FR"/>
              </w:rPr>
              <w:t>Compatibil</w:t>
            </w:r>
            <w:proofErr w:type="spellEnd"/>
          </w:p>
        </w:tc>
        <w:tc>
          <w:tcPr>
            <w:tcW w:w="1276" w:type="dxa"/>
          </w:tcPr>
          <w:p w14:paraId="4B530E0C" w14:textId="77777777" w:rsidR="00D37AB7" w:rsidRPr="0064623B" w:rsidRDefault="00D37AB7" w:rsidP="00D37AB7">
            <w:pPr>
              <w:pStyle w:val="ColorfulList-Accent11"/>
              <w:spacing w:after="0" w:line="240" w:lineRule="auto"/>
              <w:ind w:left="0"/>
              <w:jc w:val="both"/>
              <w:rPr>
                <w:lang w:val="fr-FR"/>
              </w:rPr>
            </w:pPr>
          </w:p>
        </w:tc>
        <w:tc>
          <w:tcPr>
            <w:tcW w:w="1701" w:type="dxa"/>
          </w:tcPr>
          <w:p w14:paraId="39F1E443" w14:textId="295F0C4C" w:rsidR="005E18E5" w:rsidRDefault="005E18E5" w:rsidP="005E18E5">
            <w:pPr>
              <w:autoSpaceDE w:val="0"/>
              <w:spacing w:after="0" w:line="240" w:lineRule="auto"/>
              <w:rPr>
                <w:rFonts w:ascii="Times New Roman" w:eastAsia="Times New Roman" w:hAnsi="Times New Roman"/>
                <w:bCs/>
                <w:sz w:val="20"/>
                <w:szCs w:val="20"/>
                <w:lang w:val="ro-MD"/>
              </w:rPr>
            </w:pPr>
            <w:r>
              <w:rPr>
                <w:rFonts w:ascii="Times New Roman" w:hAnsi="Times New Roman"/>
                <w:sz w:val="20"/>
                <w:szCs w:val="20"/>
                <w:lang w:val="ro-RO"/>
              </w:rPr>
              <w:t>Prevederile referitoare la desfășurarea unui dialog pe mai multe niveluri sunt transpuse în art.7</w:t>
            </w:r>
            <w:r w:rsidRPr="00D41F36">
              <w:rPr>
                <w:rFonts w:ascii="Times New Roman" w:hAnsi="Times New Roman"/>
                <w:sz w:val="20"/>
                <w:szCs w:val="20"/>
                <w:vertAlign w:val="superscript"/>
                <w:lang w:val="ro-RO"/>
              </w:rPr>
              <w:t>4</w:t>
            </w:r>
            <w:r>
              <w:rPr>
                <w:rFonts w:ascii="Times New Roman" w:eastAsia="Times New Roman" w:hAnsi="Times New Roman"/>
                <w:bCs/>
                <w:sz w:val="20"/>
                <w:szCs w:val="20"/>
                <w:lang w:val="ro-MD"/>
              </w:rPr>
              <w:t xml:space="preserve"> din </w:t>
            </w:r>
            <w:r w:rsidRPr="00860B9C">
              <w:rPr>
                <w:rFonts w:ascii="Times New Roman" w:eastAsia="Times New Roman" w:hAnsi="Times New Roman"/>
                <w:bCs/>
                <w:sz w:val="20"/>
                <w:szCs w:val="20"/>
                <w:lang w:val="ro-MD"/>
              </w:rPr>
              <w:t xml:space="preserve">Legea </w:t>
            </w:r>
            <w:r w:rsidRPr="00860B9C">
              <w:rPr>
                <w:rFonts w:ascii="Times New Roman" w:eastAsia="Times New Roman" w:hAnsi="Times New Roman"/>
                <w:bCs/>
                <w:sz w:val="20"/>
                <w:szCs w:val="20"/>
                <w:lang w:val="ro-MD"/>
              </w:rPr>
              <w:lastRenderedPageBreak/>
              <w:t>nr.174/2017 cu privire la energetică</w:t>
            </w:r>
            <w:r>
              <w:rPr>
                <w:rFonts w:ascii="Times New Roman" w:eastAsia="Times New Roman" w:hAnsi="Times New Roman"/>
                <w:bCs/>
                <w:sz w:val="20"/>
                <w:szCs w:val="20"/>
                <w:lang w:val="ro-MD"/>
              </w:rPr>
              <w:t>.</w:t>
            </w:r>
          </w:p>
          <w:p w14:paraId="0EC3BFC1" w14:textId="77777777" w:rsidR="004C01A1" w:rsidRDefault="004C01A1" w:rsidP="005E18E5">
            <w:pPr>
              <w:autoSpaceDE w:val="0"/>
              <w:spacing w:after="0" w:line="240" w:lineRule="auto"/>
              <w:rPr>
                <w:rFonts w:ascii="Times New Roman" w:eastAsia="Times New Roman" w:hAnsi="Times New Roman"/>
                <w:bCs/>
                <w:sz w:val="20"/>
                <w:szCs w:val="20"/>
                <w:lang w:val="ro-MD"/>
              </w:rPr>
            </w:pPr>
          </w:p>
          <w:p w14:paraId="07162A08" w14:textId="28BE86B6"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pct.99 din</w:t>
            </w:r>
            <w:r>
              <w:rPr>
                <w:rFonts w:ascii="Times New Roman" w:eastAsia="Times New Roman" w:hAnsi="Times New Roman"/>
                <w:sz w:val="20"/>
                <w:szCs w:val="20"/>
                <w:lang w:val="ro-RO" w:eastAsia="ru-RU"/>
              </w:rPr>
              <w:t xml:space="preserve"> </w:t>
            </w:r>
          </w:p>
          <w:p w14:paraId="4C4EB96D" w14:textId="4233AF18" w:rsidR="00D37AB7" w:rsidRPr="004C01A1" w:rsidRDefault="004C01A1" w:rsidP="004C01A1">
            <w:pPr>
              <w:autoSpaceDE w:val="0"/>
              <w:spacing w:after="0" w:line="240" w:lineRule="auto"/>
              <w:rPr>
                <w:rFonts w:ascii="Times New Roman" w:hAnsi="Times New Roman"/>
                <w:sz w:val="20"/>
                <w:szCs w:val="20"/>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70B4D37E" w14:textId="77777777" w:rsidR="00D37AB7" w:rsidRDefault="0064623B" w:rsidP="00CC2819">
            <w:pPr>
              <w:autoSpaceDE w:val="0"/>
              <w:spacing w:after="0" w:line="240" w:lineRule="auto"/>
              <w:rPr>
                <w:rFonts w:ascii="Times New Roman" w:hAnsi="Times New Roman"/>
                <w:sz w:val="20"/>
                <w:szCs w:val="20"/>
                <w:lang w:val="fr-FR"/>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p>
          <w:p w14:paraId="6422877A" w14:textId="77777777" w:rsidR="00CC2819" w:rsidRPr="003F755D" w:rsidRDefault="00CC2819" w:rsidP="00CC2819">
            <w:pPr>
              <w:autoSpaceDE w:val="0"/>
              <w:spacing w:after="0" w:line="240" w:lineRule="auto"/>
              <w:rPr>
                <w:rFonts w:ascii="Times New Roman" w:hAnsi="Times New Roman"/>
                <w:sz w:val="20"/>
                <w:szCs w:val="20"/>
                <w:shd w:val="clear" w:color="auto" w:fill="FFFFFF"/>
                <w:lang w:val="ro-RO"/>
              </w:rPr>
            </w:pPr>
            <w:r w:rsidRPr="00A81801">
              <w:rPr>
                <w:rFonts w:ascii="Times New Roman" w:hAnsi="Times New Roman"/>
                <w:color w:val="000000" w:themeColor="text1"/>
                <w:sz w:val="20"/>
                <w:szCs w:val="20"/>
              </w:rPr>
              <w:t>Energiei</w:t>
            </w:r>
          </w:p>
          <w:p w14:paraId="032C66FD" w14:textId="16C18E81" w:rsidR="00CC2819" w:rsidRPr="0064623B" w:rsidRDefault="00CC2819" w:rsidP="00CC2819">
            <w:pPr>
              <w:autoSpaceDE w:val="0"/>
              <w:spacing w:after="0" w:line="240" w:lineRule="auto"/>
              <w:rPr>
                <w:lang w:val="fr-FR"/>
              </w:rPr>
            </w:pPr>
          </w:p>
        </w:tc>
      </w:tr>
      <w:tr w:rsidR="00D37AB7" w:rsidRPr="00674BAE" w14:paraId="6BA2F001" w14:textId="77777777" w:rsidTr="00A90105">
        <w:trPr>
          <w:trHeight w:val="423"/>
        </w:trPr>
        <w:tc>
          <w:tcPr>
            <w:tcW w:w="4945" w:type="dxa"/>
          </w:tcPr>
          <w:p w14:paraId="1A7059A4" w14:textId="77777777" w:rsidR="00D37AB7" w:rsidRPr="00CC2819" w:rsidRDefault="00D37AB7" w:rsidP="0064623B">
            <w:pPr>
              <w:spacing w:after="0" w:line="240" w:lineRule="auto"/>
              <w:jc w:val="center"/>
              <w:rPr>
                <w:rFonts w:ascii="Times New Roman" w:hAnsi="Times New Roman"/>
                <w:sz w:val="20"/>
                <w:szCs w:val="20"/>
                <w:lang w:val="en-US" w:eastAsia="ru-RU"/>
              </w:rPr>
            </w:pPr>
            <w:proofErr w:type="spellStart"/>
            <w:r w:rsidRPr="00CC2819">
              <w:rPr>
                <w:rFonts w:ascii="Times New Roman" w:hAnsi="Times New Roman"/>
                <w:sz w:val="20"/>
                <w:szCs w:val="20"/>
                <w:lang w:val="en-US" w:eastAsia="ru-RU"/>
              </w:rPr>
              <w:t>Articolul</w:t>
            </w:r>
            <w:proofErr w:type="spellEnd"/>
            <w:r w:rsidRPr="00CC2819">
              <w:rPr>
                <w:rFonts w:ascii="Times New Roman" w:hAnsi="Times New Roman"/>
                <w:sz w:val="20"/>
                <w:szCs w:val="20"/>
                <w:lang w:val="en-US" w:eastAsia="ru-RU"/>
              </w:rPr>
              <w:t xml:space="preserve"> 12</w:t>
            </w:r>
          </w:p>
          <w:p w14:paraId="632BB168" w14:textId="77777777" w:rsidR="00D37AB7" w:rsidRPr="00CC2819" w:rsidRDefault="00D37AB7" w:rsidP="0064623B">
            <w:pPr>
              <w:spacing w:after="0" w:line="240" w:lineRule="auto"/>
              <w:jc w:val="center"/>
              <w:rPr>
                <w:rFonts w:ascii="Times New Roman" w:hAnsi="Times New Roman"/>
                <w:b/>
                <w:bCs/>
                <w:sz w:val="20"/>
                <w:szCs w:val="20"/>
                <w:lang w:val="en-US" w:eastAsia="ru-RU"/>
              </w:rPr>
            </w:pPr>
            <w:proofErr w:type="spellStart"/>
            <w:r w:rsidRPr="00CC2819">
              <w:rPr>
                <w:rFonts w:ascii="Times New Roman" w:hAnsi="Times New Roman"/>
                <w:b/>
                <w:bCs/>
                <w:sz w:val="20"/>
                <w:szCs w:val="20"/>
                <w:lang w:val="en-US" w:eastAsia="ru-RU"/>
              </w:rPr>
              <w:t>Cooperarea</w:t>
            </w:r>
            <w:proofErr w:type="spellEnd"/>
            <w:r w:rsidRPr="00CC2819">
              <w:rPr>
                <w:rFonts w:ascii="Times New Roman" w:hAnsi="Times New Roman"/>
                <w:b/>
                <w:bCs/>
                <w:sz w:val="20"/>
                <w:szCs w:val="20"/>
                <w:lang w:val="en-US" w:eastAsia="ru-RU"/>
              </w:rPr>
              <w:t xml:space="preserve"> </w:t>
            </w:r>
            <w:proofErr w:type="spellStart"/>
            <w:r w:rsidRPr="00CC2819">
              <w:rPr>
                <w:rFonts w:ascii="Times New Roman" w:hAnsi="Times New Roman"/>
                <w:b/>
                <w:bCs/>
                <w:sz w:val="20"/>
                <w:szCs w:val="20"/>
                <w:lang w:val="en-US" w:eastAsia="ru-RU"/>
              </w:rPr>
              <w:t>regională</w:t>
            </w:r>
            <w:proofErr w:type="spellEnd"/>
          </w:p>
          <w:p w14:paraId="1E41D1E7" w14:textId="7A464406" w:rsidR="00D37AB7" w:rsidRPr="00CC2819" w:rsidRDefault="00D37AB7" w:rsidP="0064623B">
            <w:pPr>
              <w:spacing w:after="0" w:line="240" w:lineRule="auto"/>
              <w:jc w:val="both"/>
              <w:rPr>
                <w:rFonts w:ascii="Times New Roman" w:hAnsi="Times New Roman"/>
                <w:sz w:val="20"/>
                <w:szCs w:val="20"/>
                <w:lang w:val="en-US" w:eastAsia="ru-RU"/>
              </w:rPr>
            </w:pPr>
            <w:r w:rsidRPr="00CC2819">
              <w:rPr>
                <w:rFonts w:ascii="Times New Roman" w:hAnsi="Times New Roman"/>
                <w:sz w:val="20"/>
                <w:szCs w:val="20"/>
                <w:lang w:val="en-US" w:eastAsia="ru-RU"/>
              </w:rPr>
              <w:t>(</w:t>
            </w:r>
            <w:proofErr w:type="gramStart"/>
            <w:r w:rsidRPr="00CC2819">
              <w:rPr>
                <w:rFonts w:ascii="Times New Roman" w:hAnsi="Times New Roman"/>
                <w:sz w:val="20"/>
                <w:szCs w:val="20"/>
                <w:lang w:val="en-US" w:eastAsia="ru-RU"/>
              </w:rPr>
              <w:t>1)</w:t>
            </w:r>
            <w:proofErr w:type="spellStart"/>
            <w:r w:rsidRPr="00CC2819">
              <w:rPr>
                <w:rFonts w:ascii="Times New Roman" w:hAnsi="Times New Roman"/>
                <w:sz w:val="20"/>
                <w:szCs w:val="20"/>
                <w:lang w:val="en-US" w:eastAsia="ru-RU"/>
              </w:rPr>
              <w:t>Statele</w:t>
            </w:r>
            <w:proofErr w:type="spellEnd"/>
            <w:proofErr w:type="gram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membre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cooperează</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între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ele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ținând</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seama</w:t>
            </w:r>
            <w:proofErr w:type="spellEnd"/>
            <w:r w:rsidRPr="00CC2819">
              <w:rPr>
                <w:rFonts w:ascii="Times New Roman" w:hAnsi="Times New Roman"/>
                <w:sz w:val="20"/>
                <w:szCs w:val="20"/>
                <w:lang w:val="en-US" w:eastAsia="ru-RU"/>
              </w:rPr>
              <w:t xml:space="preserve"> de </w:t>
            </w:r>
            <w:proofErr w:type="spellStart"/>
            <w:r w:rsidRPr="00CC2819">
              <w:rPr>
                <w:rFonts w:ascii="Times New Roman" w:hAnsi="Times New Roman"/>
                <w:sz w:val="20"/>
                <w:szCs w:val="20"/>
                <w:lang w:val="en-US" w:eastAsia="ru-RU"/>
              </w:rPr>
              <w:t>toate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formele</w:t>
            </w:r>
            <w:proofErr w:type="spellEnd"/>
            <w:r w:rsidRPr="00CC2819">
              <w:rPr>
                <w:rFonts w:ascii="Times New Roman" w:hAnsi="Times New Roman"/>
                <w:sz w:val="20"/>
                <w:szCs w:val="20"/>
                <w:lang w:val="en-US" w:eastAsia="ru-RU"/>
              </w:rPr>
              <w:t xml:space="preserve"> de </w:t>
            </w:r>
            <w:proofErr w:type="spellStart"/>
            <w:r w:rsidRPr="00CC2819">
              <w:rPr>
                <w:rFonts w:ascii="Times New Roman" w:hAnsi="Times New Roman"/>
                <w:sz w:val="20"/>
                <w:szCs w:val="20"/>
                <w:lang w:val="en-US" w:eastAsia="ru-RU"/>
              </w:rPr>
              <w:t>cooperare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regională</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existente</w:t>
            </w:r>
            <w:proofErr w:type="spellEnd"/>
            <w:r w:rsidRPr="00CC2819">
              <w:rPr>
                <w:rFonts w:ascii="Times New Roman" w:hAnsi="Times New Roman"/>
                <w:sz w:val="20"/>
                <w:szCs w:val="20"/>
                <w:lang w:val="en-US" w:eastAsia="ru-RU"/>
              </w:rPr>
              <w:t xml:space="preserve"> și </w:t>
            </w:r>
            <w:proofErr w:type="spellStart"/>
            <w:r w:rsidRPr="00CC2819">
              <w:rPr>
                <w:rFonts w:ascii="Times New Roman" w:hAnsi="Times New Roman"/>
                <w:sz w:val="20"/>
                <w:szCs w:val="20"/>
                <w:lang w:val="en-US" w:eastAsia="ru-RU"/>
              </w:rPr>
              <w:t>potențiale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pentru</w:t>
            </w:r>
            <w:proofErr w:type="spellEnd"/>
            <w:r w:rsidRPr="00CC2819">
              <w:rPr>
                <w:rFonts w:ascii="Times New Roman" w:hAnsi="Times New Roman"/>
                <w:sz w:val="20"/>
                <w:szCs w:val="20"/>
                <w:lang w:val="en-US" w:eastAsia="ru-RU"/>
              </w:rPr>
              <w:t xml:space="preserve"> a </w:t>
            </w:r>
            <w:proofErr w:type="spellStart"/>
            <w:r w:rsidRPr="00CC2819">
              <w:rPr>
                <w:rFonts w:ascii="Times New Roman" w:hAnsi="Times New Roman"/>
                <w:sz w:val="20"/>
                <w:szCs w:val="20"/>
                <w:lang w:val="en-US" w:eastAsia="ru-RU"/>
              </w:rPr>
              <w:t>realiza</w:t>
            </w:r>
            <w:proofErr w:type="spellEnd"/>
            <w:r w:rsidRPr="00CC2819">
              <w:rPr>
                <w:rFonts w:ascii="Times New Roman" w:hAnsi="Times New Roman"/>
                <w:sz w:val="20"/>
                <w:szCs w:val="20"/>
                <w:lang w:val="en-US" w:eastAsia="ru-RU"/>
              </w:rPr>
              <w:t xml:space="preserve"> în mod </w:t>
            </w:r>
            <w:proofErr w:type="spellStart"/>
            <w:r w:rsidRPr="00CC2819">
              <w:rPr>
                <w:rFonts w:ascii="Times New Roman" w:hAnsi="Times New Roman"/>
                <w:sz w:val="20"/>
                <w:szCs w:val="20"/>
                <w:lang w:val="en-US" w:eastAsia="ru-RU"/>
              </w:rPr>
              <w:t>eficace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obiectivele</w:t>
            </w:r>
            <w:proofErr w:type="spellEnd"/>
            <w:r w:rsidRPr="00CC2819">
              <w:rPr>
                <w:rFonts w:ascii="Times New Roman" w:hAnsi="Times New Roman"/>
                <w:sz w:val="20"/>
                <w:szCs w:val="20"/>
                <w:lang w:val="en-US" w:eastAsia="ru-RU"/>
              </w:rPr>
              <w:t xml:space="preserve"> și </w:t>
            </w:r>
            <w:proofErr w:type="spellStart"/>
            <w:r w:rsidRPr="00CC2819">
              <w:rPr>
                <w:rFonts w:ascii="Times New Roman" w:hAnsi="Times New Roman"/>
                <w:sz w:val="20"/>
                <w:szCs w:val="20"/>
                <w:lang w:val="en-US" w:eastAsia="ru-RU"/>
              </w:rPr>
              <w:t>contribuțiile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stabilite</w:t>
            </w:r>
            <w:proofErr w:type="spellEnd"/>
            <w:r w:rsidRPr="00CC2819">
              <w:rPr>
                <w:rFonts w:ascii="Times New Roman" w:hAnsi="Times New Roman"/>
                <w:sz w:val="20"/>
                <w:szCs w:val="20"/>
                <w:lang w:val="en-US" w:eastAsia="ru-RU"/>
              </w:rPr>
              <w:t xml:space="preserve"> în </w:t>
            </w:r>
            <w:proofErr w:type="spellStart"/>
            <w:r w:rsidRPr="00CC2819">
              <w:rPr>
                <w:rFonts w:ascii="Times New Roman" w:hAnsi="Times New Roman"/>
                <w:sz w:val="20"/>
                <w:szCs w:val="20"/>
                <w:lang w:val="en-US" w:eastAsia="ru-RU"/>
              </w:rPr>
              <w:t>propriile</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planuri</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naționale</w:t>
            </w:r>
            <w:proofErr w:type="spellEnd"/>
            <w:r w:rsidRPr="00CC2819">
              <w:rPr>
                <w:rFonts w:ascii="Times New Roman" w:hAnsi="Times New Roman"/>
                <w:sz w:val="20"/>
                <w:szCs w:val="20"/>
                <w:lang w:val="en-US" w:eastAsia="ru-RU"/>
              </w:rPr>
              <w:t xml:space="preserve"> integrate </w:t>
            </w:r>
            <w:proofErr w:type="spellStart"/>
            <w:r w:rsidRPr="00CC2819">
              <w:rPr>
                <w:rFonts w:ascii="Times New Roman" w:hAnsi="Times New Roman"/>
                <w:sz w:val="20"/>
                <w:szCs w:val="20"/>
                <w:lang w:val="en-US" w:eastAsia="ru-RU"/>
              </w:rPr>
              <w:t>privind</w:t>
            </w:r>
            <w:proofErr w:type="spellEnd"/>
            <w:r w:rsidRPr="00CC2819">
              <w:rPr>
                <w:rFonts w:ascii="Times New Roman" w:hAnsi="Times New Roman"/>
                <w:sz w:val="20"/>
                <w:szCs w:val="20"/>
                <w:lang w:val="en-US" w:eastAsia="ru-RU"/>
              </w:rPr>
              <w:t xml:space="preserve"> </w:t>
            </w:r>
            <w:proofErr w:type="spellStart"/>
            <w:r w:rsidRPr="00CC2819">
              <w:rPr>
                <w:rFonts w:ascii="Times New Roman" w:hAnsi="Times New Roman"/>
                <w:sz w:val="20"/>
                <w:szCs w:val="20"/>
                <w:lang w:val="en-US" w:eastAsia="ru-RU"/>
              </w:rPr>
              <w:t>energia</w:t>
            </w:r>
            <w:proofErr w:type="spellEnd"/>
            <w:r w:rsidRPr="00CC2819">
              <w:rPr>
                <w:rFonts w:ascii="Times New Roman" w:hAnsi="Times New Roman"/>
                <w:sz w:val="20"/>
                <w:szCs w:val="20"/>
                <w:lang w:val="en-US" w:eastAsia="ru-RU"/>
              </w:rPr>
              <w:t xml:space="preserve"> și </w:t>
            </w:r>
            <w:proofErr w:type="spellStart"/>
            <w:r w:rsidRPr="00CC2819">
              <w:rPr>
                <w:rFonts w:ascii="Times New Roman" w:hAnsi="Times New Roman"/>
                <w:sz w:val="20"/>
                <w:szCs w:val="20"/>
                <w:lang w:val="en-US" w:eastAsia="ru-RU"/>
              </w:rPr>
              <w:t>clima</w:t>
            </w:r>
            <w:proofErr w:type="spellEnd"/>
            <w:r w:rsidRPr="00CC2819">
              <w:rPr>
                <w:rFonts w:ascii="Times New Roman" w:hAnsi="Times New Roman"/>
                <w:sz w:val="20"/>
                <w:szCs w:val="20"/>
                <w:lang w:val="en-US" w:eastAsia="ru-RU"/>
              </w:rPr>
              <w:t>.</w:t>
            </w:r>
          </w:p>
          <w:p w14:paraId="164B0BB0" w14:textId="77777777" w:rsidR="00D37AB7" w:rsidRPr="00CC2819" w:rsidRDefault="0064623B"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rPr>
              <w:t>(</w:t>
            </w:r>
            <w:proofErr w:type="gramStart"/>
            <w:r w:rsidRPr="00CC2819">
              <w:rPr>
                <w:rFonts w:ascii="Times New Roman" w:hAnsi="Times New Roman"/>
                <w:sz w:val="20"/>
                <w:szCs w:val="20"/>
                <w:shd w:val="clear" w:color="auto" w:fill="FFFFFF"/>
              </w:rPr>
              <w:t>2)Cu</w:t>
            </w:r>
            <w:proofErr w:type="gram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mult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înainte</w:t>
            </w:r>
            <w:proofErr w:type="spellEnd"/>
            <w:r w:rsidRPr="00CC2819">
              <w:rPr>
                <w:rFonts w:ascii="Times New Roman" w:hAnsi="Times New Roman"/>
                <w:sz w:val="20"/>
                <w:szCs w:val="20"/>
                <w:shd w:val="clear" w:color="auto" w:fill="FFFFFF"/>
              </w:rPr>
              <w:t xml:space="preserve"> de a prezenta </w:t>
            </w:r>
            <w:proofErr w:type="spellStart"/>
            <w:r w:rsidRPr="00CC2819">
              <w:rPr>
                <w:rFonts w:ascii="Times New Roman" w:hAnsi="Times New Roman"/>
                <w:sz w:val="20"/>
                <w:szCs w:val="20"/>
                <w:shd w:val="clear" w:color="auto" w:fill="FFFFFF"/>
              </w:rPr>
              <w:t>Comisiei</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proiectul</w:t>
            </w:r>
            <w:proofErr w:type="spellEnd"/>
            <w:r w:rsidRPr="00CC2819">
              <w:rPr>
                <w:rFonts w:ascii="Times New Roman" w:hAnsi="Times New Roman"/>
                <w:sz w:val="20"/>
                <w:szCs w:val="20"/>
                <w:shd w:val="clear" w:color="auto" w:fill="FFFFFF"/>
              </w:rPr>
              <w:t xml:space="preserve"> de plan </w:t>
            </w:r>
            <w:proofErr w:type="spellStart"/>
            <w:r w:rsidRPr="00CC2819">
              <w:rPr>
                <w:rFonts w:ascii="Times New Roman" w:hAnsi="Times New Roman"/>
                <w:sz w:val="20"/>
                <w:szCs w:val="20"/>
                <w:shd w:val="clear" w:color="auto" w:fill="FFFFFF"/>
              </w:rPr>
              <w:t>național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integrat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privind</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energia</w:t>
            </w:r>
            <w:proofErr w:type="spellEnd"/>
            <w:r w:rsidRPr="00CC2819">
              <w:rPr>
                <w:rFonts w:ascii="Times New Roman" w:hAnsi="Times New Roman"/>
                <w:sz w:val="20"/>
                <w:szCs w:val="20"/>
                <w:shd w:val="clear" w:color="auto" w:fill="FFFFFF"/>
              </w:rPr>
              <w:t xml:space="preserve"> și </w:t>
            </w:r>
            <w:proofErr w:type="spellStart"/>
            <w:r w:rsidRPr="00CC2819">
              <w:rPr>
                <w:rFonts w:ascii="Times New Roman" w:hAnsi="Times New Roman"/>
                <w:sz w:val="20"/>
                <w:szCs w:val="20"/>
                <w:shd w:val="clear" w:color="auto" w:fill="FFFFFF"/>
              </w:rPr>
              <w:t>clima</w:t>
            </w:r>
            <w:proofErr w:type="spellEnd"/>
            <w:r w:rsidRPr="00CC2819">
              <w:rPr>
                <w:rFonts w:ascii="Times New Roman" w:hAnsi="Times New Roman"/>
                <w:sz w:val="20"/>
                <w:szCs w:val="20"/>
                <w:shd w:val="clear" w:color="auto" w:fill="FFFFFF"/>
              </w:rPr>
              <w:t xml:space="preserve"> în conformitate cu </w:t>
            </w:r>
            <w:proofErr w:type="spellStart"/>
            <w:r w:rsidRPr="00CC2819">
              <w:rPr>
                <w:rFonts w:ascii="Times New Roman" w:hAnsi="Times New Roman"/>
                <w:sz w:val="20"/>
                <w:szCs w:val="20"/>
                <w:shd w:val="clear" w:color="auto" w:fill="FFFFFF"/>
              </w:rPr>
              <w:t>articolul</w:t>
            </w:r>
            <w:proofErr w:type="spellEnd"/>
            <w:r w:rsidRPr="00CC2819">
              <w:rPr>
                <w:rFonts w:ascii="Times New Roman" w:hAnsi="Times New Roman"/>
                <w:sz w:val="20"/>
                <w:szCs w:val="20"/>
                <w:shd w:val="clear" w:color="auto" w:fill="FFFFFF"/>
              </w:rPr>
              <w:t xml:space="preserve"> 9 </w:t>
            </w:r>
            <w:proofErr w:type="spellStart"/>
            <w:r w:rsidRPr="00CC2819">
              <w:rPr>
                <w:rFonts w:ascii="Times New Roman" w:hAnsi="Times New Roman"/>
                <w:sz w:val="20"/>
                <w:szCs w:val="20"/>
                <w:shd w:val="clear" w:color="auto" w:fill="FFFFFF"/>
              </w:rPr>
              <w:t>alineatul</w:t>
            </w:r>
            <w:proofErr w:type="spellEnd"/>
            <w:r w:rsidRPr="00CC2819">
              <w:rPr>
                <w:rFonts w:ascii="Times New Roman" w:hAnsi="Times New Roman"/>
                <w:sz w:val="20"/>
                <w:szCs w:val="20"/>
                <w:shd w:val="clear" w:color="auto" w:fill="FFFFFF"/>
              </w:rPr>
              <w:t xml:space="preserve"> (1) (în </w:t>
            </w:r>
            <w:proofErr w:type="spellStart"/>
            <w:r w:rsidRPr="00CC2819">
              <w:rPr>
                <w:rFonts w:ascii="Times New Roman" w:hAnsi="Times New Roman"/>
                <w:sz w:val="20"/>
                <w:szCs w:val="20"/>
                <w:shd w:val="clear" w:color="auto" w:fill="FFFFFF"/>
              </w:rPr>
              <w:t>ceea</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ce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privește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planurile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pentru</w:t>
            </w:r>
            <w:proofErr w:type="spellEnd"/>
            <w:r w:rsidRPr="00CC2819">
              <w:rPr>
                <w:rFonts w:ascii="Times New Roman" w:hAnsi="Times New Roman"/>
                <w:sz w:val="20"/>
                <w:szCs w:val="20"/>
                <w:shd w:val="clear" w:color="auto" w:fill="FFFFFF"/>
              </w:rPr>
              <w:t xml:space="preserve"> perioada 2021-2030, la </w:t>
            </w:r>
            <w:proofErr w:type="spellStart"/>
            <w:r w:rsidRPr="00CC2819">
              <w:rPr>
                <w:rFonts w:ascii="Times New Roman" w:hAnsi="Times New Roman"/>
                <w:sz w:val="20"/>
                <w:szCs w:val="20"/>
                <w:shd w:val="clear" w:color="auto" w:fill="FFFFFF"/>
              </w:rPr>
              <w:t>elaborarea</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planului</w:t>
            </w:r>
            <w:proofErr w:type="spellEnd"/>
            <w:r w:rsidRPr="00CC2819">
              <w:rPr>
                <w:rFonts w:ascii="Times New Roman" w:hAnsi="Times New Roman"/>
                <w:sz w:val="20"/>
                <w:szCs w:val="20"/>
                <w:shd w:val="clear" w:color="auto" w:fill="FFFFFF"/>
              </w:rPr>
              <w:t xml:space="preserve"> final, cu </w:t>
            </w:r>
            <w:proofErr w:type="spellStart"/>
            <w:r w:rsidRPr="00CC2819">
              <w:rPr>
                <w:rFonts w:ascii="Times New Roman" w:hAnsi="Times New Roman"/>
                <w:sz w:val="20"/>
                <w:szCs w:val="20"/>
                <w:shd w:val="clear" w:color="auto" w:fill="FFFFFF"/>
              </w:rPr>
              <w:t>mult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înainte</w:t>
            </w:r>
            <w:proofErr w:type="spellEnd"/>
            <w:r w:rsidRPr="00CC2819">
              <w:rPr>
                <w:rFonts w:ascii="Times New Roman" w:hAnsi="Times New Roman"/>
                <w:sz w:val="20"/>
                <w:szCs w:val="20"/>
                <w:shd w:val="clear" w:color="auto" w:fill="FFFFFF"/>
              </w:rPr>
              <w:t xml:space="preserve"> de </w:t>
            </w:r>
            <w:proofErr w:type="spellStart"/>
            <w:r w:rsidRPr="00CC2819">
              <w:rPr>
                <w:rFonts w:ascii="Times New Roman" w:hAnsi="Times New Roman"/>
                <w:sz w:val="20"/>
                <w:szCs w:val="20"/>
                <w:shd w:val="clear" w:color="auto" w:fill="FFFFFF"/>
              </w:rPr>
              <w:t>adoptarea</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acestuia</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fiecare</w:t>
            </w:r>
            <w:proofErr w:type="spellEnd"/>
            <w:r w:rsidRPr="00CC2819">
              <w:rPr>
                <w:rFonts w:ascii="Times New Roman" w:hAnsi="Times New Roman"/>
                <w:sz w:val="20"/>
                <w:szCs w:val="20"/>
                <w:shd w:val="clear" w:color="auto" w:fill="FFFFFF"/>
              </w:rPr>
              <w:t xml:space="preserve"> stat </w:t>
            </w:r>
            <w:proofErr w:type="spellStart"/>
            <w:r w:rsidRPr="00CC2819">
              <w:rPr>
                <w:rFonts w:ascii="Times New Roman" w:hAnsi="Times New Roman"/>
                <w:sz w:val="20"/>
                <w:szCs w:val="20"/>
                <w:shd w:val="clear" w:color="auto" w:fill="FFFFFF"/>
              </w:rPr>
              <w:t>membru</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identifică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posibilitățile</w:t>
            </w:r>
            <w:proofErr w:type="spellEnd"/>
            <w:r w:rsidRPr="00CC2819">
              <w:rPr>
                <w:rFonts w:ascii="Times New Roman" w:hAnsi="Times New Roman"/>
                <w:sz w:val="20"/>
                <w:szCs w:val="20"/>
                <w:shd w:val="clear" w:color="auto" w:fill="FFFFFF"/>
              </w:rPr>
              <w:t xml:space="preserve"> de </w:t>
            </w:r>
            <w:proofErr w:type="spellStart"/>
            <w:r w:rsidRPr="00CC2819">
              <w:rPr>
                <w:rFonts w:ascii="Times New Roman" w:hAnsi="Times New Roman"/>
                <w:sz w:val="20"/>
                <w:szCs w:val="20"/>
                <w:shd w:val="clear" w:color="auto" w:fill="FFFFFF"/>
              </w:rPr>
              <w:t>cooperare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regională</w:t>
            </w:r>
            <w:proofErr w:type="spellEnd"/>
            <w:r w:rsidRPr="00CC2819">
              <w:rPr>
                <w:rFonts w:ascii="Times New Roman" w:hAnsi="Times New Roman"/>
                <w:sz w:val="20"/>
                <w:szCs w:val="20"/>
                <w:shd w:val="clear" w:color="auto" w:fill="FFFFFF"/>
              </w:rPr>
              <w:t xml:space="preserve"> și </w:t>
            </w:r>
            <w:proofErr w:type="spellStart"/>
            <w:r w:rsidRPr="00CC2819">
              <w:rPr>
                <w:rFonts w:ascii="Times New Roman" w:hAnsi="Times New Roman"/>
                <w:sz w:val="20"/>
                <w:szCs w:val="20"/>
                <w:shd w:val="clear" w:color="auto" w:fill="FFFFFF"/>
              </w:rPr>
              <w:t>consultă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statele</w:t>
            </w:r>
            <w:proofErr w:type="spellEnd"/>
            <w:r w:rsidRPr="00CC2819">
              <w:rPr>
                <w:rFonts w:ascii="Times New Roman" w:hAnsi="Times New Roman"/>
                <w:sz w:val="20"/>
                <w:szCs w:val="20"/>
                <w:shd w:val="clear" w:color="auto" w:fill="FFFFFF"/>
              </w:rPr>
              <w:t> </w:t>
            </w:r>
            <w:proofErr w:type="spellStart"/>
            <w:r w:rsidRPr="00CC2819">
              <w:rPr>
                <w:rFonts w:ascii="Times New Roman" w:hAnsi="Times New Roman"/>
                <w:sz w:val="20"/>
                <w:szCs w:val="20"/>
                <w:shd w:val="clear" w:color="auto" w:fill="FFFFFF"/>
              </w:rPr>
              <w:t>membre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învecinate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inclusiv</w:t>
            </w:r>
            <w:proofErr w:type="spellEnd"/>
            <w:r w:rsidRPr="00CC2819">
              <w:rPr>
                <w:rFonts w:ascii="Times New Roman" w:hAnsi="Times New Roman"/>
                <w:sz w:val="20"/>
                <w:szCs w:val="20"/>
                <w:shd w:val="clear" w:color="auto" w:fill="FFFFFF"/>
              </w:rPr>
              <w:t xml:space="preserve"> în </w:t>
            </w:r>
            <w:proofErr w:type="spellStart"/>
            <w:r w:rsidRPr="00CC2819">
              <w:rPr>
                <w:rFonts w:ascii="Times New Roman" w:hAnsi="Times New Roman"/>
                <w:sz w:val="20"/>
                <w:szCs w:val="20"/>
                <w:shd w:val="clear" w:color="auto" w:fill="FFFFFF"/>
              </w:rPr>
              <w:t>cadrul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forurilor</w:t>
            </w:r>
            <w:proofErr w:type="spellEnd"/>
            <w:r w:rsidRPr="00CC2819">
              <w:rPr>
                <w:rFonts w:ascii="Times New Roman" w:hAnsi="Times New Roman"/>
                <w:sz w:val="20"/>
                <w:szCs w:val="20"/>
                <w:shd w:val="clear" w:color="auto" w:fill="FFFFFF"/>
              </w:rPr>
              <w:t xml:space="preserve"> de </w:t>
            </w:r>
            <w:proofErr w:type="spellStart"/>
            <w:r w:rsidRPr="00CC2819">
              <w:rPr>
                <w:rFonts w:ascii="Times New Roman" w:hAnsi="Times New Roman"/>
                <w:sz w:val="20"/>
                <w:szCs w:val="20"/>
                <w:shd w:val="clear" w:color="auto" w:fill="FFFFFF"/>
              </w:rPr>
              <w:t>cooperare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regională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Dacă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statul</w:t>
            </w:r>
            <w:proofErr w:type="spellEnd"/>
            <w:r w:rsidRPr="00CC2819">
              <w:rPr>
                <w:rFonts w:ascii="Times New Roman" w:hAnsi="Times New Roman"/>
                <w:sz w:val="20"/>
                <w:szCs w:val="20"/>
                <w:shd w:val="clear" w:color="auto" w:fill="FFFFFF"/>
              </w:rPr>
              <w:t> </w:t>
            </w:r>
            <w:proofErr w:type="spellStart"/>
            <w:r w:rsidRPr="00CC2819">
              <w:rPr>
                <w:rFonts w:ascii="Times New Roman" w:hAnsi="Times New Roman"/>
                <w:sz w:val="20"/>
                <w:szCs w:val="20"/>
                <w:shd w:val="clear" w:color="auto" w:fill="FFFFFF"/>
              </w:rPr>
              <w:t>membru</w:t>
            </w:r>
            <w:proofErr w:type="spellEnd"/>
            <w:r w:rsidRPr="00CC2819">
              <w:rPr>
                <w:rFonts w:ascii="Times New Roman" w:hAnsi="Times New Roman"/>
                <w:sz w:val="20"/>
                <w:szCs w:val="20"/>
                <w:shd w:val="clear" w:color="auto" w:fill="FFFFFF"/>
              </w:rPr>
              <w:t xml:space="preserve"> care </w:t>
            </w:r>
            <w:proofErr w:type="spellStart"/>
            <w:r w:rsidRPr="00CC2819">
              <w:rPr>
                <w:rFonts w:ascii="Times New Roman" w:hAnsi="Times New Roman"/>
                <w:sz w:val="20"/>
                <w:szCs w:val="20"/>
                <w:shd w:val="clear" w:color="auto" w:fill="FFFFFF"/>
              </w:rPr>
              <w:t>elaborează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planul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consideră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că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este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cazul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respectivul</w:t>
            </w:r>
            <w:proofErr w:type="spellEnd"/>
            <w:r w:rsidRPr="00CC2819">
              <w:rPr>
                <w:rFonts w:ascii="Times New Roman" w:hAnsi="Times New Roman"/>
                <w:sz w:val="20"/>
                <w:szCs w:val="20"/>
                <w:shd w:val="clear" w:color="auto" w:fill="FFFFFF"/>
              </w:rPr>
              <w:t xml:space="preserve"> stat </w:t>
            </w:r>
            <w:proofErr w:type="spellStart"/>
            <w:r w:rsidRPr="00CC2819">
              <w:rPr>
                <w:rFonts w:ascii="Times New Roman" w:hAnsi="Times New Roman"/>
                <w:sz w:val="20"/>
                <w:szCs w:val="20"/>
                <w:shd w:val="clear" w:color="auto" w:fill="FFFFFF"/>
              </w:rPr>
              <w:t>membru</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poate</w:t>
            </w:r>
            <w:proofErr w:type="spellEnd"/>
            <w:r w:rsidRPr="00CC2819">
              <w:rPr>
                <w:rFonts w:ascii="Times New Roman" w:hAnsi="Times New Roman"/>
                <w:sz w:val="20"/>
                <w:szCs w:val="20"/>
                <w:shd w:val="clear" w:color="auto" w:fill="FFFFFF"/>
              </w:rPr>
              <w:t xml:space="preserve"> consulta </w:t>
            </w:r>
            <w:proofErr w:type="spellStart"/>
            <w:r w:rsidRPr="00CC2819">
              <w:rPr>
                <w:rFonts w:ascii="Times New Roman" w:hAnsi="Times New Roman"/>
                <w:sz w:val="20"/>
                <w:szCs w:val="20"/>
                <w:shd w:val="clear" w:color="auto" w:fill="FFFFFF"/>
              </w:rPr>
              <w:t>alte</w:t>
            </w:r>
            <w:proofErr w:type="spellEnd"/>
            <w:r w:rsidRPr="00CC2819">
              <w:rPr>
                <w:rFonts w:ascii="Times New Roman" w:hAnsi="Times New Roman"/>
                <w:sz w:val="20"/>
                <w:szCs w:val="20"/>
                <w:shd w:val="clear" w:color="auto" w:fill="FFFFFF"/>
              </w:rPr>
              <w:t xml:space="preserve"> state </w:t>
            </w:r>
            <w:proofErr w:type="spellStart"/>
            <w:r w:rsidRPr="00CC2819">
              <w:rPr>
                <w:rFonts w:ascii="Times New Roman" w:hAnsi="Times New Roman"/>
                <w:sz w:val="20"/>
                <w:szCs w:val="20"/>
                <w:shd w:val="clear" w:color="auto" w:fill="FFFFFF"/>
              </w:rPr>
              <w:t>membre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sau</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țări</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terțe</w:t>
            </w:r>
            <w:proofErr w:type="spellEnd"/>
            <w:r w:rsidRPr="00CC2819">
              <w:rPr>
                <w:rFonts w:ascii="Times New Roman" w:hAnsi="Times New Roman"/>
                <w:sz w:val="20"/>
                <w:szCs w:val="20"/>
                <w:shd w:val="clear" w:color="auto" w:fill="FFFFFF"/>
              </w:rPr>
              <w:t xml:space="preserve"> care și-au </w:t>
            </w:r>
            <w:proofErr w:type="spellStart"/>
            <w:r w:rsidRPr="00CC2819">
              <w:rPr>
                <w:rFonts w:ascii="Times New Roman" w:hAnsi="Times New Roman"/>
                <w:sz w:val="20"/>
                <w:szCs w:val="20"/>
                <w:shd w:val="clear" w:color="auto" w:fill="FFFFFF"/>
              </w:rPr>
              <w:t>exprimat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interesul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insulare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fără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interconexiuni</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rețele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electrice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alte</w:t>
            </w:r>
            <w:proofErr w:type="spellEnd"/>
            <w:r w:rsidRPr="00CC2819">
              <w:rPr>
                <w:rFonts w:ascii="Times New Roman" w:hAnsi="Times New Roman"/>
                <w:sz w:val="20"/>
                <w:szCs w:val="20"/>
                <w:shd w:val="clear" w:color="auto" w:fill="FFFFFF"/>
                <w:lang w:val="fr-FR"/>
              </w:rPr>
              <w:t xml:space="preserve"> state membre </w:t>
            </w:r>
            <w:proofErr w:type="spellStart"/>
            <w:r w:rsidRPr="00CC2819">
              <w:rPr>
                <w:rFonts w:ascii="Times New Roman" w:hAnsi="Times New Roman"/>
                <w:sz w:val="20"/>
                <w:szCs w:val="20"/>
                <w:shd w:val="clear" w:color="auto" w:fill="FFFFFF"/>
                <w:lang w:val="fr-FR"/>
              </w:rPr>
              <w:t>desfășoară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astfel</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consultări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învecinate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care au </w:t>
            </w:r>
            <w:proofErr w:type="spellStart"/>
            <w:r w:rsidRPr="00CC2819">
              <w:rPr>
                <w:rFonts w:ascii="Times New Roman" w:hAnsi="Times New Roman"/>
                <w:sz w:val="20"/>
                <w:szCs w:val="20"/>
                <w:shd w:val="clear" w:color="auto" w:fill="FFFFFF"/>
                <w:lang w:val="fr-FR"/>
              </w:rPr>
              <w:t>frontiere</w:t>
            </w:r>
            <w:proofErr w:type="spellEnd"/>
            <w:r w:rsidRPr="00CC2819">
              <w:rPr>
                <w:rFonts w:ascii="Times New Roman" w:hAnsi="Times New Roman"/>
                <w:sz w:val="20"/>
                <w:szCs w:val="20"/>
                <w:shd w:val="clear" w:color="auto" w:fill="FFFFFF"/>
                <w:lang w:val="fr-FR"/>
              </w:rPr>
              <w:t xml:space="preserve"> maritime. </w:t>
            </w:r>
            <w:proofErr w:type="spellStart"/>
            <w:r w:rsidRPr="00CC2819">
              <w:rPr>
                <w:rFonts w:ascii="Times New Roman" w:hAnsi="Times New Roman"/>
                <w:sz w:val="20"/>
                <w:szCs w:val="20"/>
                <w:shd w:val="clear" w:color="auto" w:fill="FFFFFF"/>
                <w:lang w:val="fr-FR"/>
              </w:rPr>
              <w:t>Statelor</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consultate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trebui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li se </w:t>
            </w:r>
            <w:proofErr w:type="spellStart"/>
            <w:r w:rsidRPr="00CC2819">
              <w:rPr>
                <w:rFonts w:ascii="Times New Roman" w:hAnsi="Times New Roman"/>
                <w:sz w:val="20"/>
                <w:szCs w:val="20"/>
                <w:shd w:val="clear" w:color="auto" w:fill="FFFFFF"/>
                <w:lang w:val="fr-FR"/>
              </w:rPr>
              <w:t>acorde</w:t>
            </w:r>
            <w:proofErr w:type="spellEnd"/>
            <w:r w:rsidRPr="00CC2819">
              <w:rPr>
                <w:rFonts w:ascii="Times New Roman" w:hAnsi="Times New Roman"/>
                <w:sz w:val="20"/>
                <w:szCs w:val="20"/>
                <w:shd w:val="clear" w:color="auto" w:fill="FFFFFF"/>
                <w:lang w:val="fr-FR"/>
              </w:rPr>
              <w:t xml:space="preserve"> un </w:t>
            </w:r>
            <w:proofErr w:type="spellStart"/>
            <w:r w:rsidRPr="00CC2819">
              <w:rPr>
                <w:rFonts w:ascii="Times New Roman" w:hAnsi="Times New Roman"/>
                <w:sz w:val="20"/>
                <w:szCs w:val="20"/>
                <w:shd w:val="clear" w:color="auto" w:fill="FFFFFF"/>
                <w:lang w:val="fr-FR"/>
              </w:rPr>
              <w:t>termen</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rezonabil</w:t>
            </w:r>
            <w:proofErr w:type="spellEnd"/>
            <w:r w:rsidRPr="00CC2819">
              <w:rPr>
                <w:rFonts w:ascii="Times New Roman" w:hAnsi="Times New Roman"/>
                <w:sz w:val="20"/>
                <w:szCs w:val="20"/>
                <w:shd w:val="clear" w:color="auto" w:fill="FFFFFF"/>
                <w:lang w:val="fr-FR"/>
              </w:rPr>
              <w:t xml:space="preserve"> în care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reacționeze</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cadrul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propriului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proiect</w:t>
            </w:r>
            <w:proofErr w:type="spellEnd"/>
            <w:r w:rsidRPr="00CC2819">
              <w:rPr>
                <w:rFonts w:ascii="Times New Roman" w:hAnsi="Times New Roman"/>
                <w:sz w:val="20"/>
                <w:szCs w:val="20"/>
                <w:shd w:val="clear" w:color="auto" w:fill="FFFFFF"/>
                <w:lang w:val="fr-FR"/>
              </w:rPr>
              <w:t xml:space="preserve"> de plan </w:t>
            </w:r>
            <w:proofErr w:type="spellStart"/>
            <w:r w:rsidRPr="00CC2819">
              <w:rPr>
                <w:rFonts w:ascii="Times New Roman" w:hAnsi="Times New Roman"/>
                <w:sz w:val="20"/>
                <w:szCs w:val="20"/>
                <w:shd w:val="clear" w:color="auto" w:fill="FFFFFF"/>
                <w:lang w:val="fr-FR"/>
              </w:rPr>
              <w:t>național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integrat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ceea</w:t>
            </w:r>
            <w:proofErr w:type="spellEnd"/>
            <w:r w:rsidRPr="00CC2819">
              <w:rPr>
                <w:rFonts w:ascii="Times New Roman" w:hAnsi="Times New Roman"/>
                <w:sz w:val="20"/>
                <w:szCs w:val="20"/>
                <w:shd w:val="clear" w:color="auto" w:fill="FFFFFF"/>
                <w:lang w:val="fr-FR"/>
              </w:rPr>
              <w:t xml:space="preserve"> ce </w:t>
            </w:r>
            <w:proofErr w:type="spellStart"/>
            <w:r w:rsidRPr="00CC2819">
              <w:rPr>
                <w:rFonts w:ascii="Times New Roman" w:hAnsi="Times New Roman"/>
                <w:sz w:val="20"/>
                <w:szCs w:val="20"/>
                <w:shd w:val="clear" w:color="auto" w:fill="FFFFFF"/>
                <w:lang w:val="fr-FR"/>
              </w:rPr>
              <w:t>privește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planurile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pentru</w:t>
            </w:r>
            <w:proofErr w:type="spellEnd"/>
            <w:r w:rsidRPr="00CC2819">
              <w:rPr>
                <w:rFonts w:ascii="Times New Roman" w:hAnsi="Times New Roman"/>
                <w:sz w:val="20"/>
                <w:szCs w:val="20"/>
                <w:shd w:val="clear" w:color="auto" w:fill="FFFFFF"/>
                <w:lang w:val="fr-FR"/>
              </w:rPr>
              <w:t xml:space="preserve"> perioada 2021-2030, în </w:t>
            </w:r>
            <w:proofErr w:type="spellStart"/>
            <w:r w:rsidRPr="00CC2819">
              <w:rPr>
                <w:rFonts w:ascii="Times New Roman" w:hAnsi="Times New Roman"/>
                <w:sz w:val="20"/>
                <w:szCs w:val="20"/>
                <w:shd w:val="clear" w:color="auto" w:fill="FFFFFF"/>
                <w:lang w:val="fr-FR"/>
              </w:rPr>
              <w:t>cadrul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planului</w:t>
            </w:r>
            <w:proofErr w:type="spellEnd"/>
            <w:r w:rsidRPr="00CC2819">
              <w:rPr>
                <w:rFonts w:ascii="Times New Roman" w:hAnsi="Times New Roman"/>
                <w:sz w:val="20"/>
                <w:szCs w:val="20"/>
                <w:shd w:val="clear" w:color="auto" w:fill="FFFFFF"/>
                <w:lang w:val="fr-FR"/>
              </w:rPr>
              <w:t xml:space="preserve"> final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fiecare</w:t>
            </w:r>
            <w:proofErr w:type="spellEnd"/>
            <w:r w:rsidRPr="00CC2819">
              <w:rPr>
                <w:rFonts w:ascii="Times New Roman" w:hAnsi="Times New Roman"/>
                <w:sz w:val="20"/>
                <w:szCs w:val="20"/>
                <w:shd w:val="clear" w:color="auto" w:fill="FFFFFF"/>
                <w:lang w:val="fr-FR"/>
              </w:rPr>
              <w:t xml:space="preserve"> stat membru </w:t>
            </w:r>
            <w:proofErr w:type="spellStart"/>
            <w:r w:rsidRPr="00CC2819">
              <w:rPr>
                <w:rFonts w:ascii="Times New Roman" w:hAnsi="Times New Roman"/>
                <w:sz w:val="20"/>
                <w:szCs w:val="20"/>
                <w:shd w:val="clear" w:color="auto" w:fill="FFFFFF"/>
                <w:lang w:val="fr-FR"/>
              </w:rPr>
              <w:t>prezintă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cel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puțin</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rezultatele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provizorii</w:t>
            </w:r>
            <w:proofErr w:type="spellEnd"/>
            <w:r w:rsidRPr="00CC2819">
              <w:rPr>
                <w:rFonts w:ascii="Times New Roman" w:hAnsi="Times New Roman"/>
                <w:sz w:val="20"/>
                <w:szCs w:val="20"/>
                <w:shd w:val="clear" w:color="auto" w:fill="FFFFFF"/>
                <w:lang w:val="fr-FR"/>
              </w:rPr>
              <w:t xml:space="preserve"> ale </w:t>
            </w:r>
            <w:proofErr w:type="spellStart"/>
            <w:r w:rsidRPr="00CC2819">
              <w:rPr>
                <w:rFonts w:ascii="Times New Roman" w:hAnsi="Times New Roman"/>
                <w:sz w:val="20"/>
                <w:szCs w:val="20"/>
                <w:shd w:val="clear" w:color="auto" w:fill="FFFFFF"/>
                <w:lang w:val="fr-FR"/>
              </w:rPr>
              <w:t>acestor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consultări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inclusiv</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dacă</w:t>
            </w:r>
            <w:proofErr w:type="spellEnd"/>
            <w:r w:rsidRPr="00CC2819">
              <w:rPr>
                <w:rFonts w:ascii="Times New Roman" w:hAnsi="Times New Roman"/>
                <w:sz w:val="20"/>
                <w:szCs w:val="20"/>
                <w:shd w:val="clear" w:color="auto" w:fill="FFFFFF"/>
                <w:lang w:val="fr-FR"/>
              </w:rPr>
              <w:t xml:space="preserve"> este </w:t>
            </w:r>
            <w:proofErr w:type="spellStart"/>
            <w:r w:rsidRPr="00CC2819">
              <w:rPr>
                <w:rFonts w:ascii="Times New Roman" w:hAnsi="Times New Roman"/>
                <w:sz w:val="20"/>
                <w:szCs w:val="20"/>
                <w:shd w:val="clear" w:color="auto" w:fill="FFFFFF"/>
                <w:lang w:val="fr-FR"/>
              </w:rPr>
              <w:t>cazul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modul</w:t>
            </w:r>
            <w:proofErr w:type="spellEnd"/>
            <w:r w:rsidRPr="00CC2819">
              <w:rPr>
                <w:rFonts w:ascii="Times New Roman" w:hAnsi="Times New Roman"/>
                <w:sz w:val="20"/>
                <w:szCs w:val="20"/>
                <w:shd w:val="clear" w:color="auto" w:fill="FFFFFF"/>
                <w:lang w:val="fr-FR"/>
              </w:rPr>
              <w:t xml:space="preserve"> în care au </w:t>
            </w:r>
            <w:proofErr w:type="spellStart"/>
            <w:r w:rsidRPr="00CC2819">
              <w:rPr>
                <w:rFonts w:ascii="Times New Roman" w:hAnsi="Times New Roman"/>
                <w:sz w:val="20"/>
                <w:szCs w:val="20"/>
                <w:shd w:val="clear" w:color="auto" w:fill="FFFFFF"/>
                <w:lang w:val="fr-FR"/>
              </w:rPr>
              <w:t>fost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luate</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considerare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observațiile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statelor</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sau</w:t>
            </w:r>
            <w:proofErr w:type="spellEnd"/>
            <w:r w:rsidRPr="00CC2819">
              <w:rPr>
                <w:rFonts w:ascii="Times New Roman" w:hAnsi="Times New Roman"/>
                <w:sz w:val="20"/>
                <w:szCs w:val="20"/>
                <w:shd w:val="clear" w:color="auto" w:fill="FFFFFF"/>
                <w:lang w:val="fr-FR"/>
              </w:rPr>
              <w:t xml:space="preserve"> ale </w:t>
            </w:r>
            <w:proofErr w:type="spellStart"/>
            <w:r w:rsidRPr="00CC2819">
              <w:rPr>
                <w:rFonts w:ascii="Times New Roman" w:hAnsi="Times New Roman"/>
                <w:sz w:val="20"/>
                <w:szCs w:val="20"/>
                <w:shd w:val="clear" w:color="auto" w:fill="FFFFFF"/>
                <w:lang w:val="fr-FR"/>
              </w:rPr>
              <w:t>țărilor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terțe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consultate</w:t>
            </w:r>
            <w:proofErr w:type="spellEnd"/>
            <w:r w:rsidRPr="00CC2819">
              <w:rPr>
                <w:rFonts w:ascii="Times New Roman" w:hAnsi="Times New Roman"/>
                <w:sz w:val="20"/>
                <w:szCs w:val="20"/>
                <w:shd w:val="clear" w:color="auto" w:fill="FFFFFF"/>
                <w:lang w:val="fr-FR"/>
              </w:rPr>
              <w:t>.</w:t>
            </w:r>
          </w:p>
          <w:p w14:paraId="40FEF407" w14:textId="77777777" w:rsidR="0064623B" w:rsidRPr="00CC2819" w:rsidRDefault="0064623B"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rPr>
              <w:t>(</w:t>
            </w:r>
            <w:proofErr w:type="gramStart"/>
            <w:r w:rsidRPr="00CC2819">
              <w:rPr>
                <w:rFonts w:ascii="Times New Roman" w:hAnsi="Times New Roman"/>
                <w:sz w:val="20"/>
                <w:szCs w:val="20"/>
                <w:shd w:val="clear" w:color="auto" w:fill="FFFFFF"/>
              </w:rPr>
              <w:t>3)</w:t>
            </w:r>
            <w:proofErr w:type="spellStart"/>
            <w:r w:rsidRPr="00CC2819">
              <w:rPr>
                <w:rFonts w:ascii="Times New Roman" w:hAnsi="Times New Roman"/>
                <w:sz w:val="20"/>
                <w:szCs w:val="20"/>
                <w:shd w:val="clear" w:color="auto" w:fill="FFFFFF"/>
              </w:rPr>
              <w:t>Statele</w:t>
            </w:r>
            <w:proofErr w:type="spellEnd"/>
            <w:proofErr w:type="gram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membre</w:t>
            </w:r>
            <w:proofErr w:type="spellEnd"/>
            <w:r w:rsidRPr="00CC2819">
              <w:rPr>
                <w:rFonts w:ascii="Times New Roman" w:hAnsi="Times New Roman"/>
                <w:sz w:val="20"/>
                <w:szCs w:val="20"/>
                <w:shd w:val="clear" w:color="auto" w:fill="FFFFFF"/>
              </w:rPr>
              <w:t xml:space="preserve"> pot </w:t>
            </w:r>
            <w:proofErr w:type="spellStart"/>
            <w:r w:rsidRPr="00CC2819">
              <w:rPr>
                <w:rFonts w:ascii="Times New Roman" w:hAnsi="Times New Roman"/>
                <w:sz w:val="20"/>
                <w:szCs w:val="20"/>
                <w:shd w:val="clear" w:color="auto" w:fill="FFFFFF"/>
              </w:rPr>
              <w:t>să</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elaboreze</w:t>
            </w:r>
            <w:proofErr w:type="spellEnd"/>
            <w:r w:rsidRPr="00CC2819">
              <w:rPr>
                <w:rFonts w:ascii="Times New Roman" w:hAnsi="Times New Roman"/>
                <w:sz w:val="20"/>
                <w:szCs w:val="20"/>
                <w:shd w:val="clear" w:color="auto" w:fill="FFFFFF"/>
              </w:rPr>
              <w:t xml:space="preserve"> în </w:t>
            </w:r>
            <w:proofErr w:type="spellStart"/>
            <w:r w:rsidRPr="00CC2819">
              <w:rPr>
                <w:rFonts w:ascii="Times New Roman" w:hAnsi="Times New Roman"/>
                <w:sz w:val="20"/>
                <w:szCs w:val="20"/>
                <w:shd w:val="clear" w:color="auto" w:fill="FFFFFF"/>
              </w:rPr>
              <w:t>comun</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unele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părți</w:t>
            </w:r>
            <w:proofErr w:type="spellEnd"/>
            <w:r w:rsidRPr="00CC2819">
              <w:rPr>
                <w:rFonts w:ascii="Times New Roman" w:hAnsi="Times New Roman"/>
                <w:sz w:val="20"/>
                <w:szCs w:val="20"/>
                <w:shd w:val="clear" w:color="auto" w:fill="FFFFFF"/>
              </w:rPr>
              <w:t xml:space="preserve"> ale </w:t>
            </w:r>
            <w:proofErr w:type="spellStart"/>
            <w:r w:rsidRPr="00CC2819">
              <w:rPr>
                <w:rFonts w:ascii="Times New Roman" w:hAnsi="Times New Roman"/>
                <w:sz w:val="20"/>
                <w:szCs w:val="20"/>
                <w:shd w:val="clear" w:color="auto" w:fill="FFFFFF"/>
              </w:rPr>
              <w:t>planurilor</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naționale</w:t>
            </w:r>
            <w:proofErr w:type="spellEnd"/>
            <w:r w:rsidRPr="00CC2819">
              <w:rPr>
                <w:rFonts w:ascii="Times New Roman" w:hAnsi="Times New Roman"/>
                <w:sz w:val="20"/>
                <w:szCs w:val="20"/>
                <w:shd w:val="clear" w:color="auto" w:fill="FFFFFF"/>
              </w:rPr>
              <w:t xml:space="preserve"> integrate </w:t>
            </w:r>
            <w:proofErr w:type="spellStart"/>
            <w:r w:rsidRPr="00CC2819">
              <w:rPr>
                <w:rFonts w:ascii="Times New Roman" w:hAnsi="Times New Roman"/>
                <w:sz w:val="20"/>
                <w:szCs w:val="20"/>
                <w:shd w:val="clear" w:color="auto" w:fill="FFFFFF"/>
              </w:rPr>
              <w:t>privind</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energia</w:t>
            </w:r>
            <w:proofErr w:type="spellEnd"/>
            <w:r w:rsidRPr="00CC2819">
              <w:rPr>
                <w:rFonts w:ascii="Times New Roman" w:hAnsi="Times New Roman"/>
                <w:sz w:val="20"/>
                <w:szCs w:val="20"/>
                <w:shd w:val="clear" w:color="auto" w:fill="FFFFFF"/>
              </w:rPr>
              <w:t xml:space="preserve"> și </w:t>
            </w:r>
            <w:proofErr w:type="spellStart"/>
            <w:r w:rsidRPr="00CC2819">
              <w:rPr>
                <w:rFonts w:ascii="Times New Roman" w:hAnsi="Times New Roman"/>
                <w:sz w:val="20"/>
                <w:szCs w:val="20"/>
                <w:shd w:val="clear" w:color="auto" w:fill="FFFFFF"/>
              </w:rPr>
              <w:t>clima</w:t>
            </w:r>
            <w:proofErr w:type="spellEnd"/>
            <w:r w:rsidRPr="00CC2819">
              <w:rPr>
                <w:rFonts w:ascii="Times New Roman" w:hAnsi="Times New Roman"/>
                <w:sz w:val="20"/>
                <w:szCs w:val="20"/>
                <w:shd w:val="clear" w:color="auto" w:fill="FFFFFF"/>
              </w:rPr>
              <w:t xml:space="preserve"> și ale </w:t>
            </w:r>
            <w:proofErr w:type="spellStart"/>
            <w:r w:rsidRPr="00CC2819">
              <w:rPr>
                <w:rFonts w:ascii="Times New Roman" w:hAnsi="Times New Roman"/>
                <w:sz w:val="20"/>
                <w:szCs w:val="20"/>
                <w:shd w:val="clear" w:color="auto" w:fill="FFFFFF"/>
              </w:rPr>
              <w:t>rapoartelor</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intermediare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inclusiv</w:t>
            </w:r>
            <w:proofErr w:type="spellEnd"/>
            <w:r w:rsidRPr="00CC2819">
              <w:rPr>
                <w:rFonts w:ascii="Times New Roman" w:hAnsi="Times New Roman"/>
                <w:sz w:val="20"/>
                <w:szCs w:val="20"/>
                <w:shd w:val="clear" w:color="auto" w:fill="FFFFFF"/>
              </w:rPr>
              <w:t xml:space="preserve"> în </w:t>
            </w:r>
            <w:proofErr w:type="spellStart"/>
            <w:r w:rsidRPr="00CC2819">
              <w:rPr>
                <w:rFonts w:ascii="Times New Roman" w:hAnsi="Times New Roman"/>
                <w:sz w:val="20"/>
                <w:szCs w:val="20"/>
                <w:shd w:val="clear" w:color="auto" w:fill="FFFFFF"/>
              </w:rPr>
              <w:t>cadrul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forurilor</w:t>
            </w:r>
            <w:proofErr w:type="spellEnd"/>
            <w:r w:rsidRPr="00CC2819">
              <w:rPr>
                <w:rFonts w:ascii="Times New Roman" w:hAnsi="Times New Roman"/>
                <w:sz w:val="20"/>
                <w:szCs w:val="20"/>
                <w:shd w:val="clear" w:color="auto" w:fill="FFFFFF"/>
              </w:rPr>
              <w:t xml:space="preserve"> de </w:t>
            </w:r>
            <w:proofErr w:type="spellStart"/>
            <w:r w:rsidRPr="00CC2819">
              <w:rPr>
                <w:rFonts w:ascii="Times New Roman" w:hAnsi="Times New Roman"/>
                <w:sz w:val="20"/>
                <w:szCs w:val="20"/>
                <w:shd w:val="clear" w:color="auto" w:fill="FFFFFF"/>
              </w:rPr>
              <w:lastRenderedPageBreak/>
              <w:t>cooperare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regională</w:t>
            </w:r>
            <w:proofErr w:type="spellEnd"/>
            <w:r w:rsidRPr="00CC2819">
              <w:rPr>
                <w:rFonts w:ascii="Times New Roman" w:hAnsi="Times New Roman"/>
                <w:sz w:val="20"/>
                <w:szCs w:val="20"/>
                <w:shd w:val="clear" w:color="auto" w:fill="FFFFFF"/>
              </w:rPr>
              <w:t xml:space="preserve">. În </w:t>
            </w:r>
            <w:proofErr w:type="spellStart"/>
            <w:r w:rsidRPr="00CC2819">
              <w:rPr>
                <w:rFonts w:ascii="Times New Roman" w:hAnsi="Times New Roman"/>
                <w:sz w:val="20"/>
                <w:szCs w:val="20"/>
                <w:shd w:val="clear" w:color="auto" w:fill="FFFFFF"/>
              </w:rPr>
              <w:t>acest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caz</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rezultatul</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obținut</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înlocuiește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părțile</w:t>
            </w:r>
            <w:proofErr w:type="spellEnd"/>
            <w:r w:rsidRPr="00CC2819">
              <w:rPr>
                <w:rFonts w:ascii="Times New Roman" w:hAnsi="Times New Roman"/>
                <w:sz w:val="20"/>
                <w:szCs w:val="20"/>
                <w:shd w:val="clear" w:color="auto" w:fill="FFFFFF"/>
              </w:rPr>
              <w:t xml:space="preserve"> respective din </w:t>
            </w:r>
            <w:proofErr w:type="spellStart"/>
            <w:r w:rsidRPr="00CC2819">
              <w:rPr>
                <w:rFonts w:ascii="Times New Roman" w:hAnsi="Times New Roman"/>
                <w:sz w:val="20"/>
                <w:szCs w:val="20"/>
                <w:shd w:val="clear" w:color="auto" w:fill="FFFFFF"/>
              </w:rPr>
              <w:t>planurile</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naționale</w:t>
            </w:r>
            <w:proofErr w:type="spellEnd"/>
            <w:r w:rsidRPr="00CC2819">
              <w:rPr>
                <w:rFonts w:ascii="Times New Roman" w:hAnsi="Times New Roman"/>
                <w:sz w:val="20"/>
                <w:szCs w:val="20"/>
                <w:shd w:val="clear" w:color="auto" w:fill="FFFFFF"/>
              </w:rPr>
              <w:t xml:space="preserve"> integrate </w:t>
            </w:r>
            <w:proofErr w:type="spellStart"/>
            <w:r w:rsidRPr="00CC2819">
              <w:rPr>
                <w:rFonts w:ascii="Times New Roman" w:hAnsi="Times New Roman"/>
                <w:sz w:val="20"/>
                <w:szCs w:val="20"/>
                <w:shd w:val="clear" w:color="auto" w:fill="FFFFFF"/>
              </w:rPr>
              <w:t>privind</w:t>
            </w:r>
            <w:proofErr w:type="spellEnd"/>
            <w:r w:rsidRPr="00CC2819">
              <w:rPr>
                <w:rFonts w:ascii="Times New Roman" w:hAnsi="Times New Roman"/>
                <w:sz w:val="20"/>
                <w:szCs w:val="20"/>
                <w:shd w:val="clear" w:color="auto" w:fill="FFFFFF"/>
              </w:rPr>
              <w:t xml:space="preserve"> </w:t>
            </w:r>
            <w:proofErr w:type="spellStart"/>
            <w:r w:rsidRPr="00CC2819">
              <w:rPr>
                <w:rFonts w:ascii="Times New Roman" w:hAnsi="Times New Roman"/>
                <w:sz w:val="20"/>
                <w:szCs w:val="20"/>
                <w:shd w:val="clear" w:color="auto" w:fill="FFFFFF"/>
              </w:rPr>
              <w:t>energia</w:t>
            </w:r>
            <w:proofErr w:type="spellEnd"/>
            <w:r w:rsidRPr="00CC2819">
              <w:rPr>
                <w:rFonts w:ascii="Times New Roman" w:hAnsi="Times New Roman"/>
                <w:sz w:val="20"/>
                <w:szCs w:val="20"/>
                <w:shd w:val="clear" w:color="auto" w:fill="FFFFFF"/>
              </w:rPr>
              <w:t xml:space="preserve"> și </w:t>
            </w:r>
            <w:proofErr w:type="spellStart"/>
            <w:r w:rsidRPr="00CC2819">
              <w:rPr>
                <w:rFonts w:ascii="Times New Roman" w:hAnsi="Times New Roman"/>
                <w:sz w:val="20"/>
                <w:szCs w:val="20"/>
                <w:shd w:val="clear" w:color="auto" w:fill="FFFFFF"/>
              </w:rPr>
              <w:t>clima</w:t>
            </w:r>
            <w:proofErr w:type="spellEnd"/>
            <w:r w:rsidRPr="00CC2819">
              <w:rPr>
                <w:rFonts w:ascii="Times New Roman" w:hAnsi="Times New Roman"/>
                <w:sz w:val="20"/>
                <w:szCs w:val="20"/>
                <w:shd w:val="clear" w:color="auto" w:fill="FFFFFF"/>
              </w:rPr>
              <w:t xml:space="preserve"> ale </w:t>
            </w:r>
            <w:proofErr w:type="spellStart"/>
            <w:r w:rsidRPr="00CC2819">
              <w:rPr>
                <w:rFonts w:ascii="Times New Roman" w:hAnsi="Times New Roman"/>
                <w:sz w:val="20"/>
                <w:szCs w:val="20"/>
                <w:shd w:val="clear" w:color="auto" w:fill="FFFFFF"/>
              </w:rPr>
              <w:t>acestora</w:t>
            </w:r>
            <w:proofErr w:type="spellEnd"/>
            <w:r w:rsidRPr="00CC2819">
              <w:rPr>
                <w:rFonts w:ascii="Times New Roman" w:hAnsi="Times New Roman"/>
                <w:sz w:val="20"/>
                <w:szCs w:val="20"/>
                <w:shd w:val="clear" w:color="auto" w:fill="FFFFFF"/>
              </w:rPr>
              <w:t xml:space="preserve"> și din </w:t>
            </w:r>
            <w:proofErr w:type="spellStart"/>
            <w:r w:rsidRPr="00CC2819">
              <w:rPr>
                <w:rFonts w:ascii="Times New Roman" w:hAnsi="Times New Roman"/>
                <w:sz w:val="20"/>
                <w:szCs w:val="20"/>
                <w:shd w:val="clear" w:color="auto" w:fill="FFFFFF"/>
              </w:rPr>
              <w:t>rapoartele</w:t>
            </w:r>
            <w:proofErr w:type="spellEnd"/>
            <w:r w:rsidRPr="00CC2819">
              <w:rPr>
                <w:rFonts w:ascii="Times New Roman" w:hAnsi="Times New Roman"/>
                <w:sz w:val="20"/>
                <w:szCs w:val="20"/>
                <w:shd w:val="clear" w:color="auto" w:fill="FFFFFF"/>
              </w:rPr>
              <w:t xml:space="preserve"> lor </w:t>
            </w:r>
            <w:proofErr w:type="spellStart"/>
            <w:r w:rsidRPr="00CC2819">
              <w:rPr>
                <w:rFonts w:ascii="Times New Roman" w:hAnsi="Times New Roman"/>
                <w:sz w:val="20"/>
                <w:szCs w:val="20"/>
                <w:shd w:val="clear" w:color="auto" w:fill="FFFFFF"/>
              </w:rPr>
              <w:t>intermediare</w:t>
            </w:r>
            <w:proofErr w:type="spellEnd"/>
            <w:r w:rsidRPr="00CC2819">
              <w:rPr>
                <w:rFonts w:ascii="Times New Roman" w:hAnsi="Times New Roman"/>
                <w:sz w:val="20"/>
                <w:szCs w:val="20"/>
                <w:shd w:val="clear" w:color="auto" w:fill="FFFFFF"/>
              </w:rPr>
              <w:t xml:space="preserve">. </w:t>
            </w:r>
            <w:r w:rsidRPr="00CC2819">
              <w:rPr>
                <w:rFonts w:ascii="Times New Roman" w:hAnsi="Times New Roman"/>
                <w:sz w:val="20"/>
                <w:szCs w:val="20"/>
                <w:shd w:val="clear" w:color="auto" w:fill="FFFFFF"/>
                <w:lang w:val="fr-FR"/>
              </w:rPr>
              <w:t xml:space="preserve">La </w:t>
            </w:r>
            <w:proofErr w:type="spellStart"/>
            <w:r w:rsidRPr="00CC2819">
              <w:rPr>
                <w:rFonts w:ascii="Times New Roman" w:hAnsi="Times New Roman"/>
                <w:sz w:val="20"/>
                <w:szCs w:val="20"/>
                <w:shd w:val="clear" w:color="auto" w:fill="FFFFFF"/>
                <w:lang w:val="fr-FR"/>
              </w:rPr>
              <w:t>cererea</w:t>
            </w:r>
            <w:proofErr w:type="spellEnd"/>
            <w:r w:rsidRPr="00CC2819">
              <w:rPr>
                <w:rFonts w:ascii="Times New Roman" w:hAnsi="Times New Roman"/>
                <w:sz w:val="20"/>
                <w:szCs w:val="20"/>
                <w:shd w:val="clear" w:color="auto" w:fill="FFFFFF"/>
                <w:lang w:val="fr-FR"/>
              </w:rPr>
              <w:t xml:space="preserve"> a </w:t>
            </w:r>
            <w:proofErr w:type="spellStart"/>
            <w:r w:rsidRPr="00CC2819">
              <w:rPr>
                <w:rFonts w:ascii="Times New Roman" w:hAnsi="Times New Roman"/>
                <w:sz w:val="20"/>
                <w:szCs w:val="20"/>
                <w:shd w:val="clear" w:color="auto" w:fill="FFFFFF"/>
                <w:lang w:val="fr-FR"/>
              </w:rPr>
              <w:t>două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sau</w:t>
            </w:r>
            <w:proofErr w:type="spellEnd"/>
            <w:r w:rsidRPr="00CC2819">
              <w:rPr>
                <w:rFonts w:ascii="Times New Roman" w:hAnsi="Times New Roman"/>
                <w:sz w:val="20"/>
                <w:szCs w:val="20"/>
                <w:shd w:val="clear" w:color="auto" w:fill="FFFFFF"/>
                <w:lang w:val="fr-FR"/>
              </w:rPr>
              <w:t xml:space="preserve"> mai </w:t>
            </w:r>
            <w:proofErr w:type="spellStart"/>
            <w:r w:rsidRPr="00CC2819">
              <w:rPr>
                <w:rFonts w:ascii="Times New Roman" w:hAnsi="Times New Roman"/>
                <w:sz w:val="20"/>
                <w:szCs w:val="20"/>
                <w:shd w:val="clear" w:color="auto" w:fill="FFFFFF"/>
                <w:lang w:val="fr-FR"/>
              </w:rPr>
              <w:t>multe</w:t>
            </w:r>
            <w:proofErr w:type="spellEnd"/>
            <w:r w:rsidRPr="00CC2819">
              <w:rPr>
                <w:rFonts w:ascii="Times New Roman" w:hAnsi="Times New Roman"/>
                <w:sz w:val="20"/>
                <w:szCs w:val="20"/>
                <w:shd w:val="clear" w:color="auto" w:fill="FFFFFF"/>
                <w:lang w:val="fr-FR"/>
              </w:rPr>
              <w:t xml:space="preserve"> state membre, </w:t>
            </w:r>
            <w:proofErr w:type="spellStart"/>
            <w:r w:rsidRPr="00CC2819">
              <w:rPr>
                <w:rFonts w:ascii="Times New Roman" w:hAnsi="Times New Roman"/>
                <w:sz w:val="20"/>
                <w:szCs w:val="20"/>
                <w:shd w:val="clear" w:color="auto" w:fill="FFFFFF"/>
                <w:lang w:val="fr-FR"/>
              </w:rPr>
              <w:t>Comisia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facilitează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acest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exercițiu</w:t>
            </w:r>
            <w:proofErr w:type="spellEnd"/>
            <w:r w:rsidRPr="00CC2819">
              <w:rPr>
                <w:rFonts w:ascii="Times New Roman" w:hAnsi="Times New Roman"/>
                <w:sz w:val="20"/>
                <w:szCs w:val="20"/>
                <w:shd w:val="clear" w:color="auto" w:fill="FFFFFF"/>
                <w:lang w:val="fr-FR"/>
              </w:rPr>
              <w:t>.</w:t>
            </w:r>
          </w:p>
          <w:p w14:paraId="181A6D67" w14:textId="26A01E48" w:rsidR="007225CA" w:rsidRPr="00CC2819" w:rsidRDefault="007225CA"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lang w:val="fr-FR"/>
              </w:rPr>
              <w:t>(</w:t>
            </w:r>
            <w:proofErr w:type="gramStart"/>
            <w:r w:rsidRPr="00CC2819">
              <w:rPr>
                <w:rFonts w:ascii="Times New Roman" w:hAnsi="Times New Roman"/>
                <w:sz w:val="20"/>
                <w:szCs w:val="20"/>
                <w:shd w:val="clear" w:color="auto" w:fill="FFFFFF"/>
                <w:lang w:val="fr-FR"/>
              </w:rPr>
              <w:t>4)</w:t>
            </w:r>
            <w:proofErr w:type="spellStart"/>
            <w:r w:rsidRPr="00CC2819">
              <w:rPr>
                <w:rFonts w:ascii="Times New Roman" w:hAnsi="Times New Roman"/>
                <w:sz w:val="20"/>
                <w:szCs w:val="20"/>
                <w:shd w:val="clear" w:color="auto" w:fill="FFFFFF"/>
                <w:lang w:val="fr-FR"/>
              </w:rPr>
              <w:t>Pentru</w:t>
            </w:r>
            <w:proofErr w:type="spellEnd"/>
            <w:proofErr w:type="gramEnd"/>
            <w:r w:rsidRPr="00CC2819">
              <w:rPr>
                <w:rFonts w:ascii="Times New Roman" w:hAnsi="Times New Roman"/>
                <w:sz w:val="20"/>
                <w:szCs w:val="20"/>
                <w:shd w:val="clear" w:color="auto" w:fill="FFFFFF"/>
                <w:lang w:val="fr-FR"/>
              </w:rPr>
              <w:t xml:space="preserve"> a facilita </w:t>
            </w:r>
            <w:proofErr w:type="spellStart"/>
            <w:r w:rsidRPr="00CC2819">
              <w:rPr>
                <w:rFonts w:ascii="Times New Roman" w:hAnsi="Times New Roman"/>
                <w:sz w:val="20"/>
                <w:szCs w:val="20"/>
                <w:shd w:val="clear" w:color="auto" w:fill="FFFFFF"/>
                <w:lang w:val="fr-FR"/>
              </w:rPr>
              <w:t>integrarea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pieței</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elaborarea</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politici</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măsuri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rentabile</w:t>
            </w:r>
            <w:proofErr w:type="spellEnd"/>
            <w:r w:rsidRPr="00CC2819">
              <w:rPr>
                <w:rFonts w:ascii="Times New Roman" w:hAnsi="Times New Roman"/>
                <w:sz w:val="20"/>
                <w:szCs w:val="20"/>
                <w:shd w:val="clear" w:color="auto" w:fill="FFFFFF"/>
                <w:lang w:val="fr-FR"/>
              </w:rPr>
              <w:t xml:space="preserve">, în perioada </w:t>
            </w:r>
            <w:proofErr w:type="spellStart"/>
            <w:r w:rsidRPr="00CC2819">
              <w:rPr>
                <w:rFonts w:ascii="Times New Roman" w:hAnsi="Times New Roman"/>
                <w:sz w:val="20"/>
                <w:szCs w:val="20"/>
                <w:shd w:val="clear" w:color="auto" w:fill="FFFFFF"/>
                <w:lang w:val="fr-FR"/>
              </w:rPr>
              <w:t>dintre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termenul-limită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pentru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prezentarea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proiectelor</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planuri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naționale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integrate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termenul-limită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pentru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prezent</w:t>
            </w:r>
            <w:r w:rsidR="00E3489F">
              <w:rPr>
                <w:rFonts w:ascii="Times New Roman" w:hAnsi="Times New Roman"/>
                <w:sz w:val="20"/>
                <w:szCs w:val="20"/>
                <w:shd w:val="clear" w:color="auto" w:fill="FFFFFF"/>
                <w:lang w:val="fr-FR"/>
              </w:rPr>
              <w:t>area</w:t>
            </w:r>
            <w:proofErr w:type="spellEnd"/>
            <w:r w:rsidR="00E3489F">
              <w:rPr>
                <w:rFonts w:ascii="Times New Roman" w:hAnsi="Times New Roman"/>
                <w:sz w:val="20"/>
                <w:szCs w:val="20"/>
                <w:shd w:val="clear" w:color="auto" w:fill="FFFFFF"/>
                <w:lang w:val="fr-FR"/>
              </w:rPr>
              <w:t xml:space="preserve"> </w:t>
            </w:r>
            <w:proofErr w:type="spellStart"/>
            <w:r w:rsidR="00E3489F">
              <w:rPr>
                <w:rFonts w:ascii="Times New Roman" w:hAnsi="Times New Roman"/>
                <w:sz w:val="20"/>
                <w:szCs w:val="20"/>
                <w:shd w:val="clear" w:color="auto" w:fill="FFFFFF"/>
                <w:lang w:val="fr-FR"/>
              </w:rPr>
              <w:t>planurilor</w:t>
            </w:r>
            <w:proofErr w:type="spellEnd"/>
            <w:r w:rsidR="00E3489F">
              <w:rPr>
                <w:rFonts w:ascii="Times New Roman" w:hAnsi="Times New Roman"/>
                <w:sz w:val="20"/>
                <w:szCs w:val="20"/>
                <w:shd w:val="clear" w:color="auto" w:fill="FFFFFF"/>
                <w:lang w:val="fr-FR"/>
              </w:rPr>
              <w:t xml:space="preserve"> finale, </w:t>
            </w:r>
            <w:proofErr w:type="spellStart"/>
            <w:r w:rsidR="00E3489F">
              <w:rPr>
                <w:rFonts w:ascii="Times New Roman" w:hAnsi="Times New Roman"/>
                <w:sz w:val="20"/>
                <w:szCs w:val="20"/>
                <w:shd w:val="clear" w:color="auto" w:fill="FFFFFF"/>
                <w:lang w:val="fr-FR"/>
              </w:rPr>
              <w:t>statele</w:t>
            </w:r>
            <w:proofErr w:type="spellEnd"/>
            <w:r w:rsidR="00E3489F">
              <w:rPr>
                <w:rFonts w:ascii="Times New Roman" w:hAnsi="Times New Roman"/>
                <w:sz w:val="20"/>
                <w:szCs w:val="20"/>
                <w:shd w:val="clear" w:color="auto" w:fill="FFFFFF"/>
                <w:lang w:val="fr-FR"/>
              </w:rPr>
              <w:t xml:space="preserve"> </w:t>
            </w:r>
            <w:r w:rsidRPr="00CC2819">
              <w:rPr>
                <w:rFonts w:ascii="Times New Roman" w:hAnsi="Times New Roman"/>
                <w:sz w:val="20"/>
                <w:szCs w:val="20"/>
                <w:shd w:val="clear" w:color="auto" w:fill="FFFFFF"/>
                <w:lang w:val="fr-FR"/>
              </w:rPr>
              <w:t xml:space="preserve">membre </w:t>
            </w:r>
            <w:proofErr w:type="spellStart"/>
            <w:r w:rsidRPr="00CC2819">
              <w:rPr>
                <w:rFonts w:ascii="Times New Roman" w:hAnsi="Times New Roman"/>
                <w:sz w:val="20"/>
                <w:szCs w:val="20"/>
                <w:shd w:val="clear" w:color="auto" w:fill="FFFFFF"/>
                <w:lang w:val="fr-FR"/>
              </w:rPr>
              <w:t>prezintă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părțile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relevante</w:t>
            </w:r>
            <w:proofErr w:type="spellEnd"/>
            <w:r w:rsidRPr="00CC2819">
              <w:rPr>
                <w:rFonts w:ascii="Times New Roman" w:hAnsi="Times New Roman"/>
                <w:sz w:val="20"/>
                <w:szCs w:val="20"/>
                <w:shd w:val="clear" w:color="auto" w:fill="FFFFFF"/>
                <w:lang w:val="fr-FR"/>
              </w:rPr>
              <w:t xml:space="preserve"> ale </w:t>
            </w:r>
            <w:proofErr w:type="spellStart"/>
            <w:r w:rsidRPr="00CC2819">
              <w:rPr>
                <w:rFonts w:ascii="Times New Roman" w:hAnsi="Times New Roman"/>
                <w:sz w:val="20"/>
                <w:szCs w:val="20"/>
                <w:shd w:val="clear" w:color="auto" w:fill="FFFFFF"/>
                <w:lang w:val="fr-FR"/>
              </w:rPr>
              <w:t>planurilor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naționale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integrate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cadrul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forurilor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corespunzătoare</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cooperare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regională</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vederea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finalizării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acestora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Dacă</w:t>
            </w:r>
            <w:proofErr w:type="spellEnd"/>
            <w:r w:rsidRPr="00CC2819">
              <w:rPr>
                <w:rFonts w:ascii="Times New Roman" w:hAnsi="Times New Roman"/>
                <w:sz w:val="20"/>
                <w:szCs w:val="20"/>
                <w:shd w:val="clear" w:color="auto" w:fill="FFFFFF"/>
                <w:lang w:val="fr-FR"/>
              </w:rPr>
              <w:t xml:space="preserve"> este </w:t>
            </w:r>
            <w:proofErr w:type="spellStart"/>
            <w:r w:rsidRPr="00CC2819">
              <w:rPr>
                <w:rFonts w:ascii="Times New Roman" w:hAnsi="Times New Roman"/>
                <w:sz w:val="20"/>
                <w:szCs w:val="20"/>
                <w:shd w:val="clear" w:color="auto" w:fill="FFFFFF"/>
                <w:lang w:val="fr-FR"/>
              </w:rPr>
              <w:t>necesar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Comisia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facilitează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această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cooperare</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consultare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între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iar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dacă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identifică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posibilități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pentru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extinderea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cooperării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poate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le </w:t>
            </w:r>
            <w:proofErr w:type="spellStart"/>
            <w:r w:rsidRPr="00CC2819">
              <w:rPr>
                <w:rFonts w:ascii="Times New Roman" w:hAnsi="Times New Roman"/>
                <w:sz w:val="20"/>
                <w:szCs w:val="20"/>
                <w:shd w:val="clear" w:color="auto" w:fill="FFFFFF"/>
                <w:lang w:val="fr-FR"/>
              </w:rPr>
              <w:t>ofere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statelor</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orientări</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vederea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facilitării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procesului</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cooperare</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consultare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efectivă</w:t>
            </w:r>
            <w:proofErr w:type="spellEnd"/>
            <w:r w:rsidRPr="00CC2819">
              <w:rPr>
                <w:rFonts w:ascii="Times New Roman" w:hAnsi="Times New Roman"/>
                <w:sz w:val="20"/>
                <w:szCs w:val="20"/>
                <w:shd w:val="clear" w:color="auto" w:fill="FFFFFF"/>
                <w:lang w:val="fr-FR"/>
              </w:rPr>
              <w:t>.</w:t>
            </w:r>
          </w:p>
          <w:p w14:paraId="3C95B855" w14:textId="77777777" w:rsidR="007225CA" w:rsidRPr="00CC2819" w:rsidRDefault="007225CA"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lang w:val="fr-FR"/>
              </w:rPr>
              <w:t xml:space="preserve">(5) În </w:t>
            </w:r>
            <w:proofErr w:type="spellStart"/>
            <w:r w:rsidRPr="00CC2819">
              <w:rPr>
                <w:rFonts w:ascii="Times New Roman" w:hAnsi="Times New Roman"/>
                <w:sz w:val="20"/>
                <w:szCs w:val="20"/>
                <w:shd w:val="clear" w:color="auto" w:fill="FFFFFF"/>
                <w:lang w:val="fr-FR"/>
              </w:rPr>
              <w:t>propriile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planuri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naționale</w:t>
            </w:r>
            <w:proofErr w:type="spellEnd"/>
            <w:r w:rsidRPr="00CC2819">
              <w:rPr>
                <w:rFonts w:ascii="Times New Roman" w:hAnsi="Times New Roman"/>
                <w:sz w:val="20"/>
                <w:szCs w:val="20"/>
                <w:shd w:val="clear" w:color="auto" w:fill="FFFFFF"/>
                <w:lang w:val="fr-FR"/>
              </w:rPr>
              <w:t xml:space="preserve"> finale </w:t>
            </w:r>
            <w:proofErr w:type="spellStart"/>
            <w:r w:rsidRPr="00CC2819">
              <w:rPr>
                <w:rFonts w:ascii="Times New Roman" w:hAnsi="Times New Roman"/>
                <w:sz w:val="20"/>
                <w:szCs w:val="20"/>
                <w:shd w:val="clear" w:color="auto" w:fill="FFFFFF"/>
                <w:lang w:val="fr-FR"/>
              </w:rPr>
              <w:t>integrate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iau</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considerare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observațiile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primite</w:t>
            </w:r>
            <w:proofErr w:type="spellEnd"/>
            <w:r w:rsidRPr="00CC2819">
              <w:rPr>
                <w:rFonts w:ascii="Times New Roman" w:hAnsi="Times New Roman"/>
                <w:sz w:val="20"/>
                <w:szCs w:val="20"/>
                <w:shd w:val="clear" w:color="auto" w:fill="FFFFFF"/>
                <w:lang w:val="fr-FR"/>
              </w:rPr>
              <w:t xml:space="preserve"> de la </w:t>
            </w:r>
            <w:proofErr w:type="spellStart"/>
            <w:r w:rsidRPr="00CC2819">
              <w:rPr>
                <w:rFonts w:ascii="Times New Roman" w:hAnsi="Times New Roman"/>
                <w:sz w:val="20"/>
                <w:szCs w:val="20"/>
                <w:shd w:val="clear" w:color="auto" w:fill="FFFFFF"/>
                <w:lang w:val="fr-FR"/>
              </w:rPr>
              <w:t>alte</w:t>
            </w:r>
            <w:proofErr w:type="spellEnd"/>
            <w:r w:rsidRPr="00CC2819">
              <w:rPr>
                <w:rFonts w:ascii="Times New Roman" w:hAnsi="Times New Roman"/>
                <w:sz w:val="20"/>
                <w:szCs w:val="20"/>
                <w:shd w:val="clear" w:color="auto" w:fill="FFFFFF"/>
                <w:lang w:val="fr-FR"/>
              </w:rPr>
              <w:t xml:space="preserve"> state membre în </w:t>
            </w:r>
            <w:proofErr w:type="spellStart"/>
            <w:r w:rsidRPr="00CC2819">
              <w:rPr>
                <w:rFonts w:ascii="Times New Roman" w:hAnsi="Times New Roman"/>
                <w:sz w:val="20"/>
                <w:szCs w:val="20"/>
                <w:shd w:val="clear" w:color="auto" w:fill="FFFFFF"/>
                <w:lang w:val="fr-FR"/>
              </w:rPr>
              <w:t>temeiul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alineatelor</w:t>
            </w:r>
            <w:proofErr w:type="spellEnd"/>
            <w:r w:rsidRPr="00CC2819">
              <w:rPr>
                <w:rFonts w:ascii="Times New Roman" w:hAnsi="Times New Roman"/>
                <w:sz w:val="20"/>
                <w:szCs w:val="20"/>
                <w:shd w:val="clear" w:color="auto" w:fill="FFFFFF"/>
                <w:lang w:val="fr-FR"/>
              </w:rPr>
              <w:t xml:space="preserve"> (2) și (3) și </w:t>
            </w:r>
            <w:proofErr w:type="spellStart"/>
            <w:r w:rsidRPr="00CC2819">
              <w:rPr>
                <w:rFonts w:ascii="Times New Roman" w:hAnsi="Times New Roman"/>
                <w:sz w:val="20"/>
                <w:szCs w:val="20"/>
                <w:shd w:val="clear" w:color="auto" w:fill="FFFFFF"/>
                <w:lang w:val="fr-FR"/>
              </w:rPr>
              <w:t>explică</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planurile</w:t>
            </w:r>
            <w:proofErr w:type="spellEnd"/>
            <w:r w:rsidRPr="00CC2819">
              <w:rPr>
                <w:rFonts w:ascii="Times New Roman" w:hAnsi="Times New Roman"/>
                <w:sz w:val="20"/>
                <w:szCs w:val="20"/>
                <w:shd w:val="clear" w:color="auto" w:fill="FFFFFF"/>
                <w:lang w:val="fr-FR"/>
              </w:rPr>
              <w:t xml:space="preserve"> respective </w:t>
            </w:r>
            <w:proofErr w:type="spellStart"/>
            <w:r w:rsidRPr="00CC2819">
              <w:rPr>
                <w:rFonts w:ascii="Times New Roman" w:hAnsi="Times New Roman"/>
                <w:sz w:val="20"/>
                <w:szCs w:val="20"/>
                <w:shd w:val="clear" w:color="auto" w:fill="FFFFFF"/>
                <w:lang w:val="fr-FR"/>
              </w:rPr>
              <w:t>modul</w:t>
            </w:r>
            <w:proofErr w:type="spellEnd"/>
            <w:r w:rsidRPr="00CC2819">
              <w:rPr>
                <w:rFonts w:ascii="Times New Roman" w:hAnsi="Times New Roman"/>
                <w:sz w:val="20"/>
                <w:szCs w:val="20"/>
                <w:shd w:val="clear" w:color="auto" w:fill="FFFFFF"/>
                <w:lang w:val="fr-FR"/>
              </w:rPr>
              <w:t xml:space="preserve"> în care au </w:t>
            </w:r>
            <w:proofErr w:type="spellStart"/>
            <w:r w:rsidRPr="00CC2819">
              <w:rPr>
                <w:rFonts w:ascii="Times New Roman" w:hAnsi="Times New Roman"/>
                <w:sz w:val="20"/>
                <w:szCs w:val="20"/>
                <w:shd w:val="clear" w:color="auto" w:fill="FFFFFF"/>
                <w:lang w:val="fr-FR"/>
              </w:rPr>
              <w:t>fost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luate</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considerare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observațiile</w:t>
            </w:r>
            <w:proofErr w:type="spellEnd"/>
            <w:r w:rsidRPr="00CC2819">
              <w:rPr>
                <w:rFonts w:ascii="Times New Roman" w:hAnsi="Times New Roman"/>
                <w:sz w:val="20"/>
                <w:szCs w:val="20"/>
                <w:shd w:val="clear" w:color="auto" w:fill="FFFFFF"/>
                <w:lang w:val="fr-FR"/>
              </w:rPr>
              <w:t xml:space="preserve"> respective.</w:t>
            </w:r>
          </w:p>
          <w:p w14:paraId="130D7756" w14:textId="77777777" w:rsidR="007225CA" w:rsidRPr="00CC2819" w:rsidRDefault="007225CA"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lang w:val="fr-FR"/>
              </w:rPr>
              <w:t xml:space="preserve">(6) În </w:t>
            </w:r>
            <w:proofErr w:type="spellStart"/>
            <w:r w:rsidRPr="00CC2819">
              <w:rPr>
                <w:rFonts w:ascii="Times New Roman" w:hAnsi="Times New Roman"/>
                <w:sz w:val="20"/>
                <w:szCs w:val="20"/>
                <w:shd w:val="clear" w:color="auto" w:fill="FFFFFF"/>
                <w:lang w:val="fr-FR"/>
              </w:rPr>
              <w:t>scopurile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menționate</w:t>
            </w:r>
            <w:proofErr w:type="spellEnd"/>
            <w:r w:rsidRPr="00CC2819">
              <w:rPr>
                <w:rFonts w:ascii="Times New Roman" w:hAnsi="Times New Roman"/>
                <w:sz w:val="20"/>
                <w:szCs w:val="20"/>
                <w:shd w:val="clear" w:color="auto" w:fill="FFFFFF"/>
                <w:lang w:val="fr-FR"/>
              </w:rPr>
              <w:t xml:space="preserve"> la </w:t>
            </w:r>
            <w:proofErr w:type="spellStart"/>
            <w:r w:rsidRPr="00CC2819">
              <w:rPr>
                <w:rFonts w:ascii="Times New Roman" w:hAnsi="Times New Roman"/>
                <w:sz w:val="20"/>
                <w:szCs w:val="20"/>
                <w:shd w:val="clear" w:color="auto" w:fill="FFFFFF"/>
                <w:lang w:val="fr-FR"/>
              </w:rPr>
              <w:t>alineatul</w:t>
            </w:r>
            <w:proofErr w:type="spellEnd"/>
            <w:r w:rsidRPr="00CC2819">
              <w:rPr>
                <w:rFonts w:ascii="Times New Roman" w:hAnsi="Times New Roman"/>
                <w:sz w:val="20"/>
                <w:szCs w:val="20"/>
                <w:shd w:val="clear" w:color="auto" w:fill="FFFFFF"/>
                <w:lang w:val="fr-FR"/>
              </w:rPr>
              <w:t xml:space="preserve"> (1),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w:t>
            </w:r>
            <w:proofErr w:type="spellStart"/>
            <w:r w:rsidRPr="00CC2819">
              <w:rPr>
                <w:rFonts w:ascii="Times New Roman" w:hAnsi="Times New Roman"/>
                <w:sz w:val="20"/>
                <w:szCs w:val="20"/>
                <w:shd w:val="clear" w:color="auto" w:fill="FFFFFF"/>
                <w:lang w:val="fr-FR"/>
              </w:rPr>
              <w:t>continuă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coopereze</w:t>
            </w:r>
            <w:proofErr w:type="spellEnd"/>
            <w:r w:rsidRPr="00CC2819">
              <w:rPr>
                <w:rFonts w:ascii="Times New Roman" w:hAnsi="Times New Roman"/>
                <w:sz w:val="20"/>
                <w:szCs w:val="20"/>
                <w:shd w:val="clear" w:color="auto" w:fill="FFFFFF"/>
                <w:lang w:val="fr-FR"/>
              </w:rPr>
              <w:t xml:space="preserve"> la </w:t>
            </w:r>
            <w:proofErr w:type="spellStart"/>
            <w:r w:rsidRPr="00CC2819">
              <w:rPr>
                <w:rFonts w:ascii="Times New Roman" w:hAnsi="Times New Roman"/>
                <w:sz w:val="20"/>
                <w:szCs w:val="20"/>
                <w:shd w:val="clear" w:color="auto" w:fill="FFFFFF"/>
                <w:lang w:val="fr-FR"/>
              </w:rPr>
              <w:t>nivel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dacă</w:t>
            </w:r>
            <w:proofErr w:type="spellEnd"/>
            <w:r w:rsidRPr="00CC2819">
              <w:rPr>
                <w:rFonts w:ascii="Times New Roman" w:hAnsi="Times New Roman"/>
                <w:sz w:val="20"/>
                <w:szCs w:val="20"/>
                <w:shd w:val="clear" w:color="auto" w:fill="FFFFFF"/>
                <w:lang w:val="fr-FR"/>
              </w:rPr>
              <w:t xml:space="preserve"> este </w:t>
            </w:r>
            <w:proofErr w:type="spellStart"/>
            <w:r w:rsidRPr="00CC2819">
              <w:rPr>
                <w:rFonts w:ascii="Times New Roman" w:hAnsi="Times New Roman"/>
                <w:sz w:val="20"/>
                <w:szCs w:val="20"/>
                <w:shd w:val="clear" w:color="auto" w:fill="FFFFFF"/>
                <w:lang w:val="fr-FR"/>
              </w:rPr>
              <w:t>cazul</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cadrul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forurilor</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cooperare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pentru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punerea</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aplicare</w:t>
            </w:r>
            <w:proofErr w:type="spellEnd"/>
            <w:r w:rsidRPr="00CC2819">
              <w:rPr>
                <w:rFonts w:ascii="Times New Roman" w:hAnsi="Times New Roman"/>
                <w:sz w:val="20"/>
                <w:szCs w:val="20"/>
                <w:shd w:val="clear" w:color="auto" w:fill="FFFFFF"/>
                <w:lang w:val="fr-FR"/>
              </w:rPr>
              <w:t xml:space="preserve"> a </w:t>
            </w:r>
            <w:proofErr w:type="spellStart"/>
            <w:r w:rsidRPr="00CC2819">
              <w:rPr>
                <w:rFonts w:ascii="Times New Roman" w:hAnsi="Times New Roman"/>
                <w:sz w:val="20"/>
                <w:szCs w:val="20"/>
                <w:shd w:val="clear" w:color="auto" w:fill="FFFFFF"/>
                <w:lang w:val="fr-FR"/>
              </w:rPr>
              <w:t>politicilor</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măsurilor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relevante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aferente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planurilor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lor</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naționale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integrate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energia</w:t>
            </w:r>
            <w:proofErr w:type="spellEnd"/>
            <w:r w:rsidRPr="00CC2819">
              <w:rPr>
                <w:rFonts w:ascii="Times New Roman" w:hAnsi="Times New Roman"/>
                <w:sz w:val="20"/>
                <w:szCs w:val="20"/>
                <w:shd w:val="clear" w:color="auto" w:fill="FFFFFF"/>
                <w:lang w:val="fr-FR"/>
              </w:rPr>
              <w:t xml:space="preserve"> și </w:t>
            </w:r>
            <w:proofErr w:type="spellStart"/>
            <w:r w:rsidRPr="00CC2819">
              <w:rPr>
                <w:rFonts w:ascii="Times New Roman" w:hAnsi="Times New Roman"/>
                <w:sz w:val="20"/>
                <w:szCs w:val="20"/>
                <w:shd w:val="clear" w:color="auto" w:fill="FFFFFF"/>
                <w:lang w:val="fr-FR"/>
              </w:rPr>
              <w:t>clima</w:t>
            </w:r>
            <w:proofErr w:type="spellEnd"/>
            <w:r w:rsidRPr="00CC2819">
              <w:rPr>
                <w:rFonts w:ascii="Times New Roman" w:hAnsi="Times New Roman"/>
                <w:sz w:val="20"/>
                <w:szCs w:val="20"/>
                <w:shd w:val="clear" w:color="auto" w:fill="FFFFFF"/>
                <w:lang w:val="fr-FR"/>
              </w:rPr>
              <w:t>.</w:t>
            </w:r>
          </w:p>
          <w:p w14:paraId="48CBC3C6" w14:textId="77777777" w:rsidR="007225CA" w:rsidRPr="00CC2819" w:rsidRDefault="007225CA"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lang w:val="fr-FR"/>
              </w:rPr>
              <w:t xml:space="preserve">(7) </w:t>
            </w:r>
            <w:proofErr w:type="spellStart"/>
            <w:r w:rsidRPr="00CC2819">
              <w:rPr>
                <w:rFonts w:ascii="Times New Roman" w:hAnsi="Times New Roman"/>
                <w:sz w:val="20"/>
                <w:szCs w:val="20"/>
                <w:shd w:val="clear" w:color="auto" w:fill="FFFFFF"/>
                <w:lang w:val="fr-FR"/>
              </w:rPr>
              <w:t>Statele</w:t>
            </w:r>
            <w:proofErr w:type="spellEnd"/>
            <w:r w:rsidRPr="00CC2819">
              <w:rPr>
                <w:rFonts w:ascii="Times New Roman" w:hAnsi="Times New Roman"/>
                <w:sz w:val="20"/>
                <w:szCs w:val="20"/>
                <w:shd w:val="clear" w:color="auto" w:fill="FFFFFF"/>
                <w:lang w:val="fr-FR"/>
              </w:rPr>
              <w:t xml:space="preserve"> membre pot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aibă</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vedere</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asemenea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cooperarea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semnatarii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Tratatului</w:t>
            </w:r>
            <w:proofErr w:type="spellEnd"/>
            <w:r w:rsidRPr="00CC2819">
              <w:rPr>
                <w:rFonts w:ascii="Times New Roman" w:hAnsi="Times New Roman"/>
                <w:sz w:val="20"/>
                <w:szCs w:val="20"/>
                <w:shd w:val="clear" w:color="auto" w:fill="FFFFFF"/>
                <w:lang w:val="fr-FR"/>
              </w:rPr>
              <w:t xml:space="preserve"> de </w:t>
            </w:r>
            <w:proofErr w:type="spellStart"/>
            <w:r w:rsidRPr="00CC2819">
              <w:rPr>
                <w:rFonts w:ascii="Times New Roman" w:hAnsi="Times New Roman"/>
                <w:sz w:val="20"/>
                <w:szCs w:val="20"/>
                <w:shd w:val="clear" w:color="auto" w:fill="FFFFFF"/>
                <w:lang w:val="fr-FR"/>
              </w:rPr>
              <w:t>instituire</w:t>
            </w:r>
            <w:proofErr w:type="spellEnd"/>
            <w:r w:rsidRPr="00CC2819">
              <w:rPr>
                <w:rFonts w:ascii="Times New Roman" w:hAnsi="Times New Roman"/>
                <w:sz w:val="20"/>
                <w:szCs w:val="20"/>
                <w:shd w:val="clear" w:color="auto" w:fill="FFFFFF"/>
                <w:lang w:val="fr-FR"/>
              </w:rPr>
              <w:t xml:space="preserve"> a </w:t>
            </w:r>
            <w:proofErr w:type="spellStart"/>
            <w:r w:rsidRPr="00CC2819">
              <w:rPr>
                <w:rFonts w:ascii="Times New Roman" w:hAnsi="Times New Roman"/>
                <w:sz w:val="20"/>
                <w:szCs w:val="20"/>
                <w:shd w:val="clear" w:color="auto" w:fill="FFFFFF"/>
                <w:lang w:val="fr-FR"/>
              </w:rPr>
              <w:t>Comunității</w:t>
            </w:r>
            <w:proofErr w:type="spellEnd"/>
            <w:r w:rsidRPr="00CC2819">
              <w:rPr>
                <w:rFonts w:ascii="Times New Roman" w:hAnsi="Times New Roman"/>
                <w:sz w:val="20"/>
                <w:szCs w:val="20"/>
                <w:shd w:val="clear" w:color="auto" w:fill="FFFFFF"/>
                <w:lang w:val="fr-FR"/>
              </w:rPr>
              <w:t xml:space="preserve"> Energiei și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țările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terțe</w:t>
            </w:r>
            <w:proofErr w:type="spellEnd"/>
            <w:r w:rsidRPr="00CC2819">
              <w:rPr>
                <w:rFonts w:ascii="Times New Roman" w:hAnsi="Times New Roman"/>
                <w:sz w:val="20"/>
                <w:szCs w:val="20"/>
                <w:shd w:val="clear" w:color="auto" w:fill="FFFFFF"/>
                <w:lang w:val="fr-FR"/>
              </w:rPr>
              <w:t xml:space="preserve"> care fac parte </w:t>
            </w:r>
            <w:proofErr w:type="spellStart"/>
            <w:r w:rsidRPr="00CC2819">
              <w:rPr>
                <w:rFonts w:ascii="Times New Roman" w:hAnsi="Times New Roman"/>
                <w:sz w:val="20"/>
                <w:szCs w:val="20"/>
                <w:shd w:val="clear" w:color="auto" w:fill="FFFFFF"/>
                <w:lang w:val="fr-FR"/>
              </w:rPr>
              <w:t>din</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Spațiul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Economic</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European</w:t>
            </w:r>
            <w:proofErr w:type="spellEnd"/>
            <w:r w:rsidRPr="00CC2819">
              <w:rPr>
                <w:rFonts w:ascii="Times New Roman" w:hAnsi="Times New Roman"/>
                <w:sz w:val="20"/>
                <w:szCs w:val="20"/>
                <w:shd w:val="clear" w:color="auto" w:fill="FFFFFF"/>
                <w:lang w:val="fr-FR"/>
              </w:rPr>
              <w:t>.</w:t>
            </w:r>
          </w:p>
          <w:p w14:paraId="5EC02918" w14:textId="4A0596D0" w:rsidR="007225CA" w:rsidRPr="007225CA" w:rsidRDefault="007225CA" w:rsidP="00D37AB7">
            <w:pPr>
              <w:pStyle w:val="ColorfulList-Accent11"/>
              <w:spacing w:after="0" w:line="240" w:lineRule="auto"/>
              <w:ind w:left="0"/>
              <w:jc w:val="both"/>
              <w:rPr>
                <w:rFonts w:ascii="Times New Roman" w:hAnsi="Times New Roman"/>
                <w:sz w:val="20"/>
                <w:szCs w:val="20"/>
                <w:shd w:val="clear" w:color="auto" w:fill="FFFFFF"/>
                <w:lang w:val="fr-FR"/>
              </w:rPr>
            </w:pPr>
            <w:r w:rsidRPr="00CC2819">
              <w:rPr>
                <w:rFonts w:ascii="Times New Roman" w:hAnsi="Times New Roman"/>
                <w:sz w:val="20"/>
                <w:szCs w:val="20"/>
                <w:shd w:val="clear" w:color="auto" w:fill="FFFFFF"/>
                <w:lang w:val="fr-FR"/>
              </w:rPr>
              <w:t>(</w:t>
            </w:r>
            <w:proofErr w:type="gramStart"/>
            <w:r w:rsidRPr="00CC2819">
              <w:rPr>
                <w:rFonts w:ascii="Times New Roman" w:hAnsi="Times New Roman"/>
                <w:sz w:val="20"/>
                <w:szCs w:val="20"/>
                <w:shd w:val="clear" w:color="auto" w:fill="FFFFFF"/>
                <w:lang w:val="fr-FR"/>
              </w:rPr>
              <w:t>8)În</w:t>
            </w:r>
            <w:proofErr w:type="gram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măsura</w:t>
            </w:r>
            <w:proofErr w:type="spellEnd"/>
            <w:r w:rsidRPr="00CC2819">
              <w:rPr>
                <w:rFonts w:ascii="Times New Roman" w:hAnsi="Times New Roman"/>
                <w:sz w:val="20"/>
                <w:szCs w:val="20"/>
                <w:shd w:val="clear" w:color="auto" w:fill="FFFFFF"/>
                <w:lang w:val="fr-FR"/>
              </w:rPr>
              <w:t xml:space="preserve"> în care </w:t>
            </w:r>
            <w:proofErr w:type="spellStart"/>
            <w:r w:rsidRPr="00CC2819">
              <w:rPr>
                <w:rFonts w:ascii="Times New Roman" w:hAnsi="Times New Roman"/>
                <w:sz w:val="20"/>
                <w:szCs w:val="20"/>
                <w:shd w:val="clear" w:color="auto" w:fill="FFFFFF"/>
                <w:lang w:val="fr-FR"/>
              </w:rPr>
              <w:t>sunt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aplicabile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dispozițiile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Directivei</w:t>
            </w:r>
            <w:proofErr w:type="spellEnd"/>
            <w:r w:rsidRPr="00CC2819">
              <w:rPr>
                <w:rFonts w:ascii="Times New Roman" w:hAnsi="Times New Roman"/>
                <w:sz w:val="20"/>
                <w:szCs w:val="20"/>
                <w:shd w:val="clear" w:color="auto" w:fill="FFFFFF"/>
                <w:lang w:val="fr-FR"/>
              </w:rPr>
              <w:t xml:space="preserve"> 2001/42/CE, se </w:t>
            </w:r>
            <w:proofErr w:type="spellStart"/>
            <w:r w:rsidRPr="00CC2819">
              <w:rPr>
                <w:rFonts w:ascii="Times New Roman" w:hAnsi="Times New Roman"/>
                <w:sz w:val="20"/>
                <w:szCs w:val="20"/>
                <w:shd w:val="clear" w:color="auto" w:fill="FFFFFF"/>
                <w:lang w:val="fr-FR"/>
              </w:rPr>
              <w:t>consideră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consultarea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transfrontalieră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întreprinsă</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legătură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proiectul</w:t>
            </w:r>
            <w:proofErr w:type="spellEnd"/>
            <w:r w:rsidRPr="00CC2819">
              <w:rPr>
                <w:rFonts w:ascii="Times New Roman" w:hAnsi="Times New Roman"/>
                <w:sz w:val="20"/>
                <w:szCs w:val="20"/>
                <w:shd w:val="clear" w:color="auto" w:fill="FFFFFF"/>
                <w:lang w:val="fr-FR"/>
              </w:rPr>
              <w:t xml:space="preserve"> în conformitate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articolul</w:t>
            </w:r>
            <w:proofErr w:type="spellEnd"/>
            <w:r w:rsidRPr="00CC2819">
              <w:rPr>
                <w:rFonts w:ascii="Times New Roman" w:hAnsi="Times New Roman"/>
                <w:sz w:val="20"/>
                <w:szCs w:val="20"/>
                <w:shd w:val="clear" w:color="auto" w:fill="FFFFFF"/>
                <w:lang w:val="fr-FR"/>
              </w:rPr>
              <w:t xml:space="preserve"> 7 </w:t>
            </w:r>
            <w:proofErr w:type="spellStart"/>
            <w:r w:rsidRPr="00CC2819">
              <w:rPr>
                <w:rFonts w:ascii="Times New Roman" w:hAnsi="Times New Roman"/>
                <w:sz w:val="20"/>
                <w:szCs w:val="20"/>
                <w:shd w:val="clear" w:color="auto" w:fill="FFFFFF"/>
                <w:lang w:val="fr-FR"/>
              </w:rPr>
              <w:t>din</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respectiva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directivă</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satisface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obligațiile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privind</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cooperarea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regională</w:t>
            </w:r>
            <w:proofErr w:type="spellEnd"/>
            <w:r w:rsidRPr="00CC2819">
              <w:rPr>
                <w:rFonts w:ascii="Times New Roman" w:hAnsi="Times New Roman"/>
                <w:sz w:val="20"/>
                <w:szCs w:val="20"/>
                <w:shd w:val="clear" w:color="auto" w:fill="FFFFFF"/>
                <w:lang w:val="fr-FR"/>
              </w:rPr>
              <w:t xml:space="preserve"> în </w:t>
            </w:r>
            <w:proofErr w:type="spellStart"/>
            <w:r w:rsidRPr="00CC2819">
              <w:rPr>
                <w:rFonts w:ascii="Times New Roman" w:hAnsi="Times New Roman"/>
                <w:sz w:val="20"/>
                <w:szCs w:val="20"/>
                <w:shd w:val="clear" w:color="auto" w:fill="FFFFFF"/>
                <w:lang w:val="fr-FR"/>
              </w:rPr>
              <w:t>temeiul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prezentului</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regulament</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cu</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condiția</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să</w:t>
            </w:r>
            <w:proofErr w:type="spellEnd"/>
            <w:r w:rsidRPr="00CC2819">
              <w:rPr>
                <w:rFonts w:ascii="Times New Roman" w:hAnsi="Times New Roman"/>
                <w:sz w:val="20"/>
                <w:szCs w:val="20"/>
                <w:shd w:val="clear" w:color="auto" w:fill="FFFFFF"/>
                <w:lang w:val="fr-FR"/>
              </w:rPr>
              <w:t xml:space="preserve"> fie </w:t>
            </w:r>
            <w:proofErr w:type="spellStart"/>
            <w:r w:rsidRPr="00CC2819">
              <w:rPr>
                <w:rFonts w:ascii="Times New Roman" w:hAnsi="Times New Roman"/>
                <w:sz w:val="20"/>
                <w:szCs w:val="20"/>
                <w:shd w:val="clear" w:color="auto" w:fill="FFFFFF"/>
                <w:lang w:val="fr-FR"/>
              </w:rPr>
              <w:t>îndeplinite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cerințele</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din</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prezentul</w:t>
            </w:r>
            <w:proofErr w:type="spellEnd"/>
            <w:r w:rsidRPr="00CC2819">
              <w:rPr>
                <w:rFonts w:ascii="Times New Roman" w:hAnsi="Times New Roman"/>
                <w:sz w:val="20"/>
                <w:szCs w:val="20"/>
                <w:shd w:val="clear" w:color="auto" w:fill="FFFFFF"/>
                <w:lang w:val="fr-FR"/>
              </w:rPr>
              <w:t xml:space="preserve"> </w:t>
            </w:r>
            <w:proofErr w:type="spellStart"/>
            <w:r w:rsidRPr="00CC2819">
              <w:rPr>
                <w:rFonts w:ascii="Times New Roman" w:hAnsi="Times New Roman"/>
                <w:sz w:val="20"/>
                <w:szCs w:val="20"/>
                <w:shd w:val="clear" w:color="auto" w:fill="FFFFFF"/>
                <w:lang w:val="fr-FR"/>
              </w:rPr>
              <w:t>articol</w:t>
            </w:r>
            <w:proofErr w:type="spellEnd"/>
            <w:r w:rsidRPr="00CC2819">
              <w:rPr>
                <w:rFonts w:ascii="Times New Roman" w:hAnsi="Times New Roman"/>
                <w:sz w:val="20"/>
                <w:szCs w:val="20"/>
                <w:shd w:val="clear" w:color="auto" w:fill="FFFFFF"/>
                <w:lang w:val="fr-FR"/>
              </w:rPr>
              <w:t>.</w:t>
            </w:r>
          </w:p>
        </w:tc>
        <w:tc>
          <w:tcPr>
            <w:tcW w:w="4440" w:type="dxa"/>
          </w:tcPr>
          <w:p w14:paraId="2733D048"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09CA1B93"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29907978"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2690CABC"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1BBE557B"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6FE21896"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4FD62894"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65DF99CB"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4E1BED64" w14:textId="77777777" w:rsidR="00D84C73" w:rsidRDefault="00D84C73" w:rsidP="00D84C73">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p w14:paraId="0CF56FB0" w14:textId="54C05463" w:rsidR="00D37AB7" w:rsidRPr="00D84C73" w:rsidRDefault="00D37AB7" w:rsidP="00D84C73">
            <w:pPr>
              <w:shd w:val="clear" w:color="auto" w:fill="FFFFFF"/>
              <w:suppressAutoHyphens w:val="0"/>
              <w:autoSpaceDN/>
              <w:spacing w:after="0" w:line="240" w:lineRule="auto"/>
              <w:jc w:val="both"/>
              <w:textAlignment w:val="auto"/>
              <w:rPr>
                <w:rFonts w:ascii="Times New Roman" w:hAnsi="Times New Roman"/>
                <w:b/>
                <w:bCs/>
                <w:sz w:val="20"/>
                <w:szCs w:val="20"/>
                <w:lang w:val="ro-MD"/>
              </w:rPr>
            </w:pPr>
          </w:p>
        </w:tc>
        <w:tc>
          <w:tcPr>
            <w:tcW w:w="1276" w:type="dxa"/>
          </w:tcPr>
          <w:p w14:paraId="3ECA70FB" w14:textId="18113825" w:rsidR="00D37AB7" w:rsidRPr="0064623B" w:rsidRDefault="00FD6B71" w:rsidP="00D37AB7">
            <w:pPr>
              <w:pStyle w:val="ColorfulList-Accent11"/>
              <w:spacing w:after="0" w:line="240" w:lineRule="auto"/>
              <w:ind w:left="0"/>
              <w:jc w:val="both"/>
              <w:rPr>
                <w:lang w:val="fr-FR"/>
              </w:rPr>
            </w:pPr>
            <w:r>
              <w:rPr>
                <w:rFonts w:ascii="Times New Roman" w:hAnsi="Times New Roman"/>
                <w:sz w:val="20"/>
                <w:szCs w:val="20"/>
                <w:lang w:val="ro-RO"/>
              </w:rPr>
              <w:t>C</w:t>
            </w:r>
            <w:r w:rsidR="007225CA" w:rsidRPr="00C951E7">
              <w:rPr>
                <w:rFonts w:ascii="Times New Roman" w:hAnsi="Times New Roman"/>
                <w:sz w:val="20"/>
                <w:szCs w:val="20"/>
                <w:lang w:val="ro-RO"/>
              </w:rPr>
              <w:t>ompatibil</w:t>
            </w:r>
          </w:p>
        </w:tc>
        <w:tc>
          <w:tcPr>
            <w:tcW w:w="1276" w:type="dxa"/>
          </w:tcPr>
          <w:p w14:paraId="775D0FF1" w14:textId="77777777" w:rsidR="00D37AB7" w:rsidRPr="0064623B" w:rsidRDefault="00D37AB7" w:rsidP="00D37AB7">
            <w:pPr>
              <w:pStyle w:val="ColorfulList-Accent11"/>
              <w:spacing w:after="0" w:line="240" w:lineRule="auto"/>
              <w:ind w:left="0"/>
              <w:jc w:val="both"/>
              <w:rPr>
                <w:lang w:val="fr-FR"/>
              </w:rPr>
            </w:pPr>
          </w:p>
        </w:tc>
        <w:tc>
          <w:tcPr>
            <w:tcW w:w="1701" w:type="dxa"/>
          </w:tcPr>
          <w:p w14:paraId="490ABBBE" w14:textId="46C6B9A6" w:rsidR="00D84C73" w:rsidRPr="00F13819" w:rsidRDefault="00D84C73" w:rsidP="00D84C73">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Termenele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7FF0FBBB" w14:textId="77777777" w:rsidR="004C01A1" w:rsidRDefault="004C01A1" w:rsidP="004C01A1">
            <w:pPr>
              <w:pStyle w:val="ColorfulList-Accent11"/>
              <w:spacing w:after="0" w:line="240" w:lineRule="auto"/>
              <w:ind w:left="0"/>
              <w:jc w:val="both"/>
              <w:rPr>
                <w:rFonts w:ascii="Times New Roman" w:eastAsia="Times New Roman" w:hAnsi="Times New Roman"/>
                <w:sz w:val="20"/>
                <w:szCs w:val="20"/>
                <w:lang w:val="ro-RO" w:eastAsia="ru-RU"/>
              </w:rPr>
            </w:pPr>
          </w:p>
          <w:p w14:paraId="538EC257" w14:textId="11749BE3"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pct.104-110</w:t>
            </w:r>
            <w:r>
              <w:rPr>
                <w:rFonts w:ascii="Times New Roman" w:eastAsia="Times New Roman" w:hAnsi="Times New Roman"/>
                <w:sz w:val="20"/>
                <w:szCs w:val="20"/>
                <w:lang w:val="ro-RO" w:eastAsia="ru-RU"/>
              </w:rPr>
              <w:t xml:space="preserve"> </w:t>
            </w:r>
          </w:p>
          <w:p w14:paraId="48398AAF" w14:textId="5AF626F9" w:rsidR="00D37AB7" w:rsidRPr="007225CA"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6374EFEE" w14:textId="77777777" w:rsidR="00D84C73" w:rsidRPr="003F755D" w:rsidRDefault="007225CA" w:rsidP="00D84C73">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D84C73" w:rsidRPr="00A81801">
              <w:rPr>
                <w:rFonts w:ascii="Times New Roman" w:hAnsi="Times New Roman"/>
                <w:color w:val="000000" w:themeColor="text1"/>
                <w:sz w:val="20"/>
                <w:szCs w:val="20"/>
              </w:rPr>
              <w:t>Energiei</w:t>
            </w:r>
          </w:p>
          <w:p w14:paraId="5B618C92" w14:textId="63A2466F" w:rsidR="007225CA" w:rsidRPr="003F755D" w:rsidRDefault="007225CA" w:rsidP="007225CA">
            <w:pPr>
              <w:autoSpaceDE w:val="0"/>
              <w:spacing w:after="0" w:line="240" w:lineRule="auto"/>
              <w:rPr>
                <w:rFonts w:ascii="Times New Roman" w:hAnsi="Times New Roman"/>
                <w:sz w:val="20"/>
                <w:szCs w:val="20"/>
                <w:shd w:val="clear" w:color="auto" w:fill="FFFFFF"/>
                <w:lang w:val="ro-RO"/>
              </w:rPr>
            </w:pPr>
          </w:p>
          <w:p w14:paraId="628A3869" w14:textId="77777777" w:rsidR="00D37AB7" w:rsidRPr="007225CA" w:rsidRDefault="00D37AB7" w:rsidP="00D37AB7">
            <w:pPr>
              <w:pStyle w:val="ColorfulList-Accent11"/>
              <w:spacing w:after="0" w:line="240" w:lineRule="auto"/>
              <w:ind w:left="0"/>
              <w:jc w:val="both"/>
              <w:rPr>
                <w:lang w:val="ro-RO"/>
              </w:rPr>
            </w:pPr>
          </w:p>
        </w:tc>
      </w:tr>
      <w:tr w:rsidR="00D37AB7" w:rsidRPr="00495B0A" w14:paraId="5CF75CC5" w14:textId="77777777" w:rsidTr="00A90105">
        <w:tc>
          <w:tcPr>
            <w:tcW w:w="4945" w:type="dxa"/>
          </w:tcPr>
          <w:p w14:paraId="2BEB6F6A" w14:textId="77777777" w:rsidR="00D37AB7" w:rsidRPr="00D84C73" w:rsidRDefault="00D37AB7" w:rsidP="00D435FC">
            <w:pPr>
              <w:spacing w:after="0" w:line="240" w:lineRule="auto"/>
              <w:jc w:val="center"/>
              <w:rPr>
                <w:rFonts w:ascii="Times New Roman" w:hAnsi="Times New Roman"/>
                <w:sz w:val="20"/>
                <w:szCs w:val="20"/>
                <w:lang w:val="en-US" w:eastAsia="ru-RU"/>
              </w:rPr>
            </w:pPr>
            <w:proofErr w:type="spellStart"/>
            <w:r w:rsidRPr="00D84C73">
              <w:rPr>
                <w:rFonts w:ascii="Times New Roman" w:hAnsi="Times New Roman"/>
                <w:sz w:val="20"/>
                <w:szCs w:val="20"/>
                <w:lang w:val="en-US" w:eastAsia="ru-RU"/>
              </w:rPr>
              <w:t>Articolul</w:t>
            </w:r>
            <w:proofErr w:type="spellEnd"/>
            <w:r w:rsidRPr="00D84C73">
              <w:rPr>
                <w:rFonts w:ascii="Times New Roman" w:hAnsi="Times New Roman"/>
                <w:sz w:val="20"/>
                <w:szCs w:val="20"/>
                <w:lang w:val="en-US" w:eastAsia="ru-RU"/>
              </w:rPr>
              <w:t xml:space="preserve"> 13</w:t>
            </w:r>
          </w:p>
          <w:p w14:paraId="021DFF64" w14:textId="77777777" w:rsidR="00D37AB7" w:rsidRPr="00D84C73" w:rsidRDefault="00D37AB7" w:rsidP="00D435FC">
            <w:pPr>
              <w:spacing w:after="0" w:line="240" w:lineRule="auto"/>
              <w:jc w:val="center"/>
              <w:rPr>
                <w:rFonts w:ascii="Times New Roman" w:hAnsi="Times New Roman"/>
                <w:b/>
                <w:bCs/>
                <w:sz w:val="20"/>
                <w:szCs w:val="20"/>
                <w:lang w:val="en-US" w:eastAsia="ru-RU"/>
              </w:rPr>
            </w:pPr>
            <w:proofErr w:type="spellStart"/>
            <w:r w:rsidRPr="00D84C73">
              <w:rPr>
                <w:rFonts w:ascii="Times New Roman" w:hAnsi="Times New Roman"/>
                <w:b/>
                <w:bCs/>
                <w:sz w:val="20"/>
                <w:szCs w:val="20"/>
                <w:lang w:val="en-US" w:eastAsia="ru-RU"/>
              </w:rPr>
              <w:t>Evaluarea</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planurilor</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naționale</w:t>
            </w:r>
            <w:proofErr w:type="spellEnd"/>
            <w:r w:rsidRPr="00D84C73">
              <w:rPr>
                <w:rFonts w:ascii="Times New Roman" w:hAnsi="Times New Roman"/>
                <w:b/>
                <w:bCs/>
                <w:sz w:val="20"/>
                <w:szCs w:val="20"/>
                <w:lang w:val="en-US" w:eastAsia="ru-RU"/>
              </w:rPr>
              <w:t xml:space="preserve"> integrate </w:t>
            </w:r>
            <w:proofErr w:type="spellStart"/>
            <w:r w:rsidRPr="00D84C73">
              <w:rPr>
                <w:rFonts w:ascii="Times New Roman" w:hAnsi="Times New Roman"/>
                <w:b/>
                <w:bCs/>
                <w:sz w:val="20"/>
                <w:szCs w:val="20"/>
                <w:lang w:val="en-US" w:eastAsia="ru-RU"/>
              </w:rPr>
              <w:t>privind</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energia</w:t>
            </w:r>
            <w:proofErr w:type="spellEnd"/>
            <w:r w:rsidRPr="00D84C73">
              <w:rPr>
                <w:rFonts w:ascii="Times New Roman" w:hAnsi="Times New Roman"/>
                <w:b/>
                <w:bCs/>
                <w:sz w:val="20"/>
                <w:szCs w:val="20"/>
                <w:lang w:val="en-US" w:eastAsia="ru-RU"/>
              </w:rPr>
              <w:t xml:space="preserve"> și </w:t>
            </w:r>
            <w:proofErr w:type="spellStart"/>
            <w:r w:rsidRPr="00D84C73">
              <w:rPr>
                <w:rFonts w:ascii="Times New Roman" w:hAnsi="Times New Roman"/>
                <w:b/>
                <w:bCs/>
                <w:sz w:val="20"/>
                <w:szCs w:val="20"/>
                <w:lang w:val="en-US" w:eastAsia="ru-RU"/>
              </w:rPr>
              <w:t>clima</w:t>
            </w:r>
            <w:proofErr w:type="spellEnd"/>
          </w:p>
          <w:p w14:paraId="53DB568D" w14:textId="6A61C48A" w:rsidR="00D37AB7" w:rsidRPr="00D84C73" w:rsidRDefault="00D37AB7" w:rsidP="00D435FC">
            <w:pPr>
              <w:spacing w:after="0" w:line="240" w:lineRule="auto"/>
              <w:jc w:val="both"/>
              <w:rPr>
                <w:rFonts w:ascii="Times New Roman" w:hAnsi="Times New Roman"/>
                <w:sz w:val="20"/>
                <w:szCs w:val="20"/>
                <w:lang w:val="en-US" w:eastAsia="ru-RU"/>
              </w:rPr>
            </w:pPr>
            <w:r w:rsidRPr="00D84C73">
              <w:rPr>
                <w:rFonts w:ascii="Times New Roman" w:hAnsi="Times New Roman"/>
                <w:sz w:val="20"/>
                <w:szCs w:val="20"/>
                <w:lang w:val="en-US" w:eastAsia="ru-RU"/>
              </w:rPr>
              <w:t xml:space="preserve">Pe </w:t>
            </w:r>
            <w:proofErr w:type="spellStart"/>
            <w:r w:rsidRPr="00D84C73">
              <w:rPr>
                <w:rFonts w:ascii="Times New Roman" w:hAnsi="Times New Roman"/>
                <w:sz w:val="20"/>
                <w:szCs w:val="20"/>
                <w:lang w:val="en-US" w:eastAsia="ru-RU"/>
              </w:rPr>
              <w:t>baza</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planurilor</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naționale</w:t>
            </w:r>
            <w:proofErr w:type="spellEnd"/>
            <w:r w:rsidRPr="00D84C73">
              <w:rPr>
                <w:rFonts w:ascii="Times New Roman" w:hAnsi="Times New Roman"/>
                <w:sz w:val="20"/>
                <w:szCs w:val="20"/>
                <w:lang w:val="en-US" w:eastAsia="ru-RU"/>
              </w:rPr>
              <w:t xml:space="preserve"> integrate </w:t>
            </w:r>
            <w:proofErr w:type="spellStart"/>
            <w:r w:rsidRPr="00D84C73">
              <w:rPr>
                <w:rFonts w:ascii="Times New Roman" w:hAnsi="Times New Roman"/>
                <w:sz w:val="20"/>
                <w:szCs w:val="20"/>
                <w:lang w:val="en-US" w:eastAsia="ru-RU"/>
              </w:rPr>
              <w:t>privind</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energia</w:t>
            </w:r>
            <w:proofErr w:type="spellEnd"/>
            <w:r w:rsidRPr="00D84C73">
              <w:rPr>
                <w:rFonts w:ascii="Times New Roman" w:hAnsi="Times New Roman"/>
                <w:sz w:val="20"/>
                <w:szCs w:val="20"/>
                <w:lang w:val="en-US" w:eastAsia="ru-RU"/>
              </w:rPr>
              <w:t xml:space="preserve"> și </w:t>
            </w:r>
            <w:proofErr w:type="spellStart"/>
            <w:r w:rsidRPr="00D84C73">
              <w:rPr>
                <w:rFonts w:ascii="Times New Roman" w:hAnsi="Times New Roman"/>
                <w:sz w:val="20"/>
                <w:szCs w:val="20"/>
                <w:lang w:val="en-US" w:eastAsia="ru-RU"/>
              </w:rPr>
              <w:t>clima</w:t>
            </w:r>
            <w:proofErr w:type="spellEnd"/>
            <w:r w:rsidRPr="00D84C73">
              <w:rPr>
                <w:rFonts w:ascii="Times New Roman" w:hAnsi="Times New Roman"/>
                <w:sz w:val="20"/>
                <w:szCs w:val="20"/>
                <w:lang w:val="en-US" w:eastAsia="ru-RU"/>
              </w:rPr>
              <w:t xml:space="preserve"> și </w:t>
            </w:r>
            <w:proofErr w:type="gramStart"/>
            <w:r w:rsidRPr="00D84C73">
              <w:rPr>
                <w:rFonts w:ascii="Times New Roman" w:hAnsi="Times New Roman"/>
                <w:sz w:val="20"/>
                <w:szCs w:val="20"/>
                <w:lang w:val="en-US" w:eastAsia="ru-RU"/>
              </w:rPr>
              <w:t>a</w:t>
            </w:r>
            <w:proofErr w:type="gram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actualizărilor</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acestora</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notificate</w:t>
            </w:r>
            <w:proofErr w:type="spellEnd"/>
            <w:r w:rsidRPr="00D84C73">
              <w:rPr>
                <w:rFonts w:ascii="Times New Roman" w:hAnsi="Times New Roman"/>
                <w:sz w:val="20"/>
                <w:szCs w:val="20"/>
                <w:lang w:val="en-US" w:eastAsia="ru-RU"/>
              </w:rPr>
              <w:t xml:space="preserve"> în </w:t>
            </w:r>
            <w:proofErr w:type="spellStart"/>
            <w:r w:rsidRPr="00D84C73">
              <w:rPr>
                <w:rFonts w:ascii="Times New Roman" w:hAnsi="Times New Roman"/>
                <w:sz w:val="20"/>
                <w:szCs w:val="20"/>
                <w:lang w:val="en-US" w:eastAsia="ru-RU"/>
              </w:rPr>
              <w:t>temeiul</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articolelor</w:t>
            </w:r>
            <w:proofErr w:type="spellEnd"/>
            <w:r w:rsidR="00D435FC"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3 și</w:t>
            </w:r>
            <w:r w:rsidR="00D435FC"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 xml:space="preserve">14, </w:t>
            </w:r>
            <w:proofErr w:type="spellStart"/>
            <w:r w:rsidRPr="00D84C73">
              <w:rPr>
                <w:rFonts w:ascii="Times New Roman" w:hAnsi="Times New Roman"/>
                <w:sz w:val="20"/>
                <w:szCs w:val="20"/>
                <w:lang w:val="en-US" w:eastAsia="ru-RU"/>
              </w:rPr>
              <w:t>Comisia</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evaluează</w:t>
            </w:r>
            <w:proofErr w:type="spellEnd"/>
            <w:r w:rsidRPr="00D84C73">
              <w:rPr>
                <w:rFonts w:ascii="Times New Roman" w:hAnsi="Times New Roman"/>
                <w:sz w:val="20"/>
                <w:szCs w:val="20"/>
                <w:lang w:val="en-US" w:eastAsia="ru-RU"/>
              </w:rPr>
              <w:t xml:space="preserve">, în special, </w:t>
            </w:r>
            <w:proofErr w:type="spellStart"/>
            <w:r w:rsidRPr="00D84C73">
              <w:rPr>
                <w:rFonts w:ascii="Times New Roman" w:hAnsi="Times New Roman"/>
                <w:sz w:val="20"/>
                <w:szCs w:val="20"/>
                <w:lang w:val="en-US" w:eastAsia="ru-RU"/>
              </w:rPr>
              <w:t>dacă</w:t>
            </w:r>
            <w:proofErr w:type="spellEnd"/>
            <w:r w:rsidRPr="00D84C73">
              <w:rPr>
                <w:rFonts w:ascii="Times New Roman" w:hAnsi="Times New Roman"/>
                <w:sz w:val="20"/>
                <w:szCs w:val="20"/>
                <w:lang w:val="en-US" w:eastAsia="ru-RU"/>
              </w:rPr>
              <w:t>:</w:t>
            </w:r>
          </w:p>
          <w:p w14:paraId="43BDDAD8" w14:textId="16728916" w:rsidR="00D435FC" w:rsidRPr="00D84C73" w:rsidRDefault="00D435FC" w:rsidP="000C5A3B">
            <w:pPr>
              <w:pStyle w:val="af3"/>
              <w:numPr>
                <w:ilvl w:val="0"/>
                <w:numId w:val="103"/>
              </w:numPr>
              <w:spacing w:after="0" w:line="240" w:lineRule="auto"/>
              <w:jc w:val="both"/>
              <w:rPr>
                <w:rFonts w:ascii="Times New Roman" w:hAnsi="Times New Roman"/>
                <w:sz w:val="20"/>
                <w:szCs w:val="20"/>
                <w:lang w:val="en-US" w:eastAsia="ru-RU"/>
              </w:rPr>
            </w:pPr>
            <w:proofErr w:type="spellStart"/>
            <w:r w:rsidRPr="00D84C73">
              <w:rPr>
                <w:rFonts w:ascii="Times New Roman" w:hAnsi="Times New Roman"/>
                <w:sz w:val="20"/>
                <w:szCs w:val="20"/>
                <w:lang w:val="en-US" w:eastAsia="ru-RU"/>
              </w:rPr>
              <w:t>obiectivele</w:t>
            </w:r>
            <w:proofErr w:type="spellEnd"/>
            <w:r w:rsidRPr="00D84C73">
              <w:rPr>
                <w:rFonts w:ascii="Times New Roman" w:hAnsi="Times New Roman"/>
                <w:sz w:val="20"/>
                <w:szCs w:val="20"/>
                <w:lang w:val="en-US" w:eastAsia="ru-RU"/>
              </w:rPr>
              <w:t xml:space="preserve"> și </w:t>
            </w:r>
            <w:proofErr w:type="spellStart"/>
            <w:r w:rsidRPr="00D84C73">
              <w:rPr>
                <w:rFonts w:ascii="Times New Roman" w:hAnsi="Times New Roman"/>
                <w:sz w:val="20"/>
                <w:szCs w:val="20"/>
                <w:lang w:val="en-US" w:eastAsia="ru-RU"/>
              </w:rPr>
              <w:t>contribuțiile</w:t>
            </w:r>
            <w:proofErr w:type="spellEnd"/>
            <w:r w:rsidRPr="00D84C73">
              <w:rPr>
                <w:rFonts w:ascii="Times New Roman" w:hAnsi="Times New Roman"/>
                <w:sz w:val="20"/>
                <w:szCs w:val="20"/>
                <w:lang w:val="en-US" w:eastAsia="ru-RU"/>
              </w:rPr>
              <w:t xml:space="preserve"> sunt </w:t>
            </w:r>
            <w:proofErr w:type="spellStart"/>
            <w:r w:rsidRPr="00D84C73">
              <w:rPr>
                <w:rFonts w:ascii="Times New Roman" w:hAnsi="Times New Roman"/>
                <w:sz w:val="20"/>
                <w:szCs w:val="20"/>
                <w:lang w:val="en-US" w:eastAsia="ru-RU"/>
              </w:rPr>
              <w:t>suficiente</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pentru</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realizarea</w:t>
            </w:r>
            <w:proofErr w:type="spellEnd"/>
            <w:r w:rsidRPr="00D84C73">
              <w:rPr>
                <w:rFonts w:ascii="Times New Roman" w:hAnsi="Times New Roman"/>
                <w:sz w:val="20"/>
                <w:szCs w:val="20"/>
                <w:lang w:val="en-US" w:eastAsia="ru-RU"/>
              </w:rPr>
              <w:t xml:space="preserve"> în mod </w:t>
            </w:r>
            <w:proofErr w:type="spellStart"/>
            <w:r w:rsidRPr="00D84C73">
              <w:rPr>
                <w:rFonts w:ascii="Times New Roman" w:hAnsi="Times New Roman"/>
                <w:sz w:val="20"/>
                <w:szCs w:val="20"/>
                <w:lang w:val="en-US" w:eastAsia="ru-RU"/>
              </w:rPr>
              <w:t>colectiv</w:t>
            </w:r>
            <w:proofErr w:type="spellEnd"/>
            <w:r w:rsidRPr="00D84C73">
              <w:rPr>
                <w:rFonts w:ascii="Times New Roman" w:hAnsi="Times New Roman"/>
                <w:sz w:val="20"/>
                <w:szCs w:val="20"/>
                <w:lang w:val="en-US" w:eastAsia="ru-RU"/>
              </w:rPr>
              <w:t xml:space="preserve"> </w:t>
            </w:r>
            <w:proofErr w:type="gramStart"/>
            <w:r w:rsidRPr="00D84C73">
              <w:rPr>
                <w:rFonts w:ascii="Times New Roman" w:hAnsi="Times New Roman"/>
                <w:sz w:val="20"/>
                <w:szCs w:val="20"/>
                <w:lang w:val="en-US" w:eastAsia="ru-RU"/>
              </w:rPr>
              <w:t>a</w:t>
            </w:r>
            <w:proofErr w:type="gram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obiectivelor</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uniunii</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energetice</w:t>
            </w:r>
            <w:proofErr w:type="spellEnd"/>
            <w:r w:rsidRPr="00D84C73">
              <w:rPr>
                <w:rFonts w:ascii="Times New Roman" w:hAnsi="Times New Roman"/>
                <w:sz w:val="20"/>
                <w:szCs w:val="20"/>
                <w:lang w:val="en-US" w:eastAsia="ru-RU"/>
              </w:rPr>
              <w:t xml:space="preserve"> și, în special </w:t>
            </w:r>
            <w:proofErr w:type="spellStart"/>
            <w:r w:rsidRPr="00D84C73">
              <w:rPr>
                <w:rFonts w:ascii="Times New Roman" w:hAnsi="Times New Roman"/>
                <w:sz w:val="20"/>
                <w:szCs w:val="20"/>
                <w:lang w:val="en-US" w:eastAsia="ru-RU"/>
              </w:rPr>
              <w:t>pentru</w:t>
            </w:r>
            <w:proofErr w:type="spellEnd"/>
            <w:r w:rsidRPr="00D84C73">
              <w:rPr>
                <w:rFonts w:ascii="Times New Roman" w:hAnsi="Times New Roman"/>
                <w:sz w:val="20"/>
                <w:szCs w:val="20"/>
                <w:lang w:val="en-US" w:eastAsia="ru-RU"/>
              </w:rPr>
              <w:t xml:space="preserve"> prima </w:t>
            </w:r>
            <w:proofErr w:type="spellStart"/>
            <w:r w:rsidRPr="00D84C73">
              <w:rPr>
                <w:rFonts w:ascii="Times New Roman" w:hAnsi="Times New Roman"/>
                <w:sz w:val="20"/>
                <w:szCs w:val="20"/>
                <w:lang w:val="en-US" w:eastAsia="ru-RU"/>
              </w:rPr>
              <w:t>perioadă</w:t>
            </w:r>
            <w:proofErr w:type="spellEnd"/>
            <w:r w:rsidRPr="00D84C73">
              <w:rPr>
                <w:rFonts w:ascii="Times New Roman" w:hAnsi="Times New Roman"/>
                <w:sz w:val="20"/>
                <w:szCs w:val="20"/>
                <w:lang w:val="en-US" w:eastAsia="ru-RU"/>
              </w:rPr>
              <w:t xml:space="preserve"> de </w:t>
            </w:r>
            <w:proofErr w:type="spellStart"/>
            <w:r w:rsidRPr="00D84C73">
              <w:rPr>
                <w:rFonts w:ascii="Times New Roman" w:hAnsi="Times New Roman"/>
                <w:sz w:val="20"/>
                <w:szCs w:val="20"/>
                <w:lang w:val="en-US" w:eastAsia="ru-RU"/>
              </w:rPr>
              <w:lastRenderedPageBreak/>
              <w:t>zece</w:t>
            </w:r>
            <w:proofErr w:type="spellEnd"/>
            <w:r w:rsidRPr="00D84C73">
              <w:rPr>
                <w:rFonts w:ascii="Times New Roman" w:hAnsi="Times New Roman"/>
                <w:sz w:val="20"/>
                <w:szCs w:val="20"/>
                <w:lang w:val="en-US" w:eastAsia="ru-RU"/>
              </w:rPr>
              <w:t xml:space="preserve"> ani, a </w:t>
            </w:r>
            <w:proofErr w:type="spellStart"/>
            <w:r w:rsidRPr="00D84C73">
              <w:rPr>
                <w:rFonts w:ascii="Times New Roman" w:hAnsi="Times New Roman"/>
                <w:sz w:val="20"/>
                <w:szCs w:val="20"/>
                <w:lang w:val="en-US" w:eastAsia="ru-RU"/>
              </w:rPr>
              <w:t>obiectivelor</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cadrului</w:t>
            </w:r>
            <w:proofErr w:type="spellEnd"/>
            <w:r w:rsidRPr="00D84C73">
              <w:rPr>
                <w:rFonts w:ascii="Times New Roman" w:hAnsi="Times New Roman"/>
                <w:sz w:val="20"/>
                <w:szCs w:val="20"/>
                <w:lang w:val="en-US" w:eastAsia="ru-RU"/>
              </w:rPr>
              <w:t xml:space="preserve"> de </w:t>
            </w:r>
            <w:proofErr w:type="spellStart"/>
            <w:r w:rsidRPr="00D84C73">
              <w:rPr>
                <w:rFonts w:ascii="Times New Roman" w:hAnsi="Times New Roman"/>
                <w:sz w:val="20"/>
                <w:szCs w:val="20"/>
                <w:lang w:val="en-US" w:eastAsia="ru-RU"/>
              </w:rPr>
              <w:t>politici</w:t>
            </w:r>
            <w:proofErr w:type="spellEnd"/>
            <w:r w:rsidRPr="00D84C73">
              <w:rPr>
                <w:rFonts w:ascii="Times New Roman" w:hAnsi="Times New Roman"/>
                <w:sz w:val="20"/>
                <w:szCs w:val="20"/>
                <w:lang w:val="en-US" w:eastAsia="ru-RU"/>
              </w:rPr>
              <w:t xml:space="preserve"> al </w:t>
            </w:r>
            <w:proofErr w:type="spellStart"/>
            <w:r w:rsidRPr="00D84C73">
              <w:rPr>
                <w:rFonts w:ascii="Times New Roman" w:hAnsi="Times New Roman"/>
                <w:sz w:val="20"/>
                <w:szCs w:val="20"/>
                <w:lang w:val="en-US" w:eastAsia="ru-RU"/>
              </w:rPr>
              <w:t>Uniunii</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privind</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clima</w:t>
            </w:r>
            <w:proofErr w:type="spellEnd"/>
            <w:r w:rsidRPr="00D84C73">
              <w:rPr>
                <w:rFonts w:ascii="Times New Roman" w:hAnsi="Times New Roman"/>
                <w:sz w:val="20"/>
                <w:szCs w:val="20"/>
                <w:lang w:val="en-US" w:eastAsia="ru-RU"/>
              </w:rPr>
              <w:t xml:space="preserve"> și </w:t>
            </w:r>
            <w:proofErr w:type="spellStart"/>
            <w:r w:rsidRPr="00D84C73">
              <w:rPr>
                <w:rFonts w:ascii="Times New Roman" w:hAnsi="Times New Roman"/>
                <w:sz w:val="20"/>
                <w:szCs w:val="20"/>
                <w:lang w:val="en-US" w:eastAsia="ru-RU"/>
              </w:rPr>
              <w:t>energia</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pentru</w:t>
            </w:r>
            <w:proofErr w:type="spellEnd"/>
            <w:r w:rsidRPr="00D84C73">
              <w:rPr>
                <w:rFonts w:ascii="Times New Roman" w:hAnsi="Times New Roman"/>
                <w:sz w:val="20"/>
                <w:szCs w:val="20"/>
                <w:lang w:val="en-US" w:eastAsia="ru-RU"/>
              </w:rPr>
              <w:t xml:space="preserve"> 2030;</w:t>
            </w:r>
          </w:p>
          <w:p w14:paraId="42637B2E" w14:textId="469612E3" w:rsidR="00D37AB7" w:rsidRPr="00DB202B" w:rsidRDefault="00D435FC" w:rsidP="00DB202B">
            <w:pPr>
              <w:pStyle w:val="af3"/>
              <w:numPr>
                <w:ilvl w:val="0"/>
                <w:numId w:val="103"/>
              </w:numPr>
              <w:spacing w:after="0" w:line="240" w:lineRule="auto"/>
              <w:jc w:val="both"/>
              <w:rPr>
                <w:rFonts w:ascii="Times New Roman" w:hAnsi="Times New Roman"/>
                <w:sz w:val="20"/>
                <w:szCs w:val="20"/>
                <w:lang w:val="fr-FR" w:eastAsia="ru-RU"/>
              </w:rPr>
            </w:pPr>
            <w:proofErr w:type="spellStart"/>
            <w:proofErr w:type="gramStart"/>
            <w:r w:rsidRPr="00D84C73">
              <w:rPr>
                <w:rFonts w:ascii="Times New Roman" w:hAnsi="Times New Roman"/>
                <w:sz w:val="20"/>
                <w:szCs w:val="20"/>
                <w:lang w:val="fr-FR" w:eastAsia="ru-RU"/>
              </w:rPr>
              <w:t>planurile</w:t>
            </w:r>
            <w:proofErr w:type="spellEnd"/>
            <w:proofErr w:type="gram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respectă</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cerințele</w:t>
            </w:r>
            <w:proofErr w:type="spellEnd"/>
            <w:r w:rsidRPr="00D84C73">
              <w:rPr>
                <w:rFonts w:ascii="Times New Roman" w:hAnsi="Times New Roman"/>
                <w:sz w:val="20"/>
                <w:szCs w:val="20"/>
                <w:lang w:val="fr-FR" w:eastAsia="ru-RU"/>
              </w:rPr>
              <w:t xml:space="preserve"> de la </w:t>
            </w:r>
            <w:proofErr w:type="spellStart"/>
            <w:r w:rsidRPr="00D84C73">
              <w:rPr>
                <w:rFonts w:ascii="Times New Roman" w:hAnsi="Times New Roman"/>
                <w:sz w:val="20"/>
                <w:szCs w:val="20"/>
                <w:lang w:val="fr-FR" w:eastAsia="ru-RU"/>
              </w:rPr>
              <w:t>articolele</w:t>
            </w:r>
            <w:proofErr w:type="spellEnd"/>
            <w:r w:rsidRPr="00D84C73">
              <w:rPr>
                <w:rFonts w:ascii="Times New Roman" w:hAnsi="Times New Roman"/>
                <w:sz w:val="20"/>
                <w:szCs w:val="20"/>
                <w:lang w:val="fr-FR" w:eastAsia="ru-RU"/>
              </w:rPr>
              <w:t xml:space="preserve"> 3-12, </w:t>
            </w:r>
            <w:proofErr w:type="spellStart"/>
            <w:r w:rsidRPr="00D84C73">
              <w:rPr>
                <w:rFonts w:ascii="Times New Roman" w:hAnsi="Times New Roman"/>
                <w:sz w:val="20"/>
                <w:szCs w:val="20"/>
                <w:lang w:val="fr-FR" w:eastAsia="ru-RU"/>
              </w:rPr>
              <w:t>iar</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statele</w:t>
            </w:r>
            <w:proofErr w:type="spellEnd"/>
            <w:r w:rsidRPr="00D84C73">
              <w:rPr>
                <w:rFonts w:ascii="Times New Roman" w:hAnsi="Times New Roman"/>
                <w:sz w:val="20"/>
                <w:szCs w:val="20"/>
                <w:lang w:val="fr-FR" w:eastAsia="ru-RU"/>
              </w:rPr>
              <w:t xml:space="preserve"> membre au </w:t>
            </w:r>
            <w:proofErr w:type="spellStart"/>
            <w:r w:rsidRPr="00D84C73">
              <w:rPr>
                <w:rFonts w:ascii="Times New Roman" w:hAnsi="Times New Roman"/>
                <w:sz w:val="20"/>
                <w:szCs w:val="20"/>
                <w:lang w:val="fr-FR" w:eastAsia="ru-RU"/>
              </w:rPr>
              <w:t>ținut</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seama</w:t>
            </w:r>
            <w:proofErr w:type="spellEnd"/>
            <w:r w:rsidRPr="00D84C73">
              <w:rPr>
                <w:rFonts w:ascii="Times New Roman" w:hAnsi="Times New Roman"/>
                <w:sz w:val="20"/>
                <w:szCs w:val="20"/>
                <w:lang w:val="fr-FR" w:eastAsia="ru-RU"/>
              </w:rPr>
              <w:t xml:space="preserve"> în mod </w:t>
            </w:r>
            <w:proofErr w:type="spellStart"/>
            <w:r w:rsidRPr="00D84C73">
              <w:rPr>
                <w:rFonts w:ascii="Times New Roman" w:hAnsi="Times New Roman"/>
                <w:sz w:val="20"/>
                <w:szCs w:val="20"/>
                <w:lang w:val="fr-FR" w:eastAsia="ru-RU"/>
              </w:rPr>
              <w:t>corespunzător</w:t>
            </w:r>
            <w:proofErr w:type="spellEnd"/>
            <w:r w:rsidRPr="00D84C73">
              <w:rPr>
                <w:rFonts w:ascii="Times New Roman" w:hAnsi="Times New Roman"/>
                <w:sz w:val="20"/>
                <w:szCs w:val="20"/>
                <w:lang w:val="fr-FR" w:eastAsia="ru-RU"/>
              </w:rPr>
              <w:t xml:space="preserve"> de </w:t>
            </w:r>
            <w:proofErr w:type="spellStart"/>
            <w:r w:rsidRPr="00D84C73">
              <w:rPr>
                <w:rFonts w:ascii="Times New Roman" w:hAnsi="Times New Roman"/>
                <w:sz w:val="20"/>
                <w:szCs w:val="20"/>
                <w:lang w:val="fr-FR" w:eastAsia="ru-RU"/>
              </w:rPr>
              <w:t>recomandările</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Comisiei</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emise</w:t>
            </w:r>
            <w:proofErr w:type="spellEnd"/>
            <w:r w:rsidRPr="00D84C73">
              <w:rPr>
                <w:rFonts w:ascii="Times New Roman" w:hAnsi="Times New Roman"/>
                <w:sz w:val="20"/>
                <w:szCs w:val="20"/>
                <w:lang w:val="fr-FR" w:eastAsia="ru-RU"/>
              </w:rPr>
              <w:t xml:space="preserve"> în </w:t>
            </w:r>
            <w:proofErr w:type="spellStart"/>
            <w:r w:rsidRPr="00D84C73">
              <w:rPr>
                <w:rFonts w:ascii="Times New Roman" w:hAnsi="Times New Roman"/>
                <w:sz w:val="20"/>
                <w:szCs w:val="20"/>
                <w:lang w:val="fr-FR" w:eastAsia="ru-RU"/>
              </w:rPr>
              <w:t>temeiul</w:t>
            </w:r>
            <w:proofErr w:type="spellEnd"/>
            <w:r w:rsidRPr="00D84C73">
              <w:rPr>
                <w:rFonts w:ascii="Times New Roman" w:hAnsi="Times New Roman"/>
                <w:sz w:val="20"/>
                <w:szCs w:val="20"/>
                <w:lang w:val="fr-FR" w:eastAsia="ru-RU"/>
              </w:rPr>
              <w:t xml:space="preserve"> </w:t>
            </w:r>
            <w:proofErr w:type="spellStart"/>
            <w:r w:rsidRPr="00D84C73">
              <w:rPr>
                <w:rFonts w:ascii="Times New Roman" w:hAnsi="Times New Roman"/>
                <w:sz w:val="20"/>
                <w:szCs w:val="20"/>
                <w:lang w:val="fr-FR" w:eastAsia="ru-RU"/>
              </w:rPr>
              <w:t>articolului</w:t>
            </w:r>
            <w:proofErr w:type="spellEnd"/>
            <w:r w:rsidRPr="00D84C73">
              <w:rPr>
                <w:rFonts w:ascii="Times New Roman" w:hAnsi="Times New Roman"/>
                <w:sz w:val="20"/>
                <w:szCs w:val="20"/>
                <w:lang w:val="fr-FR" w:eastAsia="ru-RU"/>
              </w:rPr>
              <w:t xml:space="preserve"> 34</w:t>
            </w:r>
            <w:r w:rsidR="00DB202B">
              <w:rPr>
                <w:rFonts w:ascii="Times New Roman" w:hAnsi="Times New Roman"/>
                <w:sz w:val="20"/>
                <w:szCs w:val="20"/>
                <w:lang w:val="fr-FR" w:eastAsia="ru-RU"/>
              </w:rPr>
              <w:t>.</w:t>
            </w:r>
          </w:p>
        </w:tc>
        <w:tc>
          <w:tcPr>
            <w:tcW w:w="4440" w:type="dxa"/>
          </w:tcPr>
          <w:p w14:paraId="7D796CB9" w14:textId="57B5D01A" w:rsidR="00D37AB7" w:rsidRPr="004C01A1" w:rsidRDefault="00D37AB7" w:rsidP="004C01A1">
            <w:pPr>
              <w:shd w:val="clear" w:color="auto" w:fill="FFFFFF"/>
              <w:suppressAutoHyphens w:val="0"/>
              <w:autoSpaceDN/>
              <w:spacing w:after="0" w:line="240" w:lineRule="auto"/>
              <w:jc w:val="both"/>
              <w:textAlignment w:val="auto"/>
              <w:rPr>
                <w:sz w:val="20"/>
                <w:szCs w:val="20"/>
                <w:lang w:val="ro-RO"/>
              </w:rPr>
            </w:pPr>
          </w:p>
        </w:tc>
        <w:tc>
          <w:tcPr>
            <w:tcW w:w="1276" w:type="dxa"/>
          </w:tcPr>
          <w:p w14:paraId="364CED51" w14:textId="655BA403" w:rsidR="00D37AB7" w:rsidRPr="004A2039" w:rsidRDefault="00495B0A" w:rsidP="00D37AB7">
            <w:pPr>
              <w:pStyle w:val="ColorfulList-Accent11"/>
              <w:spacing w:after="0" w:line="240" w:lineRule="auto"/>
              <w:ind w:left="0"/>
              <w:jc w:val="both"/>
              <w:rPr>
                <w:lang w:val="fr-FR"/>
              </w:rPr>
            </w:pPr>
            <w:r>
              <w:rPr>
                <w:rFonts w:ascii="Times New Roman" w:hAnsi="Times New Roman"/>
                <w:sz w:val="20"/>
                <w:szCs w:val="20"/>
                <w:lang w:val="ro-RO"/>
              </w:rPr>
              <w:t>C</w:t>
            </w:r>
            <w:r w:rsidR="00D435FC" w:rsidRPr="00C951E7">
              <w:rPr>
                <w:rFonts w:ascii="Times New Roman" w:hAnsi="Times New Roman"/>
                <w:sz w:val="20"/>
                <w:szCs w:val="20"/>
                <w:lang w:val="ro-RO"/>
              </w:rPr>
              <w:t>ompatibil</w:t>
            </w:r>
          </w:p>
        </w:tc>
        <w:tc>
          <w:tcPr>
            <w:tcW w:w="1276" w:type="dxa"/>
          </w:tcPr>
          <w:p w14:paraId="40391CDC" w14:textId="77777777" w:rsidR="00D37AB7" w:rsidRPr="004A2039" w:rsidRDefault="00D37AB7" w:rsidP="00D37AB7">
            <w:pPr>
              <w:pStyle w:val="ColorfulList-Accent11"/>
              <w:spacing w:after="0" w:line="240" w:lineRule="auto"/>
              <w:ind w:left="0"/>
              <w:jc w:val="both"/>
              <w:rPr>
                <w:lang w:val="fr-FR"/>
              </w:rPr>
            </w:pPr>
          </w:p>
        </w:tc>
        <w:tc>
          <w:tcPr>
            <w:tcW w:w="1701" w:type="dxa"/>
          </w:tcPr>
          <w:p w14:paraId="532E69BB" w14:textId="2E01434A"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 xml:space="preserve">la pct.28 din </w:t>
            </w:r>
            <w:r>
              <w:rPr>
                <w:rFonts w:ascii="Times New Roman" w:eastAsia="Times New Roman" w:hAnsi="Times New Roman"/>
                <w:sz w:val="20"/>
                <w:szCs w:val="20"/>
                <w:lang w:val="ro-RO" w:eastAsia="ru-RU"/>
              </w:rPr>
              <w:t xml:space="preserve"> </w:t>
            </w:r>
          </w:p>
          <w:p w14:paraId="6A14F4FE" w14:textId="369B1EB3" w:rsidR="00D37AB7" w:rsidRPr="00D435FC"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w:t>
            </w:r>
            <w:r w:rsidRPr="007E64AF">
              <w:rPr>
                <w:rFonts w:ascii="Times New Roman" w:hAnsi="Times New Roman"/>
                <w:color w:val="000000" w:themeColor="text1"/>
                <w:sz w:val="20"/>
                <w:szCs w:val="20"/>
                <w:shd w:val="clear" w:color="auto" w:fill="FFFFFF"/>
              </w:rPr>
              <w:lastRenderedPageBreak/>
              <w:t xml:space="preserve">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p>
        </w:tc>
        <w:tc>
          <w:tcPr>
            <w:tcW w:w="1460" w:type="dxa"/>
          </w:tcPr>
          <w:p w14:paraId="7005436E" w14:textId="77777777" w:rsidR="00D84C73" w:rsidRPr="003F755D" w:rsidRDefault="00D435FC" w:rsidP="00D84C73">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D84C73" w:rsidRPr="00A81801">
              <w:rPr>
                <w:rFonts w:ascii="Times New Roman" w:hAnsi="Times New Roman"/>
                <w:color w:val="000000" w:themeColor="text1"/>
                <w:sz w:val="20"/>
                <w:szCs w:val="20"/>
              </w:rPr>
              <w:t>Energiei</w:t>
            </w:r>
          </w:p>
          <w:p w14:paraId="6095E7B5" w14:textId="182574F9" w:rsidR="00D435FC" w:rsidRPr="003F755D" w:rsidRDefault="00D435FC" w:rsidP="00D435FC">
            <w:pPr>
              <w:autoSpaceDE w:val="0"/>
              <w:spacing w:after="0" w:line="240" w:lineRule="auto"/>
              <w:rPr>
                <w:rFonts w:ascii="Times New Roman" w:hAnsi="Times New Roman"/>
                <w:sz w:val="20"/>
                <w:szCs w:val="20"/>
                <w:shd w:val="clear" w:color="auto" w:fill="FFFFFF"/>
                <w:lang w:val="ro-RO"/>
              </w:rPr>
            </w:pPr>
          </w:p>
          <w:p w14:paraId="4107A2A5" w14:textId="77777777" w:rsidR="00D37AB7" w:rsidRPr="00D435FC" w:rsidRDefault="00D37AB7" w:rsidP="00D37AB7">
            <w:pPr>
              <w:pStyle w:val="ColorfulList-Accent11"/>
              <w:spacing w:after="0" w:line="240" w:lineRule="auto"/>
              <w:ind w:left="0"/>
              <w:jc w:val="both"/>
              <w:rPr>
                <w:lang w:val="ro-RO"/>
              </w:rPr>
            </w:pPr>
          </w:p>
        </w:tc>
      </w:tr>
      <w:tr w:rsidR="00D37AB7" w:rsidRPr="00495B0A" w14:paraId="32369145" w14:textId="77777777" w:rsidTr="00A90105">
        <w:tc>
          <w:tcPr>
            <w:tcW w:w="4945" w:type="dxa"/>
          </w:tcPr>
          <w:p w14:paraId="71395E52" w14:textId="77777777" w:rsidR="00D37AB7" w:rsidRPr="00D84C73" w:rsidRDefault="00D37AB7" w:rsidP="00D435FC">
            <w:pPr>
              <w:spacing w:after="0" w:line="240" w:lineRule="auto"/>
              <w:jc w:val="center"/>
              <w:rPr>
                <w:rFonts w:ascii="Times New Roman" w:hAnsi="Times New Roman"/>
                <w:sz w:val="20"/>
                <w:szCs w:val="20"/>
                <w:lang w:val="en-US" w:eastAsia="ru-RU"/>
              </w:rPr>
            </w:pPr>
            <w:proofErr w:type="spellStart"/>
            <w:r w:rsidRPr="00D84C73">
              <w:rPr>
                <w:rFonts w:ascii="Times New Roman" w:hAnsi="Times New Roman"/>
                <w:sz w:val="20"/>
                <w:szCs w:val="20"/>
                <w:lang w:val="en-US" w:eastAsia="ru-RU"/>
              </w:rPr>
              <w:t>Articolul</w:t>
            </w:r>
            <w:proofErr w:type="spellEnd"/>
            <w:r w:rsidRPr="00D84C73">
              <w:rPr>
                <w:rFonts w:ascii="Times New Roman" w:hAnsi="Times New Roman"/>
                <w:sz w:val="20"/>
                <w:szCs w:val="20"/>
                <w:lang w:val="en-US" w:eastAsia="ru-RU"/>
              </w:rPr>
              <w:t xml:space="preserve"> 14</w:t>
            </w:r>
          </w:p>
          <w:p w14:paraId="40E455FE" w14:textId="77777777" w:rsidR="00D37AB7" w:rsidRPr="00D84C73" w:rsidRDefault="00D37AB7" w:rsidP="00D435FC">
            <w:pPr>
              <w:spacing w:after="0" w:line="240" w:lineRule="auto"/>
              <w:jc w:val="center"/>
              <w:rPr>
                <w:rFonts w:ascii="Times New Roman" w:hAnsi="Times New Roman"/>
                <w:b/>
                <w:bCs/>
                <w:sz w:val="20"/>
                <w:szCs w:val="20"/>
                <w:lang w:val="en-US" w:eastAsia="ru-RU"/>
              </w:rPr>
            </w:pPr>
            <w:proofErr w:type="spellStart"/>
            <w:r w:rsidRPr="00D84C73">
              <w:rPr>
                <w:rFonts w:ascii="Times New Roman" w:hAnsi="Times New Roman"/>
                <w:b/>
                <w:bCs/>
                <w:sz w:val="20"/>
                <w:szCs w:val="20"/>
                <w:lang w:val="en-US" w:eastAsia="ru-RU"/>
              </w:rPr>
              <w:t>Actualizarea</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planului</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național</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integrat</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privind</w:t>
            </w:r>
            <w:proofErr w:type="spellEnd"/>
            <w:r w:rsidRPr="00D84C73">
              <w:rPr>
                <w:rFonts w:ascii="Times New Roman" w:hAnsi="Times New Roman"/>
                <w:b/>
                <w:bCs/>
                <w:sz w:val="20"/>
                <w:szCs w:val="20"/>
                <w:lang w:val="en-US" w:eastAsia="ru-RU"/>
              </w:rPr>
              <w:t xml:space="preserve"> </w:t>
            </w:r>
            <w:proofErr w:type="spellStart"/>
            <w:r w:rsidRPr="00D84C73">
              <w:rPr>
                <w:rFonts w:ascii="Times New Roman" w:hAnsi="Times New Roman"/>
                <w:b/>
                <w:bCs/>
                <w:sz w:val="20"/>
                <w:szCs w:val="20"/>
                <w:lang w:val="en-US" w:eastAsia="ru-RU"/>
              </w:rPr>
              <w:t>energia</w:t>
            </w:r>
            <w:proofErr w:type="spellEnd"/>
            <w:r w:rsidRPr="00D84C73">
              <w:rPr>
                <w:rFonts w:ascii="Times New Roman" w:hAnsi="Times New Roman"/>
                <w:b/>
                <w:bCs/>
                <w:sz w:val="20"/>
                <w:szCs w:val="20"/>
                <w:lang w:val="en-US" w:eastAsia="ru-RU"/>
              </w:rPr>
              <w:t xml:space="preserve"> și </w:t>
            </w:r>
            <w:proofErr w:type="spellStart"/>
            <w:r w:rsidRPr="00D84C73">
              <w:rPr>
                <w:rFonts w:ascii="Times New Roman" w:hAnsi="Times New Roman"/>
                <w:b/>
                <w:bCs/>
                <w:sz w:val="20"/>
                <w:szCs w:val="20"/>
                <w:lang w:val="en-US" w:eastAsia="ru-RU"/>
              </w:rPr>
              <w:t>clima</w:t>
            </w:r>
            <w:proofErr w:type="spellEnd"/>
          </w:p>
          <w:p w14:paraId="46E9F2B2" w14:textId="18106305" w:rsidR="00D37AB7" w:rsidRPr="00D84C73" w:rsidRDefault="00D37AB7" w:rsidP="000C5A3B">
            <w:pPr>
              <w:pStyle w:val="af3"/>
              <w:numPr>
                <w:ilvl w:val="0"/>
                <w:numId w:val="104"/>
              </w:numPr>
              <w:spacing w:after="0" w:line="240" w:lineRule="auto"/>
              <w:jc w:val="both"/>
              <w:rPr>
                <w:rFonts w:ascii="Times New Roman" w:hAnsi="Times New Roman"/>
                <w:sz w:val="20"/>
                <w:szCs w:val="20"/>
                <w:lang w:val="en-US" w:eastAsia="ru-RU"/>
              </w:rPr>
            </w:pPr>
            <w:proofErr w:type="spellStart"/>
            <w:r w:rsidRPr="00D84C73">
              <w:rPr>
                <w:rFonts w:ascii="Times New Roman" w:hAnsi="Times New Roman"/>
                <w:sz w:val="20"/>
                <w:szCs w:val="20"/>
                <w:lang w:val="en-US" w:eastAsia="ru-RU"/>
              </w:rPr>
              <w:t>Până</w:t>
            </w:r>
            <w:proofErr w:type="spellEnd"/>
            <w:r w:rsidRPr="00D84C73">
              <w:rPr>
                <w:rFonts w:ascii="Times New Roman" w:hAnsi="Times New Roman"/>
                <w:sz w:val="20"/>
                <w:szCs w:val="20"/>
                <w:lang w:val="en-US" w:eastAsia="ru-RU"/>
              </w:rPr>
              <w:t xml:space="preserve"> la</w:t>
            </w:r>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30</w:t>
            </w:r>
            <w:r w:rsidR="007225CA"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iunie</w:t>
            </w:r>
            <w:proofErr w:type="spellEnd"/>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 xml:space="preserve">2023 și </w:t>
            </w:r>
            <w:proofErr w:type="spellStart"/>
            <w:r w:rsidRPr="00D84C73">
              <w:rPr>
                <w:rFonts w:ascii="Times New Roman" w:hAnsi="Times New Roman"/>
                <w:sz w:val="20"/>
                <w:szCs w:val="20"/>
                <w:lang w:val="en-US" w:eastAsia="ru-RU"/>
              </w:rPr>
              <w:t>apoi</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până</w:t>
            </w:r>
            <w:proofErr w:type="spellEnd"/>
            <w:r w:rsidRPr="00D84C73">
              <w:rPr>
                <w:rFonts w:ascii="Times New Roman" w:hAnsi="Times New Roman"/>
                <w:sz w:val="20"/>
                <w:szCs w:val="20"/>
                <w:lang w:val="en-US" w:eastAsia="ru-RU"/>
              </w:rPr>
              <w:t xml:space="preserve"> la</w:t>
            </w:r>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1</w:t>
            </w:r>
            <w:r w:rsidR="007225CA"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ianuarie</w:t>
            </w:r>
            <w:proofErr w:type="spellEnd"/>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 xml:space="preserve">2033 și, ulterior, la </w:t>
            </w:r>
            <w:proofErr w:type="spellStart"/>
            <w:r w:rsidRPr="00D84C73">
              <w:rPr>
                <w:rFonts w:ascii="Times New Roman" w:hAnsi="Times New Roman"/>
                <w:sz w:val="20"/>
                <w:szCs w:val="20"/>
                <w:lang w:val="en-US" w:eastAsia="ru-RU"/>
              </w:rPr>
              <w:t>fiecare</w:t>
            </w:r>
            <w:proofErr w:type="spellEnd"/>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10</w:t>
            </w:r>
            <w:r w:rsidR="007225CA" w:rsidRPr="00D84C73">
              <w:rPr>
                <w:rFonts w:ascii="Times New Roman" w:hAnsi="Times New Roman"/>
                <w:sz w:val="20"/>
                <w:szCs w:val="20"/>
                <w:lang w:val="en-US" w:eastAsia="ru-RU"/>
              </w:rPr>
              <w:t xml:space="preserve"> </w:t>
            </w:r>
            <w:r w:rsidRPr="00D84C73">
              <w:rPr>
                <w:rFonts w:ascii="Times New Roman" w:hAnsi="Times New Roman"/>
                <w:sz w:val="20"/>
                <w:szCs w:val="20"/>
                <w:lang w:val="en-US" w:eastAsia="ru-RU"/>
              </w:rPr>
              <w:t xml:space="preserve">ani, </w:t>
            </w:r>
            <w:proofErr w:type="spellStart"/>
            <w:r w:rsidRPr="00D84C73">
              <w:rPr>
                <w:rFonts w:ascii="Times New Roman" w:hAnsi="Times New Roman"/>
                <w:sz w:val="20"/>
                <w:szCs w:val="20"/>
                <w:lang w:val="en-US" w:eastAsia="ru-RU"/>
              </w:rPr>
              <w:t>fiecare</w:t>
            </w:r>
            <w:proofErr w:type="spellEnd"/>
            <w:r w:rsidRPr="00D84C73">
              <w:rPr>
                <w:rFonts w:ascii="Times New Roman" w:hAnsi="Times New Roman"/>
                <w:sz w:val="20"/>
                <w:szCs w:val="20"/>
                <w:lang w:val="en-US" w:eastAsia="ru-RU"/>
              </w:rPr>
              <w:t xml:space="preserve"> stat</w:t>
            </w:r>
            <w:r w:rsidR="007225CA"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membru</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prezintă</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Comisiei</w:t>
            </w:r>
            <w:proofErr w:type="spellEnd"/>
            <w:r w:rsidRPr="00D84C73">
              <w:rPr>
                <w:rFonts w:ascii="Times New Roman" w:hAnsi="Times New Roman"/>
                <w:sz w:val="20"/>
                <w:szCs w:val="20"/>
                <w:lang w:val="en-US" w:eastAsia="ru-RU"/>
              </w:rPr>
              <w:t xml:space="preserve"> un </w:t>
            </w:r>
            <w:proofErr w:type="spellStart"/>
            <w:r w:rsidRPr="00D84C73">
              <w:rPr>
                <w:rFonts w:ascii="Times New Roman" w:hAnsi="Times New Roman"/>
                <w:sz w:val="20"/>
                <w:szCs w:val="20"/>
                <w:lang w:val="en-US" w:eastAsia="ru-RU"/>
              </w:rPr>
              <w:t>proiect</w:t>
            </w:r>
            <w:proofErr w:type="spellEnd"/>
            <w:r w:rsidRPr="00D84C73">
              <w:rPr>
                <w:rFonts w:ascii="Times New Roman" w:hAnsi="Times New Roman"/>
                <w:sz w:val="20"/>
                <w:szCs w:val="20"/>
                <w:lang w:val="en-US" w:eastAsia="ru-RU"/>
              </w:rPr>
              <w:t xml:space="preserve"> de </w:t>
            </w:r>
            <w:proofErr w:type="spellStart"/>
            <w:r w:rsidRPr="00D84C73">
              <w:rPr>
                <w:rFonts w:ascii="Times New Roman" w:hAnsi="Times New Roman"/>
                <w:sz w:val="20"/>
                <w:szCs w:val="20"/>
                <w:lang w:val="en-US" w:eastAsia="ru-RU"/>
              </w:rPr>
              <w:t>actualizare</w:t>
            </w:r>
            <w:proofErr w:type="spellEnd"/>
            <w:r w:rsidRPr="00D84C73">
              <w:rPr>
                <w:rFonts w:ascii="Times New Roman" w:hAnsi="Times New Roman"/>
                <w:sz w:val="20"/>
                <w:szCs w:val="20"/>
                <w:lang w:val="en-US" w:eastAsia="ru-RU"/>
              </w:rPr>
              <w:t xml:space="preserve"> a </w:t>
            </w:r>
            <w:proofErr w:type="spellStart"/>
            <w:r w:rsidRPr="00D84C73">
              <w:rPr>
                <w:rFonts w:ascii="Times New Roman" w:hAnsi="Times New Roman"/>
                <w:sz w:val="20"/>
                <w:szCs w:val="20"/>
                <w:lang w:val="en-US" w:eastAsia="ru-RU"/>
              </w:rPr>
              <w:t>planului</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național</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integrat</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privind</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energia</w:t>
            </w:r>
            <w:proofErr w:type="spellEnd"/>
            <w:r w:rsidRPr="00D84C73">
              <w:rPr>
                <w:rFonts w:ascii="Times New Roman" w:hAnsi="Times New Roman"/>
                <w:sz w:val="20"/>
                <w:szCs w:val="20"/>
                <w:lang w:val="en-US" w:eastAsia="ru-RU"/>
              </w:rPr>
              <w:t xml:space="preserve"> și </w:t>
            </w:r>
            <w:proofErr w:type="spellStart"/>
            <w:r w:rsidRPr="00D84C73">
              <w:rPr>
                <w:rFonts w:ascii="Times New Roman" w:hAnsi="Times New Roman"/>
                <w:sz w:val="20"/>
                <w:szCs w:val="20"/>
                <w:lang w:val="en-US" w:eastAsia="ru-RU"/>
              </w:rPr>
              <w:t>clima</w:t>
            </w:r>
            <w:proofErr w:type="spellEnd"/>
            <w:r w:rsidRPr="00D84C73">
              <w:rPr>
                <w:rFonts w:ascii="Times New Roman" w:hAnsi="Times New Roman"/>
                <w:sz w:val="20"/>
                <w:szCs w:val="20"/>
                <w:lang w:val="en-US" w:eastAsia="ru-RU"/>
              </w:rPr>
              <w:t xml:space="preserve"> care a </w:t>
            </w:r>
            <w:proofErr w:type="spellStart"/>
            <w:r w:rsidRPr="00D84C73">
              <w:rPr>
                <w:rFonts w:ascii="Times New Roman" w:hAnsi="Times New Roman"/>
                <w:sz w:val="20"/>
                <w:szCs w:val="20"/>
                <w:lang w:val="en-US" w:eastAsia="ru-RU"/>
              </w:rPr>
              <w:t>fost</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notificat</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cel</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mai</w:t>
            </w:r>
            <w:proofErr w:type="spellEnd"/>
            <w:r w:rsidRPr="00D84C73">
              <w:rPr>
                <w:rFonts w:ascii="Times New Roman" w:hAnsi="Times New Roman"/>
                <w:sz w:val="20"/>
                <w:szCs w:val="20"/>
                <w:lang w:val="en-US" w:eastAsia="ru-RU"/>
              </w:rPr>
              <w:t xml:space="preserve"> recent </w:t>
            </w:r>
            <w:proofErr w:type="spellStart"/>
            <w:r w:rsidRPr="00D84C73">
              <w:rPr>
                <w:rFonts w:ascii="Times New Roman" w:hAnsi="Times New Roman"/>
                <w:sz w:val="20"/>
                <w:szCs w:val="20"/>
                <w:lang w:val="en-US" w:eastAsia="ru-RU"/>
              </w:rPr>
              <w:t>sau</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prezintă</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Comisiei</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motivele</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pentru</w:t>
            </w:r>
            <w:proofErr w:type="spellEnd"/>
            <w:r w:rsidRPr="00D84C73">
              <w:rPr>
                <w:rFonts w:ascii="Times New Roman" w:hAnsi="Times New Roman"/>
                <w:sz w:val="20"/>
                <w:szCs w:val="20"/>
                <w:lang w:val="en-US" w:eastAsia="ru-RU"/>
              </w:rPr>
              <w:t xml:space="preserve"> care nu </w:t>
            </w:r>
            <w:proofErr w:type="spellStart"/>
            <w:r w:rsidRPr="00D84C73">
              <w:rPr>
                <w:rFonts w:ascii="Times New Roman" w:hAnsi="Times New Roman"/>
                <w:sz w:val="20"/>
                <w:szCs w:val="20"/>
                <w:lang w:val="en-US" w:eastAsia="ru-RU"/>
              </w:rPr>
              <w:t>este</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necesară</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actualizarea</w:t>
            </w:r>
            <w:proofErr w:type="spellEnd"/>
            <w:r w:rsidRPr="00D84C73">
              <w:rPr>
                <w:rFonts w:ascii="Times New Roman" w:hAnsi="Times New Roman"/>
                <w:sz w:val="20"/>
                <w:szCs w:val="20"/>
                <w:lang w:val="en-US" w:eastAsia="ru-RU"/>
              </w:rPr>
              <w:t xml:space="preserve"> </w:t>
            </w:r>
            <w:proofErr w:type="spellStart"/>
            <w:r w:rsidRPr="00D84C73">
              <w:rPr>
                <w:rFonts w:ascii="Times New Roman" w:hAnsi="Times New Roman"/>
                <w:sz w:val="20"/>
                <w:szCs w:val="20"/>
                <w:lang w:val="en-US" w:eastAsia="ru-RU"/>
              </w:rPr>
              <w:t>planului</w:t>
            </w:r>
            <w:proofErr w:type="spellEnd"/>
            <w:r w:rsidRPr="00D84C73">
              <w:rPr>
                <w:rFonts w:ascii="Times New Roman" w:hAnsi="Times New Roman"/>
                <w:sz w:val="20"/>
                <w:szCs w:val="20"/>
                <w:lang w:val="en-US" w:eastAsia="ru-RU"/>
              </w:rPr>
              <w:t>.</w:t>
            </w:r>
          </w:p>
          <w:p w14:paraId="72596625" w14:textId="77777777" w:rsidR="00D435FC" w:rsidRPr="00D84C73" w:rsidRDefault="00D435FC" w:rsidP="000C5A3B">
            <w:pPr>
              <w:pStyle w:val="af3"/>
              <w:numPr>
                <w:ilvl w:val="0"/>
                <w:numId w:val="104"/>
              </w:numPr>
              <w:spacing w:after="0" w:line="240" w:lineRule="auto"/>
              <w:jc w:val="both"/>
              <w:rPr>
                <w:rFonts w:ascii="Times New Roman" w:hAnsi="Times New Roman"/>
                <w:sz w:val="20"/>
                <w:szCs w:val="20"/>
                <w:lang w:val="en-US" w:eastAsia="ru-RU"/>
              </w:rPr>
            </w:pPr>
            <w:proofErr w:type="spellStart"/>
            <w:r w:rsidRPr="00D84C73">
              <w:rPr>
                <w:rFonts w:ascii="Times New Roman" w:hAnsi="Times New Roman"/>
                <w:sz w:val="20"/>
                <w:szCs w:val="20"/>
                <w:shd w:val="clear" w:color="auto" w:fill="FFFFFF"/>
              </w:rPr>
              <w:t>Până</w:t>
            </w:r>
            <w:proofErr w:type="spellEnd"/>
            <w:r w:rsidRPr="00D84C73">
              <w:rPr>
                <w:rFonts w:ascii="Times New Roman" w:hAnsi="Times New Roman"/>
                <w:sz w:val="20"/>
                <w:szCs w:val="20"/>
                <w:shd w:val="clear" w:color="auto" w:fill="FFFFFF"/>
              </w:rPr>
              <w:t xml:space="preserve"> la 30 </w:t>
            </w:r>
            <w:proofErr w:type="spellStart"/>
            <w:r w:rsidRPr="00D84C73">
              <w:rPr>
                <w:rFonts w:ascii="Times New Roman" w:hAnsi="Times New Roman"/>
                <w:sz w:val="20"/>
                <w:szCs w:val="20"/>
                <w:shd w:val="clear" w:color="auto" w:fill="FFFFFF"/>
              </w:rPr>
              <w:t>iunie</w:t>
            </w:r>
            <w:proofErr w:type="spellEnd"/>
            <w:r w:rsidRPr="00D84C73">
              <w:rPr>
                <w:rFonts w:ascii="Times New Roman" w:hAnsi="Times New Roman"/>
                <w:sz w:val="20"/>
                <w:szCs w:val="20"/>
                <w:shd w:val="clear" w:color="auto" w:fill="FFFFFF"/>
              </w:rPr>
              <w:t xml:space="preserve"> 2024 și </w:t>
            </w:r>
            <w:proofErr w:type="spellStart"/>
            <w:r w:rsidRPr="00D84C73">
              <w:rPr>
                <w:rFonts w:ascii="Times New Roman" w:hAnsi="Times New Roman"/>
                <w:sz w:val="20"/>
                <w:szCs w:val="20"/>
                <w:shd w:val="clear" w:color="auto" w:fill="FFFFFF"/>
              </w:rPr>
              <w:t>apoi</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până</w:t>
            </w:r>
            <w:proofErr w:type="spellEnd"/>
            <w:r w:rsidRPr="00D84C73">
              <w:rPr>
                <w:rFonts w:ascii="Times New Roman" w:hAnsi="Times New Roman"/>
                <w:sz w:val="20"/>
                <w:szCs w:val="20"/>
                <w:shd w:val="clear" w:color="auto" w:fill="FFFFFF"/>
              </w:rPr>
              <w:t xml:space="preserve"> la 1 </w:t>
            </w:r>
            <w:proofErr w:type="spellStart"/>
            <w:r w:rsidRPr="00D84C73">
              <w:rPr>
                <w:rFonts w:ascii="Times New Roman" w:hAnsi="Times New Roman"/>
                <w:sz w:val="20"/>
                <w:szCs w:val="20"/>
                <w:shd w:val="clear" w:color="auto" w:fill="FFFFFF"/>
              </w:rPr>
              <w:t>ianuarie</w:t>
            </w:r>
            <w:proofErr w:type="spellEnd"/>
            <w:r w:rsidRPr="00D84C73">
              <w:rPr>
                <w:rFonts w:ascii="Times New Roman" w:hAnsi="Times New Roman"/>
                <w:sz w:val="20"/>
                <w:szCs w:val="20"/>
                <w:shd w:val="clear" w:color="auto" w:fill="FFFFFF"/>
              </w:rPr>
              <w:t xml:space="preserve"> 2034 și, ulterior, la </w:t>
            </w:r>
            <w:proofErr w:type="spellStart"/>
            <w:r w:rsidRPr="00D84C73">
              <w:rPr>
                <w:rFonts w:ascii="Times New Roman" w:hAnsi="Times New Roman"/>
                <w:sz w:val="20"/>
                <w:szCs w:val="20"/>
                <w:shd w:val="clear" w:color="auto" w:fill="FFFFFF"/>
              </w:rPr>
              <w:t>fiecare</w:t>
            </w:r>
            <w:proofErr w:type="spellEnd"/>
            <w:r w:rsidRPr="00D84C73">
              <w:rPr>
                <w:rFonts w:ascii="Times New Roman" w:hAnsi="Times New Roman"/>
                <w:sz w:val="20"/>
                <w:szCs w:val="20"/>
                <w:shd w:val="clear" w:color="auto" w:fill="FFFFFF"/>
              </w:rPr>
              <w:t xml:space="preserve"> 10 ani, </w:t>
            </w:r>
            <w:proofErr w:type="spellStart"/>
            <w:r w:rsidRPr="00D84C73">
              <w:rPr>
                <w:rFonts w:ascii="Times New Roman" w:hAnsi="Times New Roman"/>
                <w:sz w:val="20"/>
                <w:szCs w:val="20"/>
                <w:shd w:val="clear" w:color="auto" w:fill="FFFFFF"/>
              </w:rPr>
              <w:t>fiecare</w:t>
            </w:r>
            <w:proofErr w:type="spellEnd"/>
            <w:r w:rsidRPr="00D84C73">
              <w:rPr>
                <w:rFonts w:ascii="Times New Roman" w:hAnsi="Times New Roman"/>
                <w:sz w:val="20"/>
                <w:szCs w:val="20"/>
                <w:shd w:val="clear" w:color="auto" w:fill="FFFFFF"/>
              </w:rPr>
              <w:t xml:space="preserve"> stat </w:t>
            </w:r>
            <w:proofErr w:type="spellStart"/>
            <w:r w:rsidRPr="00D84C73">
              <w:rPr>
                <w:rFonts w:ascii="Times New Roman" w:hAnsi="Times New Roman"/>
                <w:sz w:val="20"/>
                <w:szCs w:val="20"/>
                <w:shd w:val="clear" w:color="auto" w:fill="FFFFFF"/>
              </w:rPr>
              <w:t>membru</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prezintă</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Comisiei</w:t>
            </w:r>
            <w:proofErr w:type="spellEnd"/>
            <w:r w:rsidRPr="00D84C73">
              <w:rPr>
                <w:rFonts w:ascii="Times New Roman" w:hAnsi="Times New Roman"/>
                <w:sz w:val="20"/>
                <w:szCs w:val="20"/>
                <w:shd w:val="clear" w:color="auto" w:fill="FFFFFF"/>
              </w:rPr>
              <w:t xml:space="preserve"> o </w:t>
            </w:r>
            <w:proofErr w:type="spellStart"/>
            <w:r w:rsidRPr="00D84C73">
              <w:rPr>
                <w:rFonts w:ascii="Times New Roman" w:hAnsi="Times New Roman"/>
                <w:sz w:val="20"/>
                <w:szCs w:val="20"/>
                <w:shd w:val="clear" w:color="auto" w:fill="FFFFFF"/>
              </w:rPr>
              <w:t>actualizare</w:t>
            </w:r>
            <w:proofErr w:type="spellEnd"/>
            <w:r w:rsidRPr="00D84C73">
              <w:rPr>
                <w:rFonts w:ascii="Times New Roman" w:hAnsi="Times New Roman"/>
                <w:sz w:val="20"/>
                <w:szCs w:val="20"/>
                <w:shd w:val="clear" w:color="auto" w:fill="FFFFFF"/>
              </w:rPr>
              <w:t xml:space="preserve"> a </w:t>
            </w:r>
            <w:proofErr w:type="spellStart"/>
            <w:r w:rsidRPr="00D84C73">
              <w:rPr>
                <w:rFonts w:ascii="Times New Roman" w:hAnsi="Times New Roman"/>
                <w:sz w:val="20"/>
                <w:szCs w:val="20"/>
                <w:shd w:val="clear" w:color="auto" w:fill="FFFFFF"/>
              </w:rPr>
              <w:t>planului</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său</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național</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integrat</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privind</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energia</w:t>
            </w:r>
            <w:proofErr w:type="spellEnd"/>
            <w:r w:rsidRPr="00D84C73">
              <w:rPr>
                <w:rFonts w:ascii="Times New Roman" w:hAnsi="Times New Roman"/>
                <w:sz w:val="20"/>
                <w:szCs w:val="20"/>
                <w:shd w:val="clear" w:color="auto" w:fill="FFFFFF"/>
              </w:rPr>
              <w:t xml:space="preserve"> și </w:t>
            </w:r>
            <w:proofErr w:type="spellStart"/>
            <w:r w:rsidRPr="00D84C73">
              <w:rPr>
                <w:rFonts w:ascii="Times New Roman" w:hAnsi="Times New Roman"/>
                <w:sz w:val="20"/>
                <w:szCs w:val="20"/>
                <w:shd w:val="clear" w:color="auto" w:fill="FFFFFF"/>
              </w:rPr>
              <w:t>clima</w:t>
            </w:r>
            <w:proofErr w:type="spellEnd"/>
            <w:r w:rsidRPr="00D84C73">
              <w:rPr>
                <w:rFonts w:ascii="Times New Roman" w:hAnsi="Times New Roman"/>
                <w:sz w:val="20"/>
                <w:szCs w:val="20"/>
                <w:shd w:val="clear" w:color="auto" w:fill="FFFFFF"/>
              </w:rPr>
              <w:t xml:space="preserve"> care a </w:t>
            </w:r>
            <w:proofErr w:type="spellStart"/>
            <w:r w:rsidRPr="00D84C73">
              <w:rPr>
                <w:rFonts w:ascii="Times New Roman" w:hAnsi="Times New Roman"/>
                <w:sz w:val="20"/>
                <w:szCs w:val="20"/>
                <w:shd w:val="clear" w:color="auto" w:fill="FFFFFF"/>
              </w:rPr>
              <w:t>fost</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notificat</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cel</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mai</w:t>
            </w:r>
            <w:proofErr w:type="spellEnd"/>
            <w:r w:rsidRPr="00D84C73">
              <w:rPr>
                <w:rFonts w:ascii="Times New Roman" w:hAnsi="Times New Roman"/>
                <w:sz w:val="20"/>
                <w:szCs w:val="20"/>
                <w:shd w:val="clear" w:color="auto" w:fill="FFFFFF"/>
              </w:rPr>
              <w:t xml:space="preserve"> recent, cu </w:t>
            </w:r>
            <w:proofErr w:type="spellStart"/>
            <w:r w:rsidRPr="00D84C73">
              <w:rPr>
                <w:rFonts w:ascii="Times New Roman" w:hAnsi="Times New Roman"/>
                <w:sz w:val="20"/>
                <w:szCs w:val="20"/>
                <w:shd w:val="clear" w:color="auto" w:fill="FFFFFF"/>
              </w:rPr>
              <w:t>excepția</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cazului</w:t>
            </w:r>
            <w:proofErr w:type="spellEnd"/>
            <w:r w:rsidRPr="00D84C73">
              <w:rPr>
                <w:rFonts w:ascii="Times New Roman" w:hAnsi="Times New Roman"/>
                <w:sz w:val="20"/>
                <w:szCs w:val="20"/>
                <w:shd w:val="clear" w:color="auto" w:fill="FFFFFF"/>
              </w:rPr>
              <w:t xml:space="preserve"> în care au </w:t>
            </w:r>
            <w:proofErr w:type="spellStart"/>
            <w:r w:rsidRPr="00D84C73">
              <w:rPr>
                <w:rFonts w:ascii="Times New Roman" w:hAnsi="Times New Roman"/>
                <w:sz w:val="20"/>
                <w:szCs w:val="20"/>
                <w:shd w:val="clear" w:color="auto" w:fill="FFFFFF"/>
              </w:rPr>
              <w:t>prezentat</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motivele</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pentru</w:t>
            </w:r>
            <w:proofErr w:type="spellEnd"/>
            <w:r w:rsidRPr="00D84C73">
              <w:rPr>
                <w:rFonts w:ascii="Times New Roman" w:hAnsi="Times New Roman"/>
                <w:sz w:val="20"/>
                <w:szCs w:val="20"/>
                <w:shd w:val="clear" w:color="auto" w:fill="FFFFFF"/>
              </w:rPr>
              <w:t xml:space="preserve"> care nu </w:t>
            </w:r>
            <w:proofErr w:type="spellStart"/>
            <w:r w:rsidRPr="00D84C73">
              <w:rPr>
                <w:rFonts w:ascii="Times New Roman" w:hAnsi="Times New Roman"/>
                <w:sz w:val="20"/>
                <w:szCs w:val="20"/>
                <w:shd w:val="clear" w:color="auto" w:fill="FFFFFF"/>
              </w:rPr>
              <w:t>este</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necesară</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actualizarea</w:t>
            </w:r>
            <w:proofErr w:type="spellEnd"/>
            <w:r w:rsidRPr="00D84C73">
              <w:rPr>
                <w:rFonts w:ascii="Times New Roman" w:hAnsi="Times New Roman"/>
                <w:sz w:val="20"/>
                <w:szCs w:val="20"/>
                <w:shd w:val="clear" w:color="auto" w:fill="FFFFFF"/>
              </w:rPr>
              <w:t xml:space="preserve"> </w:t>
            </w:r>
            <w:proofErr w:type="spellStart"/>
            <w:r w:rsidRPr="00D84C73">
              <w:rPr>
                <w:rFonts w:ascii="Times New Roman" w:hAnsi="Times New Roman"/>
                <w:sz w:val="20"/>
                <w:szCs w:val="20"/>
                <w:shd w:val="clear" w:color="auto" w:fill="FFFFFF"/>
              </w:rPr>
              <w:t>planului</w:t>
            </w:r>
            <w:proofErr w:type="spellEnd"/>
            <w:r w:rsidRPr="00D84C73">
              <w:rPr>
                <w:rFonts w:ascii="Times New Roman" w:hAnsi="Times New Roman"/>
                <w:sz w:val="20"/>
                <w:szCs w:val="20"/>
                <w:shd w:val="clear" w:color="auto" w:fill="FFFFFF"/>
              </w:rPr>
              <w:t xml:space="preserve">, în conformitate cu </w:t>
            </w:r>
            <w:proofErr w:type="spellStart"/>
            <w:r w:rsidRPr="00D84C73">
              <w:rPr>
                <w:rFonts w:ascii="Times New Roman" w:hAnsi="Times New Roman"/>
                <w:sz w:val="20"/>
                <w:szCs w:val="20"/>
                <w:shd w:val="clear" w:color="auto" w:fill="FFFFFF"/>
              </w:rPr>
              <w:t>alineatul</w:t>
            </w:r>
            <w:proofErr w:type="spellEnd"/>
            <w:r w:rsidRPr="00D84C73">
              <w:rPr>
                <w:rFonts w:ascii="Times New Roman" w:hAnsi="Times New Roman"/>
                <w:sz w:val="20"/>
                <w:szCs w:val="20"/>
                <w:shd w:val="clear" w:color="auto" w:fill="FFFFFF"/>
              </w:rPr>
              <w:t xml:space="preserve"> (1).</w:t>
            </w:r>
          </w:p>
          <w:p w14:paraId="58237185" w14:textId="77777777" w:rsidR="00D435FC" w:rsidRPr="00D84C73" w:rsidRDefault="00D435FC" w:rsidP="000C5A3B">
            <w:pPr>
              <w:pStyle w:val="af3"/>
              <w:numPr>
                <w:ilvl w:val="0"/>
                <w:numId w:val="104"/>
              </w:numPr>
              <w:spacing w:after="0" w:line="240" w:lineRule="auto"/>
              <w:jc w:val="both"/>
              <w:rPr>
                <w:rFonts w:ascii="Times New Roman" w:hAnsi="Times New Roman"/>
                <w:sz w:val="20"/>
                <w:szCs w:val="20"/>
                <w:lang w:val="fr-FR" w:eastAsia="ru-RU"/>
              </w:rPr>
            </w:pPr>
            <w:r w:rsidRPr="00D84C73">
              <w:rPr>
                <w:rFonts w:ascii="Times New Roman" w:hAnsi="Times New Roman"/>
                <w:sz w:val="20"/>
                <w:szCs w:val="20"/>
                <w:shd w:val="clear" w:color="auto" w:fill="FFFFFF"/>
                <w:lang w:val="fr-FR"/>
              </w:rPr>
              <w:t xml:space="preserve">În </w:t>
            </w:r>
            <w:proofErr w:type="spellStart"/>
            <w:r w:rsidRPr="00D84C73">
              <w:rPr>
                <w:rFonts w:ascii="Times New Roman" w:hAnsi="Times New Roman"/>
                <w:sz w:val="20"/>
                <w:szCs w:val="20"/>
                <w:shd w:val="clear" w:color="auto" w:fill="FFFFFF"/>
                <w:lang w:val="fr-FR"/>
              </w:rPr>
              <w:t>actualizarea</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menționată</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alineatul</w:t>
            </w:r>
            <w:proofErr w:type="spellEnd"/>
            <w:r w:rsidRPr="00D84C73">
              <w:rPr>
                <w:rFonts w:ascii="Times New Roman" w:hAnsi="Times New Roman"/>
                <w:sz w:val="20"/>
                <w:szCs w:val="20"/>
                <w:shd w:val="clear" w:color="auto" w:fill="FFFFFF"/>
                <w:lang w:val="fr-FR"/>
              </w:rPr>
              <w:t xml:space="preserve"> (2), </w:t>
            </w:r>
            <w:proofErr w:type="spellStart"/>
            <w:r w:rsidRPr="00D84C73">
              <w:rPr>
                <w:rFonts w:ascii="Times New Roman" w:hAnsi="Times New Roman"/>
                <w:sz w:val="20"/>
                <w:szCs w:val="20"/>
                <w:shd w:val="clear" w:color="auto" w:fill="FFFFFF"/>
                <w:lang w:val="fr-FR"/>
              </w:rPr>
              <w:t>fiecare</w:t>
            </w:r>
            <w:proofErr w:type="spellEnd"/>
            <w:r w:rsidRPr="00D84C73">
              <w:rPr>
                <w:rFonts w:ascii="Times New Roman" w:hAnsi="Times New Roman"/>
                <w:sz w:val="20"/>
                <w:szCs w:val="20"/>
                <w:shd w:val="clear" w:color="auto" w:fill="FFFFFF"/>
                <w:lang w:val="fr-FR"/>
              </w:rPr>
              <w:t xml:space="preserve"> stat membru </w:t>
            </w:r>
            <w:proofErr w:type="spellStart"/>
            <w:r w:rsidRPr="00D84C73">
              <w:rPr>
                <w:rFonts w:ascii="Times New Roman" w:hAnsi="Times New Roman"/>
                <w:sz w:val="20"/>
                <w:szCs w:val="20"/>
                <w:shd w:val="clear" w:color="auto" w:fill="FFFFFF"/>
                <w:lang w:val="fr-FR"/>
              </w:rPr>
              <w:t>își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modifică</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obiectivul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contribuția</w:t>
            </w:r>
            <w:proofErr w:type="spellEnd"/>
            <w:r w:rsidRPr="00D84C73">
              <w:rPr>
                <w:rFonts w:ascii="Times New Roman" w:hAnsi="Times New Roman"/>
                <w:sz w:val="20"/>
                <w:szCs w:val="20"/>
                <w:shd w:val="clear" w:color="auto" w:fill="FFFFFF"/>
                <w:lang w:val="fr-FR"/>
              </w:rPr>
              <w:t xml:space="preserve"> națională </w:t>
            </w:r>
            <w:proofErr w:type="spellStart"/>
            <w:r w:rsidRPr="00D84C73">
              <w:rPr>
                <w:rFonts w:ascii="Times New Roman" w:hAnsi="Times New Roman"/>
                <w:sz w:val="20"/>
                <w:szCs w:val="20"/>
                <w:shd w:val="clear" w:color="auto" w:fill="FFFFFF"/>
                <w:lang w:val="fr-FR"/>
              </w:rPr>
              <w:t>referitoare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oricare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dintre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obiectivele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cuantificate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contribuțiile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cuantificate</w:t>
            </w:r>
            <w:proofErr w:type="spellEnd"/>
            <w:r w:rsidRPr="00D84C73">
              <w:rPr>
                <w:rFonts w:ascii="Times New Roman" w:hAnsi="Times New Roman"/>
                <w:sz w:val="20"/>
                <w:szCs w:val="20"/>
                <w:shd w:val="clear" w:color="auto" w:fill="FFFFFF"/>
                <w:lang w:val="fr-FR"/>
              </w:rPr>
              <w:t xml:space="preserve"> ale </w:t>
            </w:r>
            <w:proofErr w:type="spellStart"/>
            <w:r w:rsidRPr="00D84C73">
              <w:rPr>
                <w:rFonts w:ascii="Times New Roman" w:hAnsi="Times New Roman"/>
                <w:sz w:val="20"/>
                <w:szCs w:val="20"/>
                <w:shd w:val="clear" w:color="auto" w:fill="FFFFFF"/>
                <w:lang w:val="fr-FR"/>
              </w:rPr>
              <w:t>Uniunii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prevăzute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articolul</w:t>
            </w:r>
            <w:proofErr w:type="spellEnd"/>
            <w:r w:rsidRPr="00D84C73">
              <w:rPr>
                <w:rFonts w:ascii="Times New Roman" w:hAnsi="Times New Roman"/>
                <w:sz w:val="20"/>
                <w:szCs w:val="20"/>
                <w:shd w:val="clear" w:color="auto" w:fill="FFFFFF"/>
                <w:lang w:val="fr-FR"/>
              </w:rPr>
              <w:t xml:space="preserve"> 4 litera (a) </w:t>
            </w:r>
            <w:proofErr w:type="spellStart"/>
            <w:r w:rsidRPr="00D84C73">
              <w:rPr>
                <w:rFonts w:ascii="Times New Roman" w:hAnsi="Times New Roman"/>
                <w:sz w:val="20"/>
                <w:szCs w:val="20"/>
                <w:shd w:val="clear" w:color="auto" w:fill="FFFFFF"/>
                <w:lang w:val="fr-FR"/>
              </w:rPr>
              <w:t>punctul</w:t>
            </w:r>
            <w:proofErr w:type="spellEnd"/>
            <w:r w:rsidRPr="00D84C73">
              <w:rPr>
                <w:rFonts w:ascii="Times New Roman" w:hAnsi="Times New Roman"/>
                <w:sz w:val="20"/>
                <w:szCs w:val="20"/>
                <w:shd w:val="clear" w:color="auto" w:fill="FFFFFF"/>
                <w:lang w:val="fr-FR"/>
              </w:rPr>
              <w:t xml:space="preserve"> 1, </w:t>
            </w:r>
            <w:proofErr w:type="spellStart"/>
            <w:r w:rsidRPr="00D84C73">
              <w:rPr>
                <w:rFonts w:ascii="Times New Roman" w:hAnsi="Times New Roman"/>
                <w:sz w:val="20"/>
                <w:szCs w:val="20"/>
                <w:shd w:val="clear" w:color="auto" w:fill="FFFFFF"/>
                <w:lang w:val="fr-FR"/>
              </w:rPr>
              <w:t>pentru</w:t>
            </w:r>
            <w:proofErr w:type="spellEnd"/>
            <w:r w:rsidRPr="00D84C73">
              <w:rPr>
                <w:rFonts w:ascii="Times New Roman" w:hAnsi="Times New Roman"/>
                <w:sz w:val="20"/>
                <w:szCs w:val="20"/>
                <w:shd w:val="clear" w:color="auto" w:fill="FFFFFF"/>
                <w:lang w:val="fr-FR"/>
              </w:rPr>
              <w:t xml:space="preserve"> a </w:t>
            </w:r>
            <w:proofErr w:type="spellStart"/>
            <w:r w:rsidRPr="00D84C73">
              <w:rPr>
                <w:rFonts w:ascii="Times New Roman" w:hAnsi="Times New Roman"/>
                <w:sz w:val="20"/>
                <w:szCs w:val="20"/>
                <w:shd w:val="clear" w:color="auto" w:fill="FFFFFF"/>
                <w:lang w:val="fr-FR"/>
              </w:rPr>
              <w:t>reflecta</w:t>
            </w:r>
            <w:proofErr w:type="spellEnd"/>
            <w:r w:rsidRPr="00D84C73">
              <w:rPr>
                <w:rFonts w:ascii="Times New Roman" w:hAnsi="Times New Roman"/>
                <w:sz w:val="20"/>
                <w:szCs w:val="20"/>
                <w:shd w:val="clear" w:color="auto" w:fill="FFFFFF"/>
                <w:lang w:val="fr-FR"/>
              </w:rPr>
              <w:t xml:space="preserve"> un </w:t>
            </w:r>
            <w:proofErr w:type="spellStart"/>
            <w:r w:rsidRPr="00D84C73">
              <w:rPr>
                <w:rFonts w:ascii="Times New Roman" w:hAnsi="Times New Roman"/>
                <w:sz w:val="20"/>
                <w:szCs w:val="20"/>
                <w:shd w:val="clear" w:color="auto" w:fill="FFFFFF"/>
                <w:lang w:val="fr-FR"/>
              </w:rPr>
              <w:t>nivel</w:t>
            </w:r>
            <w:proofErr w:type="spellEnd"/>
            <w:r w:rsidRPr="00D84C73">
              <w:rPr>
                <w:rFonts w:ascii="Times New Roman" w:hAnsi="Times New Roman"/>
                <w:sz w:val="20"/>
                <w:szCs w:val="20"/>
                <w:shd w:val="clear" w:color="auto" w:fill="FFFFFF"/>
                <w:lang w:val="fr-FR"/>
              </w:rPr>
              <w:t xml:space="preserve"> de </w:t>
            </w:r>
            <w:proofErr w:type="spellStart"/>
            <w:r w:rsidRPr="00D84C73">
              <w:rPr>
                <w:rFonts w:ascii="Times New Roman" w:hAnsi="Times New Roman"/>
                <w:sz w:val="20"/>
                <w:szCs w:val="20"/>
                <w:shd w:val="clear" w:color="auto" w:fill="FFFFFF"/>
                <w:lang w:val="fr-FR"/>
              </w:rPr>
              <w:t>ambiție</w:t>
            </w:r>
            <w:proofErr w:type="spellEnd"/>
            <w:r w:rsidRPr="00D84C73">
              <w:rPr>
                <w:rFonts w:ascii="Times New Roman" w:hAnsi="Times New Roman"/>
                <w:sz w:val="20"/>
                <w:szCs w:val="20"/>
                <w:shd w:val="clear" w:color="auto" w:fill="FFFFFF"/>
                <w:lang w:val="fr-FR"/>
              </w:rPr>
              <w:t xml:space="preserve"> mai mare în </w:t>
            </w:r>
            <w:proofErr w:type="spellStart"/>
            <w:r w:rsidRPr="00D84C73">
              <w:rPr>
                <w:rFonts w:ascii="Times New Roman" w:hAnsi="Times New Roman"/>
                <w:sz w:val="20"/>
                <w:szCs w:val="20"/>
                <w:shd w:val="clear" w:color="auto" w:fill="FFFFFF"/>
                <w:lang w:val="fr-FR"/>
              </w:rPr>
              <w:t>comparație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cel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stabilit</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planul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său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 xml:space="preserve"> care a </w:t>
            </w:r>
            <w:proofErr w:type="spellStart"/>
            <w:r w:rsidRPr="00D84C73">
              <w:rPr>
                <w:rFonts w:ascii="Times New Roman" w:hAnsi="Times New Roman"/>
                <w:sz w:val="20"/>
                <w:szCs w:val="20"/>
                <w:shd w:val="clear" w:color="auto" w:fill="FFFFFF"/>
                <w:lang w:val="fr-FR"/>
              </w:rPr>
              <w:t>fost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notificat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cel</w:t>
            </w:r>
            <w:proofErr w:type="spellEnd"/>
            <w:r w:rsidRPr="00D84C73">
              <w:rPr>
                <w:rFonts w:ascii="Times New Roman" w:hAnsi="Times New Roman"/>
                <w:sz w:val="20"/>
                <w:szCs w:val="20"/>
                <w:shd w:val="clear" w:color="auto" w:fill="FFFFFF"/>
                <w:lang w:val="fr-FR"/>
              </w:rPr>
              <w:t xml:space="preserve"> mai </w:t>
            </w:r>
            <w:proofErr w:type="spellStart"/>
            <w:r w:rsidRPr="00D84C73">
              <w:rPr>
                <w:rFonts w:ascii="Times New Roman" w:hAnsi="Times New Roman"/>
                <w:sz w:val="20"/>
                <w:szCs w:val="20"/>
                <w:shd w:val="clear" w:color="auto" w:fill="FFFFFF"/>
                <w:lang w:val="fr-FR"/>
              </w:rPr>
              <w:t>recent</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actualizarea</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menționată</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alineatul</w:t>
            </w:r>
            <w:proofErr w:type="spellEnd"/>
            <w:r w:rsidRPr="00D84C73">
              <w:rPr>
                <w:rFonts w:ascii="Times New Roman" w:hAnsi="Times New Roman"/>
                <w:sz w:val="20"/>
                <w:szCs w:val="20"/>
                <w:shd w:val="clear" w:color="auto" w:fill="FFFFFF"/>
                <w:lang w:val="fr-FR"/>
              </w:rPr>
              <w:t xml:space="preserve"> (2), </w:t>
            </w:r>
            <w:proofErr w:type="spellStart"/>
            <w:r w:rsidRPr="00D84C73">
              <w:rPr>
                <w:rFonts w:ascii="Times New Roman" w:hAnsi="Times New Roman"/>
                <w:sz w:val="20"/>
                <w:szCs w:val="20"/>
                <w:shd w:val="clear" w:color="auto" w:fill="FFFFFF"/>
                <w:lang w:val="fr-FR"/>
              </w:rPr>
              <w:t>fiecare</w:t>
            </w:r>
            <w:proofErr w:type="spellEnd"/>
            <w:r w:rsidRPr="00D84C73">
              <w:rPr>
                <w:rFonts w:ascii="Times New Roman" w:hAnsi="Times New Roman"/>
                <w:sz w:val="20"/>
                <w:szCs w:val="20"/>
                <w:shd w:val="clear" w:color="auto" w:fill="FFFFFF"/>
                <w:lang w:val="fr-FR"/>
              </w:rPr>
              <w:t xml:space="preserve"> stat membru </w:t>
            </w:r>
            <w:proofErr w:type="spellStart"/>
            <w:r w:rsidRPr="00D84C73">
              <w:rPr>
                <w:rFonts w:ascii="Times New Roman" w:hAnsi="Times New Roman"/>
                <w:sz w:val="20"/>
                <w:szCs w:val="20"/>
                <w:shd w:val="clear" w:color="auto" w:fill="FFFFFF"/>
                <w:lang w:val="fr-FR"/>
              </w:rPr>
              <w:t>își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modifică</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obiectivul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contribuția</w:t>
            </w:r>
            <w:proofErr w:type="spellEnd"/>
            <w:r w:rsidRPr="00D84C73">
              <w:rPr>
                <w:rFonts w:ascii="Times New Roman" w:hAnsi="Times New Roman"/>
                <w:sz w:val="20"/>
                <w:szCs w:val="20"/>
                <w:shd w:val="clear" w:color="auto" w:fill="FFFFFF"/>
                <w:lang w:val="fr-FR"/>
              </w:rPr>
              <w:t xml:space="preserve"> națională </w:t>
            </w:r>
            <w:proofErr w:type="spellStart"/>
            <w:r w:rsidRPr="00D84C73">
              <w:rPr>
                <w:rFonts w:ascii="Times New Roman" w:hAnsi="Times New Roman"/>
                <w:sz w:val="20"/>
                <w:szCs w:val="20"/>
                <w:shd w:val="clear" w:color="auto" w:fill="FFFFFF"/>
                <w:lang w:val="fr-FR"/>
              </w:rPr>
              <w:t>referitoare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oricare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dintre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obiectivele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cuantificate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contribuțiile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cuantificate</w:t>
            </w:r>
            <w:proofErr w:type="spellEnd"/>
            <w:r w:rsidRPr="00D84C73">
              <w:rPr>
                <w:rFonts w:ascii="Times New Roman" w:hAnsi="Times New Roman"/>
                <w:sz w:val="20"/>
                <w:szCs w:val="20"/>
                <w:shd w:val="clear" w:color="auto" w:fill="FFFFFF"/>
                <w:lang w:val="fr-FR"/>
              </w:rPr>
              <w:t xml:space="preserve"> ale </w:t>
            </w:r>
            <w:proofErr w:type="spellStart"/>
            <w:r w:rsidRPr="00D84C73">
              <w:rPr>
                <w:rFonts w:ascii="Times New Roman" w:hAnsi="Times New Roman"/>
                <w:sz w:val="20"/>
                <w:szCs w:val="20"/>
                <w:shd w:val="clear" w:color="auto" w:fill="FFFFFF"/>
                <w:lang w:val="fr-FR"/>
              </w:rPr>
              <w:t>Uniunii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prevăzute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articolul</w:t>
            </w:r>
            <w:proofErr w:type="spellEnd"/>
            <w:r w:rsidRPr="00D84C73">
              <w:rPr>
                <w:rFonts w:ascii="Times New Roman" w:hAnsi="Times New Roman"/>
                <w:sz w:val="20"/>
                <w:szCs w:val="20"/>
                <w:shd w:val="clear" w:color="auto" w:fill="FFFFFF"/>
                <w:lang w:val="fr-FR"/>
              </w:rPr>
              <w:t xml:space="preserve"> 4 litera (a) </w:t>
            </w:r>
            <w:proofErr w:type="spellStart"/>
            <w:r w:rsidRPr="00D84C73">
              <w:rPr>
                <w:rFonts w:ascii="Times New Roman" w:hAnsi="Times New Roman"/>
                <w:sz w:val="20"/>
                <w:szCs w:val="20"/>
                <w:shd w:val="clear" w:color="auto" w:fill="FFFFFF"/>
                <w:lang w:val="fr-FR"/>
              </w:rPr>
              <w:t>punctul</w:t>
            </w:r>
            <w:proofErr w:type="spellEnd"/>
            <w:r w:rsidRPr="00D84C73">
              <w:rPr>
                <w:rFonts w:ascii="Times New Roman" w:hAnsi="Times New Roman"/>
                <w:sz w:val="20"/>
                <w:szCs w:val="20"/>
                <w:shd w:val="clear" w:color="auto" w:fill="FFFFFF"/>
                <w:lang w:val="fr-FR"/>
              </w:rPr>
              <w:t xml:space="preserve"> 2 și la </w:t>
            </w:r>
            <w:proofErr w:type="spellStart"/>
            <w:r w:rsidRPr="00D84C73">
              <w:rPr>
                <w:rFonts w:ascii="Times New Roman" w:hAnsi="Times New Roman"/>
                <w:sz w:val="20"/>
                <w:szCs w:val="20"/>
                <w:shd w:val="clear" w:color="auto" w:fill="FFFFFF"/>
                <w:lang w:val="fr-FR"/>
              </w:rPr>
              <w:t>articolul</w:t>
            </w:r>
            <w:proofErr w:type="spellEnd"/>
            <w:r w:rsidRPr="00D84C73">
              <w:rPr>
                <w:rFonts w:ascii="Times New Roman" w:hAnsi="Times New Roman"/>
                <w:sz w:val="20"/>
                <w:szCs w:val="20"/>
                <w:shd w:val="clear" w:color="auto" w:fill="FFFFFF"/>
                <w:lang w:val="fr-FR"/>
              </w:rPr>
              <w:t xml:space="preserve"> 4 litera (b), </w:t>
            </w:r>
            <w:proofErr w:type="spellStart"/>
            <w:r w:rsidRPr="00D84C73">
              <w:rPr>
                <w:rFonts w:ascii="Times New Roman" w:hAnsi="Times New Roman"/>
                <w:sz w:val="20"/>
                <w:szCs w:val="20"/>
                <w:shd w:val="clear" w:color="auto" w:fill="FFFFFF"/>
                <w:lang w:val="fr-FR"/>
              </w:rPr>
              <w:t>pentru</w:t>
            </w:r>
            <w:proofErr w:type="spellEnd"/>
            <w:r w:rsidRPr="00D84C73">
              <w:rPr>
                <w:rFonts w:ascii="Times New Roman" w:hAnsi="Times New Roman"/>
                <w:sz w:val="20"/>
                <w:szCs w:val="20"/>
                <w:shd w:val="clear" w:color="auto" w:fill="FFFFFF"/>
                <w:lang w:val="fr-FR"/>
              </w:rPr>
              <w:t xml:space="preserve"> a </w:t>
            </w:r>
            <w:proofErr w:type="spellStart"/>
            <w:r w:rsidRPr="00D84C73">
              <w:rPr>
                <w:rFonts w:ascii="Times New Roman" w:hAnsi="Times New Roman"/>
                <w:sz w:val="20"/>
                <w:szCs w:val="20"/>
                <w:shd w:val="clear" w:color="auto" w:fill="FFFFFF"/>
                <w:lang w:val="fr-FR"/>
              </w:rPr>
              <w:t>reflecta</w:t>
            </w:r>
            <w:proofErr w:type="spellEnd"/>
            <w:r w:rsidRPr="00D84C73">
              <w:rPr>
                <w:rFonts w:ascii="Times New Roman" w:hAnsi="Times New Roman"/>
                <w:sz w:val="20"/>
                <w:szCs w:val="20"/>
                <w:shd w:val="clear" w:color="auto" w:fill="FFFFFF"/>
                <w:lang w:val="fr-FR"/>
              </w:rPr>
              <w:t xml:space="preserve"> un </w:t>
            </w:r>
            <w:proofErr w:type="spellStart"/>
            <w:r w:rsidRPr="00D84C73">
              <w:rPr>
                <w:rFonts w:ascii="Times New Roman" w:hAnsi="Times New Roman"/>
                <w:sz w:val="20"/>
                <w:szCs w:val="20"/>
                <w:shd w:val="clear" w:color="auto" w:fill="FFFFFF"/>
                <w:lang w:val="fr-FR"/>
              </w:rPr>
              <w:t>nivel</w:t>
            </w:r>
            <w:proofErr w:type="spellEnd"/>
            <w:r w:rsidRPr="00D84C73">
              <w:rPr>
                <w:rFonts w:ascii="Times New Roman" w:hAnsi="Times New Roman"/>
                <w:sz w:val="20"/>
                <w:szCs w:val="20"/>
                <w:shd w:val="clear" w:color="auto" w:fill="FFFFFF"/>
                <w:lang w:val="fr-FR"/>
              </w:rPr>
              <w:t xml:space="preserve"> de </w:t>
            </w:r>
            <w:proofErr w:type="spellStart"/>
            <w:r w:rsidRPr="00D84C73">
              <w:rPr>
                <w:rFonts w:ascii="Times New Roman" w:hAnsi="Times New Roman"/>
                <w:sz w:val="20"/>
                <w:szCs w:val="20"/>
                <w:shd w:val="clear" w:color="auto" w:fill="FFFFFF"/>
                <w:lang w:val="fr-FR"/>
              </w:rPr>
              <w:t>ambiție</w:t>
            </w:r>
            <w:proofErr w:type="spellEnd"/>
            <w:r w:rsidRPr="00D84C73">
              <w:rPr>
                <w:rFonts w:ascii="Times New Roman" w:hAnsi="Times New Roman"/>
                <w:sz w:val="20"/>
                <w:szCs w:val="20"/>
                <w:shd w:val="clear" w:color="auto" w:fill="FFFFFF"/>
                <w:lang w:val="fr-FR"/>
              </w:rPr>
              <w:t xml:space="preserve"> mai mare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egal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cel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stabilit</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planul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său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 xml:space="preserve"> care a </w:t>
            </w:r>
            <w:proofErr w:type="spellStart"/>
            <w:r w:rsidRPr="00D84C73">
              <w:rPr>
                <w:rFonts w:ascii="Times New Roman" w:hAnsi="Times New Roman"/>
                <w:sz w:val="20"/>
                <w:szCs w:val="20"/>
                <w:shd w:val="clear" w:color="auto" w:fill="FFFFFF"/>
                <w:lang w:val="fr-FR"/>
              </w:rPr>
              <w:t>fost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notificat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cel</w:t>
            </w:r>
            <w:proofErr w:type="spellEnd"/>
            <w:r w:rsidRPr="00D84C73">
              <w:rPr>
                <w:rFonts w:ascii="Times New Roman" w:hAnsi="Times New Roman"/>
                <w:sz w:val="20"/>
                <w:szCs w:val="20"/>
                <w:shd w:val="clear" w:color="auto" w:fill="FFFFFF"/>
                <w:lang w:val="fr-FR"/>
              </w:rPr>
              <w:t xml:space="preserve"> mai </w:t>
            </w:r>
            <w:proofErr w:type="spellStart"/>
            <w:r w:rsidRPr="00D84C73">
              <w:rPr>
                <w:rFonts w:ascii="Times New Roman" w:hAnsi="Times New Roman"/>
                <w:sz w:val="20"/>
                <w:szCs w:val="20"/>
                <w:shd w:val="clear" w:color="auto" w:fill="FFFFFF"/>
                <w:lang w:val="fr-FR"/>
              </w:rPr>
              <w:t>recent</w:t>
            </w:r>
            <w:proofErr w:type="spellEnd"/>
            <w:r w:rsidRPr="00D84C73">
              <w:rPr>
                <w:rFonts w:ascii="Times New Roman" w:hAnsi="Times New Roman"/>
                <w:sz w:val="20"/>
                <w:szCs w:val="20"/>
                <w:shd w:val="clear" w:color="auto" w:fill="FFFFFF"/>
                <w:lang w:val="fr-FR"/>
              </w:rPr>
              <w:t>.</w:t>
            </w:r>
          </w:p>
          <w:p w14:paraId="2C3E751A" w14:textId="77777777" w:rsidR="00D435FC" w:rsidRPr="00D84C73" w:rsidRDefault="00D435FC" w:rsidP="000C5A3B">
            <w:pPr>
              <w:pStyle w:val="af3"/>
              <w:numPr>
                <w:ilvl w:val="0"/>
                <w:numId w:val="104"/>
              </w:numPr>
              <w:spacing w:after="0" w:line="240" w:lineRule="auto"/>
              <w:jc w:val="both"/>
              <w:rPr>
                <w:rFonts w:ascii="Times New Roman" w:hAnsi="Times New Roman"/>
                <w:sz w:val="20"/>
                <w:szCs w:val="20"/>
                <w:lang w:val="fr-FR" w:eastAsia="ru-RU"/>
              </w:rPr>
            </w:pPr>
            <w:proofErr w:type="spellStart"/>
            <w:r w:rsidRPr="00D84C73">
              <w:rPr>
                <w:rFonts w:ascii="Times New Roman" w:hAnsi="Times New Roman"/>
                <w:sz w:val="20"/>
                <w:szCs w:val="20"/>
                <w:shd w:val="clear" w:color="auto" w:fill="FFFFFF"/>
                <w:lang w:val="fr-FR"/>
              </w:rPr>
              <w:t>Statele</w:t>
            </w:r>
            <w:proofErr w:type="spellEnd"/>
            <w:r w:rsidRPr="00D84C73">
              <w:rPr>
                <w:rFonts w:ascii="Times New Roman" w:hAnsi="Times New Roman"/>
                <w:sz w:val="20"/>
                <w:szCs w:val="20"/>
                <w:shd w:val="clear" w:color="auto" w:fill="FFFFFF"/>
                <w:lang w:val="fr-FR"/>
              </w:rPr>
              <w:t xml:space="preserve"> membre </w:t>
            </w:r>
            <w:proofErr w:type="spellStart"/>
            <w:r w:rsidRPr="00D84C73">
              <w:rPr>
                <w:rFonts w:ascii="Times New Roman" w:hAnsi="Times New Roman"/>
                <w:sz w:val="20"/>
                <w:szCs w:val="20"/>
                <w:shd w:val="clear" w:color="auto" w:fill="FFFFFF"/>
                <w:lang w:val="fr-FR"/>
              </w:rPr>
              <w:t>depun</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eforturi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pentru</w:t>
            </w:r>
            <w:proofErr w:type="spellEnd"/>
            <w:r w:rsidRPr="00D84C73">
              <w:rPr>
                <w:rFonts w:ascii="Times New Roman" w:hAnsi="Times New Roman"/>
                <w:sz w:val="20"/>
                <w:szCs w:val="20"/>
                <w:shd w:val="clear" w:color="auto" w:fill="FFFFFF"/>
                <w:lang w:val="fr-FR"/>
              </w:rPr>
              <w:t xml:space="preserve"> a </w:t>
            </w:r>
            <w:proofErr w:type="spellStart"/>
            <w:r w:rsidRPr="00D84C73">
              <w:rPr>
                <w:rFonts w:ascii="Times New Roman" w:hAnsi="Times New Roman"/>
                <w:sz w:val="20"/>
                <w:szCs w:val="20"/>
                <w:shd w:val="clear" w:color="auto" w:fill="FFFFFF"/>
                <w:lang w:val="fr-FR"/>
              </w:rPr>
              <w:t>atenua</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planul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lor</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actualizat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orice</w:t>
            </w:r>
            <w:proofErr w:type="spellEnd"/>
            <w:r w:rsidRPr="00D84C73">
              <w:rPr>
                <w:rFonts w:ascii="Times New Roman" w:hAnsi="Times New Roman"/>
                <w:sz w:val="20"/>
                <w:szCs w:val="20"/>
                <w:shd w:val="clear" w:color="auto" w:fill="FFFFFF"/>
                <w:lang w:val="fr-FR"/>
              </w:rPr>
              <w:t xml:space="preserve"> impact </w:t>
            </w:r>
            <w:proofErr w:type="spellStart"/>
            <w:r w:rsidRPr="00D84C73">
              <w:rPr>
                <w:rFonts w:ascii="Times New Roman" w:hAnsi="Times New Roman"/>
                <w:sz w:val="20"/>
                <w:szCs w:val="20"/>
                <w:shd w:val="clear" w:color="auto" w:fill="FFFFFF"/>
                <w:lang w:val="fr-FR"/>
              </w:rPr>
              <w:t>negativ</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asupra</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mediului</w:t>
            </w:r>
            <w:proofErr w:type="spellEnd"/>
            <w:r w:rsidRPr="00D84C73">
              <w:rPr>
                <w:rFonts w:ascii="Times New Roman" w:hAnsi="Times New Roman"/>
                <w:sz w:val="20"/>
                <w:szCs w:val="20"/>
                <w:shd w:val="clear" w:color="auto" w:fill="FFFFFF"/>
                <w:lang w:val="fr-FR"/>
              </w:rPr>
              <w:t xml:space="preserve"> care este </w:t>
            </w:r>
            <w:proofErr w:type="spellStart"/>
            <w:r w:rsidRPr="00D84C73">
              <w:rPr>
                <w:rFonts w:ascii="Times New Roman" w:hAnsi="Times New Roman"/>
                <w:sz w:val="20"/>
                <w:szCs w:val="20"/>
                <w:shd w:val="clear" w:color="auto" w:fill="FFFFFF"/>
                <w:lang w:val="fr-FR"/>
              </w:rPr>
              <w:t>constatat</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cadrul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raportării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integrate</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efectuate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temeiul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articolelor</w:t>
            </w:r>
            <w:proofErr w:type="spellEnd"/>
            <w:r w:rsidRPr="00D84C73">
              <w:rPr>
                <w:rFonts w:ascii="Times New Roman" w:hAnsi="Times New Roman"/>
                <w:sz w:val="20"/>
                <w:szCs w:val="20"/>
                <w:shd w:val="clear" w:color="auto" w:fill="FFFFFF"/>
                <w:lang w:val="fr-FR"/>
              </w:rPr>
              <w:t xml:space="preserve"> 17-25.</w:t>
            </w:r>
          </w:p>
          <w:p w14:paraId="6320BDEC" w14:textId="77777777" w:rsidR="00D435FC" w:rsidRPr="00D84C73" w:rsidRDefault="00D435FC" w:rsidP="000C5A3B">
            <w:pPr>
              <w:pStyle w:val="af3"/>
              <w:numPr>
                <w:ilvl w:val="0"/>
                <w:numId w:val="104"/>
              </w:numPr>
              <w:spacing w:after="0" w:line="240" w:lineRule="auto"/>
              <w:jc w:val="both"/>
              <w:rPr>
                <w:rFonts w:ascii="Times New Roman" w:hAnsi="Times New Roman"/>
                <w:sz w:val="20"/>
                <w:szCs w:val="20"/>
                <w:lang w:val="fr-FR" w:eastAsia="ru-RU"/>
              </w:rPr>
            </w:pPr>
            <w:r w:rsidRPr="00D84C73">
              <w:rPr>
                <w:rFonts w:ascii="Times New Roman" w:hAnsi="Times New Roman"/>
                <w:sz w:val="20"/>
                <w:szCs w:val="20"/>
                <w:shd w:val="clear" w:color="auto" w:fill="FFFFFF"/>
                <w:lang w:val="fr-FR"/>
              </w:rPr>
              <w:lastRenderedPageBreak/>
              <w:t xml:space="preserve">În </w:t>
            </w:r>
            <w:proofErr w:type="spellStart"/>
            <w:r w:rsidRPr="00D84C73">
              <w:rPr>
                <w:rFonts w:ascii="Times New Roman" w:hAnsi="Times New Roman"/>
                <w:sz w:val="20"/>
                <w:szCs w:val="20"/>
                <w:shd w:val="clear" w:color="auto" w:fill="FFFFFF"/>
                <w:lang w:val="fr-FR"/>
              </w:rPr>
              <w:t>actualizările</w:t>
            </w:r>
            <w:proofErr w:type="spellEnd"/>
            <w:r w:rsidRPr="00D84C73">
              <w:rPr>
                <w:rFonts w:ascii="Times New Roman" w:hAnsi="Times New Roman"/>
                <w:sz w:val="20"/>
                <w:szCs w:val="20"/>
                <w:shd w:val="clear" w:color="auto" w:fill="FFFFFF"/>
                <w:lang w:val="fr-FR"/>
              </w:rPr>
              <w:t xml:space="preserve"> sale </w:t>
            </w:r>
            <w:proofErr w:type="spellStart"/>
            <w:r w:rsidRPr="00D84C73">
              <w:rPr>
                <w:rFonts w:ascii="Times New Roman" w:hAnsi="Times New Roman"/>
                <w:sz w:val="20"/>
                <w:szCs w:val="20"/>
                <w:shd w:val="clear" w:color="auto" w:fill="FFFFFF"/>
                <w:lang w:val="fr-FR"/>
              </w:rPr>
              <w:t>menționate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alineatul</w:t>
            </w:r>
            <w:proofErr w:type="spellEnd"/>
            <w:r w:rsidRPr="00D84C73">
              <w:rPr>
                <w:rFonts w:ascii="Times New Roman" w:hAnsi="Times New Roman"/>
                <w:sz w:val="20"/>
                <w:szCs w:val="20"/>
                <w:shd w:val="clear" w:color="auto" w:fill="FFFFFF"/>
                <w:lang w:val="fr-FR"/>
              </w:rPr>
              <w:t xml:space="preserve"> (2), </w:t>
            </w:r>
            <w:proofErr w:type="spellStart"/>
            <w:r w:rsidRPr="00D84C73">
              <w:rPr>
                <w:rFonts w:ascii="Times New Roman" w:hAnsi="Times New Roman"/>
                <w:sz w:val="20"/>
                <w:szCs w:val="20"/>
                <w:shd w:val="clear" w:color="auto" w:fill="FFFFFF"/>
                <w:lang w:val="fr-FR"/>
              </w:rPr>
              <w:t>statele</w:t>
            </w:r>
            <w:proofErr w:type="spellEnd"/>
            <w:r w:rsidRPr="00D84C73">
              <w:rPr>
                <w:rFonts w:ascii="Times New Roman" w:hAnsi="Times New Roman"/>
                <w:sz w:val="20"/>
                <w:szCs w:val="20"/>
                <w:shd w:val="clear" w:color="auto" w:fill="FFFFFF"/>
                <w:lang w:val="fr-FR"/>
              </w:rPr>
              <w:t xml:space="preserve"> membre </w:t>
            </w:r>
            <w:proofErr w:type="spellStart"/>
            <w:r w:rsidRPr="00D84C73">
              <w:rPr>
                <w:rFonts w:ascii="Times New Roman" w:hAnsi="Times New Roman"/>
                <w:sz w:val="20"/>
                <w:szCs w:val="20"/>
                <w:shd w:val="clear" w:color="auto" w:fill="FFFFFF"/>
                <w:lang w:val="fr-FR"/>
              </w:rPr>
              <w:t>țin</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seama</w:t>
            </w:r>
            <w:proofErr w:type="spellEnd"/>
            <w:r w:rsidRPr="00D84C73">
              <w:rPr>
                <w:rFonts w:ascii="Times New Roman" w:hAnsi="Times New Roman"/>
                <w:sz w:val="20"/>
                <w:szCs w:val="20"/>
                <w:shd w:val="clear" w:color="auto" w:fill="FFFFFF"/>
                <w:lang w:val="fr-FR"/>
              </w:rPr>
              <w:t xml:space="preserve"> de </w:t>
            </w:r>
            <w:proofErr w:type="spellStart"/>
            <w:r w:rsidRPr="00D84C73">
              <w:rPr>
                <w:rFonts w:ascii="Times New Roman" w:hAnsi="Times New Roman"/>
                <w:sz w:val="20"/>
                <w:szCs w:val="20"/>
                <w:shd w:val="clear" w:color="auto" w:fill="FFFFFF"/>
                <w:lang w:val="fr-FR"/>
              </w:rPr>
              <w:t>cele</w:t>
            </w:r>
            <w:proofErr w:type="spellEnd"/>
            <w:r w:rsidRPr="00D84C73">
              <w:rPr>
                <w:rFonts w:ascii="Times New Roman" w:hAnsi="Times New Roman"/>
                <w:sz w:val="20"/>
                <w:szCs w:val="20"/>
                <w:shd w:val="clear" w:color="auto" w:fill="FFFFFF"/>
                <w:lang w:val="fr-FR"/>
              </w:rPr>
              <w:t xml:space="preserve"> mai </w:t>
            </w:r>
            <w:proofErr w:type="spellStart"/>
            <w:r w:rsidRPr="00D84C73">
              <w:rPr>
                <w:rFonts w:ascii="Times New Roman" w:hAnsi="Times New Roman"/>
                <w:sz w:val="20"/>
                <w:szCs w:val="20"/>
                <w:shd w:val="clear" w:color="auto" w:fill="FFFFFF"/>
                <w:lang w:val="fr-FR"/>
              </w:rPr>
              <w:t>recente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recomandări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specifice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fiecărei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țări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emise</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contextul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semestrului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european</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precum</w:t>
            </w:r>
            <w:proofErr w:type="spellEnd"/>
            <w:r w:rsidRPr="00D84C73">
              <w:rPr>
                <w:rFonts w:ascii="Times New Roman" w:hAnsi="Times New Roman"/>
                <w:sz w:val="20"/>
                <w:szCs w:val="20"/>
                <w:shd w:val="clear" w:color="auto" w:fill="FFFFFF"/>
                <w:lang w:val="fr-FR"/>
              </w:rPr>
              <w:t xml:space="preserve"> și de </w:t>
            </w:r>
            <w:proofErr w:type="spellStart"/>
            <w:r w:rsidRPr="00D84C73">
              <w:rPr>
                <w:rFonts w:ascii="Times New Roman" w:hAnsi="Times New Roman"/>
                <w:sz w:val="20"/>
                <w:szCs w:val="20"/>
                <w:shd w:val="clear" w:color="auto" w:fill="FFFFFF"/>
                <w:lang w:val="fr-FR"/>
              </w:rPr>
              <w:t>obligațiile</w:t>
            </w:r>
            <w:proofErr w:type="spellEnd"/>
            <w:r w:rsidRPr="00D84C73">
              <w:rPr>
                <w:rFonts w:ascii="Times New Roman" w:hAnsi="Times New Roman"/>
                <w:sz w:val="20"/>
                <w:szCs w:val="20"/>
                <w:shd w:val="clear" w:color="auto" w:fill="FFFFFF"/>
                <w:lang w:val="fr-FR"/>
              </w:rPr>
              <w:t xml:space="preserve"> ce </w:t>
            </w:r>
            <w:proofErr w:type="spellStart"/>
            <w:r w:rsidRPr="00D84C73">
              <w:rPr>
                <w:rFonts w:ascii="Times New Roman" w:hAnsi="Times New Roman"/>
                <w:sz w:val="20"/>
                <w:szCs w:val="20"/>
                <w:shd w:val="clear" w:color="auto" w:fill="FFFFFF"/>
                <w:lang w:val="fr-FR"/>
              </w:rPr>
              <w:t>decurg</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din</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Acordul</w:t>
            </w:r>
            <w:proofErr w:type="spellEnd"/>
            <w:r w:rsidRPr="00D84C73">
              <w:rPr>
                <w:rFonts w:ascii="Times New Roman" w:hAnsi="Times New Roman"/>
                <w:sz w:val="20"/>
                <w:szCs w:val="20"/>
                <w:shd w:val="clear" w:color="auto" w:fill="FFFFFF"/>
                <w:lang w:val="fr-FR"/>
              </w:rPr>
              <w:t xml:space="preserve"> de la Paris.</w:t>
            </w:r>
          </w:p>
          <w:p w14:paraId="33DD7CE0" w14:textId="77777777" w:rsidR="00D435FC" w:rsidRPr="00D84C73" w:rsidRDefault="00D435FC" w:rsidP="000C5A3B">
            <w:pPr>
              <w:pStyle w:val="af3"/>
              <w:numPr>
                <w:ilvl w:val="0"/>
                <w:numId w:val="104"/>
              </w:numPr>
              <w:spacing w:after="0" w:line="240" w:lineRule="auto"/>
              <w:jc w:val="both"/>
              <w:rPr>
                <w:rFonts w:ascii="Times New Roman" w:hAnsi="Times New Roman"/>
                <w:sz w:val="20"/>
                <w:szCs w:val="20"/>
                <w:lang w:val="fr-FR" w:eastAsia="ru-RU"/>
              </w:rPr>
            </w:pPr>
            <w:proofErr w:type="spellStart"/>
            <w:r w:rsidRPr="00D84C73">
              <w:rPr>
                <w:rFonts w:ascii="Times New Roman" w:hAnsi="Times New Roman"/>
                <w:sz w:val="20"/>
                <w:szCs w:val="20"/>
                <w:shd w:val="clear" w:color="auto" w:fill="FFFFFF"/>
                <w:lang w:val="fr-FR"/>
              </w:rPr>
              <w:t>Procedurile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stabilite</w:t>
            </w:r>
            <w:proofErr w:type="spellEnd"/>
            <w:r w:rsidRPr="00D84C73">
              <w:rPr>
                <w:rFonts w:ascii="Times New Roman" w:hAnsi="Times New Roman"/>
                <w:sz w:val="20"/>
                <w:szCs w:val="20"/>
                <w:shd w:val="clear" w:color="auto" w:fill="FFFFFF"/>
                <w:lang w:val="fr-FR"/>
              </w:rPr>
              <w:t xml:space="preserve"> la </w:t>
            </w:r>
            <w:proofErr w:type="spellStart"/>
            <w:r w:rsidRPr="00D84C73">
              <w:rPr>
                <w:rFonts w:ascii="Times New Roman" w:hAnsi="Times New Roman"/>
                <w:sz w:val="20"/>
                <w:szCs w:val="20"/>
                <w:shd w:val="clear" w:color="auto" w:fill="FFFFFF"/>
                <w:lang w:val="fr-FR"/>
              </w:rPr>
              <w:t>articolul</w:t>
            </w:r>
            <w:proofErr w:type="spellEnd"/>
            <w:r w:rsidRPr="00D84C73">
              <w:rPr>
                <w:rFonts w:ascii="Times New Roman" w:hAnsi="Times New Roman"/>
                <w:sz w:val="20"/>
                <w:szCs w:val="20"/>
                <w:shd w:val="clear" w:color="auto" w:fill="FFFFFF"/>
                <w:lang w:val="fr-FR"/>
              </w:rPr>
              <w:t xml:space="preserve"> 9 </w:t>
            </w:r>
            <w:proofErr w:type="spellStart"/>
            <w:r w:rsidRPr="00D84C73">
              <w:rPr>
                <w:rFonts w:ascii="Times New Roman" w:hAnsi="Times New Roman"/>
                <w:sz w:val="20"/>
                <w:szCs w:val="20"/>
                <w:shd w:val="clear" w:color="auto" w:fill="FFFFFF"/>
                <w:lang w:val="fr-FR"/>
              </w:rPr>
              <w:t>alineatul</w:t>
            </w:r>
            <w:proofErr w:type="spellEnd"/>
            <w:r w:rsidRPr="00D84C73">
              <w:rPr>
                <w:rFonts w:ascii="Times New Roman" w:hAnsi="Times New Roman"/>
                <w:sz w:val="20"/>
                <w:szCs w:val="20"/>
                <w:shd w:val="clear" w:color="auto" w:fill="FFFFFF"/>
                <w:lang w:val="fr-FR"/>
              </w:rPr>
              <w:t xml:space="preserve"> (2) și la articolele10 și 12 se </w:t>
            </w:r>
            <w:proofErr w:type="spellStart"/>
            <w:r w:rsidRPr="00D84C73">
              <w:rPr>
                <w:rFonts w:ascii="Times New Roman" w:hAnsi="Times New Roman"/>
                <w:sz w:val="20"/>
                <w:szCs w:val="20"/>
                <w:shd w:val="clear" w:color="auto" w:fill="FFFFFF"/>
                <w:lang w:val="fr-FR"/>
              </w:rPr>
              <w:t>aplică</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elaborării</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evaluării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planurilor</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actualizate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w:t>
            </w:r>
          </w:p>
          <w:p w14:paraId="18AEE0B0" w14:textId="7C2E4C6E" w:rsidR="00D435FC" w:rsidRPr="00D435FC" w:rsidRDefault="00D435FC" w:rsidP="000C5A3B">
            <w:pPr>
              <w:pStyle w:val="af3"/>
              <w:numPr>
                <w:ilvl w:val="0"/>
                <w:numId w:val="104"/>
              </w:numPr>
              <w:spacing w:after="0" w:line="240" w:lineRule="auto"/>
              <w:jc w:val="both"/>
              <w:rPr>
                <w:rFonts w:ascii="Times New Roman" w:hAnsi="Times New Roman"/>
                <w:sz w:val="20"/>
                <w:szCs w:val="20"/>
                <w:lang w:val="fr-FR" w:eastAsia="ru-RU"/>
              </w:rPr>
            </w:pPr>
            <w:proofErr w:type="spellStart"/>
            <w:r w:rsidRPr="00D84C73">
              <w:rPr>
                <w:rFonts w:ascii="Times New Roman" w:hAnsi="Times New Roman"/>
                <w:sz w:val="20"/>
                <w:szCs w:val="20"/>
                <w:shd w:val="clear" w:color="auto" w:fill="FFFFFF"/>
                <w:lang w:val="fr-FR"/>
              </w:rPr>
              <w:t>Prezentul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articol</w:t>
            </w:r>
            <w:proofErr w:type="spellEnd"/>
            <w:r w:rsidRPr="00D84C73">
              <w:rPr>
                <w:rFonts w:ascii="Times New Roman" w:hAnsi="Times New Roman"/>
                <w:sz w:val="20"/>
                <w:szCs w:val="20"/>
                <w:shd w:val="clear" w:color="auto" w:fill="FFFFFF"/>
                <w:lang w:val="fr-FR"/>
              </w:rPr>
              <w:t xml:space="preserve"> nu </w:t>
            </w:r>
            <w:proofErr w:type="spellStart"/>
            <w:r w:rsidRPr="00D84C73">
              <w:rPr>
                <w:rFonts w:ascii="Times New Roman" w:hAnsi="Times New Roman"/>
                <w:sz w:val="20"/>
                <w:szCs w:val="20"/>
                <w:shd w:val="clear" w:color="auto" w:fill="FFFFFF"/>
                <w:lang w:val="fr-FR"/>
              </w:rPr>
              <w:t>aduce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atingere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dreptului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statelor</w:t>
            </w:r>
            <w:proofErr w:type="spellEnd"/>
            <w:r w:rsidRPr="00D84C73">
              <w:rPr>
                <w:rFonts w:ascii="Times New Roman" w:hAnsi="Times New Roman"/>
                <w:sz w:val="20"/>
                <w:szCs w:val="20"/>
                <w:shd w:val="clear" w:color="auto" w:fill="FFFFFF"/>
                <w:lang w:val="fr-FR"/>
              </w:rPr>
              <w:t xml:space="preserve"> membre </w:t>
            </w:r>
            <w:proofErr w:type="gramStart"/>
            <w:r w:rsidRPr="00D84C73">
              <w:rPr>
                <w:rFonts w:ascii="Times New Roman" w:hAnsi="Times New Roman"/>
                <w:sz w:val="20"/>
                <w:szCs w:val="20"/>
                <w:shd w:val="clear" w:color="auto" w:fill="FFFFFF"/>
                <w:lang w:val="fr-FR"/>
              </w:rPr>
              <w:t>de a</w:t>
            </w:r>
            <w:proofErr w:type="gramEnd"/>
            <w:r w:rsidRPr="00D84C73">
              <w:rPr>
                <w:rFonts w:ascii="Times New Roman" w:hAnsi="Times New Roman"/>
                <w:sz w:val="20"/>
                <w:szCs w:val="20"/>
                <w:shd w:val="clear" w:color="auto" w:fill="FFFFFF"/>
                <w:lang w:val="fr-FR"/>
              </w:rPr>
              <w:t xml:space="preserve">-și </w:t>
            </w:r>
            <w:proofErr w:type="spellStart"/>
            <w:r w:rsidRPr="00D84C73">
              <w:rPr>
                <w:rFonts w:ascii="Times New Roman" w:hAnsi="Times New Roman"/>
                <w:sz w:val="20"/>
                <w:szCs w:val="20"/>
                <w:shd w:val="clear" w:color="auto" w:fill="FFFFFF"/>
                <w:lang w:val="fr-FR"/>
              </w:rPr>
              <w:t>modifica</w:t>
            </w:r>
            <w:proofErr w:type="spellEnd"/>
            <w:r w:rsidRPr="00D84C73">
              <w:rPr>
                <w:rFonts w:ascii="Times New Roman" w:hAnsi="Times New Roman"/>
                <w:sz w:val="20"/>
                <w:szCs w:val="20"/>
                <w:shd w:val="clear" w:color="auto" w:fill="FFFFFF"/>
                <w:lang w:val="fr-FR"/>
              </w:rPr>
              <w:t xml:space="preserve"> și de a-și adapta în </w:t>
            </w:r>
            <w:proofErr w:type="spellStart"/>
            <w:r w:rsidRPr="00D84C73">
              <w:rPr>
                <w:rFonts w:ascii="Times New Roman" w:hAnsi="Times New Roman"/>
                <w:sz w:val="20"/>
                <w:szCs w:val="20"/>
                <w:shd w:val="clear" w:color="auto" w:fill="FFFFFF"/>
                <w:lang w:val="fr-FR"/>
              </w:rPr>
              <w:t>orice</w:t>
            </w:r>
            <w:proofErr w:type="spellEnd"/>
            <w:r w:rsidRPr="00D84C73">
              <w:rPr>
                <w:rFonts w:ascii="Times New Roman" w:hAnsi="Times New Roman"/>
                <w:sz w:val="20"/>
                <w:szCs w:val="20"/>
                <w:shd w:val="clear" w:color="auto" w:fill="FFFFFF"/>
                <w:lang w:val="fr-FR"/>
              </w:rPr>
              <w:t xml:space="preserve"> moment </w:t>
            </w:r>
            <w:proofErr w:type="spellStart"/>
            <w:r w:rsidRPr="00D84C73">
              <w:rPr>
                <w:rFonts w:ascii="Times New Roman" w:hAnsi="Times New Roman"/>
                <w:sz w:val="20"/>
                <w:szCs w:val="20"/>
                <w:shd w:val="clear" w:color="auto" w:fill="FFFFFF"/>
                <w:lang w:val="fr-FR"/>
              </w:rPr>
              <w:t>politicile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prezentate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sau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menționate</w:t>
            </w:r>
            <w:proofErr w:type="spellEnd"/>
            <w:r w:rsidRPr="00D84C73">
              <w:rPr>
                <w:rFonts w:ascii="Times New Roman" w:hAnsi="Times New Roman"/>
                <w:sz w:val="20"/>
                <w:szCs w:val="20"/>
                <w:shd w:val="clear" w:color="auto" w:fill="FFFFFF"/>
                <w:lang w:val="fr-FR"/>
              </w:rPr>
              <w:t xml:space="preserve"> în </w:t>
            </w:r>
            <w:proofErr w:type="spellStart"/>
            <w:r w:rsidRPr="00D84C73">
              <w:rPr>
                <w:rFonts w:ascii="Times New Roman" w:hAnsi="Times New Roman"/>
                <w:sz w:val="20"/>
                <w:szCs w:val="20"/>
                <w:shd w:val="clear" w:color="auto" w:fill="FFFFFF"/>
                <w:lang w:val="fr-FR"/>
              </w:rPr>
              <w:t>planurile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lor</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integrate</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cu</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condiția</w:t>
            </w:r>
            <w:proofErr w:type="spellEnd"/>
            <w:r w:rsidRPr="00D84C73">
              <w:rPr>
                <w:rFonts w:ascii="Times New Roman" w:hAnsi="Times New Roman"/>
                <w:sz w:val="20"/>
                <w:szCs w:val="20"/>
                <w:shd w:val="clear" w:color="auto" w:fill="FFFFFF"/>
                <w:lang w:val="fr-FR"/>
              </w:rPr>
              <w:t xml:space="preserve"> ca </w:t>
            </w:r>
            <w:proofErr w:type="spellStart"/>
            <w:r w:rsidRPr="00D84C73">
              <w:rPr>
                <w:rFonts w:ascii="Times New Roman" w:hAnsi="Times New Roman"/>
                <w:sz w:val="20"/>
                <w:szCs w:val="20"/>
                <w:shd w:val="clear" w:color="auto" w:fill="FFFFFF"/>
                <w:lang w:val="fr-FR"/>
              </w:rPr>
              <w:t>astfel</w:t>
            </w:r>
            <w:proofErr w:type="spellEnd"/>
            <w:r w:rsidRPr="00D84C73">
              <w:rPr>
                <w:rFonts w:ascii="Times New Roman" w:hAnsi="Times New Roman"/>
                <w:sz w:val="20"/>
                <w:szCs w:val="20"/>
                <w:shd w:val="clear" w:color="auto" w:fill="FFFFFF"/>
                <w:lang w:val="fr-FR"/>
              </w:rPr>
              <w:t xml:space="preserve"> de </w:t>
            </w:r>
            <w:proofErr w:type="spellStart"/>
            <w:r w:rsidRPr="00D84C73">
              <w:rPr>
                <w:rFonts w:ascii="Times New Roman" w:hAnsi="Times New Roman"/>
                <w:sz w:val="20"/>
                <w:szCs w:val="20"/>
                <w:shd w:val="clear" w:color="auto" w:fill="FFFFFF"/>
                <w:lang w:val="fr-FR"/>
              </w:rPr>
              <w:t>modificări</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adaptări</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să</w:t>
            </w:r>
            <w:proofErr w:type="spellEnd"/>
            <w:r w:rsidRPr="00D84C73">
              <w:rPr>
                <w:rFonts w:ascii="Times New Roman" w:hAnsi="Times New Roman"/>
                <w:sz w:val="20"/>
                <w:szCs w:val="20"/>
                <w:shd w:val="clear" w:color="auto" w:fill="FFFFFF"/>
                <w:lang w:val="fr-FR"/>
              </w:rPr>
              <w:t xml:space="preserve"> fie incluse în </w:t>
            </w:r>
            <w:proofErr w:type="spellStart"/>
            <w:r w:rsidRPr="00D84C73">
              <w:rPr>
                <w:rFonts w:ascii="Times New Roman" w:hAnsi="Times New Roman"/>
                <w:sz w:val="20"/>
                <w:szCs w:val="20"/>
                <w:shd w:val="clear" w:color="auto" w:fill="FFFFFF"/>
                <w:lang w:val="fr-FR"/>
              </w:rPr>
              <w:t>raportul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național</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intermediar</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integrat</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privind</w:t>
            </w:r>
            <w:proofErr w:type="spellEnd"/>
            <w:r w:rsidRPr="00D84C73">
              <w:rPr>
                <w:rFonts w:ascii="Times New Roman" w:hAnsi="Times New Roman"/>
                <w:sz w:val="20"/>
                <w:szCs w:val="20"/>
                <w:shd w:val="clear" w:color="auto" w:fill="FFFFFF"/>
                <w:lang w:val="fr-FR"/>
              </w:rPr>
              <w:t xml:space="preserve"> </w:t>
            </w:r>
            <w:proofErr w:type="spellStart"/>
            <w:r w:rsidRPr="00D84C73">
              <w:rPr>
                <w:rFonts w:ascii="Times New Roman" w:hAnsi="Times New Roman"/>
                <w:sz w:val="20"/>
                <w:szCs w:val="20"/>
                <w:shd w:val="clear" w:color="auto" w:fill="FFFFFF"/>
                <w:lang w:val="fr-FR"/>
              </w:rPr>
              <w:t>energia</w:t>
            </w:r>
            <w:proofErr w:type="spellEnd"/>
            <w:r w:rsidRPr="00D84C73">
              <w:rPr>
                <w:rFonts w:ascii="Times New Roman" w:hAnsi="Times New Roman"/>
                <w:sz w:val="20"/>
                <w:szCs w:val="20"/>
                <w:shd w:val="clear" w:color="auto" w:fill="FFFFFF"/>
                <w:lang w:val="fr-FR"/>
              </w:rPr>
              <w:t xml:space="preserve"> și </w:t>
            </w:r>
            <w:proofErr w:type="spellStart"/>
            <w:r w:rsidRPr="00D84C73">
              <w:rPr>
                <w:rFonts w:ascii="Times New Roman" w:hAnsi="Times New Roman"/>
                <w:sz w:val="20"/>
                <w:szCs w:val="20"/>
                <w:shd w:val="clear" w:color="auto" w:fill="FFFFFF"/>
                <w:lang w:val="fr-FR"/>
              </w:rPr>
              <w:t>clima</w:t>
            </w:r>
            <w:proofErr w:type="spellEnd"/>
            <w:r w:rsidRPr="00D84C73">
              <w:rPr>
                <w:rFonts w:ascii="Times New Roman" w:hAnsi="Times New Roman"/>
                <w:sz w:val="20"/>
                <w:szCs w:val="20"/>
                <w:shd w:val="clear" w:color="auto" w:fill="FFFFFF"/>
                <w:lang w:val="fr-FR"/>
              </w:rPr>
              <w:t>.</w:t>
            </w:r>
          </w:p>
        </w:tc>
        <w:tc>
          <w:tcPr>
            <w:tcW w:w="4440" w:type="dxa"/>
          </w:tcPr>
          <w:p w14:paraId="07EE81BA" w14:textId="77777777" w:rsidR="00D37AB7" w:rsidRPr="004C01A1" w:rsidRDefault="00D37AB7" w:rsidP="004C01A1">
            <w:pPr>
              <w:shd w:val="clear" w:color="auto" w:fill="FFFFFF"/>
              <w:suppressAutoHyphens w:val="0"/>
              <w:autoSpaceDN/>
              <w:spacing w:after="0" w:line="240" w:lineRule="auto"/>
              <w:jc w:val="both"/>
              <w:textAlignment w:val="auto"/>
              <w:rPr>
                <w:sz w:val="20"/>
                <w:szCs w:val="20"/>
                <w:lang w:val="ro-RO"/>
              </w:rPr>
            </w:pPr>
          </w:p>
        </w:tc>
        <w:tc>
          <w:tcPr>
            <w:tcW w:w="1276" w:type="dxa"/>
          </w:tcPr>
          <w:p w14:paraId="63F3827A" w14:textId="0374F63D" w:rsidR="00D37AB7" w:rsidRPr="00D435FC" w:rsidRDefault="00495B0A" w:rsidP="00D37AB7">
            <w:pPr>
              <w:pStyle w:val="ColorfulList-Accent11"/>
              <w:spacing w:after="0" w:line="240" w:lineRule="auto"/>
              <w:ind w:left="0"/>
              <w:jc w:val="both"/>
              <w:rPr>
                <w:lang w:val="fr-FR"/>
              </w:rPr>
            </w:pPr>
            <w:r>
              <w:rPr>
                <w:rFonts w:ascii="Times New Roman" w:hAnsi="Times New Roman"/>
                <w:sz w:val="20"/>
                <w:szCs w:val="20"/>
                <w:lang w:val="ro-RO"/>
              </w:rPr>
              <w:t>C</w:t>
            </w:r>
            <w:r w:rsidR="00D435FC" w:rsidRPr="00C951E7">
              <w:rPr>
                <w:rFonts w:ascii="Times New Roman" w:hAnsi="Times New Roman"/>
                <w:sz w:val="20"/>
                <w:szCs w:val="20"/>
                <w:lang w:val="ro-RO"/>
              </w:rPr>
              <w:t>ompatibil</w:t>
            </w:r>
          </w:p>
        </w:tc>
        <w:tc>
          <w:tcPr>
            <w:tcW w:w="1276" w:type="dxa"/>
          </w:tcPr>
          <w:p w14:paraId="0FE16E38" w14:textId="77777777" w:rsidR="00D37AB7" w:rsidRPr="00D435FC" w:rsidRDefault="00D37AB7" w:rsidP="00D37AB7">
            <w:pPr>
              <w:pStyle w:val="ColorfulList-Accent11"/>
              <w:spacing w:after="0" w:line="240" w:lineRule="auto"/>
              <w:ind w:left="0"/>
              <w:jc w:val="both"/>
              <w:rPr>
                <w:lang w:val="fr-FR"/>
              </w:rPr>
            </w:pPr>
          </w:p>
        </w:tc>
        <w:tc>
          <w:tcPr>
            <w:tcW w:w="1701" w:type="dxa"/>
          </w:tcPr>
          <w:p w14:paraId="5A9C6982" w14:textId="5CEF8D64" w:rsidR="00495B0A" w:rsidRPr="00F13819" w:rsidRDefault="00495B0A" w:rsidP="00495B0A">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 xml:space="preserve">2. </w:t>
            </w:r>
            <w:r>
              <w:rPr>
                <w:rFonts w:ascii="Times New Roman" w:eastAsia="Times New Roman" w:hAnsi="Times New Roman"/>
                <w:sz w:val="20"/>
                <w:szCs w:val="20"/>
                <w:lang w:val="ro-RO"/>
              </w:rPr>
              <w:t xml:space="preserve"> </w:t>
            </w:r>
          </w:p>
          <w:p w14:paraId="26D3D56E" w14:textId="77777777" w:rsidR="00D37AB7" w:rsidRDefault="00D37AB7" w:rsidP="00D435FC">
            <w:pPr>
              <w:pStyle w:val="ColorfulList-Accent11"/>
              <w:spacing w:after="0" w:line="240" w:lineRule="auto"/>
              <w:ind w:left="0"/>
              <w:jc w:val="both"/>
              <w:rPr>
                <w:lang w:val="ro-RO"/>
              </w:rPr>
            </w:pPr>
          </w:p>
          <w:p w14:paraId="27AFAB6A" w14:textId="5605144B" w:rsidR="004C01A1" w:rsidRPr="007E64AF" w:rsidRDefault="004C01A1" w:rsidP="004C01A1">
            <w:pPr>
              <w:pStyle w:val="ColorfulList-Accent11"/>
              <w:spacing w:after="0" w:line="240" w:lineRule="auto"/>
              <w:ind w:left="0"/>
              <w:jc w:val="both"/>
              <w:rPr>
                <w:rFonts w:ascii="Times New Roman" w:hAnsi="Times New Roman"/>
                <w:color w:val="000000" w:themeColor="text1"/>
                <w:sz w:val="20"/>
                <w:szCs w:val="20"/>
                <w:shd w:val="clear" w:color="auto" w:fill="FFFFFF"/>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pct.29-36 din</w:t>
            </w:r>
            <w:r>
              <w:rPr>
                <w:rFonts w:ascii="Times New Roman" w:eastAsia="Times New Roman" w:hAnsi="Times New Roman"/>
                <w:sz w:val="20"/>
                <w:szCs w:val="20"/>
                <w:lang w:val="ro-RO" w:eastAsia="ru-RU"/>
              </w:rPr>
              <w:t xml:space="preserve"> </w:t>
            </w:r>
          </w:p>
          <w:p w14:paraId="564E2366" w14:textId="22E48D74" w:rsidR="004C01A1" w:rsidRPr="00D435FC"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0EB0DDB8" w14:textId="78B963A5" w:rsidR="00D37AB7" w:rsidRPr="00D435FC" w:rsidRDefault="00D435FC" w:rsidP="00D84C73">
            <w:pPr>
              <w:autoSpaceDE w:val="0"/>
              <w:spacing w:after="0" w:line="240" w:lineRule="auto"/>
              <w:rPr>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D84C73" w:rsidRPr="00A81801">
              <w:rPr>
                <w:rFonts w:ascii="Times New Roman" w:hAnsi="Times New Roman"/>
                <w:color w:val="000000" w:themeColor="text1"/>
                <w:sz w:val="20"/>
                <w:szCs w:val="20"/>
              </w:rPr>
              <w:t>Energiei</w:t>
            </w:r>
          </w:p>
        </w:tc>
      </w:tr>
      <w:tr w:rsidR="00D37AB7" w:rsidRPr="007943FC" w14:paraId="651EEA16" w14:textId="77777777" w:rsidTr="00A90105">
        <w:tc>
          <w:tcPr>
            <w:tcW w:w="4945" w:type="dxa"/>
          </w:tcPr>
          <w:p w14:paraId="33C2D8FE" w14:textId="77777777" w:rsidR="00D37AB7" w:rsidRPr="00E9618D" w:rsidRDefault="00D37AB7" w:rsidP="00CA3C7F">
            <w:pPr>
              <w:spacing w:after="0" w:line="240" w:lineRule="auto"/>
              <w:jc w:val="center"/>
              <w:rPr>
                <w:rFonts w:ascii="Times New Roman" w:hAnsi="Times New Roman"/>
                <w:sz w:val="20"/>
                <w:szCs w:val="20"/>
                <w:lang w:val="en-US" w:eastAsia="ru-RU"/>
              </w:rPr>
            </w:pPr>
            <w:r w:rsidRPr="00E9618D">
              <w:rPr>
                <w:rFonts w:ascii="Times New Roman" w:hAnsi="Times New Roman"/>
                <w:sz w:val="20"/>
                <w:szCs w:val="20"/>
                <w:lang w:val="en-US" w:eastAsia="ru-RU"/>
              </w:rPr>
              <w:t>CAPITOLUL 3</w:t>
            </w:r>
          </w:p>
          <w:p w14:paraId="550B621D" w14:textId="77777777" w:rsidR="00D37AB7" w:rsidRPr="00B11494" w:rsidRDefault="00D37AB7" w:rsidP="00CA3C7F">
            <w:pPr>
              <w:spacing w:after="0" w:line="240" w:lineRule="auto"/>
              <w:jc w:val="center"/>
              <w:rPr>
                <w:rFonts w:ascii="Times New Roman" w:hAnsi="Times New Roman"/>
                <w:b/>
                <w:bCs/>
                <w:i/>
                <w:iCs/>
                <w:sz w:val="20"/>
                <w:szCs w:val="20"/>
                <w:lang w:val="en-US" w:eastAsia="ru-RU"/>
              </w:rPr>
            </w:pPr>
            <w:proofErr w:type="spellStart"/>
            <w:r w:rsidRPr="00B11494">
              <w:rPr>
                <w:rFonts w:ascii="Times New Roman" w:hAnsi="Times New Roman"/>
                <w:b/>
                <w:bCs/>
                <w:i/>
                <w:iCs/>
                <w:sz w:val="20"/>
                <w:szCs w:val="20"/>
                <w:lang w:val="en-US" w:eastAsia="ru-RU"/>
              </w:rPr>
              <w:t>Strategii</w:t>
            </w:r>
            <w:proofErr w:type="spellEnd"/>
            <w:r w:rsidRPr="00B11494">
              <w:rPr>
                <w:rFonts w:ascii="Times New Roman" w:hAnsi="Times New Roman"/>
                <w:b/>
                <w:bCs/>
                <w:i/>
                <w:iCs/>
                <w:sz w:val="20"/>
                <w:szCs w:val="20"/>
                <w:lang w:val="en-US" w:eastAsia="ru-RU"/>
              </w:rPr>
              <w:t xml:space="preserve"> pe termen lung</w:t>
            </w:r>
          </w:p>
          <w:p w14:paraId="30BFC435" w14:textId="77777777" w:rsidR="00D37AB7" w:rsidRPr="00E9618D" w:rsidRDefault="00D37AB7" w:rsidP="00CA3C7F">
            <w:pPr>
              <w:spacing w:after="0" w:line="240" w:lineRule="auto"/>
              <w:jc w:val="center"/>
              <w:rPr>
                <w:rFonts w:ascii="Times New Roman" w:hAnsi="Times New Roman"/>
                <w:sz w:val="20"/>
                <w:szCs w:val="20"/>
                <w:lang w:val="en-US" w:eastAsia="ru-RU"/>
              </w:rPr>
            </w:pPr>
            <w:proofErr w:type="spellStart"/>
            <w:r w:rsidRPr="00E9618D">
              <w:rPr>
                <w:rFonts w:ascii="Times New Roman" w:hAnsi="Times New Roman"/>
                <w:sz w:val="20"/>
                <w:szCs w:val="20"/>
                <w:lang w:val="en-US" w:eastAsia="ru-RU"/>
              </w:rPr>
              <w:t>Articolul</w:t>
            </w:r>
            <w:proofErr w:type="spellEnd"/>
            <w:r w:rsidRPr="00E9618D">
              <w:rPr>
                <w:rFonts w:ascii="Times New Roman" w:hAnsi="Times New Roman"/>
                <w:sz w:val="20"/>
                <w:szCs w:val="20"/>
                <w:lang w:val="en-US" w:eastAsia="ru-RU"/>
              </w:rPr>
              <w:t xml:space="preserve"> 15</w:t>
            </w:r>
          </w:p>
          <w:p w14:paraId="47D6FEA5" w14:textId="77777777" w:rsidR="00D37AB7" w:rsidRPr="00B11494" w:rsidRDefault="00D37AB7" w:rsidP="00CA3C7F">
            <w:pPr>
              <w:spacing w:after="0" w:line="240" w:lineRule="auto"/>
              <w:jc w:val="center"/>
              <w:rPr>
                <w:rFonts w:ascii="Times New Roman" w:hAnsi="Times New Roman"/>
                <w:b/>
                <w:bCs/>
                <w:sz w:val="20"/>
                <w:szCs w:val="20"/>
                <w:lang w:val="en-US" w:eastAsia="ru-RU"/>
              </w:rPr>
            </w:pPr>
            <w:proofErr w:type="spellStart"/>
            <w:r w:rsidRPr="00B11494">
              <w:rPr>
                <w:rFonts w:ascii="Times New Roman" w:hAnsi="Times New Roman"/>
                <w:b/>
                <w:bCs/>
                <w:sz w:val="20"/>
                <w:szCs w:val="20"/>
                <w:lang w:val="en-US" w:eastAsia="ru-RU"/>
              </w:rPr>
              <w:t>Strategii</w:t>
            </w:r>
            <w:proofErr w:type="spellEnd"/>
            <w:r w:rsidRPr="00B11494">
              <w:rPr>
                <w:rFonts w:ascii="Times New Roman" w:hAnsi="Times New Roman"/>
                <w:b/>
                <w:bCs/>
                <w:sz w:val="20"/>
                <w:szCs w:val="20"/>
                <w:lang w:val="en-US" w:eastAsia="ru-RU"/>
              </w:rPr>
              <w:t xml:space="preserve"> pe termen lung</w:t>
            </w:r>
          </w:p>
          <w:p w14:paraId="0DE17115" w14:textId="23CEEA28" w:rsidR="00B17D76" w:rsidRPr="00B17D76" w:rsidRDefault="00000000" w:rsidP="00B17D76">
            <w:pPr>
              <w:spacing w:after="0" w:line="240" w:lineRule="auto"/>
              <w:rPr>
                <w:rFonts w:ascii="Times New Roman" w:hAnsi="Times New Roman"/>
                <w:sz w:val="20"/>
                <w:szCs w:val="20"/>
                <w:lang w:val="en-US" w:eastAsia="ru-RU"/>
              </w:rPr>
            </w:pPr>
            <w:hyperlink r:id="rId25" w:tooltip="32021R1119: REPLACED" w:history="1">
              <w:r w:rsidR="00B17D76" w:rsidRPr="00B17D76">
                <w:rPr>
                  <w:rStyle w:val="af6"/>
                  <w:rFonts w:ascii="Times New Roman" w:eastAsia="Arial Unicode MS" w:hAnsi="Times New Roman"/>
                  <w:b/>
                  <w:bCs/>
                  <w:color w:val="23527C"/>
                  <w:sz w:val="20"/>
                  <w:szCs w:val="20"/>
                  <w:shd w:val="clear" w:color="auto" w:fill="FFFFFF"/>
                </w:rPr>
                <w:t>▼M2</w:t>
              </w:r>
            </w:hyperlink>
          </w:p>
          <w:p w14:paraId="0257F614" w14:textId="0A353122" w:rsidR="00CA3C7F" w:rsidRDefault="00D37AB7" w:rsidP="00CA3C7F">
            <w:pPr>
              <w:spacing w:after="0" w:line="240" w:lineRule="auto"/>
              <w:jc w:val="both"/>
              <w:rPr>
                <w:rFonts w:ascii="Times New Roman" w:hAnsi="Times New Roman"/>
                <w:sz w:val="20"/>
                <w:szCs w:val="20"/>
                <w:lang w:val="en-US" w:eastAsia="ru-RU"/>
              </w:rPr>
            </w:pPr>
            <w:r w:rsidRPr="00E9618D">
              <w:rPr>
                <w:rFonts w:ascii="Times New Roman" w:hAnsi="Times New Roman"/>
                <w:sz w:val="20"/>
                <w:szCs w:val="20"/>
                <w:lang w:val="en-US" w:eastAsia="ru-RU"/>
              </w:rPr>
              <w:t>(</w:t>
            </w:r>
            <w:proofErr w:type="gramStart"/>
            <w:r w:rsidRPr="00E9618D">
              <w:rPr>
                <w:rFonts w:ascii="Times New Roman" w:hAnsi="Times New Roman"/>
                <w:sz w:val="20"/>
                <w:szCs w:val="20"/>
                <w:lang w:val="en-US" w:eastAsia="ru-RU"/>
              </w:rPr>
              <w:t>1)</w:t>
            </w:r>
            <w:proofErr w:type="spellStart"/>
            <w:r w:rsidRPr="00E9618D">
              <w:rPr>
                <w:rFonts w:ascii="Times New Roman" w:hAnsi="Times New Roman"/>
                <w:sz w:val="20"/>
                <w:szCs w:val="20"/>
                <w:lang w:val="en-US" w:eastAsia="ru-RU"/>
              </w:rPr>
              <w:t>Până</w:t>
            </w:r>
            <w:proofErr w:type="spellEnd"/>
            <w:proofErr w:type="gramEnd"/>
            <w:r w:rsidRPr="00E9618D">
              <w:rPr>
                <w:rFonts w:ascii="Times New Roman" w:hAnsi="Times New Roman"/>
                <w:sz w:val="20"/>
                <w:szCs w:val="20"/>
                <w:lang w:val="en-US" w:eastAsia="ru-RU"/>
              </w:rPr>
              <w:t xml:space="preserve"> la</w:t>
            </w:r>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1</w:t>
            </w:r>
            <w:r w:rsidR="00CA3C7F"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ianuarie</w:t>
            </w:r>
            <w:proofErr w:type="spellEnd"/>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 xml:space="preserve">2020 și </w:t>
            </w:r>
            <w:proofErr w:type="spellStart"/>
            <w:r w:rsidRPr="00E9618D">
              <w:rPr>
                <w:rFonts w:ascii="Times New Roman" w:hAnsi="Times New Roman"/>
                <w:sz w:val="20"/>
                <w:szCs w:val="20"/>
                <w:lang w:val="en-US" w:eastAsia="ru-RU"/>
              </w:rPr>
              <w:t>apoi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până</w:t>
            </w:r>
            <w:proofErr w:type="spellEnd"/>
            <w:r w:rsidRPr="00E9618D">
              <w:rPr>
                <w:rFonts w:ascii="Times New Roman" w:hAnsi="Times New Roman"/>
                <w:sz w:val="20"/>
                <w:szCs w:val="20"/>
                <w:lang w:val="en-US" w:eastAsia="ru-RU"/>
              </w:rPr>
              <w:t xml:space="preserve"> la</w:t>
            </w:r>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1</w:t>
            </w:r>
            <w:r w:rsidR="00CA3C7F"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ianuarie</w:t>
            </w:r>
            <w:proofErr w:type="spellEnd"/>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 xml:space="preserve">2029 și, ulterior, </w:t>
            </w:r>
            <w:r w:rsidR="00B11494">
              <w:rPr>
                <w:rFonts w:ascii="Times New Roman" w:hAnsi="Times New Roman"/>
                <w:sz w:val="20"/>
                <w:szCs w:val="20"/>
                <w:lang w:val="en-US" w:eastAsia="ru-RU"/>
              </w:rPr>
              <w:t xml:space="preserve">o </w:t>
            </w:r>
            <w:proofErr w:type="spellStart"/>
            <w:r w:rsidR="00B11494">
              <w:rPr>
                <w:rFonts w:ascii="Times New Roman" w:hAnsi="Times New Roman"/>
                <w:sz w:val="20"/>
                <w:szCs w:val="20"/>
                <w:lang w:val="en-US" w:eastAsia="ru-RU"/>
              </w:rPr>
              <w:t>dată</w:t>
            </w:r>
            <w:proofErr w:type="spellEnd"/>
            <w:r w:rsidR="00B11494">
              <w:rPr>
                <w:rFonts w:ascii="Times New Roman" w:hAnsi="Times New Roman"/>
                <w:sz w:val="20"/>
                <w:szCs w:val="20"/>
                <w:lang w:val="en-US" w:eastAsia="ru-RU"/>
              </w:rPr>
              <w:t xml:space="preserve"> </w:t>
            </w:r>
            <w:r w:rsidRPr="00E9618D">
              <w:rPr>
                <w:rFonts w:ascii="Times New Roman" w:hAnsi="Times New Roman"/>
                <w:sz w:val="20"/>
                <w:szCs w:val="20"/>
                <w:lang w:val="en-US" w:eastAsia="ru-RU"/>
              </w:rPr>
              <w:t xml:space="preserve">la </w:t>
            </w:r>
            <w:r w:rsidR="00B11494">
              <w:rPr>
                <w:rFonts w:ascii="Times New Roman" w:hAnsi="Times New Roman"/>
                <w:sz w:val="20"/>
                <w:szCs w:val="20"/>
                <w:lang w:val="en-US" w:eastAsia="ru-RU"/>
              </w:rPr>
              <w:t>10</w:t>
            </w:r>
            <w:r w:rsidRPr="00E9618D">
              <w:rPr>
                <w:rFonts w:ascii="Times New Roman" w:hAnsi="Times New Roman"/>
                <w:sz w:val="20"/>
                <w:szCs w:val="20"/>
                <w:lang w:val="en-US" w:eastAsia="ru-RU"/>
              </w:rPr>
              <w:t xml:space="preserve"> ani, </w:t>
            </w:r>
            <w:proofErr w:type="spellStart"/>
            <w:r w:rsidRPr="00E9618D">
              <w:rPr>
                <w:rFonts w:ascii="Times New Roman" w:hAnsi="Times New Roman"/>
                <w:sz w:val="20"/>
                <w:szCs w:val="20"/>
                <w:lang w:val="en-US" w:eastAsia="ru-RU"/>
              </w:rPr>
              <w:t>fiecare</w:t>
            </w:r>
            <w:proofErr w:type="spellEnd"/>
            <w:r w:rsidRPr="00E9618D">
              <w:rPr>
                <w:rFonts w:ascii="Times New Roman" w:hAnsi="Times New Roman"/>
                <w:sz w:val="20"/>
                <w:szCs w:val="20"/>
                <w:lang w:val="en-US" w:eastAsia="ru-RU"/>
              </w:rPr>
              <w:t xml:space="preserve"> stat </w:t>
            </w:r>
            <w:proofErr w:type="spellStart"/>
            <w:r w:rsidRPr="00E9618D">
              <w:rPr>
                <w:rFonts w:ascii="Times New Roman" w:hAnsi="Times New Roman"/>
                <w:sz w:val="20"/>
                <w:szCs w:val="20"/>
                <w:lang w:val="en-US" w:eastAsia="ru-RU"/>
              </w:rPr>
              <w:t>membru</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elaborează</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prezintă</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Comisiei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strategia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sa</w:t>
            </w:r>
            <w:proofErr w:type="spellEnd"/>
            <w:r w:rsidRPr="00E9618D">
              <w:rPr>
                <w:rFonts w:ascii="Times New Roman" w:hAnsi="Times New Roman"/>
                <w:sz w:val="20"/>
                <w:szCs w:val="20"/>
                <w:lang w:val="en-US" w:eastAsia="ru-RU"/>
              </w:rPr>
              <w:t xml:space="preserve"> pe termen lung, cu o </w:t>
            </w:r>
            <w:proofErr w:type="spellStart"/>
            <w:r w:rsidRPr="00E9618D">
              <w:rPr>
                <w:rFonts w:ascii="Times New Roman" w:hAnsi="Times New Roman"/>
                <w:sz w:val="20"/>
                <w:szCs w:val="20"/>
                <w:lang w:val="en-US" w:eastAsia="ru-RU"/>
              </w:rPr>
              <w:t>perspectivă</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cel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puțin</w:t>
            </w:r>
            <w:proofErr w:type="spellEnd"/>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30</w:t>
            </w:r>
            <w:r w:rsidR="00CA3C7F"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t>de ani</w:t>
            </w:r>
            <w:r w:rsidR="00B11494">
              <w:rPr>
                <w:rFonts w:ascii="Times New Roman" w:hAnsi="Times New Roman"/>
                <w:sz w:val="20"/>
                <w:szCs w:val="20"/>
                <w:lang w:val="en-US" w:eastAsia="ru-RU"/>
              </w:rPr>
              <w:t xml:space="preserve"> și </w:t>
            </w:r>
            <w:proofErr w:type="spellStart"/>
            <w:r w:rsidR="00B11494">
              <w:rPr>
                <w:rFonts w:ascii="Times New Roman" w:hAnsi="Times New Roman"/>
                <w:sz w:val="20"/>
                <w:szCs w:val="20"/>
                <w:lang w:val="en-US" w:eastAsia="ru-RU"/>
              </w:rPr>
              <w:t>conformă</w:t>
            </w:r>
            <w:proofErr w:type="spellEnd"/>
            <w:r w:rsidR="00B11494">
              <w:rPr>
                <w:rFonts w:ascii="Times New Roman" w:hAnsi="Times New Roman"/>
                <w:sz w:val="20"/>
                <w:szCs w:val="20"/>
                <w:lang w:val="en-US" w:eastAsia="ru-RU"/>
              </w:rPr>
              <w:t xml:space="preserve"> cu </w:t>
            </w:r>
            <w:proofErr w:type="spellStart"/>
            <w:r w:rsidR="00B11494">
              <w:rPr>
                <w:rFonts w:ascii="Times New Roman" w:hAnsi="Times New Roman"/>
                <w:sz w:val="20"/>
                <w:szCs w:val="20"/>
                <w:lang w:val="en-US" w:eastAsia="ru-RU"/>
              </w:rPr>
              <w:t>obiectivul</w:t>
            </w:r>
            <w:proofErr w:type="spellEnd"/>
            <w:r w:rsidR="00B11494">
              <w:rPr>
                <w:rFonts w:ascii="Times New Roman" w:hAnsi="Times New Roman"/>
                <w:sz w:val="20"/>
                <w:szCs w:val="20"/>
                <w:lang w:val="en-US" w:eastAsia="ru-RU"/>
              </w:rPr>
              <w:t xml:space="preserve"> </w:t>
            </w:r>
            <w:proofErr w:type="spellStart"/>
            <w:r w:rsidR="00B11494">
              <w:rPr>
                <w:rFonts w:ascii="Times New Roman" w:hAnsi="Times New Roman"/>
                <w:sz w:val="20"/>
                <w:szCs w:val="20"/>
                <w:lang w:val="en-US" w:eastAsia="ru-RU"/>
              </w:rPr>
              <w:t>Uniunii</w:t>
            </w:r>
            <w:proofErr w:type="spellEnd"/>
            <w:r w:rsidR="00B11494">
              <w:rPr>
                <w:rFonts w:ascii="Times New Roman" w:hAnsi="Times New Roman"/>
                <w:sz w:val="20"/>
                <w:szCs w:val="20"/>
                <w:lang w:val="en-US" w:eastAsia="ru-RU"/>
              </w:rPr>
              <w:t xml:space="preserve"> </w:t>
            </w:r>
            <w:proofErr w:type="spellStart"/>
            <w:r w:rsidR="00B11494">
              <w:rPr>
                <w:rFonts w:ascii="Times New Roman" w:hAnsi="Times New Roman"/>
                <w:sz w:val="20"/>
                <w:szCs w:val="20"/>
                <w:lang w:val="en-US" w:eastAsia="ru-RU"/>
              </w:rPr>
              <w:t>privind</w:t>
            </w:r>
            <w:proofErr w:type="spellEnd"/>
            <w:r w:rsidR="00B11494">
              <w:rPr>
                <w:rFonts w:ascii="Times New Roman" w:hAnsi="Times New Roman"/>
                <w:sz w:val="20"/>
                <w:szCs w:val="20"/>
                <w:lang w:val="en-US" w:eastAsia="ru-RU"/>
              </w:rPr>
              <w:t xml:space="preserve"> </w:t>
            </w:r>
            <w:proofErr w:type="spellStart"/>
            <w:r w:rsidR="00B11494">
              <w:rPr>
                <w:rFonts w:ascii="Times New Roman" w:hAnsi="Times New Roman"/>
                <w:sz w:val="20"/>
                <w:szCs w:val="20"/>
                <w:lang w:val="en-US" w:eastAsia="ru-RU"/>
              </w:rPr>
              <w:t>neutralitatea</w:t>
            </w:r>
            <w:proofErr w:type="spellEnd"/>
            <w:r w:rsidR="00B11494">
              <w:rPr>
                <w:rFonts w:ascii="Times New Roman" w:hAnsi="Times New Roman"/>
                <w:sz w:val="20"/>
                <w:szCs w:val="20"/>
                <w:lang w:val="en-US" w:eastAsia="ru-RU"/>
              </w:rPr>
              <w:t xml:space="preserve"> </w:t>
            </w:r>
            <w:proofErr w:type="spellStart"/>
            <w:r w:rsidR="00B11494">
              <w:rPr>
                <w:rFonts w:ascii="Times New Roman" w:hAnsi="Times New Roman"/>
                <w:sz w:val="20"/>
                <w:szCs w:val="20"/>
                <w:lang w:val="en-US" w:eastAsia="ru-RU"/>
              </w:rPr>
              <w:t>climatică</w:t>
            </w:r>
            <w:proofErr w:type="spellEnd"/>
            <w:r w:rsidR="00B11494">
              <w:rPr>
                <w:rFonts w:ascii="Times New Roman" w:hAnsi="Times New Roman"/>
                <w:sz w:val="20"/>
                <w:szCs w:val="20"/>
                <w:lang w:val="en-US" w:eastAsia="ru-RU"/>
              </w:rPr>
              <w:t xml:space="preserve"> </w:t>
            </w:r>
            <w:proofErr w:type="spellStart"/>
            <w:r w:rsidR="00B11494">
              <w:rPr>
                <w:rFonts w:ascii="Times New Roman" w:hAnsi="Times New Roman"/>
                <w:sz w:val="20"/>
                <w:szCs w:val="20"/>
                <w:lang w:val="en-US" w:eastAsia="ru-RU"/>
              </w:rPr>
              <w:t>prevăzut</w:t>
            </w:r>
            <w:proofErr w:type="spellEnd"/>
            <w:r w:rsidR="00B11494">
              <w:rPr>
                <w:rFonts w:ascii="Times New Roman" w:hAnsi="Times New Roman"/>
                <w:sz w:val="20"/>
                <w:szCs w:val="20"/>
                <w:lang w:val="en-US" w:eastAsia="ru-RU"/>
              </w:rPr>
              <w:t xml:space="preserve"> la </w:t>
            </w:r>
            <w:proofErr w:type="spellStart"/>
            <w:r w:rsidR="00B11494">
              <w:rPr>
                <w:rFonts w:ascii="Times New Roman" w:hAnsi="Times New Roman"/>
                <w:sz w:val="20"/>
                <w:szCs w:val="20"/>
                <w:lang w:val="en-US" w:eastAsia="ru-RU"/>
              </w:rPr>
              <w:t>articolul</w:t>
            </w:r>
            <w:proofErr w:type="spellEnd"/>
            <w:r w:rsidR="00B11494">
              <w:rPr>
                <w:rFonts w:ascii="Times New Roman" w:hAnsi="Times New Roman"/>
                <w:sz w:val="20"/>
                <w:szCs w:val="20"/>
                <w:lang w:val="en-US" w:eastAsia="ru-RU"/>
              </w:rPr>
              <w:t xml:space="preserve"> 2 </w:t>
            </w:r>
            <w:proofErr w:type="spellStart"/>
            <w:r w:rsidR="00B11494">
              <w:rPr>
                <w:rFonts w:ascii="Times New Roman" w:hAnsi="Times New Roman"/>
                <w:sz w:val="20"/>
                <w:szCs w:val="20"/>
                <w:lang w:val="en-US" w:eastAsia="ru-RU"/>
              </w:rPr>
              <w:t>alineatul</w:t>
            </w:r>
            <w:proofErr w:type="spellEnd"/>
            <w:r w:rsidR="00B11494">
              <w:rPr>
                <w:rFonts w:ascii="Times New Roman" w:hAnsi="Times New Roman"/>
                <w:sz w:val="20"/>
                <w:szCs w:val="20"/>
                <w:lang w:val="en-US" w:eastAsia="ru-RU"/>
              </w:rPr>
              <w:t xml:space="preserve"> (1) din </w:t>
            </w:r>
            <w:proofErr w:type="spellStart"/>
            <w:r w:rsidR="00B11494">
              <w:rPr>
                <w:rFonts w:ascii="Times New Roman" w:hAnsi="Times New Roman"/>
                <w:sz w:val="20"/>
                <w:szCs w:val="20"/>
                <w:lang w:val="en-US" w:eastAsia="ru-RU"/>
              </w:rPr>
              <w:t>Regulamentul</w:t>
            </w:r>
            <w:proofErr w:type="spellEnd"/>
            <w:r w:rsidR="00B11494">
              <w:rPr>
                <w:rFonts w:ascii="Times New Roman" w:hAnsi="Times New Roman"/>
                <w:sz w:val="20"/>
                <w:szCs w:val="20"/>
                <w:lang w:val="en-US" w:eastAsia="ru-RU"/>
              </w:rPr>
              <w:t xml:space="preserve"> (UE) 2021/1119</w:t>
            </w:r>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Dacă</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este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necesar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statele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membre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trebuie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să</w:t>
            </w:r>
            <w:proofErr w:type="spellEnd"/>
            <w:r w:rsidRPr="00E9618D">
              <w:rPr>
                <w:rFonts w:ascii="Times New Roman" w:hAnsi="Times New Roman"/>
                <w:sz w:val="20"/>
                <w:szCs w:val="20"/>
                <w:lang w:val="en-US" w:eastAsia="ru-RU"/>
              </w:rPr>
              <w:t xml:space="preserve">-și </w:t>
            </w:r>
            <w:proofErr w:type="spellStart"/>
            <w:r w:rsidRPr="00E9618D">
              <w:rPr>
                <w:rFonts w:ascii="Times New Roman" w:hAnsi="Times New Roman"/>
                <w:sz w:val="20"/>
                <w:szCs w:val="20"/>
                <w:lang w:val="en-US" w:eastAsia="ru-RU"/>
              </w:rPr>
              <w:t>actualizeze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strategiile</w:t>
            </w:r>
            <w:proofErr w:type="spellEnd"/>
            <w:r w:rsidRPr="00E9618D">
              <w:rPr>
                <w:rFonts w:ascii="Times New Roman" w:hAnsi="Times New Roman"/>
                <w:sz w:val="20"/>
                <w:szCs w:val="20"/>
                <w:lang w:val="en-US" w:eastAsia="ru-RU"/>
              </w:rPr>
              <w:t xml:space="preserve"> respective la </w:t>
            </w:r>
            <w:proofErr w:type="spellStart"/>
            <w:r w:rsidRPr="00E9618D">
              <w:rPr>
                <w:rFonts w:ascii="Times New Roman" w:hAnsi="Times New Roman"/>
                <w:sz w:val="20"/>
                <w:szCs w:val="20"/>
                <w:lang w:val="en-US" w:eastAsia="ru-RU"/>
              </w:rPr>
              <w:t>fiecare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cinci</w:t>
            </w:r>
            <w:proofErr w:type="spellEnd"/>
            <w:r w:rsidRPr="00E9618D">
              <w:rPr>
                <w:rFonts w:ascii="Times New Roman" w:hAnsi="Times New Roman"/>
                <w:sz w:val="20"/>
                <w:szCs w:val="20"/>
                <w:lang w:val="en-US" w:eastAsia="ru-RU"/>
              </w:rPr>
              <w:t xml:space="preserve"> ani.</w:t>
            </w:r>
          </w:p>
          <w:p w14:paraId="6E9E78B3" w14:textId="63129E4A" w:rsidR="00B11494" w:rsidRPr="00B11494" w:rsidRDefault="00000000" w:rsidP="00CA3C7F">
            <w:pPr>
              <w:spacing w:after="0" w:line="240" w:lineRule="auto"/>
              <w:jc w:val="both"/>
              <w:rPr>
                <w:rFonts w:ascii="Times New Roman" w:hAnsi="Times New Roman"/>
                <w:sz w:val="20"/>
                <w:szCs w:val="20"/>
                <w:lang w:val="en-US" w:eastAsia="ru-RU"/>
              </w:rPr>
            </w:pPr>
            <w:hyperlink r:id="rId26" w:tooltip="32018R1999" w:history="1">
              <w:r w:rsidR="00B11494" w:rsidRPr="00B11494">
                <w:rPr>
                  <w:rStyle w:val="af6"/>
                  <w:rFonts w:ascii="Times New Roman" w:eastAsia="Arial Unicode MS" w:hAnsi="Times New Roman"/>
                  <w:b/>
                  <w:bCs/>
                  <w:color w:val="23527C"/>
                  <w:sz w:val="20"/>
                  <w:szCs w:val="20"/>
                  <w:shd w:val="clear" w:color="auto" w:fill="FFFFFF"/>
                </w:rPr>
                <w:t>▼B</w:t>
              </w:r>
            </w:hyperlink>
          </w:p>
          <w:p w14:paraId="01BEBD66" w14:textId="15B95754" w:rsidR="00CA3C7F" w:rsidRPr="00E9618D" w:rsidRDefault="00CA3C7F" w:rsidP="00CA3C7F">
            <w:pPr>
              <w:spacing w:after="0" w:line="240" w:lineRule="auto"/>
              <w:jc w:val="both"/>
              <w:rPr>
                <w:rFonts w:ascii="Times New Roman" w:hAnsi="Times New Roman"/>
                <w:sz w:val="20"/>
                <w:szCs w:val="20"/>
                <w:lang w:val="en-US" w:eastAsia="ru-RU"/>
              </w:rPr>
            </w:pPr>
            <w:r w:rsidRPr="00E9618D">
              <w:rPr>
                <w:rFonts w:ascii="Times New Roman" w:hAnsi="Times New Roman"/>
                <w:sz w:val="20"/>
                <w:szCs w:val="20"/>
                <w:lang w:val="en-US" w:eastAsia="ru-RU"/>
              </w:rPr>
              <w:t>(</w:t>
            </w:r>
            <w:proofErr w:type="gramStart"/>
            <w:r w:rsidRPr="00E9618D">
              <w:rPr>
                <w:rFonts w:ascii="Times New Roman" w:hAnsi="Times New Roman"/>
                <w:sz w:val="20"/>
                <w:szCs w:val="20"/>
                <w:lang w:val="en-US" w:eastAsia="ru-RU"/>
              </w:rPr>
              <w:t>2)În</w:t>
            </w:r>
            <w:proofErr w:type="gram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vederea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realizării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obiectivelor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globale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privind</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clima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menționate</w:t>
            </w:r>
            <w:proofErr w:type="spellEnd"/>
            <w:r w:rsidRPr="00E9618D">
              <w:rPr>
                <w:rFonts w:ascii="Times New Roman" w:hAnsi="Times New Roman"/>
                <w:sz w:val="20"/>
                <w:szCs w:val="20"/>
                <w:lang w:val="en-US" w:eastAsia="ru-RU"/>
              </w:rPr>
              <w:t xml:space="preserve"> la </w:t>
            </w:r>
            <w:proofErr w:type="spellStart"/>
            <w:r w:rsidRPr="00E9618D">
              <w:rPr>
                <w:rFonts w:ascii="Times New Roman" w:hAnsi="Times New Roman"/>
                <w:sz w:val="20"/>
                <w:szCs w:val="20"/>
                <w:lang w:val="en-US" w:eastAsia="ru-RU"/>
              </w:rPr>
              <w:t>alineatul</w:t>
            </w:r>
            <w:proofErr w:type="spellEnd"/>
            <w:r w:rsidRPr="00E9618D">
              <w:rPr>
                <w:rFonts w:ascii="Times New Roman" w:hAnsi="Times New Roman"/>
                <w:sz w:val="20"/>
                <w:szCs w:val="20"/>
                <w:lang w:val="en-US" w:eastAsia="ru-RU"/>
              </w:rPr>
              <w:t xml:space="preserve"> (3), </w:t>
            </w:r>
            <w:proofErr w:type="spellStart"/>
            <w:r w:rsidRPr="00E9618D">
              <w:rPr>
                <w:rFonts w:ascii="Times New Roman" w:hAnsi="Times New Roman"/>
                <w:sz w:val="20"/>
                <w:szCs w:val="20"/>
                <w:lang w:val="en-US" w:eastAsia="ru-RU"/>
              </w:rPr>
              <w:t>Comisia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adoptă</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până</w:t>
            </w:r>
            <w:proofErr w:type="spellEnd"/>
            <w:r w:rsidRPr="00E9618D">
              <w:rPr>
                <w:rFonts w:ascii="Times New Roman" w:hAnsi="Times New Roman"/>
                <w:sz w:val="20"/>
                <w:szCs w:val="20"/>
                <w:lang w:val="en-US" w:eastAsia="ru-RU"/>
              </w:rPr>
              <w:t xml:space="preserve"> la 1 </w:t>
            </w:r>
            <w:proofErr w:type="spellStart"/>
            <w:r w:rsidRPr="00E9618D">
              <w:rPr>
                <w:rFonts w:ascii="Times New Roman" w:hAnsi="Times New Roman"/>
                <w:sz w:val="20"/>
                <w:szCs w:val="20"/>
                <w:lang w:val="en-US" w:eastAsia="ru-RU"/>
              </w:rPr>
              <w:t>aprilie</w:t>
            </w:r>
            <w:proofErr w:type="spellEnd"/>
            <w:r w:rsidRPr="00E9618D">
              <w:rPr>
                <w:rFonts w:ascii="Times New Roman" w:hAnsi="Times New Roman"/>
                <w:sz w:val="20"/>
                <w:szCs w:val="20"/>
                <w:lang w:val="en-US" w:eastAsia="ru-RU"/>
              </w:rPr>
              <w:t xml:space="preserve"> 2019 o </w:t>
            </w:r>
            <w:proofErr w:type="spellStart"/>
            <w:r w:rsidRPr="00E9618D">
              <w:rPr>
                <w:rFonts w:ascii="Times New Roman" w:hAnsi="Times New Roman"/>
                <w:sz w:val="20"/>
                <w:szCs w:val="20"/>
                <w:lang w:val="en-US" w:eastAsia="ru-RU"/>
              </w:rPr>
              <w:t>propunere</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strategie</w:t>
            </w:r>
            <w:proofErr w:type="spellEnd"/>
            <w:r w:rsidRPr="00E9618D">
              <w:rPr>
                <w:rFonts w:ascii="Times New Roman" w:hAnsi="Times New Roman"/>
                <w:sz w:val="20"/>
                <w:szCs w:val="20"/>
                <w:lang w:val="en-US" w:eastAsia="ru-RU"/>
              </w:rPr>
              <w:t xml:space="preserve"> a </w:t>
            </w:r>
            <w:proofErr w:type="spellStart"/>
            <w:r w:rsidRPr="00E9618D">
              <w:rPr>
                <w:rFonts w:ascii="Times New Roman" w:hAnsi="Times New Roman"/>
                <w:sz w:val="20"/>
                <w:szCs w:val="20"/>
                <w:lang w:val="en-US" w:eastAsia="ru-RU"/>
              </w:rPr>
              <w:t>Uniunii</w:t>
            </w:r>
            <w:proofErr w:type="spellEnd"/>
            <w:r w:rsidRPr="00E9618D">
              <w:rPr>
                <w:rFonts w:ascii="Times New Roman" w:hAnsi="Times New Roman"/>
                <w:sz w:val="20"/>
                <w:szCs w:val="20"/>
                <w:lang w:val="en-US" w:eastAsia="ru-RU"/>
              </w:rPr>
              <w:t xml:space="preserve"> pe termen lung </w:t>
            </w:r>
            <w:proofErr w:type="spellStart"/>
            <w:r w:rsidRPr="00E9618D">
              <w:rPr>
                <w:rFonts w:ascii="Times New Roman" w:hAnsi="Times New Roman"/>
                <w:sz w:val="20"/>
                <w:szCs w:val="20"/>
                <w:lang w:val="en-US" w:eastAsia="ru-RU"/>
              </w:rPr>
              <w:t>pentru</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reducerea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emisiilor</w:t>
            </w:r>
            <w:proofErr w:type="spellEnd"/>
            <w:r w:rsidRPr="00E9618D">
              <w:rPr>
                <w:rFonts w:ascii="Times New Roman" w:hAnsi="Times New Roman"/>
                <w:sz w:val="20"/>
                <w:szCs w:val="20"/>
                <w:lang w:val="en-US" w:eastAsia="ru-RU"/>
              </w:rPr>
              <w:t xml:space="preserve"> de gaze cu </w:t>
            </w:r>
            <w:proofErr w:type="spellStart"/>
            <w:r w:rsidRPr="00E9618D">
              <w:rPr>
                <w:rFonts w:ascii="Times New Roman" w:hAnsi="Times New Roman"/>
                <w:sz w:val="20"/>
                <w:szCs w:val="20"/>
                <w:lang w:val="en-US" w:eastAsia="ru-RU"/>
              </w:rPr>
              <w:t>efect</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seră</w:t>
            </w:r>
            <w:proofErr w:type="spellEnd"/>
            <w:r w:rsidRPr="00E9618D">
              <w:rPr>
                <w:rFonts w:ascii="Times New Roman" w:hAnsi="Times New Roman"/>
                <w:sz w:val="20"/>
                <w:szCs w:val="20"/>
                <w:lang w:val="en-US" w:eastAsia="ru-RU"/>
              </w:rPr>
              <w:t xml:space="preserve">, în conformitate cu </w:t>
            </w:r>
            <w:proofErr w:type="spellStart"/>
            <w:r w:rsidRPr="00E9618D">
              <w:rPr>
                <w:rFonts w:ascii="Times New Roman" w:hAnsi="Times New Roman"/>
                <w:sz w:val="20"/>
                <w:szCs w:val="20"/>
                <w:lang w:val="en-US" w:eastAsia="ru-RU"/>
              </w:rPr>
              <w:t>Acordul</w:t>
            </w:r>
            <w:proofErr w:type="spellEnd"/>
            <w:r w:rsidRPr="00E9618D">
              <w:rPr>
                <w:rFonts w:ascii="Times New Roman" w:hAnsi="Times New Roman"/>
                <w:sz w:val="20"/>
                <w:szCs w:val="20"/>
                <w:lang w:val="en-US" w:eastAsia="ru-RU"/>
              </w:rPr>
              <w:t xml:space="preserve"> de la Paris, </w:t>
            </w:r>
            <w:proofErr w:type="spellStart"/>
            <w:r w:rsidRPr="00E9618D">
              <w:rPr>
                <w:rFonts w:ascii="Times New Roman" w:hAnsi="Times New Roman"/>
                <w:sz w:val="20"/>
                <w:szCs w:val="20"/>
                <w:lang w:val="en-US" w:eastAsia="ru-RU"/>
              </w:rPr>
              <w:t>ținând</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seama</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proiectele</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planuri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naționale</w:t>
            </w:r>
            <w:proofErr w:type="spellEnd"/>
            <w:r w:rsidRPr="00E9618D">
              <w:rPr>
                <w:rFonts w:ascii="Times New Roman" w:hAnsi="Times New Roman"/>
                <w:sz w:val="20"/>
                <w:szCs w:val="20"/>
                <w:lang w:val="en-US" w:eastAsia="ru-RU"/>
              </w:rPr>
              <w:t xml:space="preserve"> integrate ale </w:t>
            </w:r>
            <w:proofErr w:type="spellStart"/>
            <w:r w:rsidRPr="00E9618D">
              <w:rPr>
                <w:rFonts w:ascii="Times New Roman" w:hAnsi="Times New Roman"/>
                <w:sz w:val="20"/>
                <w:szCs w:val="20"/>
                <w:lang w:val="en-US" w:eastAsia="ru-RU"/>
              </w:rPr>
              <w:t>statelor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membre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privind</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energia</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clima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Strategia</w:t>
            </w:r>
            <w:proofErr w:type="spellEnd"/>
            <w:r w:rsidRPr="00E9618D">
              <w:rPr>
                <w:rFonts w:ascii="Times New Roman" w:hAnsi="Times New Roman"/>
                <w:sz w:val="20"/>
                <w:szCs w:val="20"/>
                <w:lang w:val="en-US" w:eastAsia="ru-RU"/>
              </w:rPr>
              <w:t xml:space="preserve"> pe termen lung </w:t>
            </w:r>
            <w:proofErr w:type="spellStart"/>
            <w:r w:rsidRPr="00E9618D">
              <w:rPr>
                <w:rFonts w:ascii="Times New Roman" w:hAnsi="Times New Roman"/>
                <w:sz w:val="20"/>
                <w:szCs w:val="20"/>
                <w:lang w:val="en-US" w:eastAsia="ru-RU"/>
              </w:rPr>
              <w:t>menționată</w:t>
            </w:r>
            <w:proofErr w:type="spellEnd"/>
            <w:r w:rsidRPr="00E9618D">
              <w:rPr>
                <w:rFonts w:ascii="Times New Roman" w:hAnsi="Times New Roman"/>
                <w:sz w:val="20"/>
                <w:szCs w:val="20"/>
                <w:lang w:val="en-US" w:eastAsia="ru-RU"/>
              </w:rPr>
              <w:t xml:space="preserve"> la </w:t>
            </w:r>
            <w:proofErr w:type="spellStart"/>
            <w:r w:rsidRPr="00E9618D">
              <w:rPr>
                <w:rFonts w:ascii="Times New Roman" w:hAnsi="Times New Roman"/>
                <w:sz w:val="20"/>
                <w:szCs w:val="20"/>
                <w:lang w:val="en-US" w:eastAsia="ru-RU"/>
              </w:rPr>
              <w:t>prezentul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alineat</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conține</w:t>
            </w:r>
            <w:proofErr w:type="spellEnd"/>
            <w:r w:rsidRPr="00E9618D">
              <w:rPr>
                <w:rFonts w:ascii="Times New Roman" w:hAnsi="Times New Roman"/>
                <w:sz w:val="20"/>
                <w:szCs w:val="20"/>
                <w:lang w:val="en-US" w:eastAsia="ru-RU"/>
              </w:rPr>
              <w:t xml:space="preserve"> o </w:t>
            </w:r>
            <w:proofErr w:type="spellStart"/>
            <w:r w:rsidRPr="00E9618D">
              <w:rPr>
                <w:rFonts w:ascii="Times New Roman" w:hAnsi="Times New Roman"/>
                <w:sz w:val="20"/>
                <w:szCs w:val="20"/>
                <w:lang w:val="en-US" w:eastAsia="ru-RU"/>
              </w:rPr>
              <w:t>analiză</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vizează</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cel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puțin</w:t>
            </w:r>
            <w:proofErr w:type="spellEnd"/>
            <w:r w:rsidRPr="00E9618D">
              <w:rPr>
                <w:rFonts w:ascii="Times New Roman" w:hAnsi="Times New Roman"/>
                <w:sz w:val="20"/>
                <w:szCs w:val="20"/>
                <w:lang w:val="en-US" w:eastAsia="ru-RU"/>
              </w:rPr>
              <w:t>:</w:t>
            </w:r>
          </w:p>
          <w:p w14:paraId="3FA11C63" w14:textId="56B08002" w:rsidR="00D37AB7" w:rsidRPr="00E9618D" w:rsidRDefault="00CA3C7F" w:rsidP="000C5A3B">
            <w:pPr>
              <w:pStyle w:val="ColorfulList-Accent11"/>
              <w:numPr>
                <w:ilvl w:val="0"/>
                <w:numId w:val="105"/>
              </w:numPr>
              <w:spacing w:after="0" w:line="240" w:lineRule="auto"/>
              <w:ind w:left="57" w:firstLine="0"/>
              <w:jc w:val="both"/>
              <w:rPr>
                <w:rFonts w:ascii="Times New Roman" w:hAnsi="Times New Roman"/>
                <w:sz w:val="20"/>
                <w:szCs w:val="20"/>
                <w:lang w:val="en-US"/>
              </w:rPr>
            </w:pPr>
            <w:r w:rsidRPr="00E9618D">
              <w:rPr>
                <w:rFonts w:ascii="Times New Roman" w:hAnsi="Times New Roman"/>
                <w:sz w:val="20"/>
                <w:szCs w:val="20"/>
                <w:lang w:val="en-US" w:eastAsia="ru-RU"/>
              </w:rPr>
              <w:t>diverse</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scenarii</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privind</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contribu</w:t>
            </w:r>
            <w:proofErr w:type="spellEnd"/>
            <w:r w:rsidRPr="00E9618D">
              <w:rPr>
                <w:rFonts w:ascii="Times New Roman" w:hAnsi="Times New Roman"/>
                <w:sz w:val="20"/>
                <w:szCs w:val="20"/>
                <w:lang w:eastAsia="ru-RU"/>
              </w:rPr>
              <w:t>ț</w:t>
            </w:r>
            <w:proofErr w:type="spellStart"/>
            <w:r w:rsidRPr="00E9618D">
              <w:rPr>
                <w:rFonts w:ascii="Times New Roman" w:hAnsi="Times New Roman"/>
                <w:sz w:val="20"/>
                <w:szCs w:val="20"/>
                <w:lang w:val="en-US" w:eastAsia="ru-RU"/>
              </w:rPr>
              <w:t>ia</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Uniunii</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la</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obiectivele</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prezentate</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la</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alineatul</w:t>
            </w:r>
            <w:proofErr w:type="spellEnd"/>
            <w:r w:rsidR="00B11494">
              <w:rPr>
                <w:rFonts w:ascii="Times New Roman" w:hAnsi="Times New Roman"/>
                <w:sz w:val="20"/>
                <w:szCs w:val="20"/>
                <w:lang w:val="en-US" w:eastAsia="ru-RU"/>
              </w:rPr>
              <w:t xml:space="preserve"> </w:t>
            </w:r>
            <w:r w:rsidRPr="00E9618D">
              <w:rPr>
                <w:rFonts w:ascii="Times New Roman" w:hAnsi="Times New Roman"/>
                <w:sz w:val="20"/>
                <w:szCs w:val="20"/>
                <w:lang w:eastAsia="ru-RU"/>
              </w:rPr>
              <w:t xml:space="preserve">(3), </w:t>
            </w:r>
            <w:proofErr w:type="spellStart"/>
            <w:r w:rsidRPr="00E9618D">
              <w:rPr>
                <w:rFonts w:ascii="Times New Roman" w:hAnsi="Times New Roman"/>
                <w:sz w:val="20"/>
                <w:szCs w:val="20"/>
                <w:lang w:val="en-US" w:eastAsia="ru-RU"/>
              </w:rPr>
              <w:t>inclusiv</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un</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scenariu</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pentru</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realizarea</w:t>
            </w:r>
            <w:proofErr w:type="spellEnd"/>
            <w:r w:rsidRPr="00E9618D">
              <w:rPr>
                <w:rFonts w:ascii="Times New Roman" w:hAnsi="Times New Roman"/>
                <w:sz w:val="20"/>
                <w:szCs w:val="20"/>
                <w:lang w:eastAsia="ru-RU"/>
              </w:rPr>
              <w:t xml:space="preserve"> î</w:t>
            </w:r>
            <w:r w:rsidRPr="00E9618D">
              <w:rPr>
                <w:rFonts w:ascii="Times New Roman" w:hAnsi="Times New Roman"/>
                <w:sz w:val="20"/>
                <w:szCs w:val="20"/>
                <w:lang w:val="en-US" w:eastAsia="ru-RU"/>
              </w:rPr>
              <w:t>n</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cadrul</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Uniunii</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p</w:t>
            </w:r>
            <w:r w:rsidRPr="00E9618D">
              <w:rPr>
                <w:rFonts w:ascii="Times New Roman" w:hAnsi="Times New Roman"/>
                <w:sz w:val="20"/>
                <w:szCs w:val="20"/>
                <w:lang w:eastAsia="ru-RU"/>
              </w:rPr>
              <w:t>â</w:t>
            </w:r>
            <w:r w:rsidRPr="00E9618D">
              <w:rPr>
                <w:rFonts w:ascii="Times New Roman" w:hAnsi="Times New Roman"/>
                <w:sz w:val="20"/>
                <w:szCs w:val="20"/>
                <w:lang w:val="en-US" w:eastAsia="ru-RU"/>
              </w:rPr>
              <w:t>n</w:t>
            </w:r>
            <w:r w:rsidRPr="00E9618D">
              <w:rPr>
                <w:rFonts w:ascii="Times New Roman" w:hAnsi="Times New Roman"/>
                <w:sz w:val="20"/>
                <w:szCs w:val="20"/>
                <w:lang w:eastAsia="ru-RU"/>
              </w:rPr>
              <w:t>ă î</w:t>
            </w:r>
            <w:r w:rsidRPr="00E9618D">
              <w:rPr>
                <w:rFonts w:ascii="Times New Roman" w:hAnsi="Times New Roman"/>
                <w:sz w:val="20"/>
                <w:szCs w:val="20"/>
                <w:lang w:val="en-US" w:eastAsia="ru-RU"/>
              </w:rPr>
              <w:t>n</w:t>
            </w:r>
            <w:r w:rsidR="00B11494">
              <w:rPr>
                <w:rFonts w:ascii="Times New Roman" w:hAnsi="Times New Roman"/>
                <w:sz w:val="20"/>
                <w:szCs w:val="20"/>
                <w:lang w:val="en-US" w:eastAsia="ru-RU"/>
              </w:rPr>
              <w:t xml:space="preserve"> </w:t>
            </w:r>
            <w:r w:rsidRPr="00E9618D">
              <w:rPr>
                <w:rFonts w:ascii="Times New Roman" w:hAnsi="Times New Roman"/>
                <w:sz w:val="20"/>
                <w:szCs w:val="20"/>
                <w:lang w:eastAsia="ru-RU"/>
              </w:rPr>
              <w:t xml:space="preserve">2050, </w:t>
            </w:r>
            <w:r w:rsidRPr="00E9618D">
              <w:rPr>
                <w:rFonts w:ascii="Times New Roman" w:hAnsi="Times New Roman"/>
                <w:sz w:val="20"/>
                <w:szCs w:val="20"/>
                <w:lang w:val="en-US" w:eastAsia="ru-RU"/>
              </w:rPr>
              <w:t>a</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nivelului</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zero</w:t>
            </w:r>
            <w:r w:rsidRPr="00E9618D">
              <w:rPr>
                <w:rFonts w:ascii="Times New Roman" w:hAnsi="Times New Roman"/>
                <w:sz w:val="20"/>
                <w:szCs w:val="20"/>
                <w:lang w:eastAsia="ru-RU"/>
              </w:rPr>
              <w:t xml:space="preserve"> î</w:t>
            </w:r>
            <w:r w:rsidRPr="00E9618D">
              <w:rPr>
                <w:rFonts w:ascii="Times New Roman" w:hAnsi="Times New Roman"/>
                <w:sz w:val="20"/>
                <w:szCs w:val="20"/>
                <w:lang w:val="en-US" w:eastAsia="ru-RU"/>
              </w:rPr>
              <w:t>n</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ceea</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ce</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prive</w:t>
            </w:r>
            <w:proofErr w:type="spellEnd"/>
            <w:r w:rsidRPr="00E9618D">
              <w:rPr>
                <w:rFonts w:ascii="Times New Roman" w:hAnsi="Times New Roman"/>
                <w:sz w:val="20"/>
                <w:szCs w:val="20"/>
                <w:lang w:eastAsia="ru-RU"/>
              </w:rPr>
              <w:t>ș</w:t>
            </w:r>
            <w:proofErr w:type="spellStart"/>
            <w:r w:rsidRPr="00E9618D">
              <w:rPr>
                <w:rFonts w:ascii="Times New Roman" w:hAnsi="Times New Roman"/>
                <w:sz w:val="20"/>
                <w:szCs w:val="20"/>
                <w:lang w:val="en-US" w:eastAsia="ru-RU"/>
              </w:rPr>
              <w:t>te</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emisiile</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nete</w:t>
            </w:r>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de</w:t>
            </w:r>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gaze</w:t>
            </w:r>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cu</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efect</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de</w:t>
            </w:r>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ser</w:t>
            </w:r>
            <w:r w:rsidRPr="00E9618D">
              <w:rPr>
                <w:rFonts w:ascii="Times New Roman" w:hAnsi="Times New Roman"/>
                <w:sz w:val="20"/>
                <w:szCs w:val="20"/>
                <w:lang w:eastAsia="ru-RU"/>
              </w:rPr>
              <w:t>ă ș</w:t>
            </w:r>
            <w:proofErr w:type="spellStart"/>
            <w:r w:rsidRPr="00E9618D">
              <w:rPr>
                <w:rFonts w:ascii="Times New Roman" w:hAnsi="Times New Roman"/>
                <w:sz w:val="20"/>
                <w:szCs w:val="20"/>
                <w:lang w:val="en-US" w:eastAsia="ru-RU"/>
              </w:rPr>
              <w:t>i</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ulterior</w:t>
            </w:r>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a</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unui</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nivel</w:t>
            </w:r>
            <w:proofErr w:type="spellEnd"/>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negativ</w:t>
            </w:r>
            <w:proofErr w:type="spellEnd"/>
            <w:r w:rsidRPr="00E9618D">
              <w:rPr>
                <w:rFonts w:ascii="Times New Roman" w:hAnsi="Times New Roman"/>
                <w:sz w:val="20"/>
                <w:szCs w:val="20"/>
                <w:lang w:eastAsia="ru-RU"/>
              </w:rPr>
              <w:t xml:space="preserve"> </w:t>
            </w:r>
            <w:r w:rsidRPr="00E9618D">
              <w:rPr>
                <w:rFonts w:ascii="Times New Roman" w:hAnsi="Times New Roman"/>
                <w:sz w:val="20"/>
                <w:szCs w:val="20"/>
                <w:lang w:val="en-US" w:eastAsia="ru-RU"/>
              </w:rPr>
              <w:t>de</w:t>
            </w:r>
            <w:r w:rsidRPr="00E9618D">
              <w:rPr>
                <w:rFonts w:ascii="Times New Roman" w:hAnsi="Times New Roman"/>
                <w:sz w:val="20"/>
                <w:szCs w:val="20"/>
                <w:lang w:eastAsia="ru-RU"/>
              </w:rPr>
              <w:t xml:space="preserve"> </w:t>
            </w:r>
            <w:proofErr w:type="spellStart"/>
            <w:r w:rsidRPr="00E9618D">
              <w:rPr>
                <w:rFonts w:ascii="Times New Roman" w:hAnsi="Times New Roman"/>
                <w:sz w:val="20"/>
                <w:szCs w:val="20"/>
                <w:lang w:val="en-US" w:eastAsia="ru-RU"/>
              </w:rPr>
              <w:t>emisii</w:t>
            </w:r>
            <w:proofErr w:type="spellEnd"/>
            <w:r w:rsidRPr="00E9618D">
              <w:rPr>
                <w:rFonts w:ascii="Times New Roman" w:hAnsi="Times New Roman"/>
                <w:sz w:val="20"/>
                <w:szCs w:val="20"/>
                <w:lang w:eastAsia="ru-RU"/>
              </w:rPr>
              <w:t>;</w:t>
            </w:r>
          </w:p>
          <w:p w14:paraId="5BE46ACF" w14:textId="2AF025D9" w:rsidR="00CA3C7F" w:rsidRPr="00E9618D" w:rsidRDefault="00CA3C7F" w:rsidP="000C5A3B">
            <w:pPr>
              <w:pStyle w:val="ColorfulList-Accent11"/>
              <w:numPr>
                <w:ilvl w:val="0"/>
                <w:numId w:val="105"/>
              </w:numPr>
              <w:spacing w:after="0" w:line="240" w:lineRule="auto"/>
              <w:ind w:left="57" w:firstLine="0"/>
              <w:jc w:val="both"/>
              <w:rPr>
                <w:rFonts w:ascii="Times New Roman" w:hAnsi="Times New Roman"/>
                <w:sz w:val="20"/>
                <w:szCs w:val="20"/>
                <w:lang w:val="fr-FR"/>
              </w:rPr>
            </w:pPr>
            <w:proofErr w:type="spellStart"/>
            <w:proofErr w:type="gramStart"/>
            <w:r w:rsidRPr="00E9618D">
              <w:rPr>
                <w:rFonts w:ascii="Times New Roman" w:hAnsi="Times New Roman"/>
                <w:sz w:val="20"/>
                <w:szCs w:val="20"/>
                <w:lang w:val="fr-FR" w:eastAsia="ru-RU"/>
              </w:rPr>
              <w:t>implicațiile</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care le au </w:t>
            </w:r>
            <w:proofErr w:type="spellStart"/>
            <w:r w:rsidRPr="00E9618D">
              <w:rPr>
                <w:rFonts w:ascii="Times New Roman" w:hAnsi="Times New Roman"/>
                <w:sz w:val="20"/>
                <w:szCs w:val="20"/>
                <w:lang w:val="fr-FR" w:eastAsia="ru-RU"/>
              </w:rPr>
              <w:t>scenariile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menționate</w:t>
            </w:r>
            <w:proofErr w:type="spellEnd"/>
            <w:r w:rsidRPr="00E9618D">
              <w:rPr>
                <w:rFonts w:ascii="Times New Roman" w:hAnsi="Times New Roman"/>
                <w:sz w:val="20"/>
                <w:szCs w:val="20"/>
                <w:lang w:val="fr-FR" w:eastAsia="ru-RU"/>
              </w:rPr>
              <w:t xml:space="preserve"> la litera (a) </w:t>
            </w:r>
            <w:proofErr w:type="spellStart"/>
            <w:r w:rsidRPr="00E9618D">
              <w:rPr>
                <w:rFonts w:ascii="Times New Roman" w:hAnsi="Times New Roman"/>
                <w:sz w:val="20"/>
                <w:szCs w:val="20"/>
                <w:lang w:val="fr-FR" w:eastAsia="ru-RU"/>
              </w:rPr>
              <w:t>pentru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bugetul</w:t>
            </w:r>
            <w:proofErr w:type="spellEnd"/>
            <w:r w:rsidRPr="00E9618D">
              <w:rPr>
                <w:rFonts w:ascii="Times New Roman" w:hAnsi="Times New Roman"/>
                <w:sz w:val="20"/>
                <w:szCs w:val="20"/>
                <w:lang w:val="fr-FR" w:eastAsia="ru-RU"/>
              </w:rPr>
              <w:t xml:space="preserve"> de carbon </w:t>
            </w:r>
            <w:proofErr w:type="spellStart"/>
            <w:r w:rsidRPr="00E9618D">
              <w:rPr>
                <w:rFonts w:ascii="Times New Roman" w:hAnsi="Times New Roman"/>
                <w:sz w:val="20"/>
                <w:szCs w:val="20"/>
                <w:lang w:val="fr-FR" w:eastAsia="ru-RU"/>
              </w:rPr>
              <w:t>rămas</w:t>
            </w:r>
            <w:proofErr w:type="spellEnd"/>
            <w:r w:rsidRPr="00E9618D">
              <w:rPr>
                <w:rFonts w:ascii="Times New Roman" w:hAnsi="Times New Roman"/>
                <w:sz w:val="20"/>
                <w:szCs w:val="20"/>
                <w:lang w:val="fr-FR" w:eastAsia="ru-RU"/>
              </w:rPr>
              <w:t xml:space="preserve"> la </w:t>
            </w:r>
            <w:proofErr w:type="spellStart"/>
            <w:r w:rsidRPr="00E9618D">
              <w:rPr>
                <w:rFonts w:ascii="Times New Roman" w:hAnsi="Times New Roman"/>
                <w:sz w:val="20"/>
                <w:szCs w:val="20"/>
                <w:lang w:val="fr-FR" w:eastAsia="ru-RU"/>
              </w:rPr>
              <w:t>nivel</w:t>
            </w:r>
            <w:proofErr w:type="spellEnd"/>
            <w:r w:rsidRPr="00E9618D">
              <w:rPr>
                <w:rFonts w:ascii="Times New Roman" w:hAnsi="Times New Roman"/>
                <w:sz w:val="20"/>
                <w:szCs w:val="20"/>
                <w:lang w:val="fr-FR" w:eastAsia="ru-RU"/>
              </w:rPr>
              <w:t xml:space="preserve"> mondial și la </w:t>
            </w:r>
            <w:proofErr w:type="spellStart"/>
            <w:r w:rsidRPr="00E9618D">
              <w:rPr>
                <w:rFonts w:ascii="Times New Roman" w:hAnsi="Times New Roman"/>
                <w:sz w:val="20"/>
                <w:szCs w:val="20"/>
                <w:lang w:val="fr-FR" w:eastAsia="ru-RU"/>
              </w:rPr>
              <w:t>nivelul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pentru</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contribui</w:t>
            </w:r>
            <w:proofErr w:type="spellEnd"/>
            <w:r w:rsidRPr="00E9618D">
              <w:rPr>
                <w:rFonts w:ascii="Times New Roman" w:hAnsi="Times New Roman"/>
                <w:sz w:val="20"/>
                <w:szCs w:val="20"/>
                <w:lang w:val="fr-FR" w:eastAsia="ru-RU"/>
              </w:rPr>
              <w:t xml:space="preserve"> la o </w:t>
            </w:r>
            <w:proofErr w:type="spellStart"/>
            <w:r w:rsidRPr="00E9618D">
              <w:rPr>
                <w:rFonts w:ascii="Times New Roman" w:hAnsi="Times New Roman"/>
                <w:sz w:val="20"/>
                <w:szCs w:val="20"/>
                <w:lang w:val="fr-FR" w:eastAsia="ru-RU"/>
              </w:rPr>
              <w:t>dezbatere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lastRenderedPageBreak/>
              <w:t>privind</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eficiența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din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punctul</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vedere</w:t>
            </w:r>
            <w:proofErr w:type="spellEnd"/>
            <w:r w:rsidRPr="00E9618D">
              <w:rPr>
                <w:rFonts w:ascii="Times New Roman" w:hAnsi="Times New Roman"/>
                <w:sz w:val="20"/>
                <w:szCs w:val="20"/>
                <w:lang w:val="fr-FR" w:eastAsia="ru-RU"/>
              </w:rPr>
              <w:t xml:space="preserve"> al </w:t>
            </w:r>
            <w:proofErr w:type="spellStart"/>
            <w:r w:rsidRPr="00E9618D">
              <w:rPr>
                <w:rFonts w:ascii="Times New Roman" w:hAnsi="Times New Roman"/>
                <w:sz w:val="20"/>
                <w:szCs w:val="20"/>
                <w:lang w:val="fr-FR" w:eastAsia="ru-RU"/>
              </w:rPr>
              <w:t>costurilor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eficacitatea</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echitatea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reducerii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emisiilor</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w:t>
            </w:r>
          </w:p>
          <w:p w14:paraId="4FCBED62" w14:textId="11EDF1D0" w:rsidR="00CA3C7F" w:rsidRPr="00E9618D" w:rsidRDefault="00CA3C7F" w:rsidP="000C5A3B">
            <w:pPr>
              <w:pStyle w:val="ColorfulList-Accent11"/>
              <w:numPr>
                <w:ilvl w:val="0"/>
                <w:numId w:val="85"/>
              </w:numPr>
              <w:spacing w:after="0" w:line="240" w:lineRule="auto"/>
              <w:ind w:left="57" w:firstLine="0"/>
              <w:jc w:val="both"/>
              <w:rPr>
                <w:rFonts w:ascii="Times New Roman" w:hAnsi="Times New Roman"/>
                <w:sz w:val="20"/>
                <w:szCs w:val="20"/>
                <w:lang w:val="en-US" w:eastAsia="ru-RU"/>
              </w:rPr>
            </w:pPr>
            <w:proofErr w:type="spellStart"/>
            <w:r w:rsidRPr="00E9618D">
              <w:rPr>
                <w:rFonts w:ascii="Times New Roman" w:hAnsi="Times New Roman"/>
                <w:sz w:val="20"/>
                <w:szCs w:val="20"/>
                <w:lang w:val="en-US" w:eastAsia="ru-RU"/>
              </w:rPr>
              <w:t>Strategiile</w:t>
            </w:r>
            <w:proofErr w:type="spellEnd"/>
            <w:r w:rsidRPr="00E9618D">
              <w:rPr>
                <w:rFonts w:ascii="Times New Roman" w:hAnsi="Times New Roman"/>
                <w:sz w:val="20"/>
                <w:szCs w:val="20"/>
                <w:lang w:val="en-US" w:eastAsia="ru-RU"/>
              </w:rPr>
              <w:t xml:space="preserve"> pe termen lung ale </w:t>
            </w:r>
            <w:proofErr w:type="spellStart"/>
            <w:r w:rsidRPr="00E9618D">
              <w:rPr>
                <w:rFonts w:ascii="Times New Roman" w:hAnsi="Times New Roman"/>
                <w:sz w:val="20"/>
                <w:szCs w:val="20"/>
                <w:lang w:val="en-US" w:eastAsia="ru-RU"/>
              </w:rPr>
              <w:t>statelor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membre</w:t>
            </w:r>
            <w:proofErr w:type="spellEnd"/>
            <w:r w:rsidRPr="00E9618D">
              <w:rPr>
                <w:rFonts w:ascii="Times New Roman" w:hAnsi="Times New Roman"/>
                <w:sz w:val="20"/>
                <w:szCs w:val="20"/>
                <w:lang w:val="en-US" w:eastAsia="ru-RU"/>
              </w:rPr>
              <w:t xml:space="preserve"> și cea a </w:t>
            </w:r>
            <w:proofErr w:type="spellStart"/>
            <w:r w:rsidRPr="00E9618D">
              <w:rPr>
                <w:rFonts w:ascii="Times New Roman" w:hAnsi="Times New Roman"/>
                <w:sz w:val="20"/>
                <w:szCs w:val="20"/>
                <w:lang w:val="en-US" w:eastAsia="ru-RU"/>
              </w:rPr>
              <w:t>Uniunii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contribuie</w:t>
            </w:r>
            <w:proofErr w:type="spellEnd"/>
            <w:r w:rsidRPr="00E9618D">
              <w:rPr>
                <w:rFonts w:ascii="Times New Roman" w:hAnsi="Times New Roman"/>
                <w:sz w:val="20"/>
                <w:szCs w:val="20"/>
                <w:lang w:val="en-US" w:eastAsia="ru-RU"/>
              </w:rPr>
              <w:t xml:space="preserve"> la:</w:t>
            </w:r>
          </w:p>
          <w:p w14:paraId="7062697D" w14:textId="0A39331B" w:rsidR="00CA3C7F" w:rsidRPr="00E9618D" w:rsidRDefault="00CA3C7F" w:rsidP="000C5A3B">
            <w:pPr>
              <w:pStyle w:val="ColorfulList-Accent11"/>
              <w:numPr>
                <w:ilvl w:val="0"/>
                <w:numId w:val="106"/>
              </w:numPr>
              <w:spacing w:after="0" w:line="240" w:lineRule="auto"/>
              <w:ind w:left="57" w:firstLine="0"/>
              <w:jc w:val="both"/>
              <w:rPr>
                <w:rFonts w:ascii="Times New Roman" w:hAnsi="Times New Roman"/>
                <w:sz w:val="20"/>
                <w:szCs w:val="20"/>
                <w:lang w:val="fr-FR" w:eastAsia="ru-RU"/>
              </w:rPr>
            </w:pPr>
            <w:proofErr w:type="spellStart"/>
            <w:proofErr w:type="gramStart"/>
            <w:r w:rsidRPr="00E9618D">
              <w:rPr>
                <w:rFonts w:ascii="Times New Roman" w:hAnsi="Times New Roman"/>
                <w:sz w:val="20"/>
                <w:szCs w:val="20"/>
                <w:lang w:val="fr-FR" w:eastAsia="ru-RU"/>
              </w:rPr>
              <w:t>îndeplinirea</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angajamentelor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și ale </w:t>
            </w:r>
            <w:proofErr w:type="spellStart"/>
            <w:r w:rsidRPr="00E9618D">
              <w:rPr>
                <w:rFonts w:ascii="Times New Roman" w:hAnsi="Times New Roman"/>
                <w:sz w:val="20"/>
                <w:szCs w:val="20"/>
                <w:lang w:val="fr-FR" w:eastAsia="ru-RU"/>
              </w:rPr>
              <w:t>statelor</w:t>
            </w:r>
            <w:proofErr w:type="spellEnd"/>
            <w:r w:rsidRPr="00E9618D">
              <w:rPr>
                <w:rFonts w:ascii="Times New Roman" w:hAnsi="Times New Roman"/>
                <w:sz w:val="20"/>
                <w:szCs w:val="20"/>
                <w:lang w:val="fr-FR" w:eastAsia="ru-RU"/>
              </w:rPr>
              <w:t xml:space="preserve"> membre, </w:t>
            </w:r>
            <w:proofErr w:type="spellStart"/>
            <w:r w:rsidRPr="00E9618D">
              <w:rPr>
                <w:rFonts w:ascii="Times New Roman" w:hAnsi="Times New Roman"/>
                <w:sz w:val="20"/>
                <w:szCs w:val="20"/>
                <w:lang w:val="fr-FR" w:eastAsia="ru-RU"/>
              </w:rPr>
              <w:t>asumate</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temeiul</w:t>
            </w:r>
            <w:proofErr w:type="spellEnd"/>
            <w:r w:rsidRPr="00E9618D">
              <w:rPr>
                <w:rFonts w:ascii="Times New Roman" w:hAnsi="Times New Roman"/>
                <w:sz w:val="20"/>
                <w:szCs w:val="20"/>
                <w:lang w:val="fr-FR" w:eastAsia="ru-RU"/>
              </w:rPr>
              <w:t xml:space="preserve"> CCONUSC și al </w:t>
            </w:r>
            <w:proofErr w:type="spellStart"/>
            <w:r w:rsidRPr="00E9618D">
              <w:rPr>
                <w:rFonts w:ascii="Times New Roman" w:hAnsi="Times New Roman"/>
                <w:sz w:val="20"/>
                <w:szCs w:val="20"/>
                <w:lang w:val="fr-FR" w:eastAsia="ru-RU"/>
              </w:rPr>
              <w:t>Acordului</w:t>
            </w:r>
            <w:proofErr w:type="spellEnd"/>
            <w:r w:rsidRPr="00E9618D">
              <w:rPr>
                <w:rFonts w:ascii="Times New Roman" w:hAnsi="Times New Roman"/>
                <w:sz w:val="20"/>
                <w:szCs w:val="20"/>
                <w:lang w:val="fr-FR" w:eastAsia="ru-RU"/>
              </w:rPr>
              <w:t xml:space="preserve"> de la Paris, de a </w:t>
            </w:r>
            <w:proofErr w:type="spellStart"/>
            <w:r w:rsidRPr="00E9618D">
              <w:rPr>
                <w:rFonts w:ascii="Times New Roman" w:hAnsi="Times New Roman"/>
                <w:sz w:val="20"/>
                <w:szCs w:val="20"/>
                <w:lang w:val="fr-FR" w:eastAsia="ru-RU"/>
              </w:rPr>
              <w:t>reduce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antropice</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de a </w:t>
            </w:r>
            <w:proofErr w:type="spellStart"/>
            <w:r w:rsidRPr="00E9618D">
              <w:rPr>
                <w:rFonts w:ascii="Times New Roman" w:hAnsi="Times New Roman"/>
                <w:sz w:val="20"/>
                <w:szCs w:val="20"/>
                <w:lang w:val="fr-FR" w:eastAsia="ru-RU"/>
              </w:rPr>
              <w:t>spori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absorbțiile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către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absorbanți</w:t>
            </w:r>
            <w:proofErr w:type="spellEnd"/>
            <w:r w:rsidRPr="00E9618D">
              <w:rPr>
                <w:rFonts w:ascii="Times New Roman" w:hAnsi="Times New Roman"/>
                <w:sz w:val="20"/>
                <w:szCs w:val="20"/>
                <w:lang w:val="fr-FR" w:eastAsia="ru-RU"/>
              </w:rPr>
              <w:t xml:space="preserve"> și de a</w:t>
            </w:r>
            <w:r w:rsidRPr="00E9618D">
              <w:rPr>
                <w:rFonts w:ascii="Times New Roman" w:hAnsi="Times New Roman"/>
                <w:sz w:val="20"/>
                <w:szCs w:val="20"/>
                <w:lang w:val="fr-FR" w:eastAsia="ru-RU"/>
              </w:rPr>
              <w:cr/>
            </w:r>
            <w:proofErr w:type="spellStart"/>
            <w:proofErr w:type="gramStart"/>
            <w:r w:rsidRPr="00E9618D">
              <w:rPr>
                <w:rFonts w:ascii="Times New Roman" w:hAnsi="Times New Roman"/>
                <w:sz w:val="20"/>
                <w:szCs w:val="20"/>
                <w:lang w:val="fr-FR" w:eastAsia="ru-RU"/>
              </w:rPr>
              <w:t>promova</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sporirea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cantității</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dioxid</w:t>
            </w:r>
            <w:proofErr w:type="spellEnd"/>
            <w:r w:rsidRPr="00E9618D">
              <w:rPr>
                <w:rFonts w:ascii="Times New Roman" w:hAnsi="Times New Roman"/>
                <w:sz w:val="20"/>
                <w:szCs w:val="20"/>
                <w:lang w:val="fr-FR" w:eastAsia="ru-RU"/>
              </w:rPr>
              <w:t xml:space="preserve"> de carbon </w:t>
            </w:r>
            <w:proofErr w:type="spellStart"/>
            <w:r w:rsidRPr="00E9618D">
              <w:rPr>
                <w:rFonts w:ascii="Times New Roman" w:hAnsi="Times New Roman"/>
                <w:sz w:val="20"/>
                <w:szCs w:val="20"/>
                <w:lang w:val="fr-FR" w:eastAsia="ru-RU"/>
              </w:rPr>
              <w:t>sechestrat</w:t>
            </w:r>
            <w:proofErr w:type="spellEnd"/>
            <w:r w:rsidRPr="00E9618D">
              <w:rPr>
                <w:rFonts w:ascii="Times New Roman" w:hAnsi="Times New Roman"/>
                <w:sz w:val="20"/>
                <w:szCs w:val="20"/>
                <w:lang w:val="fr-FR" w:eastAsia="ru-RU"/>
              </w:rPr>
              <w:t>;</w:t>
            </w:r>
          </w:p>
          <w:p w14:paraId="4F6A36A0" w14:textId="30D25E0D" w:rsidR="00CA3C7F" w:rsidRDefault="00CA3C7F" w:rsidP="000C5A3B">
            <w:pPr>
              <w:pStyle w:val="ColorfulList-Accent11"/>
              <w:numPr>
                <w:ilvl w:val="0"/>
                <w:numId w:val="106"/>
              </w:numPr>
              <w:spacing w:after="0" w:line="240" w:lineRule="auto"/>
              <w:ind w:left="57" w:firstLine="0"/>
              <w:jc w:val="both"/>
              <w:rPr>
                <w:rFonts w:ascii="Times New Roman" w:hAnsi="Times New Roman"/>
                <w:sz w:val="20"/>
                <w:szCs w:val="20"/>
                <w:lang w:val="fr-FR" w:eastAsia="ru-RU"/>
              </w:rPr>
            </w:pPr>
            <w:proofErr w:type="spellStart"/>
            <w:proofErr w:type="gramStart"/>
            <w:r w:rsidRPr="00E9618D">
              <w:rPr>
                <w:rFonts w:ascii="Times New Roman" w:hAnsi="Times New Roman"/>
                <w:sz w:val="20"/>
                <w:szCs w:val="20"/>
                <w:lang w:val="fr-FR" w:eastAsia="ru-RU"/>
              </w:rPr>
              <w:t>îndeplinirea</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obiectivului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din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cadrul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Acordului</w:t>
            </w:r>
            <w:proofErr w:type="spellEnd"/>
            <w:r w:rsidRPr="00E9618D">
              <w:rPr>
                <w:rFonts w:ascii="Times New Roman" w:hAnsi="Times New Roman"/>
                <w:sz w:val="20"/>
                <w:szCs w:val="20"/>
                <w:lang w:val="fr-FR" w:eastAsia="ru-RU"/>
              </w:rPr>
              <w:t xml:space="preserve"> de la Paris de a </w:t>
            </w:r>
            <w:proofErr w:type="spellStart"/>
            <w:r w:rsidRPr="00E9618D">
              <w:rPr>
                <w:rFonts w:ascii="Times New Roman" w:hAnsi="Times New Roman"/>
                <w:sz w:val="20"/>
                <w:szCs w:val="20"/>
                <w:lang w:val="fr-FR" w:eastAsia="ru-RU"/>
              </w:rPr>
              <w:t>menține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creșterea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temperaturii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medii</w:t>
            </w:r>
            <w:proofErr w:type="spellEnd"/>
            <w:r w:rsidRPr="00E9618D">
              <w:rPr>
                <w:rFonts w:ascii="Times New Roman" w:hAnsi="Times New Roman"/>
                <w:sz w:val="20"/>
                <w:szCs w:val="20"/>
                <w:lang w:val="fr-FR" w:eastAsia="ru-RU"/>
              </w:rPr>
              <w:t xml:space="preserve"> globale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mult</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sub</w:t>
            </w:r>
            <w:proofErr w:type="spellEnd"/>
            <w:r w:rsidRPr="00E9618D">
              <w:rPr>
                <w:rFonts w:ascii="Times New Roman" w:hAnsi="Times New Roman"/>
                <w:sz w:val="20"/>
                <w:szCs w:val="20"/>
                <w:lang w:val="fr-FR" w:eastAsia="ru-RU"/>
              </w:rPr>
              <w:t xml:space="preserve"> 2</w:t>
            </w:r>
            <w:r w:rsidR="004C01A1">
              <w:rPr>
                <w:rFonts w:ascii="Times New Roman" w:hAnsi="Times New Roman"/>
                <w:sz w:val="20"/>
                <w:szCs w:val="20"/>
                <w:lang w:val="fr-FR" w:eastAsia="ru-RU"/>
              </w:rPr>
              <w:t xml:space="preserve"> </w:t>
            </w:r>
            <w:r w:rsidRPr="00E9618D">
              <w:rPr>
                <w:rFonts w:ascii="Times New Roman" w:hAnsi="Times New Roman"/>
                <w:sz w:val="20"/>
                <w:szCs w:val="20"/>
                <w:lang w:val="fr-FR" w:eastAsia="ru-RU"/>
              </w:rPr>
              <w:t xml:space="preserve">C peste </w:t>
            </w:r>
            <w:proofErr w:type="spellStart"/>
            <w:r w:rsidRPr="00E9618D">
              <w:rPr>
                <w:rFonts w:ascii="Times New Roman" w:hAnsi="Times New Roman"/>
                <w:sz w:val="20"/>
                <w:szCs w:val="20"/>
                <w:lang w:val="fr-FR" w:eastAsia="ru-RU"/>
              </w:rPr>
              <w:t>nivelurile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preindustriale</w:t>
            </w:r>
            <w:proofErr w:type="spellEnd"/>
            <w:r w:rsidRPr="00E9618D">
              <w:rPr>
                <w:rFonts w:ascii="Times New Roman" w:hAnsi="Times New Roman"/>
                <w:sz w:val="20"/>
                <w:szCs w:val="20"/>
                <w:lang w:val="fr-FR" w:eastAsia="ru-RU"/>
              </w:rPr>
              <w:t xml:space="preserve"> și de a continua </w:t>
            </w:r>
            <w:proofErr w:type="spellStart"/>
            <w:r w:rsidRPr="00E9618D">
              <w:rPr>
                <w:rFonts w:ascii="Times New Roman" w:hAnsi="Times New Roman"/>
                <w:sz w:val="20"/>
                <w:szCs w:val="20"/>
                <w:lang w:val="fr-FR" w:eastAsia="ru-RU"/>
              </w:rPr>
              <w:t>eforturile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limitare</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acestei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creșteri</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temperaturii</w:t>
            </w:r>
            <w:proofErr w:type="spellEnd"/>
            <w:r w:rsidRPr="00E9618D">
              <w:rPr>
                <w:rFonts w:ascii="Times New Roman" w:hAnsi="Times New Roman"/>
                <w:sz w:val="20"/>
                <w:szCs w:val="20"/>
                <w:lang w:val="fr-FR" w:eastAsia="ru-RU"/>
              </w:rPr>
              <w:t xml:space="preserve"> la 1,5</w:t>
            </w:r>
            <w:r w:rsidR="004C01A1">
              <w:rPr>
                <w:rFonts w:ascii="Times New Roman" w:hAnsi="Times New Roman"/>
                <w:sz w:val="20"/>
                <w:szCs w:val="20"/>
                <w:lang w:val="fr-FR" w:eastAsia="ru-RU"/>
              </w:rPr>
              <w:t xml:space="preserve"> </w:t>
            </w:r>
            <w:r w:rsidRPr="00E9618D">
              <w:rPr>
                <w:rFonts w:ascii="Times New Roman" w:hAnsi="Times New Roman"/>
                <w:sz w:val="20"/>
                <w:szCs w:val="20"/>
                <w:lang w:val="fr-FR" w:eastAsia="ru-RU"/>
              </w:rPr>
              <w:t xml:space="preserve">C peste </w:t>
            </w:r>
            <w:proofErr w:type="spellStart"/>
            <w:r w:rsidRPr="00E9618D">
              <w:rPr>
                <w:rFonts w:ascii="Times New Roman" w:hAnsi="Times New Roman"/>
                <w:sz w:val="20"/>
                <w:szCs w:val="20"/>
                <w:lang w:val="fr-FR" w:eastAsia="ru-RU"/>
              </w:rPr>
              <w:t>nivelurile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preindustriale</w:t>
            </w:r>
            <w:proofErr w:type="spellEnd"/>
            <w:r w:rsidRPr="00E9618D">
              <w:rPr>
                <w:rFonts w:ascii="Times New Roman" w:hAnsi="Times New Roman"/>
                <w:sz w:val="20"/>
                <w:szCs w:val="20"/>
                <w:lang w:val="fr-FR" w:eastAsia="ru-RU"/>
              </w:rPr>
              <w:t>;</w:t>
            </w:r>
          </w:p>
          <w:p w14:paraId="41B8D950" w14:textId="64590BFF" w:rsidR="00B11494" w:rsidRPr="00B11494" w:rsidRDefault="00000000" w:rsidP="00B11494">
            <w:pPr>
              <w:pStyle w:val="ColorfulList-Accent11"/>
              <w:spacing w:after="0" w:line="240" w:lineRule="auto"/>
              <w:ind w:left="57"/>
              <w:jc w:val="both"/>
              <w:rPr>
                <w:rFonts w:ascii="Times New Roman" w:hAnsi="Times New Roman"/>
                <w:sz w:val="20"/>
                <w:szCs w:val="20"/>
                <w:lang w:val="fr-FR" w:eastAsia="ru-RU"/>
              </w:rPr>
            </w:pPr>
            <w:hyperlink r:id="rId27" w:tooltip="32021R1119: REPLACED" w:history="1">
              <w:r w:rsidR="00B11494" w:rsidRPr="00B11494">
                <w:rPr>
                  <w:rStyle w:val="af6"/>
                  <w:rFonts w:ascii="Times New Roman" w:eastAsia="Arial Unicode MS" w:hAnsi="Times New Roman"/>
                  <w:b/>
                  <w:bCs/>
                  <w:color w:val="23527C"/>
                  <w:sz w:val="20"/>
                  <w:szCs w:val="20"/>
                  <w:shd w:val="clear" w:color="auto" w:fill="FFFFFF"/>
                </w:rPr>
                <w:t>▼M2</w:t>
              </w:r>
            </w:hyperlink>
          </w:p>
          <w:p w14:paraId="7F4B76C8" w14:textId="2ADCB5D4" w:rsidR="00CA3C7F" w:rsidRDefault="00CA3C7F" w:rsidP="000C5A3B">
            <w:pPr>
              <w:pStyle w:val="ColorfulList-Accent11"/>
              <w:numPr>
                <w:ilvl w:val="0"/>
                <w:numId w:val="106"/>
              </w:numPr>
              <w:spacing w:after="0" w:line="240" w:lineRule="auto"/>
              <w:ind w:left="57" w:firstLine="0"/>
              <w:jc w:val="both"/>
              <w:rPr>
                <w:rFonts w:ascii="Times New Roman" w:hAnsi="Times New Roman"/>
                <w:sz w:val="20"/>
                <w:szCs w:val="20"/>
                <w:lang w:val="fr-FR" w:eastAsia="ru-RU"/>
              </w:rPr>
            </w:pPr>
            <w:proofErr w:type="spellStart"/>
            <w:r w:rsidRPr="00E9618D">
              <w:rPr>
                <w:rFonts w:ascii="Times New Roman" w:hAnsi="Times New Roman"/>
                <w:sz w:val="20"/>
                <w:szCs w:val="20"/>
                <w:lang w:val="fr-FR" w:eastAsia="ru-RU"/>
              </w:rPr>
              <w:t>realizarea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termen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lung</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reducerii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emisiilor</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și a </w:t>
            </w:r>
            <w:proofErr w:type="spellStart"/>
            <w:r w:rsidRPr="00E9618D">
              <w:rPr>
                <w:rFonts w:ascii="Times New Roman" w:hAnsi="Times New Roman"/>
                <w:sz w:val="20"/>
                <w:szCs w:val="20"/>
                <w:lang w:val="fr-FR" w:eastAsia="ru-RU"/>
              </w:rPr>
              <w:t>sporirii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absorbțiilor</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către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absorbanți</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toate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sectoarele</w:t>
            </w:r>
            <w:proofErr w:type="spellEnd"/>
            <w:r w:rsidRPr="00E9618D">
              <w:rPr>
                <w:rFonts w:ascii="Times New Roman" w:hAnsi="Times New Roman"/>
                <w:sz w:val="20"/>
                <w:szCs w:val="20"/>
                <w:lang w:val="fr-FR" w:eastAsia="ru-RU"/>
              </w:rPr>
              <w:t xml:space="preserve">, în conformitate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obiectivul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Uniunii</w:t>
            </w:r>
            <w:proofErr w:type="spellEnd"/>
            <w:r w:rsidR="00B11494">
              <w:rPr>
                <w:rFonts w:ascii="Times New Roman" w:hAnsi="Times New Roman"/>
                <w:sz w:val="20"/>
                <w:szCs w:val="20"/>
                <w:lang w:val="fr-FR" w:eastAsia="ru-RU"/>
              </w:rPr>
              <w:t xml:space="preserve"> </w:t>
            </w:r>
            <w:proofErr w:type="spellStart"/>
            <w:r w:rsidR="00D955F5">
              <w:rPr>
                <w:rFonts w:ascii="Times New Roman" w:hAnsi="Times New Roman"/>
                <w:sz w:val="20"/>
                <w:szCs w:val="20"/>
                <w:lang w:val="fr-FR" w:eastAsia="ru-RU"/>
              </w:rPr>
              <w:t>privind</w:t>
            </w:r>
            <w:proofErr w:type="spellEnd"/>
            <w:r w:rsidR="00D955F5">
              <w:rPr>
                <w:rFonts w:ascii="Times New Roman" w:hAnsi="Times New Roman"/>
                <w:sz w:val="20"/>
                <w:szCs w:val="20"/>
                <w:lang w:val="fr-FR" w:eastAsia="ru-RU"/>
              </w:rPr>
              <w:t xml:space="preserve"> </w:t>
            </w:r>
            <w:proofErr w:type="spellStart"/>
            <w:r w:rsidR="00D955F5">
              <w:rPr>
                <w:rFonts w:ascii="Times New Roman" w:hAnsi="Times New Roman"/>
                <w:sz w:val="20"/>
                <w:szCs w:val="20"/>
                <w:lang w:val="fr-FR" w:eastAsia="ru-RU"/>
              </w:rPr>
              <w:t>neutralitatea</w:t>
            </w:r>
            <w:proofErr w:type="spellEnd"/>
            <w:r w:rsidR="00D955F5">
              <w:rPr>
                <w:rFonts w:ascii="Times New Roman" w:hAnsi="Times New Roman"/>
                <w:sz w:val="20"/>
                <w:szCs w:val="20"/>
                <w:lang w:val="fr-FR" w:eastAsia="ru-RU"/>
              </w:rPr>
              <w:t xml:space="preserve"> </w:t>
            </w:r>
            <w:proofErr w:type="spellStart"/>
            <w:r w:rsidR="00D955F5">
              <w:rPr>
                <w:rFonts w:ascii="Times New Roman" w:hAnsi="Times New Roman"/>
                <w:sz w:val="20"/>
                <w:szCs w:val="20"/>
                <w:lang w:val="fr-FR" w:eastAsia="ru-RU"/>
              </w:rPr>
              <w:t>climatică</w:t>
            </w:r>
            <w:proofErr w:type="spellEnd"/>
            <w:r w:rsidR="00D955F5">
              <w:rPr>
                <w:rFonts w:ascii="Times New Roman" w:hAnsi="Times New Roman"/>
                <w:sz w:val="20"/>
                <w:szCs w:val="20"/>
                <w:lang w:val="fr-FR" w:eastAsia="ru-RU"/>
              </w:rPr>
              <w:t xml:space="preserve"> </w:t>
            </w:r>
            <w:proofErr w:type="spellStart"/>
            <w:r w:rsidR="00D955F5">
              <w:rPr>
                <w:rFonts w:ascii="Times New Roman" w:hAnsi="Times New Roman"/>
                <w:sz w:val="20"/>
                <w:szCs w:val="20"/>
                <w:lang w:val="fr-FR" w:eastAsia="ru-RU"/>
              </w:rPr>
              <w:t>prevăzut</w:t>
            </w:r>
            <w:proofErr w:type="spellEnd"/>
            <w:r w:rsidR="00D955F5">
              <w:rPr>
                <w:rFonts w:ascii="Times New Roman" w:hAnsi="Times New Roman"/>
                <w:sz w:val="20"/>
                <w:szCs w:val="20"/>
                <w:lang w:val="fr-FR" w:eastAsia="ru-RU"/>
              </w:rPr>
              <w:t xml:space="preserve"> la </w:t>
            </w:r>
            <w:proofErr w:type="spellStart"/>
            <w:r w:rsidR="00D955F5">
              <w:rPr>
                <w:rFonts w:ascii="Times New Roman" w:hAnsi="Times New Roman"/>
                <w:sz w:val="20"/>
                <w:szCs w:val="20"/>
                <w:lang w:val="fr-FR" w:eastAsia="ru-RU"/>
              </w:rPr>
              <w:t>articolul</w:t>
            </w:r>
            <w:proofErr w:type="spellEnd"/>
            <w:r w:rsidR="00D955F5">
              <w:rPr>
                <w:rFonts w:ascii="Times New Roman" w:hAnsi="Times New Roman"/>
                <w:sz w:val="20"/>
                <w:szCs w:val="20"/>
                <w:lang w:val="fr-FR" w:eastAsia="ru-RU"/>
              </w:rPr>
              <w:t xml:space="preserve"> 2 </w:t>
            </w:r>
            <w:proofErr w:type="spellStart"/>
            <w:r w:rsidR="00D955F5">
              <w:rPr>
                <w:rFonts w:ascii="Times New Roman" w:hAnsi="Times New Roman"/>
                <w:sz w:val="20"/>
                <w:szCs w:val="20"/>
                <w:lang w:val="fr-FR" w:eastAsia="ru-RU"/>
              </w:rPr>
              <w:t>alineatul</w:t>
            </w:r>
            <w:proofErr w:type="spellEnd"/>
            <w:r w:rsidR="00D955F5">
              <w:rPr>
                <w:rFonts w:ascii="Times New Roman" w:hAnsi="Times New Roman"/>
                <w:sz w:val="20"/>
                <w:szCs w:val="20"/>
                <w:lang w:val="fr-FR" w:eastAsia="ru-RU"/>
              </w:rPr>
              <w:t xml:space="preserve"> (1) </w:t>
            </w:r>
            <w:proofErr w:type="spellStart"/>
            <w:r w:rsidR="00D955F5">
              <w:rPr>
                <w:rFonts w:ascii="Times New Roman" w:hAnsi="Times New Roman"/>
                <w:sz w:val="20"/>
                <w:szCs w:val="20"/>
                <w:lang w:val="fr-FR" w:eastAsia="ru-RU"/>
              </w:rPr>
              <w:t>din</w:t>
            </w:r>
            <w:proofErr w:type="spellEnd"/>
            <w:r w:rsidR="00D955F5">
              <w:rPr>
                <w:rFonts w:ascii="Times New Roman" w:hAnsi="Times New Roman"/>
                <w:sz w:val="20"/>
                <w:szCs w:val="20"/>
                <w:lang w:val="fr-FR" w:eastAsia="ru-RU"/>
              </w:rPr>
              <w:t xml:space="preserve"> </w:t>
            </w:r>
            <w:proofErr w:type="spellStart"/>
            <w:r w:rsidR="00D955F5">
              <w:rPr>
                <w:rFonts w:ascii="Times New Roman" w:hAnsi="Times New Roman"/>
                <w:sz w:val="20"/>
                <w:szCs w:val="20"/>
                <w:lang w:val="fr-FR" w:eastAsia="ru-RU"/>
              </w:rPr>
              <w:t>Regulamentul</w:t>
            </w:r>
            <w:proofErr w:type="spellEnd"/>
            <w:r w:rsidR="00D955F5">
              <w:rPr>
                <w:rFonts w:ascii="Times New Roman" w:hAnsi="Times New Roman"/>
                <w:sz w:val="20"/>
                <w:szCs w:val="20"/>
                <w:lang w:val="fr-FR" w:eastAsia="ru-RU"/>
              </w:rPr>
              <w:t xml:space="preserve"> (UE)2021/1119</w:t>
            </w:r>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contextul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reducerilor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necesare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potrivit</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Grupului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interguvernamental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privind</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schimbările</w:t>
            </w:r>
            <w:proofErr w:type="spellEnd"/>
            <w:r w:rsidRPr="00E9618D">
              <w:rPr>
                <w:rFonts w:ascii="Times New Roman" w:hAnsi="Times New Roman"/>
                <w:sz w:val="20"/>
                <w:szCs w:val="20"/>
                <w:lang w:val="fr-FR" w:eastAsia="ru-RU"/>
              </w:rPr>
              <w:t xml:space="preserve"> climatice (IPCC) de a </w:t>
            </w:r>
            <w:proofErr w:type="spellStart"/>
            <w:r w:rsidRPr="00E9618D">
              <w:rPr>
                <w:rFonts w:ascii="Times New Roman" w:hAnsi="Times New Roman"/>
                <w:sz w:val="20"/>
                <w:szCs w:val="20"/>
                <w:lang w:val="fr-FR" w:eastAsia="ru-RU"/>
              </w:rPr>
              <w:t>reduce</w:t>
            </w:r>
            <w:proofErr w:type="spellEnd"/>
            <w:r w:rsidRPr="00E9618D">
              <w:rPr>
                <w:rFonts w:ascii="Times New Roman" w:hAnsi="Times New Roman"/>
                <w:sz w:val="20"/>
                <w:szCs w:val="20"/>
                <w:lang w:val="fr-FR" w:eastAsia="ru-RU"/>
              </w:rPr>
              <w:t xml:space="preserve"> în mod </w:t>
            </w:r>
            <w:proofErr w:type="spellStart"/>
            <w:r w:rsidRPr="00E9618D">
              <w:rPr>
                <w:rFonts w:ascii="Times New Roman" w:hAnsi="Times New Roman"/>
                <w:sz w:val="20"/>
                <w:szCs w:val="20"/>
                <w:lang w:val="fr-FR" w:eastAsia="ru-RU"/>
              </w:rPr>
              <w:t>eficient</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din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punctul</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vedere</w:t>
            </w:r>
            <w:proofErr w:type="spellEnd"/>
            <w:r w:rsidRPr="00E9618D">
              <w:rPr>
                <w:rFonts w:ascii="Times New Roman" w:hAnsi="Times New Roman"/>
                <w:sz w:val="20"/>
                <w:szCs w:val="20"/>
                <w:lang w:val="fr-FR" w:eastAsia="ru-RU"/>
              </w:rPr>
              <w:t xml:space="preserve"> al </w:t>
            </w:r>
            <w:proofErr w:type="spellStart"/>
            <w:r w:rsidRPr="00E9618D">
              <w:rPr>
                <w:rFonts w:ascii="Times New Roman" w:hAnsi="Times New Roman"/>
                <w:sz w:val="20"/>
                <w:szCs w:val="20"/>
                <w:lang w:val="fr-FR" w:eastAsia="ru-RU"/>
              </w:rPr>
              <w:t>costurilor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emisiile</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ale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și de a </w:t>
            </w:r>
            <w:proofErr w:type="spellStart"/>
            <w:r w:rsidRPr="00E9618D">
              <w:rPr>
                <w:rFonts w:ascii="Times New Roman" w:hAnsi="Times New Roman"/>
                <w:sz w:val="20"/>
                <w:szCs w:val="20"/>
                <w:lang w:val="fr-FR" w:eastAsia="ru-RU"/>
              </w:rPr>
              <w:t>spori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absorbțiile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către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absorbanți</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vederea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atingerii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obiectivelor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referitoare</w:t>
            </w:r>
            <w:proofErr w:type="spellEnd"/>
            <w:r w:rsidRPr="00E9618D">
              <w:rPr>
                <w:rFonts w:ascii="Times New Roman" w:hAnsi="Times New Roman"/>
                <w:sz w:val="20"/>
                <w:szCs w:val="20"/>
                <w:lang w:val="fr-FR" w:eastAsia="ru-RU"/>
              </w:rPr>
              <w:t xml:space="preserve"> la </w:t>
            </w:r>
            <w:proofErr w:type="spellStart"/>
            <w:r w:rsidRPr="00E9618D">
              <w:rPr>
                <w:rFonts w:ascii="Times New Roman" w:hAnsi="Times New Roman"/>
                <w:sz w:val="20"/>
                <w:szCs w:val="20"/>
                <w:lang w:val="fr-FR" w:eastAsia="ru-RU"/>
              </w:rPr>
              <w:t>temperatură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stabilite</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Acordul</w:t>
            </w:r>
            <w:proofErr w:type="spellEnd"/>
            <w:r w:rsidRPr="00E9618D">
              <w:rPr>
                <w:rFonts w:ascii="Times New Roman" w:hAnsi="Times New Roman"/>
                <w:sz w:val="20"/>
                <w:szCs w:val="20"/>
                <w:lang w:val="fr-FR" w:eastAsia="ru-RU"/>
              </w:rPr>
              <w:t xml:space="preserve"> de la Paris, </w:t>
            </w:r>
            <w:proofErr w:type="spellStart"/>
            <w:r w:rsidRPr="00E9618D">
              <w:rPr>
                <w:rFonts w:ascii="Times New Roman" w:hAnsi="Times New Roman"/>
                <w:sz w:val="20"/>
                <w:szCs w:val="20"/>
                <w:lang w:val="fr-FR" w:eastAsia="ru-RU"/>
              </w:rPr>
              <w:t>pentru</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realiza</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cadrul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cât</w:t>
            </w:r>
            <w:proofErr w:type="spellEnd"/>
            <w:r w:rsidRPr="00E9618D">
              <w:rPr>
                <w:rFonts w:ascii="Times New Roman" w:hAnsi="Times New Roman"/>
                <w:sz w:val="20"/>
                <w:szCs w:val="20"/>
                <w:lang w:val="fr-FR" w:eastAsia="ru-RU"/>
              </w:rPr>
              <w:t xml:space="preserve"> mai </w:t>
            </w:r>
            <w:proofErr w:type="spellStart"/>
            <w:r w:rsidRPr="00E9618D">
              <w:rPr>
                <w:rFonts w:ascii="Times New Roman" w:hAnsi="Times New Roman"/>
                <w:sz w:val="20"/>
                <w:szCs w:val="20"/>
                <w:lang w:val="fr-FR" w:eastAsia="ru-RU"/>
              </w:rPr>
              <w:t>curând</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posibil</w:t>
            </w:r>
            <w:proofErr w:type="spellEnd"/>
            <w:r w:rsidRPr="00E9618D">
              <w:rPr>
                <w:rFonts w:ascii="Times New Roman" w:hAnsi="Times New Roman"/>
                <w:sz w:val="20"/>
                <w:szCs w:val="20"/>
                <w:lang w:val="fr-FR" w:eastAsia="ru-RU"/>
              </w:rPr>
              <w:t xml:space="preserve"> un </w:t>
            </w:r>
            <w:proofErr w:type="spellStart"/>
            <w:r w:rsidRPr="00E9618D">
              <w:rPr>
                <w:rFonts w:ascii="Times New Roman" w:hAnsi="Times New Roman"/>
                <w:sz w:val="20"/>
                <w:szCs w:val="20"/>
                <w:lang w:val="fr-FR" w:eastAsia="ru-RU"/>
              </w:rPr>
              <w:t>echilibru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între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antropice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către</w:t>
            </w:r>
            <w:proofErr w:type="spellEnd"/>
            <w:r w:rsidRPr="00E9618D">
              <w:rPr>
                <w:rFonts w:ascii="Times New Roman" w:hAnsi="Times New Roman"/>
                <w:sz w:val="20"/>
                <w:szCs w:val="20"/>
                <w:lang w:val="fr-FR" w:eastAsia="ru-RU"/>
              </w:rPr>
              <w:t xml:space="preserve"> surse și </w:t>
            </w:r>
            <w:proofErr w:type="spellStart"/>
            <w:r w:rsidRPr="00E9618D">
              <w:rPr>
                <w:rFonts w:ascii="Times New Roman" w:hAnsi="Times New Roman"/>
                <w:sz w:val="20"/>
                <w:szCs w:val="20"/>
                <w:lang w:val="fr-FR" w:eastAsia="ru-RU"/>
              </w:rPr>
              <w:t>absorbțiile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către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absorbanți</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după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caz</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pentru</w:t>
            </w:r>
            <w:proofErr w:type="spellEnd"/>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înregistra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negative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imediat</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după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aceasta</w:t>
            </w:r>
            <w:proofErr w:type="spellEnd"/>
            <w:r w:rsidRPr="00E9618D">
              <w:rPr>
                <w:rFonts w:ascii="Times New Roman" w:hAnsi="Times New Roman"/>
                <w:sz w:val="20"/>
                <w:szCs w:val="20"/>
                <w:lang w:val="fr-FR" w:eastAsia="ru-RU"/>
              </w:rPr>
              <w:t>;</w:t>
            </w:r>
          </w:p>
          <w:p w14:paraId="4837CED5" w14:textId="5A249134" w:rsidR="00D955F5" w:rsidRPr="00D955F5" w:rsidRDefault="00000000" w:rsidP="00D955F5">
            <w:pPr>
              <w:pStyle w:val="ColorfulList-Accent11"/>
              <w:spacing w:after="0" w:line="240" w:lineRule="auto"/>
              <w:ind w:left="57"/>
              <w:jc w:val="both"/>
              <w:rPr>
                <w:rFonts w:ascii="Times New Roman" w:hAnsi="Times New Roman"/>
                <w:sz w:val="20"/>
                <w:szCs w:val="20"/>
                <w:lang w:val="fr-FR" w:eastAsia="ru-RU"/>
              </w:rPr>
            </w:pPr>
            <w:hyperlink r:id="rId28" w:tooltip="32018R1999" w:history="1">
              <w:r w:rsidR="00D955F5" w:rsidRPr="00D955F5">
                <w:rPr>
                  <w:rStyle w:val="af6"/>
                  <w:rFonts w:ascii="Times New Roman" w:eastAsia="Arial Unicode MS" w:hAnsi="Times New Roman"/>
                  <w:b/>
                  <w:bCs/>
                  <w:color w:val="23527C"/>
                  <w:sz w:val="20"/>
                  <w:szCs w:val="20"/>
                  <w:shd w:val="clear" w:color="auto" w:fill="FFFFFF"/>
                </w:rPr>
                <w:t>▼B</w:t>
              </w:r>
            </w:hyperlink>
          </w:p>
          <w:p w14:paraId="16837940" w14:textId="4CCF54B5" w:rsidR="00CA3C7F" w:rsidRPr="00E9618D" w:rsidRDefault="00CA3C7F" w:rsidP="000C5A3B">
            <w:pPr>
              <w:pStyle w:val="ColorfulList-Accent11"/>
              <w:numPr>
                <w:ilvl w:val="0"/>
                <w:numId w:val="106"/>
              </w:numPr>
              <w:spacing w:after="0" w:line="240" w:lineRule="auto"/>
              <w:ind w:left="57" w:firstLine="0"/>
              <w:jc w:val="both"/>
              <w:rPr>
                <w:rFonts w:ascii="Times New Roman" w:hAnsi="Times New Roman"/>
                <w:sz w:val="20"/>
                <w:szCs w:val="20"/>
                <w:lang w:val="fr-FR" w:eastAsia="ru-RU"/>
              </w:rPr>
            </w:pPr>
            <w:proofErr w:type="gramStart"/>
            <w:r w:rsidRPr="00E9618D">
              <w:rPr>
                <w:rFonts w:ascii="Times New Roman" w:hAnsi="Times New Roman"/>
                <w:sz w:val="20"/>
                <w:szCs w:val="20"/>
                <w:lang w:val="fr-FR" w:eastAsia="ru-RU"/>
              </w:rPr>
              <w:t>un</w:t>
            </w:r>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sistem</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energetic</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cadrul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foarte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eficient</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ceea</w:t>
            </w:r>
            <w:proofErr w:type="spellEnd"/>
            <w:r w:rsidRPr="00E9618D">
              <w:rPr>
                <w:rFonts w:ascii="Times New Roman" w:hAnsi="Times New Roman"/>
                <w:sz w:val="20"/>
                <w:szCs w:val="20"/>
                <w:lang w:val="fr-FR" w:eastAsia="ru-RU"/>
              </w:rPr>
              <w:t xml:space="preserve"> ce </w:t>
            </w:r>
            <w:proofErr w:type="spellStart"/>
            <w:r w:rsidRPr="00E9618D">
              <w:rPr>
                <w:rFonts w:ascii="Times New Roman" w:hAnsi="Times New Roman"/>
                <w:sz w:val="20"/>
                <w:szCs w:val="20"/>
                <w:lang w:val="fr-FR" w:eastAsia="ru-RU"/>
              </w:rPr>
              <w:t>privește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consumul</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energie</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bazat</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foarte</w:t>
            </w:r>
            <w:proofErr w:type="spellEnd"/>
            <w:r w:rsidRPr="00E9618D">
              <w:rPr>
                <w:rFonts w:ascii="Times New Roman" w:hAnsi="Times New Roman"/>
                <w:sz w:val="20"/>
                <w:szCs w:val="20"/>
                <w:lang w:val="fr-FR" w:eastAsia="ru-RU"/>
              </w:rPr>
              <w:t xml:space="preserve"> mare </w:t>
            </w:r>
            <w:proofErr w:type="spellStart"/>
            <w:r w:rsidRPr="00E9618D">
              <w:rPr>
                <w:rFonts w:ascii="Times New Roman" w:hAnsi="Times New Roman"/>
                <w:sz w:val="20"/>
                <w:szCs w:val="20"/>
                <w:lang w:val="fr-FR" w:eastAsia="ru-RU"/>
              </w:rPr>
              <w:t>măsură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surse de </w:t>
            </w:r>
            <w:proofErr w:type="spellStart"/>
            <w:r w:rsidRPr="00E9618D">
              <w:rPr>
                <w:rFonts w:ascii="Times New Roman" w:hAnsi="Times New Roman"/>
                <w:sz w:val="20"/>
                <w:szCs w:val="20"/>
                <w:lang w:val="fr-FR" w:eastAsia="ru-RU"/>
              </w:rPr>
              <w:t>energie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regenerabile</w:t>
            </w:r>
            <w:proofErr w:type="spellEnd"/>
            <w:r w:rsidRPr="00E9618D">
              <w:rPr>
                <w:rFonts w:ascii="Times New Roman" w:hAnsi="Times New Roman"/>
                <w:sz w:val="20"/>
                <w:szCs w:val="20"/>
                <w:lang w:val="fr-FR" w:eastAsia="ru-RU"/>
              </w:rPr>
              <w:t>.</w:t>
            </w:r>
          </w:p>
          <w:p w14:paraId="430BA4F9" w14:textId="30C4C737" w:rsidR="00CA3C7F" w:rsidRPr="00E9618D" w:rsidRDefault="00CA3C7F" w:rsidP="000C5A3B">
            <w:pPr>
              <w:pStyle w:val="ColorfulList-Accent11"/>
              <w:numPr>
                <w:ilvl w:val="0"/>
                <w:numId w:val="85"/>
              </w:numPr>
              <w:spacing w:after="0" w:line="240" w:lineRule="auto"/>
              <w:ind w:left="57" w:firstLine="0"/>
              <w:jc w:val="both"/>
              <w:rPr>
                <w:rFonts w:ascii="Times New Roman" w:hAnsi="Times New Roman"/>
                <w:sz w:val="20"/>
                <w:szCs w:val="20"/>
                <w:lang w:val="fr-FR"/>
              </w:rPr>
            </w:pPr>
            <w:proofErr w:type="spellStart"/>
            <w:r w:rsidRPr="00E9618D">
              <w:rPr>
                <w:rFonts w:ascii="Times New Roman" w:hAnsi="Times New Roman"/>
                <w:sz w:val="20"/>
                <w:szCs w:val="20"/>
                <w:lang w:val="fr-FR" w:eastAsia="ru-RU"/>
              </w:rPr>
              <w:t>Strategiile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termen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lung</w:t>
            </w:r>
            <w:proofErr w:type="spellEnd"/>
            <w:r w:rsidRPr="00E9618D">
              <w:rPr>
                <w:rFonts w:ascii="Times New Roman" w:hAnsi="Times New Roman"/>
                <w:sz w:val="20"/>
                <w:szCs w:val="20"/>
                <w:lang w:val="fr-FR" w:eastAsia="ru-RU"/>
              </w:rPr>
              <w:t xml:space="preserve"> ale </w:t>
            </w:r>
            <w:proofErr w:type="spellStart"/>
            <w:r w:rsidRPr="00E9618D">
              <w:rPr>
                <w:rFonts w:ascii="Times New Roman" w:hAnsi="Times New Roman"/>
                <w:sz w:val="20"/>
                <w:szCs w:val="20"/>
                <w:lang w:val="fr-FR" w:eastAsia="ru-RU"/>
              </w:rPr>
              <w:t>statelor</w:t>
            </w:r>
            <w:proofErr w:type="spellEnd"/>
            <w:r w:rsidRPr="00E9618D">
              <w:rPr>
                <w:rFonts w:ascii="Times New Roman" w:hAnsi="Times New Roman"/>
                <w:sz w:val="20"/>
                <w:szCs w:val="20"/>
                <w:lang w:val="fr-FR" w:eastAsia="ru-RU"/>
              </w:rPr>
              <w:t xml:space="preserve"> membre </w:t>
            </w:r>
            <w:proofErr w:type="spellStart"/>
            <w:r w:rsidRPr="00E9618D">
              <w:rPr>
                <w:rFonts w:ascii="Times New Roman" w:hAnsi="Times New Roman"/>
                <w:sz w:val="20"/>
                <w:szCs w:val="20"/>
                <w:lang w:val="fr-FR" w:eastAsia="ru-RU"/>
              </w:rPr>
              <w:t>ar</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trebui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conțină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elementele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prevăzute</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anexa</w:t>
            </w:r>
            <w:proofErr w:type="spellEnd"/>
            <w:r w:rsidRPr="00E9618D">
              <w:rPr>
                <w:rFonts w:ascii="Times New Roman" w:hAnsi="Times New Roman"/>
                <w:sz w:val="20"/>
                <w:szCs w:val="20"/>
                <w:lang w:val="fr-FR" w:eastAsia="ru-RU"/>
              </w:rPr>
              <w:t xml:space="preserve"> IV. De </w:t>
            </w:r>
            <w:proofErr w:type="spellStart"/>
            <w:r w:rsidRPr="00E9618D">
              <w:rPr>
                <w:rFonts w:ascii="Times New Roman" w:hAnsi="Times New Roman"/>
                <w:sz w:val="20"/>
                <w:szCs w:val="20"/>
                <w:lang w:val="fr-FR" w:eastAsia="ru-RU"/>
              </w:rPr>
              <w:t>asemenea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strategiile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termen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lung</w:t>
            </w:r>
            <w:proofErr w:type="spellEnd"/>
            <w:r w:rsidRPr="00E9618D">
              <w:rPr>
                <w:rFonts w:ascii="Times New Roman" w:hAnsi="Times New Roman"/>
                <w:sz w:val="20"/>
                <w:szCs w:val="20"/>
                <w:lang w:val="fr-FR" w:eastAsia="ru-RU"/>
              </w:rPr>
              <w:t xml:space="preserve"> ale </w:t>
            </w:r>
            <w:proofErr w:type="spellStart"/>
            <w:r w:rsidRPr="00E9618D">
              <w:rPr>
                <w:rFonts w:ascii="Times New Roman" w:hAnsi="Times New Roman"/>
                <w:sz w:val="20"/>
                <w:szCs w:val="20"/>
                <w:lang w:val="fr-FR" w:eastAsia="ru-RU"/>
              </w:rPr>
              <w:t>statelor</w:t>
            </w:r>
            <w:proofErr w:type="spellEnd"/>
            <w:r w:rsidRPr="00E9618D">
              <w:rPr>
                <w:rFonts w:ascii="Times New Roman" w:hAnsi="Times New Roman"/>
                <w:sz w:val="20"/>
                <w:szCs w:val="20"/>
                <w:lang w:val="fr-FR" w:eastAsia="ru-RU"/>
              </w:rPr>
              <w:t xml:space="preserve"> membre și cea a </w:t>
            </w:r>
            <w:proofErr w:type="spellStart"/>
            <w:r w:rsidRPr="00E9618D">
              <w:rPr>
                <w:rFonts w:ascii="Times New Roman" w:hAnsi="Times New Roman"/>
                <w:sz w:val="20"/>
                <w:szCs w:val="20"/>
                <w:lang w:val="fr-FR" w:eastAsia="ru-RU"/>
              </w:rPr>
              <w:t>Uniunii</w:t>
            </w:r>
            <w:proofErr w:type="spellEnd"/>
            <w:r w:rsidRPr="00E9618D">
              <w:rPr>
                <w:rFonts w:ascii="Times New Roman" w:hAnsi="Times New Roman"/>
                <w:sz w:val="20"/>
                <w:szCs w:val="20"/>
                <w:lang w:val="fr-FR" w:eastAsia="ru-RU"/>
              </w:rPr>
              <w:t xml:space="preserve"> </w:t>
            </w:r>
            <w:proofErr w:type="spellStart"/>
            <w:proofErr w:type="gramStart"/>
            <w:r w:rsidRPr="00E9618D">
              <w:rPr>
                <w:rFonts w:ascii="Times New Roman" w:hAnsi="Times New Roman"/>
                <w:sz w:val="20"/>
                <w:szCs w:val="20"/>
                <w:lang w:val="fr-FR" w:eastAsia="ru-RU"/>
              </w:rPr>
              <w:t>vizează</w:t>
            </w:r>
            <w:proofErr w:type="spellEnd"/>
            <w:r w:rsidRPr="00E9618D">
              <w:rPr>
                <w:rFonts w:ascii="Times New Roman" w:hAnsi="Times New Roman"/>
                <w:sz w:val="20"/>
                <w:szCs w:val="20"/>
                <w:lang w:val="fr-FR" w:eastAsia="ru-RU"/>
              </w:rPr>
              <w:t>:</w:t>
            </w:r>
            <w:proofErr w:type="gramEnd"/>
          </w:p>
          <w:p w14:paraId="081B4BE5" w14:textId="17589A1D" w:rsidR="00CA3C7F" w:rsidRPr="00E9618D" w:rsidRDefault="00CA3C7F" w:rsidP="000C5A3B">
            <w:pPr>
              <w:pStyle w:val="ColorfulList-Accent11"/>
              <w:numPr>
                <w:ilvl w:val="0"/>
                <w:numId w:val="107"/>
              </w:numPr>
              <w:spacing w:after="0" w:line="240" w:lineRule="auto"/>
              <w:ind w:left="57" w:firstLine="0"/>
              <w:jc w:val="both"/>
              <w:rPr>
                <w:rFonts w:ascii="Times New Roman" w:hAnsi="Times New Roman"/>
                <w:sz w:val="20"/>
                <w:szCs w:val="20"/>
                <w:lang w:val="en-US" w:eastAsia="ru-RU"/>
              </w:rPr>
            </w:pPr>
            <w:proofErr w:type="spellStart"/>
            <w:r w:rsidRPr="00E9618D">
              <w:rPr>
                <w:rFonts w:ascii="Times New Roman" w:hAnsi="Times New Roman"/>
                <w:sz w:val="20"/>
                <w:szCs w:val="20"/>
                <w:lang w:val="en-US" w:eastAsia="ru-RU"/>
              </w:rPr>
              <w:t>reducerea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totală</w:t>
            </w:r>
            <w:proofErr w:type="spellEnd"/>
            <w:r w:rsidRPr="00E9618D">
              <w:rPr>
                <w:rFonts w:ascii="Times New Roman" w:hAnsi="Times New Roman"/>
                <w:sz w:val="20"/>
                <w:szCs w:val="20"/>
                <w:lang w:val="en-US" w:eastAsia="ru-RU"/>
              </w:rPr>
              <w:t xml:space="preserve"> </w:t>
            </w:r>
            <w:proofErr w:type="gramStart"/>
            <w:r w:rsidRPr="00E9618D">
              <w:rPr>
                <w:rFonts w:ascii="Times New Roman" w:hAnsi="Times New Roman"/>
                <w:sz w:val="20"/>
                <w:szCs w:val="20"/>
                <w:lang w:val="en-US" w:eastAsia="ru-RU"/>
              </w:rPr>
              <w:t>a</w:t>
            </w:r>
            <w:proofErr w:type="gram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emisiilor</w:t>
            </w:r>
            <w:proofErr w:type="spellEnd"/>
            <w:r w:rsidRPr="00E9618D">
              <w:rPr>
                <w:rFonts w:ascii="Times New Roman" w:hAnsi="Times New Roman"/>
                <w:sz w:val="20"/>
                <w:szCs w:val="20"/>
                <w:lang w:val="en-US" w:eastAsia="ru-RU"/>
              </w:rPr>
              <w:t xml:space="preserve"> de gaze cu </w:t>
            </w:r>
            <w:proofErr w:type="spellStart"/>
            <w:r w:rsidRPr="00E9618D">
              <w:rPr>
                <w:rFonts w:ascii="Times New Roman" w:hAnsi="Times New Roman"/>
                <w:sz w:val="20"/>
                <w:szCs w:val="20"/>
                <w:lang w:val="en-US" w:eastAsia="ru-RU"/>
              </w:rPr>
              <w:t>efect</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seră</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sporirea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absorbțiilor</w:t>
            </w:r>
            <w:proofErr w:type="spellEnd"/>
            <w:r w:rsidRPr="00E9618D">
              <w:rPr>
                <w:rFonts w:ascii="Times New Roman" w:hAnsi="Times New Roman"/>
                <w:sz w:val="20"/>
                <w:szCs w:val="20"/>
                <w:lang w:val="en-US" w:eastAsia="ru-RU"/>
              </w:rPr>
              <w:t xml:space="preserve"> de </w:t>
            </w:r>
            <w:proofErr w:type="spellStart"/>
            <w:r w:rsidRPr="00E9618D">
              <w:rPr>
                <w:rFonts w:ascii="Times New Roman" w:hAnsi="Times New Roman"/>
                <w:sz w:val="20"/>
                <w:szCs w:val="20"/>
                <w:lang w:val="en-US" w:eastAsia="ru-RU"/>
              </w:rPr>
              <w:t>către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absorbanți</w:t>
            </w:r>
            <w:proofErr w:type="spellEnd"/>
            <w:r w:rsidRPr="00E9618D">
              <w:rPr>
                <w:rFonts w:ascii="Times New Roman" w:hAnsi="Times New Roman"/>
                <w:sz w:val="20"/>
                <w:szCs w:val="20"/>
                <w:lang w:val="en-US" w:eastAsia="ru-RU"/>
              </w:rPr>
              <w:t>;</w:t>
            </w:r>
          </w:p>
          <w:p w14:paraId="3D1D1B3C" w14:textId="443068CF" w:rsidR="00CA3C7F" w:rsidRPr="00E9618D" w:rsidRDefault="00CA3C7F" w:rsidP="000C5A3B">
            <w:pPr>
              <w:pStyle w:val="ColorfulList-Accent11"/>
              <w:numPr>
                <w:ilvl w:val="0"/>
                <w:numId w:val="107"/>
              </w:numPr>
              <w:spacing w:after="0" w:line="240" w:lineRule="auto"/>
              <w:ind w:left="57" w:firstLine="0"/>
              <w:jc w:val="both"/>
              <w:rPr>
                <w:rFonts w:ascii="Times New Roman" w:hAnsi="Times New Roman"/>
                <w:sz w:val="20"/>
                <w:szCs w:val="20"/>
                <w:lang w:val="en-US" w:eastAsia="ru-RU"/>
              </w:rPr>
            </w:pPr>
            <w:proofErr w:type="spellStart"/>
            <w:r w:rsidRPr="00E9618D">
              <w:rPr>
                <w:rFonts w:ascii="Times New Roman" w:hAnsi="Times New Roman"/>
                <w:sz w:val="20"/>
                <w:szCs w:val="20"/>
                <w:lang w:val="en-US" w:eastAsia="ru-RU"/>
              </w:rPr>
              <w:t>reducerea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emisiilor</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sporirea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absorbțiilor</w:t>
            </w:r>
            <w:proofErr w:type="spellEnd"/>
            <w:r w:rsidRPr="00E9618D">
              <w:rPr>
                <w:rFonts w:ascii="Times New Roman" w:hAnsi="Times New Roman"/>
                <w:sz w:val="20"/>
                <w:szCs w:val="20"/>
                <w:lang w:val="en-US" w:eastAsia="ru-RU"/>
              </w:rPr>
              <w:t xml:space="preserve"> în </w:t>
            </w:r>
            <w:proofErr w:type="spellStart"/>
            <w:r w:rsidRPr="00E9618D">
              <w:rPr>
                <w:rFonts w:ascii="Times New Roman" w:hAnsi="Times New Roman"/>
                <w:sz w:val="20"/>
                <w:szCs w:val="20"/>
                <w:lang w:val="en-US" w:eastAsia="ru-RU"/>
              </w:rPr>
              <w:t>sectoare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individuale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inclusiv</w:t>
            </w:r>
            <w:proofErr w:type="spellEnd"/>
            <w:r w:rsidRPr="00E9618D">
              <w:rPr>
                <w:rFonts w:ascii="Times New Roman" w:hAnsi="Times New Roman"/>
                <w:sz w:val="20"/>
                <w:szCs w:val="20"/>
                <w:lang w:val="en-US" w:eastAsia="ru-RU"/>
              </w:rPr>
              <w:t xml:space="preserve"> în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energiei </w:t>
            </w:r>
            <w:proofErr w:type="spellStart"/>
            <w:r w:rsidRPr="00E9618D">
              <w:rPr>
                <w:rFonts w:ascii="Times New Roman" w:hAnsi="Times New Roman"/>
                <w:sz w:val="20"/>
                <w:szCs w:val="20"/>
                <w:lang w:val="en-US" w:eastAsia="ru-RU"/>
              </w:rPr>
              <w:t>electrice</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industriei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transporturilor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încălzirii</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răcirii</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construcțiilor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rezidențial</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terțiar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agricol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deșeurilor</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sectorul</w:t>
            </w:r>
            <w:proofErr w:type="spellEnd"/>
            <w:r w:rsidRPr="00E9618D">
              <w:rPr>
                <w:rFonts w:ascii="Times New Roman" w:hAnsi="Times New Roman"/>
                <w:sz w:val="20"/>
                <w:szCs w:val="20"/>
                <w:lang w:val="en-US" w:eastAsia="ru-RU"/>
              </w:rPr>
              <w:t xml:space="preserve"> </w:t>
            </w:r>
            <w:r w:rsidRPr="00E9618D">
              <w:rPr>
                <w:rFonts w:ascii="Times New Roman" w:hAnsi="Times New Roman"/>
                <w:sz w:val="20"/>
                <w:szCs w:val="20"/>
                <w:lang w:val="en-US" w:eastAsia="ru-RU"/>
              </w:rPr>
              <w:lastRenderedPageBreak/>
              <w:t>LULUCF (</w:t>
            </w:r>
            <w:proofErr w:type="spellStart"/>
            <w:r w:rsidRPr="00E9618D">
              <w:rPr>
                <w:rFonts w:ascii="Times New Roman" w:hAnsi="Times New Roman"/>
                <w:sz w:val="20"/>
                <w:szCs w:val="20"/>
                <w:lang w:val="en-US" w:eastAsia="ru-RU"/>
              </w:rPr>
              <w:t>exploatarea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terenurilor</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schimbarea</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destinației</w:t>
            </w:r>
            <w:proofErr w:type="spellEnd"/>
            <w:r w:rsidRPr="00E9618D">
              <w:rPr>
                <w:rFonts w:ascii="Times New Roman" w:hAnsi="Times New Roman"/>
                <w:sz w:val="20"/>
                <w:szCs w:val="20"/>
                <w:lang w:val="en-US" w:eastAsia="ru-RU"/>
              </w:rPr>
              <w:t xml:space="preserve"> </w:t>
            </w:r>
            <w:proofErr w:type="spellStart"/>
            <w:r w:rsidRPr="00E9618D">
              <w:rPr>
                <w:rFonts w:ascii="Times New Roman" w:hAnsi="Times New Roman"/>
                <w:sz w:val="20"/>
                <w:szCs w:val="20"/>
                <w:lang w:val="en-US" w:eastAsia="ru-RU"/>
              </w:rPr>
              <w:t>terenurilor</w:t>
            </w:r>
            <w:proofErr w:type="spellEnd"/>
            <w:r w:rsidRPr="00E9618D">
              <w:rPr>
                <w:rFonts w:ascii="Times New Roman" w:hAnsi="Times New Roman"/>
                <w:sz w:val="20"/>
                <w:szCs w:val="20"/>
                <w:lang w:val="en-US" w:eastAsia="ru-RU"/>
              </w:rPr>
              <w:t xml:space="preserve"> și </w:t>
            </w:r>
            <w:proofErr w:type="spellStart"/>
            <w:r w:rsidRPr="00E9618D">
              <w:rPr>
                <w:rFonts w:ascii="Times New Roman" w:hAnsi="Times New Roman"/>
                <w:sz w:val="20"/>
                <w:szCs w:val="20"/>
                <w:lang w:val="en-US" w:eastAsia="ru-RU"/>
              </w:rPr>
              <w:t>silvicultura</w:t>
            </w:r>
            <w:proofErr w:type="spellEnd"/>
            <w:r w:rsidRPr="00E9618D">
              <w:rPr>
                <w:rFonts w:ascii="Times New Roman" w:hAnsi="Times New Roman"/>
                <w:sz w:val="20"/>
                <w:szCs w:val="20"/>
                <w:lang w:val="en-US" w:eastAsia="ru-RU"/>
              </w:rPr>
              <w:t>);</w:t>
            </w:r>
          </w:p>
          <w:p w14:paraId="1C56F593" w14:textId="77777777" w:rsidR="00CA3C7F" w:rsidRPr="00E9618D" w:rsidRDefault="00CA3C7F" w:rsidP="000C5A3B">
            <w:pPr>
              <w:pStyle w:val="ColorfulList-Accent11"/>
              <w:numPr>
                <w:ilvl w:val="0"/>
                <w:numId w:val="107"/>
              </w:numPr>
              <w:spacing w:after="0" w:line="240" w:lineRule="auto"/>
              <w:ind w:left="57" w:firstLine="0"/>
              <w:jc w:val="both"/>
              <w:rPr>
                <w:rFonts w:ascii="Times New Roman" w:hAnsi="Times New Roman"/>
                <w:sz w:val="20"/>
                <w:szCs w:val="20"/>
                <w:lang w:val="fr-FR" w:eastAsia="ru-RU"/>
              </w:rPr>
            </w:pPr>
            <w:proofErr w:type="spellStart"/>
            <w:proofErr w:type="gramStart"/>
            <w:r w:rsidRPr="00E9618D">
              <w:rPr>
                <w:rFonts w:ascii="Times New Roman" w:hAnsi="Times New Roman"/>
                <w:sz w:val="20"/>
                <w:szCs w:val="20"/>
                <w:lang w:val="fr-FR" w:eastAsia="ru-RU"/>
              </w:rPr>
              <w:t>progresele</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preconizate</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ceea</w:t>
            </w:r>
            <w:proofErr w:type="spellEnd"/>
            <w:r w:rsidRPr="00E9618D">
              <w:rPr>
                <w:rFonts w:ascii="Times New Roman" w:hAnsi="Times New Roman"/>
                <w:sz w:val="20"/>
                <w:szCs w:val="20"/>
                <w:lang w:val="fr-FR" w:eastAsia="ru-RU"/>
              </w:rPr>
              <w:t xml:space="preserve"> ce </w:t>
            </w:r>
            <w:proofErr w:type="spellStart"/>
            <w:r w:rsidRPr="00E9618D">
              <w:rPr>
                <w:rFonts w:ascii="Times New Roman" w:hAnsi="Times New Roman"/>
                <w:sz w:val="20"/>
                <w:szCs w:val="20"/>
                <w:lang w:val="fr-FR" w:eastAsia="ru-RU"/>
              </w:rPr>
              <w:t>privește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trecerea</w:t>
            </w:r>
            <w:proofErr w:type="spellEnd"/>
            <w:r w:rsidRPr="00E9618D">
              <w:rPr>
                <w:rFonts w:ascii="Times New Roman" w:hAnsi="Times New Roman"/>
                <w:sz w:val="20"/>
                <w:szCs w:val="20"/>
                <w:lang w:val="fr-FR" w:eastAsia="ru-RU"/>
              </w:rPr>
              <w:t xml:space="preserve"> la o </w:t>
            </w:r>
            <w:proofErr w:type="spellStart"/>
            <w:r w:rsidRPr="00E9618D">
              <w:rPr>
                <w:rFonts w:ascii="Times New Roman" w:hAnsi="Times New Roman"/>
                <w:sz w:val="20"/>
                <w:szCs w:val="20"/>
                <w:lang w:val="fr-FR" w:eastAsia="ru-RU"/>
              </w:rPr>
              <w:t>economie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scăzute</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inclusiv</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intensitatea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emisiilor</w:t>
            </w:r>
            <w:proofErr w:type="spellEnd"/>
            <w:r w:rsidRPr="00E9618D">
              <w:rPr>
                <w:rFonts w:ascii="Times New Roman" w:hAnsi="Times New Roman"/>
                <w:sz w:val="20"/>
                <w:szCs w:val="20"/>
                <w:lang w:val="fr-FR" w:eastAsia="ru-RU"/>
              </w:rPr>
              <w:t xml:space="preserve"> de gaze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seră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intensitatea</w:t>
            </w:r>
            <w:proofErr w:type="spellEnd"/>
            <w:r w:rsidRPr="00E9618D">
              <w:rPr>
                <w:rFonts w:ascii="Times New Roman" w:hAnsi="Times New Roman"/>
                <w:sz w:val="20"/>
                <w:szCs w:val="20"/>
                <w:lang w:val="fr-FR" w:eastAsia="ru-RU"/>
              </w:rPr>
              <w:t xml:space="preserve"> CO</w:t>
            </w:r>
            <w:r w:rsidRPr="00E9618D">
              <w:rPr>
                <w:rFonts w:ascii="Times New Roman" w:hAnsi="Times New Roman"/>
                <w:sz w:val="20"/>
                <w:szCs w:val="20"/>
                <w:vertAlign w:val="subscript"/>
                <w:lang w:val="fr-FR" w:eastAsia="ru-RU"/>
              </w:rPr>
              <w:t>2</w:t>
            </w:r>
            <w:r w:rsidRPr="00E9618D">
              <w:rPr>
                <w:rFonts w:ascii="Times New Roman" w:hAnsi="Times New Roman"/>
                <w:sz w:val="20"/>
                <w:szCs w:val="20"/>
                <w:lang w:val="fr-FR" w:eastAsia="ru-RU"/>
              </w:rPr>
              <w:t xml:space="preserve"> a </w:t>
            </w:r>
            <w:proofErr w:type="spellStart"/>
            <w:r w:rsidRPr="00E9618D">
              <w:rPr>
                <w:rFonts w:ascii="Times New Roman" w:hAnsi="Times New Roman"/>
                <w:sz w:val="20"/>
                <w:szCs w:val="20"/>
                <w:lang w:val="fr-FR" w:eastAsia="ru-RU"/>
              </w:rPr>
              <w:t>produsului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intern</w:t>
            </w:r>
            <w:proofErr w:type="spellEnd"/>
            <w:r w:rsidRPr="00E9618D">
              <w:rPr>
                <w:rFonts w:ascii="Times New Roman" w:hAnsi="Times New Roman"/>
                <w:sz w:val="20"/>
                <w:szCs w:val="20"/>
                <w:lang w:val="fr-FR" w:eastAsia="ru-RU"/>
              </w:rPr>
              <w:t xml:space="preserve"> brut, </w:t>
            </w:r>
            <w:proofErr w:type="spellStart"/>
            <w:r w:rsidRPr="00E9618D">
              <w:rPr>
                <w:rFonts w:ascii="Times New Roman" w:hAnsi="Times New Roman"/>
                <w:sz w:val="20"/>
                <w:szCs w:val="20"/>
                <w:lang w:val="fr-FR" w:eastAsia="ru-RU"/>
              </w:rPr>
              <w:t>estimările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aferente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privind</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investițiile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termen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lung</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strategiile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aferente</w:t>
            </w:r>
            <w:proofErr w:type="spellEnd"/>
            <w:r w:rsidRPr="00E9618D">
              <w:rPr>
                <w:rFonts w:ascii="Times New Roman" w:hAnsi="Times New Roman"/>
                <w:sz w:val="20"/>
                <w:szCs w:val="20"/>
                <w:lang w:val="fr-FR" w:eastAsia="ru-RU"/>
              </w:rPr>
              <w:t xml:space="preserve"> în </w:t>
            </w:r>
            <w:proofErr w:type="spellStart"/>
            <w:r w:rsidRPr="00E9618D">
              <w:rPr>
                <w:rFonts w:ascii="Times New Roman" w:hAnsi="Times New Roman"/>
                <w:sz w:val="20"/>
                <w:szCs w:val="20"/>
                <w:lang w:val="fr-FR" w:eastAsia="ru-RU"/>
              </w:rPr>
              <w:t>materie</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cercetare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dezvoltare</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inovare</w:t>
            </w:r>
            <w:proofErr w:type="spellEnd"/>
            <w:r w:rsidRPr="00E9618D">
              <w:rPr>
                <w:rFonts w:ascii="Times New Roman" w:hAnsi="Times New Roman"/>
                <w:sz w:val="20"/>
                <w:szCs w:val="20"/>
                <w:lang w:val="fr-FR" w:eastAsia="ru-RU"/>
              </w:rPr>
              <w:t>;</w:t>
            </w:r>
          </w:p>
          <w:p w14:paraId="75350913" w14:textId="59E8BCCA" w:rsidR="00CA3C7F" w:rsidRPr="00E9618D" w:rsidRDefault="00CA3C7F" w:rsidP="000C5A3B">
            <w:pPr>
              <w:pStyle w:val="ColorfulList-Accent11"/>
              <w:numPr>
                <w:ilvl w:val="0"/>
                <w:numId w:val="107"/>
              </w:numPr>
              <w:spacing w:after="0" w:line="240" w:lineRule="auto"/>
              <w:ind w:left="57" w:firstLine="0"/>
              <w:jc w:val="both"/>
              <w:rPr>
                <w:rFonts w:ascii="Times New Roman" w:hAnsi="Times New Roman"/>
                <w:sz w:val="20"/>
                <w:szCs w:val="20"/>
                <w:lang w:val="fr-FR" w:eastAsia="ru-RU"/>
              </w:rPr>
            </w:pPr>
            <w:proofErr w:type="gramStart"/>
            <w:r w:rsidRPr="00E9618D">
              <w:rPr>
                <w:rFonts w:ascii="Times New Roman" w:hAnsi="Times New Roman"/>
                <w:sz w:val="20"/>
                <w:szCs w:val="20"/>
                <w:lang w:val="fr-FR" w:eastAsia="ru-RU"/>
              </w:rPr>
              <w:t>în</w:t>
            </w:r>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măsura</w:t>
            </w:r>
            <w:proofErr w:type="spellEnd"/>
            <w:r w:rsidRPr="00E9618D">
              <w:rPr>
                <w:rFonts w:ascii="Times New Roman" w:hAnsi="Times New Roman"/>
                <w:sz w:val="20"/>
                <w:szCs w:val="20"/>
                <w:lang w:val="fr-FR" w:eastAsia="ru-RU"/>
              </w:rPr>
              <w:t xml:space="preserve"> în care este </w:t>
            </w:r>
            <w:proofErr w:type="spellStart"/>
            <w:r w:rsidRPr="00E9618D">
              <w:rPr>
                <w:rFonts w:ascii="Times New Roman" w:hAnsi="Times New Roman"/>
                <w:sz w:val="20"/>
                <w:szCs w:val="20"/>
                <w:lang w:val="fr-FR" w:eastAsia="ru-RU"/>
              </w:rPr>
              <w:t>posibil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efectul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socioeconomic</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preconizat</w:t>
            </w:r>
            <w:proofErr w:type="spellEnd"/>
            <w:r w:rsidRPr="00E9618D">
              <w:rPr>
                <w:rFonts w:ascii="Times New Roman" w:hAnsi="Times New Roman"/>
                <w:sz w:val="20"/>
                <w:szCs w:val="20"/>
                <w:lang w:val="fr-FR" w:eastAsia="ru-RU"/>
              </w:rPr>
              <w:t xml:space="preserve"> al </w:t>
            </w:r>
            <w:proofErr w:type="spellStart"/>
            <w:r w:rsidRPr="00E9618D">
              <w:rPr>
                <w:rFonts w:ascii="Times New Roman" w:hAnsi="Times New Roman"/>
                <w:sz w:val="20"/>
                <w:szCs w:val="20"/>
                <w:lang w:val="fr-FR" w:eastAsia="ru-RU"/>
              </w:rPr>
              <w:t>măsurilor</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decarbonizare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inclusiv</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aspectele</w:t>
            </w:r>
            <w:proofErr w:type="spellEnd"/>
            <w:r w:rsidRPr="00E9618D">
              <w:rPr>
                <w:rFonts w:ascii="Times New Roman" w:hAnsi="Times New Roman"/>
                <w:sz w:val="20"/>
                <w:szCs w:val="20"/>
                <w:lang w:val="fr-FR" w:eastAsia="ru-RU"/>
              </w:rPr>
              <w:t xml:space="preserve"> ce </w:t>
            </w:r>
            <w:proofErr w:type="spellStart"/>
            <w:r w:rsidRPr="00E9618D">
              <w:rPr>
                <w:rFonts w:ascii="Times New Roman" w:hAnsi="Times New Roman"/>
                <w:sz w:val="20"/>
                <w:szCs w:val="20"/>
                <w:lang w:val="fr-FR" w:eastAsia="ru-RU"/>
              </w:rPr>
              <w:t>țin</w:t>
            </w:r>
            <w:proofErr w:type="spellEnd"/>
            <w:r w:rsidRPr="00E9618D">
              <w:rPr>
                <w:rFonts w:ascii="Times New Roman" w:hAnsi="Times New Roman"/>
                <w:sz w:val="20"/>
                <w:szCs w:val="20"/>
                <w:lang w:val="fr-FR" w:eastAsia="ru-RU"/>
              </w:rPr>
              <w:t xml:space="preserve"> de </w:t>
            </w:r>
            <w:proofErr w:type="spellStart"/>
            <w:r w:rsidRPr="00E9618D">
              <w:rPr>
                <w:rFonts w:ascii="Times New Roman" w:hAnsi="Times New Roman"/>
                <w:sz w:val="20"/>
                <w:szCs w:val="20"/>
                <w:lang w:val="fr-FR" w:eastAsia="ru-RU"/>
              </w:rPr>
              <w:t>dezvoltarea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macroeconomică</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socială</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riscurile</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beneficiile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pentru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sănătate</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protecția</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mediului</w:t>
            </w:r>
            <w:proofErr w:type="spellEnd"/>
            <w:r w:rsidRPr="00E9618D">
              <w:rPr>
                <w:rFonts w:ascii="Times New Roman" w:hAnsi="Times New Roman"/>
                <w:sz w:val="20"/>
                <w:szCs w:val="20"/>
                <w:lang w:val="fr-FR" w:eastAsia="ru-RU"/>
              </w:rPr>
              <w:t>;</w:t>
            </w:r>
            <w:r w:rsidRPr="00E9618D">
              <w:rPr>
                <w:rFonts w:ascii="Times New Roman" w:hAnsi="Times New Roman"/>
                <w:sz w:val="20"/>
                <w:szCs w:val="20"/>
                <w:lang w:val="fr-FR" w:eastAsia="ru-RU"/>
              </w:rPr>
              <w:cr/>
            </w:r>
            <w:proofErr w:type="spellStart"/>
            <w:proofErr w:type="gramStart"/>
            <w:r w:rsidRPr="00E9618D">
              <w:rPr>
                <w:rFonts w:ascii="Times New Roman" w:hAnsi="Times New Roman"/>
                <w:sz w:val="20"/>
                <w:szCs w:val="20"/>
                <w:lang w:val="fr-FR" w:eastAsia="ru-RU"/>
              </w:rPr>
              <w:t>legăturile</w:t>
            </w:r>
            <w:proofErr w:type="spellEnd"/>
            <w:proofErr w:type="gram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cu</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alte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obiective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planificări</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alte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politici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măsuri</w:t>
            </w:r>
            <w:proofErr w:type="spellEnd"/>
            <w:r w:rsidRPr="00E9618D">
              <w:rPr>
                <w:rFonts w:ascii="Times New Roman" w:hAnsi="Times New Roman"/>
                <w:sz w:val="20"/>
                <w:szCs w:val="20"/>
                <w:lang w:val="fr-FR" w:eastAsia="ru-RU"/>
              </w:rPr>
              <w:t xml:space="preserve"> și </w:t>
            </w:r>
            <w:proofErr w:type="spellStart"/>
            <w:r w:rsidRPr="00E9618D">
              <w:rPr>
                <w:rFonts w:ascii="Times New Roman" w:hAnsi="Times New Roman"/>
                <w:sz w:val="20"/>
                <w:szCs w:val="20"/>
                <w:lang w:val="fr-FR" w:eastAsia="ru-RU"/>
              </w:rPr>
              <w:t>investiții</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pe</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termen</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lung</w:t>
            </w:r>
            <w:proofErr w:type="spellEnd"/>
            <w:r w:rsidRPr="00E9618D">
              <w:rPr>
                <w:rFonts w:ascii="Times New Roman" w:hAnsi="Times New Roman"/>
                <w:sz w:val="20"/>
                <w:szCs w:val="20"/>
                <w:lang w:val="fr-FR" w:eastAsia="ru-RU"/>
              </w:rPr>
              <w:t xml:space="preserve"> la </w:t>
            </w:r>
            <w:proofErr w:type="spellStart"/>
            <w:r w:rsidRPr="00E9618D">
              <w:rPr>
                <w:rFonts w:ascii="Times New Roman" w:hAnsi="Times New Roman"/>
                <w:sz w:val="20"/>
                <w:szCs w:val="20"/>
                <w:lang w:val="fr-FR" w:eastAsia="ru-RU"/>
              </w:rPr>
              <w:t>nivel</w:t>
            </w:r>
            <w:proofErr w:type="spellEnd"/>
            <w:r w:rsidRPr="00E9618D">
              <w:rPr>
                <w:rFonts w:ascii="Times New Roman" w:hAnsi="Times New Roman"/>
                <w:sz w:val="20"/>
                <w:szCs w:val="20"/>
                <w:lang w:val="fr-FR" w:eastAsia="ru-RU"/>
              </w:rPr>
              <w:t xml:space="preserve"> </w:t>
            </w:r>
            <w:proofErr w:type="spellStart"/>
            <w:r w:rsidRPr="00E9618D">
              <w:rPr>
                <w:rFonts w:ascii="Times New Roman" w:hAnsi="Times New Roman"/>
                <w:sz w:val="20"/>
                <w:szCs w:val="20"/>
                <w:lang w:val="fr-FR" w:eastAsia="ru-RU"/>
              </w:rPr>
              <w:t>național</w:t>
            </w:r>
            <w:proofErr w:type="spellEnd"/>
            <w:r w:rsidRPr="00E9618D">
              <w:rPr>
                <w:rFonts w:ascii="Times New Roman" w:hAnsi="Times New Roman"/>
                <w:sz w:val="20"/>
                <w:szCs w:val="20"/>
                <w:lang w:val="fr-FR" w:eastAsia="ru-RU"/>
              </w:rPr>
              <w:t>.</w:t>
            </w:r>
          </w:p>
          <w:p w14:paraId="509F6BBF" w14:textId="7B2FC283" w:rsidR="00CA3C7F" w:rsidRPr="00E9618D" w:rsidRDefault="00CA3C7F" w:rsidP="00CA3C7F">
            <w:pPr>
              <w:pStyle w:val="ColorfulList-Accent11"/>
              <w:spacing w:after="0" w:line="240" w:lineRule="auto"/>
              <w:ind w:left="57"/>
              <w:jc w:val="both"/>
              <w:rPr>
                <w:rFonts w:ascii="Times New Roman" w:hAnsi="Times New Roman"/>
                <w:sz w:val="20"/>
                <w:szCs w:val="20"/>
                <w:shd w:val="clear" w:color="auto" w:fill="FFFFFF"/>
                <w:lang w:val="fr-FR"/>
              </w:rPr>
            </w:pPr>
            <w:r w:rsidRPr="00E9618D">
              <w:rPr>
                <w:rFonts w:ascii="Times New Roman" w:hAnsi="Times New Roman"/>
                <w:sz w:val="20"/>
                <w:szCs w:val="20"/>
                <w:lang w:val="fr-FR" w:eastAsia="ru-RU"/>
              </w:rPr>
              <w:t>(5)</w:t>
            </w:r>
            <w:r w:rsidRPr="00E9618D">
              <w:rPr>
                <w:shd w:val="clear" w:color="auto" w:fill="FFFFFF"/>
                <w:lang w:val="fr-FR"/>
              </w:rPr>
              <w:t xml:space="preserve"> </w:t>
            </w:r>
            <w:proofErr w:type="spellStart"/>
            <w:r w:rsidRPr="00E9618D">
              <w:rPr>
                <w:rFonts w:ascii="Times New Roman" w:hAnsi="Times New Roman"/>
                <w:sz w:val="20"/>
                <w:szCs w:val="20"/>
                <w:shd w:val="clear" w:color="auto" w:fill="FFFFFF"/>
                <w:lang w:val="fr-FR"/>
              </w:rPr>
              <w:t>Comisia</w:t>
            </w:r>
            <w:proofErr w:type="spellEnd"/>
            <w:r w:rsidRPr="00E9618D">
              <w:rPr>
                <w:rFonts w:ascii="Times New Roman" w:hAnsi="Times New Roman"/>
                <w:sz w:val="20"/>
                <w:szCs w:val="20"/>
                <w:shd w:val="clear" w:color="auto" w:fill="FFFFFF"/>
                <w:lang w:val="fr-FR"/>
              </w:rPr>
              <w:t xml:space="preserve"> este </w:t>
            </w:r>
            <w:proofErr w:type="spellStart"/>
            <w:r w:rsidRPr="00E9618D">
              <w:rPr>
                <w:rFonts w:ascii="Times New Roman" w:hAnsi="Times New Roman"/>
                <w:sz w:val="20"/>
                <w:szCs w:val="20"/>
                <w:shd w:val="clear" w:color="auto" w:fill="FFFFFF"/>
                <w:lang w:val="fr-FR"/>
              </w:rPr>
              <w:t>împuternicită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să</w:t>
            </w:r>
            <w:proofErr w:type="spellEnd"/>
            <w:r w:rsidRPr="00E9618D">
              <w:rPr>
                <w:rFonts w:ascii="Times New Roman" w:hAnsi="Times New Roman"/>
                <w:sz w:val="20"/>
                <w:szCs w:val="20"/>
                <w:shd w:val="clear" w:color="auto" w:fill="FFFFFF"/>
                <w:lang w:val="fr-FR"/>
              </w:rPr>
              <w:t xml:space="preserve"> adopte acte </w:t>
            </w:r>
            <w:proofErr w:type="spellStart"/>
            <w:r w:rsidRPr="00E9618D">
              <w:rPr>
                <w:rFonts w:ascii="Times New Roman" w:hAnsi="Times New Roman"/>
                <w:sz w:val="20"/>
                <w:szCs w:val="20"/>
                <w:shd w:val="clear" w:color="auto" w:fill="FFFFFF"/>
                <w:lang w:val="fr-FR"/>
              </w:rPr>
              <w:t>delegate</w:t>
            </w:r>
            <w:proofErr w:type="spellEnd"/>
            <w:r w:rsidRPr="00E9618D">
              <w:rPr>
                <w:rFonts w:ascii="Times New Roman" w:hAnsi="Times New Roman"/>
                <w:sz w:val="20"/>
                <w:szCs w:val="20"/>
                <w:shd w:val="clear" w:color="auto" w:fill="FFFFFF"/>
                <w:lang w:val="fr-FR"/>
              </w:rPr>
              <w:t xml:space="preserve"> în conformitate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articolul</w:t>
            </w:r>
            <w:proofErr w:type="spellEnd"/>
            <w:r w:rsidRPr="00E9618D">
              <w:rPr>
                <w:rFonts w:ascii="Times New Roman" w:hAnsi="Times New Roman"/>
                <w:sz w:val="20"/>
                <w:szCs w:val="20"/>
                <w:shd w:val="clear" w:color="auto" w:fill="FFFFFF"/>
                <w:lang w:val="fr-FR"/>
              </w:rPr>
              <w:t xml:space="preserve"> 43, </w:t>
            </w:r>
            <w:proofErr w:type="spellStart"/>
            <w:r w:rsidRPr="00E9618D">
              <w:rPr>
                <w:rFonts w:ascii="Times New Roman" w:hAnsi="Times New Roman"/>
                <w:sz w:val="20"/>
                <w:szCs w:val="20"/>
                <w:shd w:val="clear" w:color="auto" w:fill="FFFFFF"/>
                <w:lang w:val="fr-FR"/>
              </w:rPr>
              <w:t>pentru</w:t>
            </w:r>
            <w:proofErr w:type="spellEnd"/>
            <w:r w:rsidRPr="00E9618D">
              <w:rPr>
                <w:rFonts w:ascii="Times New Roman" w:hAnsi="Times New Roman"/>
                <w:sz w:val="20"/>
                <w:szCs w:val="20"/>
                <w:shd w:val="clear" w:color="auto" w:fill="FFFFFF"/>
                <w:lang w:val="fr-FR"/>
              </w:rPr>
              <w:t xml:space="preserve"> a </w:t>
            </w:r>
            <w:proofErr w:type="spellStart"/>
            <w:r w:rsidRPr="00E9618D">
              <w:rPr>
                <w:rFonts w:ascii="Times New Roman" w:hAnsi="Times New Roman"/>
                <w:sz w:val="20"/>
                <w:szCs w:val="20"/>
                <w:shd w:val="clear" w:color="auto" w:fill="FFFFFF"/>
                <w:lang w:val="fr-FR"/>
              </w:rPr>
              <w:t>modifica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anexa</w:t>
            </w:r>
            <w:proofErr w:type="spellEnd"/>
            <w:r w:rsidRPr="00E9618D">
              <w:rPr>
                <w:rFonts w:ascii="Times New Roman" w:hAnsi="Times New Roman"/>
                <w:sz w:val="20"/>
                <w:szCs w:val="20"/>
                <w:shd w:val="clear" w:color="auto" w:fill="FFFFFF"/>
                <w:lang w:val="fr-FR"/>
              </w:rPr>
              <w:t xml:space="preserve"> IV în </w:t>
            </w:r>
            <w:proofErr w:type="spellStart"/>
            <w:r w:rsidRPr="00E9618D">
              <w:rPr>
                <w:rFonts w:ascii="Times New Roman" w:hAnsi="Times New Roman"/>
                <w:sz w:val="20"/>
                <w:szCs w:val="20"/>
                <w:shd w:val="clear" w:color="auto" w:fill="FFFFFF"/>
                <w:lang w:val="fr-FR"/>
              </w:rPr>
              <w:t>vederea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adaptării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acesteia</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evoluțiile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strategiei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termen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lung</w:t>
            </w:r>
            <w:proofErr w:type="spellEnd"/>
            <w:r w:rsidRPr="00E9618D">
              <w:rPr>
                <w:rFonts w:ascii="Times New Roman" w:hAnsi="Times New Roman"/>
                <w:sz w:val="20"/>
                <w:szCs w:val="20"/>
                <w:shd w:val="clear" w:color="auto" w:fill="FFFFFF"/>
                <w:lang w:val="fr-FR"/>
              </w:rPr>
              <w:t xml:space="preserve"> a </w:t>
            </w:r>
            <w:proofErr w:type="spellStart"/>
            <w:r w:rsidRPr="00E9618D">
              <w:rPr>
                <w:rFonts w:ascii="Times New Roman" w:hAnsi="Times New Roman"/>
                <w:sz w:val="20"/>
                <w:szCs w:val="20"/>
                <w:shd w:val="clear" w:color="auto" w:fill="FFFFFF"/>
                <w:lang w:val="fr-FR"/>
              </w:rPr>
              <w:t>Uniunii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sau</w:t>
            </w:r>
            <w:proofErr w:type="spellEnd"/>
            <w:r w:rsidRPr="00E9618D">
              <w:rPr>
                <w:rFonts w:ascii="Times New Roman" w:hAnsi="Times New Roman"/>
                <w:sz w:val="20"/>
                <w:szCs w:val="20"/>
                <w:shd w:val="clear" w:color="auto" w:fill="FFFFFF"/>
                <w:lang w:val="fr-FR"/>
              </w:rPr>
              <w:t xml:space="preserve"> ale </w:t>
            </w:r>
            <w:proofErr w:type="spellStart"/>
            <w:r w:rsidRPr="00E9618D">
              <w:rPr>
                <w:rFonts w:ascii="Times New Roman" w:hAnsi="Times New Roman"/>
                <w:sz w:val="20"/>
                <w:szCs w:val="20"/>
                <w:shd w:val="clear" w:color="auto" w:fill="FFFFFF"/>
                <w:lang w:val="fr-FR"/>
              </w:rPr>
              <w:t>cadrului</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politici</w:t>
            </w:r>
            <w:proofErr w:type="spellEnd"/>
            <w:r w:rsidRPr="00E9618D">
              <w:rPr>
                <w:rFonts w:ascii="Times New Roman" w:hAnsi="Times New Roman"/>
                <w:sz w:val="20"/>
                <w:szCs w:val="20"/>
                <w:shd w:val="clear" w:color="auto" w:fill="FFFFFF"/>
                <w:lang w:val="fr-FR"/>
              </w:rPr>
              <w:t xml:space="preserve"> al </w:t>
            </w:r>
            <w:proofErr w:type="spellStart"/>
            <w:r w:rsidRPr="00E9618D">
              <w:rPr>
                <w:rFonts w:ascii="Times New Roman" w:hAnsi="Times New Roman"/>
                <w:sz w:val="20"/>
                <w:szCs w:val="20"/>
                <w:shd w:val="clear" w:color="auto" w:fill="FFFFFF"/>
                <w:lang w:val="fr-FR"/>
              </w:rPr>
              <w:t>Uniunii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privind</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clima</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energia</w:t>
            </w:r>
            <w:proofErr w:type="spellEnd"/>
            <w:r w:rsidRPr="00E9618D">
              <w:rPr>
                <w:rFonts w:ascii="Times New Roman" w:hAnsi="Times New Roman"/>
                <w:sz w:val="20"/>
                <w:szCs w:val="20"/>
                <w:shd w:val="clear" w:color="auto" w:fill="FFFFFF"/>
                <w:lang w:val="fr-FR"/>
              </w:rPr>
              <w:t xml:space="preserve">, care </w:t>
            </w:r>
            <w:proofErr w:type="spellStart"/>
            <w:r w:rsidRPr="00E9618D">
              <w:rPr>
                <w:rFonts w:ascii="Times New Roman" w:hAnsi="Times New Roman"/>
                <w:sz w:val="20"/>
                <w:szCs w:val="20"/>
                <w:shd w:val="clear" w:color="auto" w:fill="FFFFFF"/>
                <w:lang w:val="fr-FR"/>
              </w:rPr>
              <w:t>sunt</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legate</w:t>
            </w:r>
            <w:proofErr w:type="spellEnd"/>
            <w:r w:rsidRPr="00E9618D">
              <w:rPr>
                <w:rFonts w:ascii="Times New Roman" w:hAnsi="Times New Roman"/>
                <w:sz w:val="20"/>
                <w:szCs w:val="20"/>
                <w:shd w:val="clear" w:color="auto" w:fill="FFFFFF"/>
                <w:lang w:val="fr-FR"/>
              </w:rPr>
              <w:t xml:space="preserve"> în mod direct și </w:t>
            </w:r>
            <w:proofErr w:type="spellStart"/>
            <w:r w:rsidRPr="00E9618D">
              <w:rPr>
                <w:rFonts w:ascii="Times New Roman" w:hAnsi="Times New Roman"/>
                <w:sz w:val="20"/>
                <w:szCs w:val="20"/>
                <w:shd w:val="clear" w:color="auto" w:fill="FFFFFF"/>
                <w:lang w:val="fr-FR"/>
              </w:rPr>
              <w:t>specific</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deciziile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corespunzătoare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adoptate</w:t>
            </w:r>
            <w:proofErr w:type="spellEnd"/>
            <w:r w:rsidRPr="00E9618D">
              <w:rPr>
                <w:rFonts w:ascii="Times New Roman" w:hAnsi="Times New Roman"/>
                <w:sz w:val="20"/>
                <w:szCs w:val="20"/>
                <w:shd w:val="clear" w:color="auto" w:fill="FFFFFF"/>
                <w:lang w:val="fr-FR"/>
              </w:rPr>
              <w:t xml:space="preserve"> în conformitate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CCONUSC și, în </w:t>
            </w:r>
            <w:proofErr w:type="spellStart"/>
            <w:r w:rsidRPr="00E9618D">
              <w:rPr>
                <w:rFonts w:ascii="Times New Roman" w:hAnsi="Times New Roman"/>
                <w:sz w:val="20"/>
                <w:szCs w:val="20"/>
                <w:shd w:val="clear" w:color="auto" w:fill="FFFFFF"/>
                <w:lang w:val="fr-FR"/>
              </w:rPr>
              <w:t>special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Acordul</w:t>
            </w:r>
            <w:proofErr w:type="spellEnd"/>
            <w:r w:rsidRPr="00E9618D">
              <w:rPr>
                <w:rFonts w:ascii="Times New Roman" w:hAnsi="Times New Roman"/>
                <w:sz w:val="20"/>
                <w:szCs w:val="20"/>
                <w:shd w:val="clear" w:color="auto" w:fill="FFFFFF"/>
                <w:lang w:val="fr-FR"/>
              </w:rPr>
              <w:t xml:space="preserve"> de la Paris.</w:t>
            </w:r>
          </w:p>
          <w:p w14:paraId="72461CB0" w14:textId="0AC07866" w:rsidR="00CA3C7F" w:rsidRPr="00E9618D" w:rsidRDefault="00CA3C7F" w:rsidP="00CA3C7F">
            <w:pPr>
              <w:pStyle w:val="ColorfulList-Accent11"/>
              <w:spacing w:after="0" w:line="240" w:lineRule="auto"/>
              <w:ind w:left="57"/>
              <w:jc w:val="both"/>
              <w:rPr>
                <w:rFonts w:ascii="Times New Roman" w:hAnsi="Times New Roman"/>
                <w:sz w:val="20"/>
                <w:szCs w:val="20"/>
                <w:shd w:val="clear" w:color="auto" w:fill="FFFFFF"/>
                <w:lang w:val="fr-FR"/>
              </w:rPr>
            </w:pPr>
            <w:r w:rsidRPr="00E9618D">
              <w:rPr>
                <w:rFonts w:ascii="Times New Roman" w:hAnsi="Times New Roman"/>
                <w:sz w:val="20"/>
                <w:szCs w:val="20"/>
                <w:lang w:val="fr-FR" w:eastAsia="ru-RU"/>
              </w:rPr>
              <w:t>(6)</w:t>
            </w:r>
            <w:r w:rsidRPr="00E9618D">
              <w:rPr>
                <w:shd w:val="clear" w:color="auto" w:fill="FFFFFF"/>
                <w:lang w:val="fr-FR"/>
              </w:rPr>
              <w:t xml:space="preserve"> </w:t>
            </w:r>
            <w:proofErr w:type="spellStart"/>
            <w:r w:rsidRPr="00E9618D">
              <w:rPr>
                <w:rFonts w:ascii="Times New Roman" w:hAnsi="Times New Roman"/>
                <w:sz w:val="20"/>
                <w:szCs w:val="20"/>
                <w:shd w:val="clear" w:color="auto" w:fill="FFFFFF"/>
                <w:lang w:val="fr-FR"/>
              </w:rPr>
              <w:t>Planurile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naționale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integrate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privind</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energia</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clima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trebuie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să</w:t>
            </w:r>
            <w:proofErr w:type="spellEnd"/>
            <w:r w:rsidRPr="00E9618D">
              <w:rPr>
                <w:rFonts w:ascii="Times New Roman" w:hAnsi="Times New Roman"/>
                <w:sz w:val="20"/>
                <w:szCs w:val="20"/>
                <w:shd w:val="clear" w:color="auto" w:fill="FFFFFF"/>
                <w:lang w:val="fr-FR"/>
              </w:rPr>
              <w:t xml:space="preserve"> fie </w:t>
            </w:r>
            <w:proofErr w:type="spellStart"/>
            <w:r w:rsidRPr="00E9618D">
              <w:rPr>
                <w:rFonts w:ascii="Times New Roman" w:hAnsi="Times New Roman"/>
                <w:sz w:val="20"/>
                <w:szCs w:val="20"/>
                <w:shd w:val="clear" w:color="auto" w:fill="FFFFFF"/>
                <w:lang w:val="fr-FR"/>
              </w:rPr>
              <w:t>consecvente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strategiile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termen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lung</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menționate</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prezentul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articol</w:t>
            </w:r>
            <w:proofErr w:type="spellEnd"/>
            <w:r w:rsidRPr="00E9618D">
              <w:rPr>
                <w:rFonts w:ascii="Times New Roman" w:hAnsi="Times New Roman"/>
                <w:sz w:val="20"/>
                <w:szCs w:val="20"/>
                <w:shd w:val="clear" w:color="auto" w:fill="FFFFFF"/>
                <w:lang w:val="fr-FR"/>
              </w:rPr>
              <w:t>.</w:t>
            </w:r>
          </w:p>
          <w:p w14:paraId="14D7A4A5" w14:textId="77777777" w:rsidR="0006078F" w:rsidRPr="00E9618D" w:rsidRDefault="0006078F" w:rsidP="00CA3C7F">
            <w:pPr>
              <w:pStyle w:val="ColorfulList-Accent11"/>
              <w:spacing w:after="0" w:line="240" w:lineRule="auto"/>
              <w:ind w:left="57"/>
              <w:jc w:val="both"/>
              <w:rPr>
                <w:rFonts w:ascii="Times New Roman" w:hAnsi="Times New Roman"/>
                <w:sz w:val="20"/>
                <w:szCs w:val="20"/>
                <w:lang w:val="fr-FR" w:eastAsia="ru-RU"/>
              </w:rPr>
            </w:pPr>
          </w:p>
          <w:p w14:paraId="7FAB5143" w14:textId="7FFACB26" w:rsidR="00CA3C7F" w:rsidRPr="00E9618D" w:rsidRDefault="00CA3C7F" w:rsidP="00CA3C7F">
            <w:pPr>
              <w:pStyle w:val="ColorfulList-Accent11"/>
              <w:spacing w:after="0" w:line="240" w:lineRule="auto"/>
              <w:ind w:left="0"/>
              <w:jc w:val="both"/>
              <w:rPr>
                <w:rFonts w:ascii="Times New Roman" w:hAnsi="Times New Roman"/>
                <w:sz w:val="20"/>
                <w:szCs w:val="20"/>
                <w:shd w:val="clear" w:color="auto" w:fill="FFFFFF"/>
                <w:lang w:val="fr-FR"/>
              </w:rPr>
            </w:pPr>
            <w:r w:rsidRPr="00E9618D">
              <w:rPr>
                <w:rFonts w:ascii="Times New Roman" w:hAnsi="Times New Roman"/>
                <w:sz w:val="20"/>
                <w:szCs w:val="20"/>
                <w:shd w:val="clear" w:color="auto" w:fill="FFFFFF"/>
                <w:lang w:val="fr-FR"/>
              </w:rPr>
              <w:t>(</w:t>
            </w:r>
            <w:proofErr w:type="gramStart"/>
            <w:r w:rsidRPr="00E9618D">
              <w:rPr>
                <w:rFonts w:ascii="Times New Roman" w:hAnsi="Times New Roman"/>
                <w:sz w:val="20"/>
                <w:szCs w:val="20"/>
                <w:shd w:val="clear" w:color="auto" w:fill="FFFFFF"/>
                <w:lang w:val="fr-FR"/>
              </w:rPr>
              <w:t>7)</w:t>
            </w:r>
            <w:proofErr w:type="spellStart"/>
            <w:r w:rsidRPr="00E9618D">
              <w:rPr>
                <w:rFonts w:ascii="Times New Roman" w:hAnsi="Times New Roman"/>
                <w:sz w:val="20"/>
                <w:szCs w:val="20"/>
                <w:shd w:val="clear" w:color="auto" w:fill="FFFFFF"/>
                <w:lang w:val="fr-FR"/>
              </w:rPr>
              <w:t>Statele</w:t>
            </w:r>
            <w:proofErr w:type="spellEnd"/>
            <w:proofErr w:type="gramEnd"/>
            <w:r w:rsidRPr="00E9618D">
              <w:rPr>
                <w:rFonts w:ascii="Times New Roman" w:hAnsi="Times New Roman"/>
                <w:sz w:val="20"/>
                <w:szCs w:val="20"/>
                <w:shd w:val="clear" w:color="auto" w:fill="FFFFFF"/>
                <w:lang w:val="fr-FR"/>
              </w:rPr>
              <w:t xml:space="preserve"> membre și </w:t>
            </w:r>
            <w:proofErr w:type="spellStart"/>
            <w:r w:rsidRPr="00E9618D">
              <w:rPr>
                <w:rFonts w:ascii="Times New Roman" w:hAnsi="Times New Roman"/>
                <w:sz w:val="20"/>
                <w:szCs w:val="20"/>
                <w:shd w:val="clear" w:color="auto" w:fill="FFFFFF"/>
                <w:lang w:val="fr-FR"/>
              </w:rPr>
              <w:t>Comisia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informează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publicul</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pun</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îndată</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dispoziția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publicului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strategiile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lor</w:t>
            </w:r>
            <w:proofErr w:type="spellEnd"/>
            <w:r w:rsidRPr="00E9618D">
              <w:rPr>
                <w:rFonts w:ascii="Times New Roman" w:hAnsi="Times New Roman"/>
                <w:sz w:val="20"/>
                <w:szCs w:val="20"/>
                <w:shd w:val="clear" w:color="auto" w:fill="FFFFFF"/>
                <w:lang w:val="fr-FR"/>
              </w:rPr>
              <w:t xml:space="preserve"> respective </w:t>
            </w:r>
            <w:proofErr w:type="spellStart"/>
            <w:r w:rsidRPr="00E9618D">
              <w:rPr>
                <w:rFonts w:ascii="Times New Roman" w:hAnsi="Times New Roman"/>
                <w:sz w:val="20"/>
                <w:szCs w:val="20"/>
                <w:shd w:val="clear" w:color="auto" w:fill="FFFFFF"/>
                <w:lang w:val="fr-FR"/>
              </w:rPr>
              <w:t>pe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termen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lung</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orice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actualizări</w:t>
            </w:r>
            <w:proofErr w:type="spellEnd"/>
            <w:r w:rsidRPr="00E9618D">
              <w:rPr>
                <w:rFonts w:ascii="Times New Roman" w:hAnsi="Times New Roman"/>
                <w:sz w:val="20"/>
                <w:szCs w:val="20"/>
                <w:shd w:val="clear" w:color="auto" w:fill="FFFFFF"/>
                <w:lang w:val="fr-FR"/>
              </w:rPr>
              <w:t xml:space="preserve"> ale </w:t>
            </w:r>
            <w:proofErr w:type="spellStart"/>
            <w:r w:rsidRPr="00E9618D">
              <w:rPr>
                <w:rFonts w:ascii="Times New Roman" w:hAnsi="Times New Roman"/>
                <w:sz w:val="20"/>
                <w:szCs w:val="20"/>
                <w:shd w:val="clear" w:color="auto" w:fill="FFFFFF"/>
                <w:lang w:val="fr-FR"/>
              </w:rPr>
              <w:t>acestora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inclusiv</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intermediul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platformei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electronice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menționate</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articolul</w:t>
            </w:r>
            <w:proofErr w:type="spellEnd"/>
            <w:r w:rsidRPr="00E9618D">
              <w:rPr>
                <w:rFonts w:ascii="Times New Roman" w:hAnsi="Times New Roman"/>
                <w:sz w:val="20"/>
                <w:szCs w:val="20"/>
                <w:shd w:val="clear" w:color="auto" w:fill="FFFFFF"/>
                <w:lang w:val="fr-FR"/>
              </w:rPr>
              <w:t xml:space="preserve"> 28. </w:t>
            </w:r>
            <w:proofErr w:type="spellStart"/>
            <w:r w:rsidRPr="00E9618D">
              <w:rPr>
                <w:rFonts w:ascii="Times New Roman" w:hAnsi="Times New Roman"/>
                <w:sz w:val="20"/>
                <w:szCs w:val="20"/>
                <w:shd w:val="clear" w:color="auto" w:fill="FFFFFF"/>
                <w:lang w:val="fr-FR"/>
              </w:rPr>
              <w:t>Statele</w:t>
            </w:r>
            <w:proofErr w:type="spellEnd"/>
            <w:r w:rsidRPr="00E9618D">
              <w:rPr>
                <w:rFonts w:ascii="Times New Roman" w:hAnsi="Times New Roman"/>
                <w:sz w:val="20"/>
                <w:szCs w:val="20"/>
                <w:shd w:val="clear" w:color="auto" w:fill="FFFFFF"/>
                <w:lang w:val="fr-FR"/>
              </w:rPr>
              <w:t xml:space="preserve"> membre și </w:t>
            </w:r>
            <w:proofErr w:type="spellStart"/>
            <w:r w:rsidRPr="00E9618D">
              <w:rPr>
                <w:rFonts w:ascii="Times New Roman" w:hAnsi="Times New Roman"/>
                <w:sz w:val="20"/>
                <w:szCs w:val="20"/>
                <w:shd w:val="clear" w:color="auto" w:fill="FFFFFF"/>
                <w:lang w:val="fr-FR"/>
              </w:rPr>
              <w:t>Comisia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pun</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dispoziția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publicului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datele</w:t>
            </w:r>
            <w:proofErr w:type="spellEnd"/>
            <w:r w:rsidRPr="00E9618D">
              <w:rPr>
                <w:rFonts w:ascii="Times New Roman" w:hAnsi="Times New Roman"/>
                <w:sz w:val="20"/>
                <w:szCs w:val="20"/>
                <w:shd w:val="clear" w:color="auto" w:fill="FFFFFF"/>
                <w:lang w:val="fr-FR"/>
              </w:rPr>
              <w:t xml:space="preserve"> pertinente </w:t>
            </w:r>
            <w:proofErr w:type="spellStart"/>
            <w:r w:rsidRPr="00E9618D">
              <w:rPr>
                <w:rFonts w:ascii="Times New Roman" w:hAnsi="Times New Roman"/>
                <w:sz w:val="20"/>
                <w:szCs w:val="20"/>
                <w:shd w:val="clear" w:color="auto" w:fill="FFFFFF"/>
                <w:lang w:val="fr-FR"/>
              </w:rPr>
              <w:t>legate</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rezultatele</w:t>
            </w:r>
            <w:proofErr w:type="spellEnd"/>
            <w:r w:rsidRPr="00E9618D">
              <w:rPr>
                <w:rFonts w:ascii="Times New Roman" w:hAnsi="Times New Roman"/>
                <w:sz w:val="20"/>
                <w:szCs w:val="20"/>
                <w:shd w:val="clear" w:color="auto" w:fill="FFFFFF"/>
                <w:lang w:val="fr-FR"/>
              </w:rPr>
              <w:t xml:space="preserve"> finale, </w:t>
            </w:r>
            <w:proofErr w:type="spellStart"/>
            <w:r w:rsidRPr="00E9618D">
              <w:rPr>
                <w:rFonts w:ascii="Times New Roman" w:hAnsi="Times New Roman"/>
                <w:sz w:val="20"/>
                <w:szCs w:val="20"/>
                <w:shd w:val="clear" w:color="auto" w:fill="FFFFFF"/>
                <w:lang w:val="fr-FR"/>
              </w:rPr>
              <w:t>ținând</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seama</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datele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sensibile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din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punct</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vedere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comercial</w:t>
            </w:r>
            <w:proofErr w:type="spellEnd"/>
            <w:r w:rsidRPr="00E9618D">
              <w:rPr>
                <w:rFonts w:ascii="Times New Roman" w:hAnsi="Times New Roman"/>
                <w:sz w:val="20"/>
                <w:szCs w:val="20"/>
                <w:shd w:val="clear" w:color="auto" w:fill="FFFFFF"/>
                <w:lang w:val="fr-FR"/>
              </w:rPr>
              <w:t xml:space="preserve"> și de </w:t>
            </w:r>
            <w:proofErr w:type="spellStart"/>
            <w:r w:rsidRPr="00E9618D">
              <w:rPr>
                <w:rFonts w:ascii="Times New Roman" w:hAnsi="Times New Roman"/>
                <w:sz w:val="20"/>
                <w:szCs w:val="20"/>
                <w:shd w:val="clear" w:color="auto" w:fill="FFFFFF"/>
                <w:lang w:val="fr-FR"/>
              </w:rPr>
              <w:t>respectarea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normelor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privind</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protecția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datelor</w:t>
            </w:r>
            <w:proofErr w:type="spellEnd"/>
            <w:r w:rsidRPr="00E9618D">
              <w:rPr>
                <w:rFonts w:ascii="Times New Roman" w:hAnsi="Times New Roman"/>
                <w:sz w:val="20"/>
                <w:szCs w:val="20"/>
                <w:shd w:val="clear" w:color="auto" w:fill="FFFFFF"/>
                <w:lang w:val="fr-FR"/>
              </w:rPr>
              <w:t>.</w:t>
            </w:r>
          </w:p>
          <w:p w14:paraId="3A7AC3C6" w14:textId="77777777" w:rsidR="007A690D" w:rsidRPr="00E9618D" w:rsidRDefault="007A690D" w:rsidP="003C4F9F">
            <w:pPr>
              <w:pStyle w:val="ColorfulList-Accent11"/>
              <w:spacing w:after="0" w:line="240" w:lineRule="auto"/>
              <w:ind w:left="0"/>
              <w:jc w:val="both"/>
              <w:rPr>
                <w:rFonts w:ascii="Times New Roman" w:hAnsi="Times New Roman"/>
                <w:sz w:val="20"/>
                <w:szCs w:val="20"/>
                <w:lang w:val="fr-FR" w:eastAsia="ru-RU"/>
              </w:rPr>
            </w:pPr>
          </w:p>
          <w:p w14:paraId="5DBA07B8" w14:textId="1A39E7B5" w:rsidR="00CA3C7F" w:rsidRPr="00E9618D" w:rsidRDefault="003C4F9F" w:rsidP="003C4F9F">
            <w:pPr>
              <w:pStyle w:val="ColorfulList-Accent11"/>
              <w:spacing w:after="0" w:line="240" w:lineRule="auto"/>
              <w:ind w:left="0"/>
              <w:jc w:val="both"/>
              <w:rPr>
                <w:rFonts w:ascii="Times New Roman" w:hAnsi="Times New Roman"/>
                <w:sz w:val="20"/>
                <w:szCs w:val="20"/>
                <w:lang w:val="fr-FR" w:eastAsia="ru-RU"/>
              </w:rPr>
            </w:pPr>
            <w:r w:rsidRPr="00E9618D">
              <w:rPr>
                <w:rFonts w:ascii="Times New Roman" w:hAnsi="Times New Roman"/>
                <w:sz w:val="20"/>
                <w:szCs w:val="20"/>
                <w:shd w:val="clear" w:color="auto" w:fill="FFFFFF"/>
                <w:lang w:val="fr-FR"/>
              </w:rPr>
              <w:t>(</w:t>
            </w:r>
            <w:proofErr w:type="gramStart"/>
            <w:r w:rsidRPr="00E9618D">
              <w:rPr>
                <w:rFonts w:ascii="Times New Roman" w:hAnsi="Times New Roman"/>
                <w:sz w:val="20"/>
                <w:szCs w:val="20"/>
                <w:shd w:val="clear" w:color="auto" w:fill="FFFFFF"/>
                <w:lang w:val="fr-FR"/>
              </w:rPr>
              <w:t>8)</w:t>
            </w:r>
            <w:proofErr w:type="spellStart"/>
            <w:r w:rsidRPr="00E9618D">
              <w:rPr>
                <w:rFonts w:ascii="Times New Roman" w:hAnsi="Times New Roman"/>
                <w:sz w:val="20"/>
                <w:szCs w:val="20"/>
                <w:shd w:val="clear" w:color="auto" w:fill="FFFFFF"/>
                <w:lang w:val="fr-FR"/>
              </w:rPr>
              <w:t>Comisia</w:t>
            </w:r>
            <w:proofErr w:type="spellEnd"/>
            <w:proofErr w:type="gram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sprijină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statele</w:t>
            </w:r>
            <w:proofErr w:type="spellEnd"/>
            <w:r w:rsidRPr="00E9618D">
              <w:rPr>
                <w:rFonts w:ascii="Times New Roman" w:hAnsi="Times New Roman"/>
                <w:sz w:val="20"/>
                <w:szCs w:val="20"/>
                <w:shd w:val="clear" w:color="auto" w:fill="FFFFFF"/>
                <w:lang w:val="fr-FR"/>
              </w:rPr>
              <w:t xml:space="preserve"> membre în </w:t>
            </w:r>
            <w:proofErr w:type="spellStart"/>
            <w:r w:rsidRPr="00E9618D">
              <w:rPr>
                <w:rFonts w:ascii="Times New Roman" w:hAnsi="Times New Roman"/>
                <w:sz w:val="20"/>
                <w:szCs w:val="20"/>
                <w:shd w:val="clear" w:color="auto" w:fill="FFFFFF"/>
                <w:lang w:val="fr-FR"/>
              </w:rPr>
              <w:t>elaborarea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strategiilor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termen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lung</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transmiterea</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informații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privire</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stadiul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cunoștințelor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științifice</w:t>
            </w:r>
            <w:proofErr w:type="spellEnd"/>
            <w:r w:rsidRPr="00E9618D">
              <w:rPr>
                <w:rFonts w:ascii="Times New Roman" w:hAnsi="Times New Roman"/>
                <w:sz w:val="20"/>
                <w:szCs w:val="20"/>
                <w:shd w:val="clear" w:color="auto" w:fill="FFFFFF"/>
                <w:lang w:val="fr-FR"/>
              </w:rPr>
              <w:t xml:space="preserve"> pertinente și la </w:t>
            </w:r>
            <w:proofErr w:type="spellStart"/>
            <w:r w:rsidRPr="00E9618D">
              <w:rPr>
                <w:rFonts w:ascii="Times New Roman" w:hAnsi="Times New Roman"/>
                <w:sz w:val="20"/>
                <w:szCs w:val="20"/>
                <w:shd w:val="clear" w:color="auto" w:fill="FFFFFF"/>
                <w:lang w:val="fr-FR"/>
              </w:rPr>
              <w:t>oportunitățile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pentru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schimbul</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cunoștințe</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bune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practici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inclusiv</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dacă</w:t>
            </w:r>
            <w:proofErr w:type="spellEnd"/>
            <w:r w:rsidRPr="00E9618D">
              <w:rPr>
                <w:rFonts w:ascii="Times New Roman" w:hAnsi="Times New Roman"/>
                <w:sz w:val="20"/>
                <w:szCs w:val="20"/>
                <w:shd w:val="clear" w:color="auto" w:fill="FFFFFF"/>
                <w:lang w:val="fr-FR"/>
              </w:rPr>
              <w:t xml:space="preserve"> este </w:t>
            </w:r>
            <w:proofErr w:type="spellStart"/>
            <w:r w:rsidRPr="00E9618D">
              <w:rPr>
                <w:rFonts w:ascii="Times New Roman" w:hAnsi="Times New Roman"/>
                <w:sz w:val="20"/>
                <w:szCs w:val="20"/>
                <w:shd w:val="clear" w:color="auto" w:fill="FFFFFF"/>
                <w:lang w:val="fr-FR"/>
              </w:rPr>
              <w:t>cazul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oferindu</w:t>
            </w:r>
            <w:proofErr w:type="spellEnd"/>
            <w:r w:rsidRPr="00E9618D">
              <w:rPr>
                <w:rFonts w:ascii="Times New Roman" w:hAnsi="Times New Roman"/>
                <w:sz w:val="20"/>
                <w:szCs w:val="20"/>
                <w:shd w:val="clear" w:color="auto" w:fill="FFFFFF"/>
                <w:lang w:val="fr-FR"/>
              </w:rPr>
              <w:t xml:space="preserve">-le </w:t>
            </w:r>
            <w:proofErr w:type="spellStart"/>
            <w:r w:rsidRPr="00E9618D">
              <w:rPr>
                <w:rFonts w:ascii="Times New Roman" w:hAnsi="Times New Roman"/>
                <w:sz w:val="20"/>
                <w:szCs w:val="20"/>
                <w:shd w:val="clear" w:color="auto" w:fill="FFFFFF"/>
                <w:lang w:val="fr-FR"/>
              </w:rPr>
              <w:t>statelor</w:t>
            </w:r>
            <w:proofErr w:type="spellEnd"/>
            <w:r w:rsidRPr="00E9618D">
              <w:rPr>
                <w:rFonts w:ascii="Times New Roman" w:hAnsi="Times New Roman"/>
                <w:sz w:val="20"/>
                <w:szCs w:val="20"/>
                <w:shd w:val="clear" w:color="auto" w:fill="FFFFFF"/>
                <w:lang w:val="fr-FR"/>
              </w:rPr>
              <w:t xml:space="preserve"> membre </w:t>
            </w:r>
            <w:proofErr w:type="spellStart"/>
            <w:r w:rsidRPr="00E9618D">
              <w:rPr>
                <w:rFonts w:ascii="Times New Roman" w:hAnsi="Times New Roman"/>
                <w:sz w:val="20"/>
                <w:szCs w:val="20"/>
                <w:shd w:val="clear" w:color="auto" w:fill="FFFFFF"/>
                <w:lang w:val="fr-FR"/>
              </w:rPr>
              <w:t>orientări</w:t>
            </w:r>
            <w:proofErr w:type="spellEnd"/>
            <w:r w:rsidRPr="00E9618D">
              <w:rPr>
                <w:rFonts w:ascii="Times New Roman" w:hAnsi="Times New Roman"/>
                <w:sz w:val="20"/>
                <w:szCs w:val="20"/>
                <w:shd w:val="clear" w:color="auto" w:fill="FFFFFF"/>
                <w:lang w:val="fr-FR"/>
              </w:rPr>
              <w:t xml:space="preserve"> în </w:t>
            </w:r>
            <w:proofErr w:type="spellStart"/>
            <w:r w:rsidRPr="00E9618D">
              <w:rPr>
                <w:rFonts w:ascii="Times New Roman" w:hAnsi="Times New Roman"/>
                <w:sz w:val="20"/>
                <w:szCs w:val="20"/>
                <w:shd w:val="clear" w:color="auto" w:fill="FFFFFF"/>
                <w:lang w:val="fr-FR"/>
              </w:rPr>
              <w:t>etapa</w:t>
            </w:r>
            <w:proofErr w:type="spellEnd"/>
            <w:r w:rsidRPr="00E9618D">
              <w:rPr>
                <w:rFonts w:ascii="Times New Roman" w:hAnsi="Times New Roman"/>
                <w:sz w:val="20"/>
                <w:szCs w:val="20"/>
                <w:shd w:val="clear" w:color="auto" w:fill="FFFFFF"/>
                <w:lang w:val="fr-FR"/>
              </w:rPr>
              <w:t xml:space="preserve"> de </w:t>
            </w:r>
            <w:proofErr w:type="spellStart"/>
            <w:r w:rsidRPr="00E9618D">
              <w:rPr>
                <w:rFonts w:ascii="Times New Roman" w:hAnsi="Times New Roman"/>
                <w:sz w:val="20"/>
                <w:szCs w:val="20"/>
                <w:shd w:val="clear" w:color="auto" w:fill="FFFFFF"/>
                <w:lang w:val="fr-FR"/>
              </w:rPr>
              <w:t>elaborare</w:t>
            </w:r>
            <w:proofErr w:type="spellEnd"/>
            <w:r w:rsidRPr="00E9618D">
              <w:rPr>
                <w:rFonts w:ascii="Times New Roman" w:hAnsi="Times New Roman"/>
                <w:sz w:val="20"/>
                <w:szCs w:val="20"/>
                <w:shd w:val="clear" w:color="auto" w:fill="FFFFFF"/>
                <w:lang w:val="fr-FR"/>
              </w:rPr>
              <w:t xml:space="preserve"> și </w:t>
            </w:r>
            <w:proofErr w:type="spellStart"/>
            <w:r w:rsidRPr="00E9618D">
              <w:rPr>
                <w:rFonts w:ascii="Times New Roman" w:hAnsi="Times New Roman"/>
                <w:sz w:val="20"/>
                <w:szCs w:val="20"/>
                <w:shd w:val="clear" w:color="auto" w:fill="FFFFFF"/>
                <w:lang w:val="fr-FR"/>
              </w:rPr>
              <w:t>punere</w:t>
            </w:r>
            <w:proofErr w:type="spellEnd"/>
            <w:r w:rsidRPr="00E9618D">
              <w:rPr>
                <w:rFonts w:ascii="Times New Roman" w:hAnsi="Times New Roman"/>
                <w:sz w:val="20"/>
                <w:szCs w:val="20"/>
                <w:shd w:val="clear" w:color="auto" w:fill="FFFFFF"/>
                <w:lang w:val="fr-FR"/>
              </w:rPr>
              <w:t xml:space="preserve"> în </w:t>
            </w:r>
            <w:proofErr w:type="spellStart"/>
            <w:r w:rsidRPr="00E9618D">
              <w:rPr>
                <w:rFonts w:ascii="Times New Roman" w:hAnsi="Times New Roman"/>
                <w:sz w:val="20"/>
                <w:szCs w:val="20"/>
                <w:shd w:val="clear" w:color="auto" w:fill="FFFFFF"/>
                <w:lang w:val="fr-FR"/>
              </w:rPr>
              <w:t>practică</w:t>
            </w:r>
            <w:proofErr w:type="spellEnd"/>
            <w:r w:rsidRPr="00E9618D">
              <w:rPr>
                <w:rFonts w:ascii="Times New Roman" w:hAnsi="Times New Roman"/>
                <w:sz w:val="20"/>
                <w:szCs w:val="20"/>
                <w:shd w:val="clear" w:color="auto" w:fill="FFFFFF"/>
                <w:lang w:val="fr-FR"/>
              </w:rPr>
              <w:t xml:space="preserve"> a </w:t>
            </w:r>
            <w:proofErr w:type="spellStart"/>
            <w:r w:rsidRPr="00E9618D">
              <w:rPr>
                <w:rFonts w:ascii="Times New Roman" w:hAnsi="Times New Roman"/>
                <w:sz w:val="20"/>
                <w:szCs w:val="20"/>
                <w:shd w:val="clear" w:color="auto" w:fill="FFFFFF"/>
                <w:lang w:val="fr-FR"/>
              </w:rPr>
              <w:t>strategiilor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lor</w:t>
            </w:r>
            <w:proofErr w:type="spellEnd"/>
            <w:r w:rsidRPr="00E9618D">
              <w:rPr>
                <w:rFonts w:ascii="Times New Roman" w:hAnsi="Times New Roman"/>
                <w:sz w:val="20"/>
                <w:szCs w:val="20"/>
                <w:shd w:val="clear" w:color="auto" w:fill="FFFFFF"/>
                <w:lang w:val="fr-FR"/>
              </w:rPr>
              <w:t>.</w:t>
            </w:r>
          </w:p>
          <w:p w14:paraId="31B92CDA" w14:textId="1024DD58" w:rsidR="00CA3C7F" w:rsidRPr="003C4F9F" w:rsidRDefault="003C4F9F" w:rsidP="003C4F9F">
            <w:pPr>
              <w:pStyle w:val="ColorfulList-Accent11"/>
              <w:spacing w:after="0" w:line="240" w:lineRule="auto"/>
              <w:ind w:left="0"/>
              <w:jc w:val="both"/>
              <w:rPr>
                <w:rFonts w:ascii="Times New Roman" w:hAnsi="Times New Roman"/>
                <w:sz w:val="20"/>
                <w:szCs w:val="20"/>
                <w:lang w:val="fr-FR"/>
              </w:rPr>
            </w:pPr>
            <w:r w:rsidRPr="00E9618D">
              <w:rPr>
                <w:rFonts w:ascii="Times New Roman" w:hAnsi="Times New Roman"/>
                <w:sz w:val="20"/>
                <w:szCs w:val="20"/>
                <w:shd w:val="clear" w:color="auto" w:fill="FFFFFF"/>
                <w:lang w:val="fr-FR"/>
              </w:rPr>
              <w:t>(9)</w:t>
            </w:r>
            <w:r w:rsidR="00167704">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Comisia</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evaluează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dacă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strategiile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naționale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termen</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lung</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sunt</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adecvate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pentru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realizarea</w:t>
            </w:r>
            <w:proofErr w:type="spellEnd"/>
            <w:r w:rsidRPr="00E9618D">
              <w:rPr>
                <w:rFonts w:ascii="Times New Roman" w:hAnsi="Times New Roman"/>
                <w:sz w:val="20"/>
                <w:szCs w:val="20"/>
                <w:shd w:val="clear" w:color="auto" w:fill="FFFFFF"/>
                <w:lang w:val="fr-FR"/>
              </w:rPr>
              <w:t xml:space="preserve"> în mod </w:t>
            </w:r>
            <w:proofErr w:type="spellStart"/>
            <w:r w:rsidRPr="00E9618D">
              <w:rPr>
                <w:rFonts w:ascii="Times New Roman" w:hAnsi="Times New Roman"/>
                <w:sz w:val="20"/>
                <w:szCs w:val="20"/>
                <w:shd w:val="clear" w:color="auto" w:fill="FFFFFF"/>
                <w:lang w:val="fr-FR"/>
              </w:rPr>
              <w:t>colectiv</w:t>
            </w:r>
            <w:proofErr w:type="spellEnd"/>
            <w:r w:rsidRPr="00E9618D">
              <w:rPr>
                <w:rFonts w:ascii="Times New Roman" w:hAnsi="Times New Roman"/>
                <w:sz w:val="20"/>
                <w:szCs w:val="20"/>
                <w:shd w:val="clear" w:color="auto" w:fill="FFFFFF"/>
                <w:lang w:val="fr-FR"/>
              </w:rPr>
              <w:t xml:space="preserve"> a </w:t>
            </w:r>
            <w:proofErr w:type="spellStart"/>
            <w:r w:rsidRPr="00E9618D">
              <w:rPr>
                <w:rFonts w:ascii="Times New Roman" w:hAnsi="Times New Roman"/>
                <w:sz w:val="20"/>
                <w:szCs w:val="20"/>
                <w:shd w:val="clear" w:color="auto" w:fill="FFFFFF"/>
                <w:lang w:val="fr-FR"/>
              </w:rPr>
              <w:t>obiectivelor</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uniunii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energetice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stabilite</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articolul</w:t>
            </w:r>
            <w:proofErr w:type="spellEnd"/>
            <w:r w:rsidRPr="00E9618D">
              <w:rPr>
                <w:rFonts w:ascii="Times New Roman" w:hAnsi="Times New Roman"/>
                <w:sz w:val="20"/>
                <w:szCs w:val="20"/>
                <w:shd w:val="clear" w:color="auto" w:fill="FFFFFF"/>
                <w:lang w:val="fr-FR"/>
              </w:rPr>
              <w:t xml:space="preserve"> 1 și </w:t>
            </w:r>
            <w:proofErr w:type="spellStart"/>
            <w:r w:rsidRPr="00E9618D">
              <w:rPr>
                <w:rFonts w:ascii="Times New Roman" w:hAnsi="Times New Roman"/>
                <w:sz w:val="20"/>
                <w:szCs w:val="20"/>
                <w:shd w:val="clear" w:color="auto" w:fill="FFFFFF"/>
                <w:lang w:val="fr-FR"/>
              </w:rPr>
              <w:t>oferă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informații</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cu</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privire</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orice</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lacună</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rămasă</w:t>
            </w:r>
            <w:proofErr w:type="spellEnd"/>
            <w:r w:rsidRPr="00E9618D">
              <w:rPr>
                <w:rFonts w:ascii="Times New Roman" w:hAnsi="Times New Roman"/>
                <w:sz w:val="20"/>
                <w:szCs w:val="20"/>
                <w:shd w:val="clear" w:color="auto" w:fill="FFFFFF"/>
                <w:lang w:val="fr-FR"/>
              </w:rPr>
              <w:t xml:space="preserve"> la </w:t>
            </w:r>
            <w:proofErr w:type="spellStart"/>
            <w:r w:rsidRPr="00E9618D">
              <w:rPr>
                <w:rFonts w:ascii="Times New Roman" w:hAnsi="Times New Roman"/>
                <w:sz w:val="20"/>
                <w:szCs w:val="20"/>
                <w:shd w:val="clear" w:color="auto" w:fill="FFFFFF"/>
                <w:lang w:val="fr-FR"/>
              </w:rPr>
              <w:t>nivel</w:t>
            </w:r>
            <w:proofErr w:type="spellEnd"/>
            <w:r w:rsidRPr="00E9618D">
              <w:rPr>
                <w:rFonts w:ascii="Times New Roman" w:hAnsi="Times New Roman"/>
                <w:sz w:val="20"/>
                <w:szCs w:val="20"/>
                <w:shd w:val="clear" w:color="auto" w:fill="FFFFFF"/>
                <w:lang w:val="fr-FR"/>
              </w:rPr>
              <w:t xml:space="preserve"> </w:t>
            </w:r>
            <w:proofErr w:type="spellStart"/>
            <w:r w:rsidRPr="00E9618D">
              <w:rPr>
                <w:rFonts w:ascii="Times New Roman" w:hAnsi="Times New Roman"/>
                <w:sz w:val="20"/>
                <w:szCs w:val="20"/>
                <w:shd w:val="clear" w:color="auto" w:fill="FFFFFF"/>
                <w:lang w:val="fr-FR"/>
              </w:rPr>
              <w:t>colectiv</w:t>
            </w:r>
            <w:proofErr w:type="spellEnd"/>
            <w:r w:rsidRPr="00E9618D">
              <w:rPr>
                <w:rFonts w:ascii="Times New Roman" w:hAnsi="Times New Roman"/>
                <w:sz w:val="20"/>
                <w:szCs w:val="20"/>
                <w:shd w:val="clear" w:color="auto" w:fill="FFFFFF"/>
                <w:lang w:val="fr-FR"/>
              </w:rPr>
              <w:t>.</w:t>
            </w:r>
          </w:p>
        </w:tc>
        <w:tc>
          <w:tcPr>
            <w:tcW w:w="4440" w:type="dxa"/>
          </w:tcPr>
          <w:p w14:paraId="7EAD27D2" w14:textId="77777777" w:rsidR="00274072" w:rsidRPr="00316DA0" w:rsidRDefault="00274072" w:rsidP="00274072">
            <w:pPr>
              <w:pStyle w:val="af3"/>
              <w:shd w:val="clear" w:color="auto" w:fill="FFFFFF"/>
              <w:suppressAutoHyphens w:val="0"/>
              <w:autoSpaceDN/>
              <w:spacing w:after="0" w:line="240" w:lineRule="auto"/>
              <w:ind w:left="697"/>
              <w:contextualSpacing w:val="0"/>
              <w:jc w:val="both"/>
              <w:textAlignment w:val="auto"/>
              <w:rPr>
                <w:rFonts w:ascii="Times New Roman" w:hAnsi="Times New Roman"/>
                <w:sz w:val="20"/>
                <w:szCs w:val="20"/>
                <w:shd w:val="clear" w:color="auto" w:fill="FFFFFF"/>
                <w:lang w:val="ro-RO"/>
              </w:rPr>
            </w:pPr>
          </w:p>
          <w:p w14:paraId="190A16F2" w14:textId="5155E0A5" w:rsidR="0006078F" w:rsidRPr="003C74D7" w:rsidRDefault="0062268A" w:rsidP="0062268A">
            <w:pPr>
              <w:shd w:val="clear" w:color="auto" w:fill="FFFFFF"/>
              <w:suppressAutoHyphens w:val="0"/>
              <w:autoSpaceDN/>
              <w:spacing w:after="0" w:line="240" w:lineRule="auto"/>
              <w:jc w:val="both"/>
              <w:textAlignment w:val="auto"/>
              <w:rPr>
                <w:rFonts w:ascii="Times New Roman" w:eastAsia="Times New Roman" w:hAnsi="Times New Roman"/>
                <w:bCs/>
                <w:color w:val="000000" w:themeColor="text1"/>
                <w:sz w:val="20"/>
                <w:szCs w:val="20"/>
                <w:lang w:val="ro-MD" w:eastAsia="ru-RU"/>
              </w:rPr>
            </w:pPr>
            <w:r>
              <w:rPr>
                <w:rFonts w:ascii="Times New Roman" w:eastAsia="Times New Roman" w:hAnsi="Times New Roman"/>
                <w:b/>
                <w:sz w:val="20"/>
                <w:szCs w:val="20"/>
                <w:lang w:val="ro-MD" w:eastAsia="ru-RU"/>
              </w:rPr>
              <w:t xml:space="preserve">Articolul.33 </w:t>
            </w:r>
            <w:r w:rsidR="003C74D7" w:rsidRPr="003C74D7">
              <w:rPr>
                <w:rFonts w:ascii="Times New Roman" w:hAnsi="Times New Roman"/>
                <w:color w:val="000000" w:themeColor="text1"/>
                <w:sz w:val="20"/>
                <w:szCs w:val="20"/>
                <w:lang w:val="ro-MD" w:eastAsia="ro-RO" w:bidi="or-IN"/>
              </w:rPr>
              <w:t>Strategia de dezvoltare cu emisii reduse pe termen lung</w:t>
            </w:r>
          </w:p>
          <w:p w14:paraId="331EF9E3" w14:textId="77777777" w:rsidR="0062268A" w:rsidRPr="0062268A" w:rsidRDefault="0062268A" w:rsidP="0062268A">
            <w:pPr>
              <w:pStyle w:val="af3"/>
              <w:numPr>
                <w:ilvl w:val="0"/>
                <w:numId w:val="317"/>
              </w:numPr>
              <w:suppressAutoHyphens w:val="0"/>
              <w:autoSpaceDN/>
              <w:spacing w:after="0" w:line="240" w:lineRule="auto"/>
              <w:ind w:left="0" w:firstLine="0"/>
              <w:jc w:val="both"/>
              <w:textAlignment w:val="auto"/>
              <w:rPr>
                <w:rFonts w:ascii="Times New Roman" w:hAnsi="Times New Roman"/>
                <w:sz w:val="20"/>
                <w:szCs w:val="20"/>
                <w:lang w:val="ro-MD"/>
              </w:rPr>
            </w:pPr>
            <w:r w:rsidRPr="0062268A">
              <w:rPr>
                <w:rFonts w:ascii="Times New Roman" w:hAnsi="Times New Roman"/>
                <w:sz w:val="20"/>
                <w:szCs w:val="20"/>
                <w:lang w:val="ro-MD"/>
              </w:rPr>
              <w:t xml:space="preserve">SDER-TL </w:t>
            </w:r>
            <w:r w:rsidRPr="0062268A">
              <w:rPr>
                <w:rFonts w:ascii="Times New Roman" w:hAnsi="Times New Roman"/>
                <w:sz w:val="20"/>
                <w:szCs w:val="20"/>
                <w:shd w:val="clear" w:color="auto" w:fill="FFFFFF"/>
                <w:lang w:val="ro-MD"/>
              </w:rPr>
              <w:t xml:space="preserve">constituie documentul principal de planificare strategică, care determină politicile statului și acțiunile pentru îndeplinirea obiectivului privind neutralitatea climatică și </w:t>
            </w:r>
            <w:r w:rsidRPr="0062268A">
              <w:rPr>
                <w:rFonts w:ascii="Times New Roman" w:hAnsi="Times New Roman"/>
                <w:sz w:val="20"/>
                <w:szCs w:val="20"/>
                <w:lang w:val="ro-MD"/>
              </w:rPr>
              <w:t xml:space="preserve">contribuie la îndeplinirea angajamentelor asumate de către Republica Moldova în conformitate cu </w:t>
            </w:r>
            <w:r w:rsidRPr="0062268A">
              <w:rPr>
                <w:rFonts w:ascii="Times New Roman" w:hAnsi="Times New Roman"/>
                <w:sz w:val="20"/>
                <w:szCs w:val="20"/>
                <w:lang w:val="ro-MD" w:eastAsia="ro-RO" w:bidi="or-IN"/>
              </w:rPr>
              <w:t>CONUSC</w:t>
            </w:r>
            <w:r w:rsidRPr="0062268A">
              <w:rPr>
                <w:rFonts w:ascii="Times New Roman" w:hAnsi="Times New Roman"/>
                <w:sz w:val="20"/>
                <w:szCs w:val="20"/>
                <w:lang w:val="ro-MD"/>
              </w:rPr>
              <w:t xml:space="preserve"> și Acordul de la Paris.</w:t>
            </w:r>
          </w:p>
          <w:p w14:paraId="4665473E" w14:textId="77777777" w:rsidR="0062268A" w:rsidRPr="0062268A" w:rsidRDefault="0062268A" w:rsidP="0062268A">
            <w:pPr>
              <w:pStyle w:val="af3"/>
              <w:numPr>
                <w:ilvl w:val="0"/>
                <w:numId w:val="317"/>
              </w:numPr>
              <w:suppressAutoHyphens w:val="0"/>
              <w:autoSpaceDN/>
              <w:spacing w:after="0" w:line="240" w:lineRule="auto"/>
              <w:ind w:left="0" w:firstLine="0"/>
              <w:jc w:val="both"/>
              <w:textAlignment w:val="auto"/>
              <w:rPr>
                <w:rFonts w:ascii="Times New Roman" w:hAnsi="Times New Roman"/>
                <w:color w:val="000000"/>
                <w:sz w:val="20"/>
                <w:szCs w:val="20"/>
                <w:shd w:val="clear" w:color="auto" w:fill="FFFFFF"/>
                <w:lang w:val="ro-MD"/>
              </w:rPr>
            </w:pPr>
            <w:r w:rsidRPr="0062268A">
              <w:rPr>
                <w:rFonts w:ascii="Times New Roman" w:hAnsi="Times New Roman"/>
                <w:sz w:val="20"/>
                <w:szCs w:val="20"/>
                <w:lang w:val="ro-MD"/>
              </w:rPr>
              <w:t>SDER-TL</w:t>
            </w:r>
            <w:r w:rsidRPr="0062268A">
              <w:rPr>
                <w:rFonts w:ascii="Times New Roman" w:hAnsi="Times New Roman"/>
                <w:sz w:val="20"/>
                <w:szCs w:val="20"/>
                <w:shd w:val="clear" w:color="auto" w:fill="FFFFFF"/>
                <w:lang w:val="ro-MD"/>
              </w:rPr>
              <w:t xml:space="preserve"> se elaborează de către Ministerul Mediului </w:t>
            </w:r>
            <w:r w:rsidRPr="0062268A">
              <w:rPr>
                <w:rFonts w:ascii="Times New Roman" w:hAnsi="Times New Roman"/>
                <w:color w:val="000000"/>
                <w:sz w:val="20"/>
                <w:szCs w:val="20"/>
                <w:shd w:val="clear" w:color="auto" w:fill="FFFFFF"/>
                <w:lang w:val="ro-MD"/>
              </w:rPr>
              <w:t>în termenul prevăzut la art.65, apoi până la data de 1 ianuarie 2029 și, ulterior, la fiecare 10 ani cu o perspectivă de cel puțin 30 de ani și se actualizează la fiecare 5 ani, după caz.</w:t>
            </w:r>
          </w:p>
          <w:p w14:paraId="366ADDD5" w14:textId="77777777" w:rsidR="0062268A" w:rsidRPr="0062268A" w:rsidRDefault="0062268A" w:rsidP="0062268A">
            <w:pPr>
              <w:pStyle w:val="af3"/>
              <w:numPr>
                <w:ilvl w:val="0"/>
                <w:numId w:val="317"/>
              </w:numPr>
              <w:suppressAutoHyphens w:val="0"/>
              <w:autoSpaceDN/>
              <w:spacing w:after="0" w:line="240" w:lineRule="auto"/>
              <w:ind w:left="0" w:firstLine="0"/>
              <w:jc w:val="both"/>
              <w:textAlignment w:val="auto"/>
              <w:rPr>
                <w:rFonts w:ascii="Times New Roman" w:hAnsi="Times New Roman"/>
                <w:sz w:val="20"/>
                <w:szCs w:val="20"/>
                <w:lang w:val="ro-MD"/>
              </w:rPr>
            </w:pPr>
            <w:r w:rsidRPr="0062268A">
              <w:rPr>
                <w:rFonts w:ascii="Times New Roman" w:hAnsi="Times New Roman"/>
                <w:sz w:val="20"/>
                <w:szCs w:val="20"/>
                <w:lang w:val="ro-MD"/>
              </w:rPr>
              <w:t>SDER-TL</w:t>
            </w:r>
            <w:r w:rsidRPr="0062268A">
              <w:rPr>
                <w:rFonts w:ascii="Times New Roman" w:hAnsi="Times New Roman"/>
                <w:sz w:val="20"/>
                <w:szCs w:val="20"/>
                <w:lang w:val="ro-MD" w:eastAsia="ro-RO" w:bidi="or-IN"/>
              </w:rPr>
              <w:t xml:space="preserve"> este consecventă cu </w:t>
            </w:r>
            <w:r w:rsidRPr="0062268A">
              <w:rPr>
                <w:rFonts w:ascii="Times New Roman" w:hAnsi="Times New Roman"/>
                <w:sz w:val="20"/>
                <w:szCs w:val="20"/>
                <w:shd w:val="clear" w:color="auto" w:fill="FFFFFF"/>
                <w:lang w:val="ro-MD"/>
              </w:rPr>
              <w:t>PNIEC, care se elaborează de către Ministerul Energiei</w:t>
            </w:r>
            <w:r w:rsidRPr="0062268A">
              <w:rPr>
                <w:rFonts w:ascii="Times New Roman" w:hAnsi="Times New Roman"/>
                <w:color w:val="000000"/>
                <w:sz w:val="20"/>
                <w:szCs w:val="20"/>
                <w:lang w:val="ro-MD"/>
              </w:rPr>
              <w:t xml:space="preserve"> în conformitate cu prevederile art.7</w:t>
            </w:r>
            <w:r w:rsidRPr="0062268A">
              <w:rPr>
                <w:rFonts w:ascii="Times New Roman" w:hAnsi="Times New Roman"/>
                <w:color w:val="000000"/>
                <w:sz w:val="20"/>
                <w:szCs w:val="20"/>
                <w:vertAlign w:val="superscript"/>
                <w:lang w:val="ro-MD"/>
              </w:rPr>
              <w:t>2</w:t>
            </w:r>
            <w:r w:rsidRPr="0062268A">
              <w:rPr>
                <w:rFonts w:ascii="Times New Roman" w:hAnsi="Times New Roman"/>
                <w:color w:val="000000"/>
                <w:sz w:val="20"/>
                <w:szCs w:val="20"/>
                <w:lang w:val="ro-MD"/>
              </w:rPr>
              <w:t xml:space="preserve"> </w:t>
            </w:r>
            <w:r w:rsidRPr="0062268A">
              <w:rPr>
                <w:rFonts w:ascii="Times New Roman" w:hAnsi="Times New Roman"/>
                <w:sz w:val="20"/>
                <w:szCs w:val="20"/>
                <w:shd w:val="clear" w:color="auto" w:fill="FFFFFF"/>
                <w:lang w:val="ro-MD"/>
              </w:rPr>
              <w:t>Legii nr.</w:t>
            </w:r>
            <w:r w:rsidRPr="0062268A">
              <w:rPr>
                <w:rFonts w:ascii="Times New Roman" w:hAnsi="Times New Roman"/>
                <w:sz w:val="20"/>
                <w:szCs w:val="20"/>
                <w:lang w:val="ro-MD"/>
              </w:rPr>
              <w:t>174/2017 cu privire la energetică.</w:t>
            </w:r>
          </w:p>
          <w:p w14:paraId="3CCCF2B8" w14:textId="77777777" w:rsidR="0062268A" w:rsidRPr="0062268A" w:rsidRDefault="0062268A" w:rsidP="0062268A">
            <w:pPr>
              <w:pStyle w:val="af3"/>
              <w:numPr>
                <w:ilvl w:val="0"/>
                <w:numId w:val="317"/>
              </w:numPr>
              <w:suppressAutoHyphens w:val="0"/>
              <w:autoSpaceDN/>
              <w:spacing w:after="0" w:line="240" w:lineRule="auto"/>
              <w:ind w:left="0" w:firstLine="0"/>
              <w:jc w:val="both"/>
              <w:textAlignment w:val="auto"/>
              <w:rPr>
                <w:rFonts w:ascii="Times New Roman" w:hAnsi="Times New Roman"/>
                <w:sz w:val="20"/>
                <w:szCs w:val="20"/>
                <w:lang w:val="ro-MD"/>
              </w:rPr>
            </w:pPr>
            <w:r w:rsidRPr="0062268A">
              <w:rPr>
                <w:rFonts w:ascii="Times New Roman" w:hAnsi="Times New Roman"/>
                <w:sz w:val="20"/>
                <w:szCs w:val="20"/>
                <w:lang w:val="ro-MD"/>
              </w:rPr>
              <w:t>Cerințele privind cuprinsul SDER-TL</w:t>
            </w:r>
            <w:r w:rsidRPr="0062268A">
              <w:rPr>
                <w:rFonts w:ascii="Times New Roman" w:hAnsi="Times New Roman"/>
                <w:sz w:val="20"/>
                <w:szCs w:val="20"/>
                <w:lang w:val="ro-MD" w:eastAsia="ro-RO" w:bidi="or-IN"/>
              </w:rPr>
              <w:t xml:space="preserve"> </w:t>
            </w:r>
            <w:r w:rsidRPr="0062268A">
              <w:rPr>
                <w:rFonts w:ascii="Times New Roman" w:hAnsi="Times New Roman"/>
                <w:sz w:val="20"/>
                <w:szCs w:val="20"/>
                <w:lang w:val="ro-MD"/>
              </w:rPr>
              <w:t xml:space="preserve">sunt </w:t>
            </w:r>
            <w:r w:rsidRPr="0062268A">
              <w:rPr>
                <w:rFonts w:ascii="Times New Roman" w:hAnsi="Times New Roman"/>
                <w:color w:val="000000"/>
                <w:sz w:val="20"/>
                <w:szCs w:val="20"/>
                <w:shd w:val="clear" w:color="auto" w:fill="FFFFFF"/>
                <w:lang w:val="ro-MD"/>
              </w:rPr>
              <w:t xml:space="preserve">stabilite în </w:t>
            </w:r>
            <w:r w:rsidRPr="0062268A">
              <w:rPr>
                <w:rFonts w:ascii="Times New Roman" w:hAnsi="Times New Roman"/>
                <w:sz w:val="20"/>
                <w:szCs w:val="20"/>
                <w:lang w:val="ro-MD"/>
              </w:rPr>
              <w:t>Regulamentul privind mecanismul de guvernanță energetică și a acțiunilor climatice, aprobat de Guvern.</w:t>
            </w:r>
          </w:p>
          <w:p w14:paraId="27FA6935" w14:textId="24414B30" w:rsidR="0062268A" w:rsidRPr="00316DA0" w:rsidRDefault="0062268A" w:rsidP="00A23036">
            <w:pPr>
              <w:shd w:val="clear" w:color="auto" w:fill="FFFFFF"/>
              <w:suppressAutoHyphens w:val="0"/>
              <w:autoSpaceDN/>
              <w:spacing w:after="0" w:line="240" w:lineRule="auto"/>
              <w:jc w:val="both"/>
              <w:textAlignment w:val="auto"/>
              <w:rPr>
                <w:rFonts w:ascii="Times New Roman" w:eastAsia="Times New Roman" w:hAnsi="Times New Roman"/>
                <w:b/>
                <w:sz w:val="20"/>
                <w:szCs w:val="20"/>
                <w:lang w:val="ro-MD" w:eastAsia="ru-RU"/>
              </w:rPr>
            </w:pPr>
          </w:p>
        </w:tc>
        <w:tc>
          <w:tcPr>
            <w:tcW w:w="1276" w:type="dxa"/>
          </w:tcPr>
          <w:p w14:paraId="4CA2F111" w14:textId="4D606D3F" w:rsidR="00D37AB7" w:rsidRPr="00CA3C7F" w:rsidRDefault="007943FC" w:rsidP="00D37AB7">
            <w:pPr>
              <w:pStyle w:val="ColorfulList-Accent11"/>
              <w:spacing w:after="0" w:line="240" w:lineRule="auto"/>
              <w:ind w:left="0"/>
              <w:jc w:val="both"/>
              <w:rPr>
                <w:lang w:val="fr-FR"/>
              </w:rPr>
            </w:pPr>
            <w:r>
              <w:rPr>
                <w:rFonts w:ascii="Times New Roman" w:hAnsi="Times New Roman"/>
                <w:sz w:val="20"/>
                <w:szCs w:val="20"/>
                <w:lang w:val="ro-RO"/>
              </w:rPr>
              <w:t>C</w:t>
            </w:r>
            <w:r w:rsidR="003C4F9F" w:rsidRPr="00C951E7">
              <w:rPr>
                <w:rFonts w:ascii="Times New Roman" w:hAnsi="Times New Roman"/>
                <w:sz w:val="20"/>
                <w:szCs w:val="20"/>
                <w:lang w:val="ro-RO"/>
              </w:rPr>
              <w:t>ompatibil</w:t>
            </w:r>
          </w:p>
        </w:tc>
        <w:tc>
          <w:tcPr>
            <w:tcW w:w="1276" w:type="dxa"/>
          </w:tcPr>
          <w:p w14:paraId="2206F8B6" w14:textId="77777777" w:rsidR="00D37AB7" w:rsidRPr="00CA3C7F" w:rsidRDefault="00D37AB7" w:rsidP="00D37AB7">
            <w:pPr>
              <w:pStyle w:val="ColorfulList-Accent11"/>
              <w:spacing w:after="0" w:line="240" w:lineRule="auto"/>
              <w:ind w:left="0"/>
              <w:jc w:val="both"/>
              <w:rPr>
                <w:lang w:val="fr-FR"/>
              </w:rPr>
            </w:pPr>
          </w:p>
        </w:tc>
        <w:tc>
          <w:tcPr>
            <w:tcW w:w="1701" w:type="dxa"/>
          </w:tcPr>
          <w:p w14:paraId="69546F96" w14:textId="0445B7B1" w:rsidR="00A3277A" w:rsidRPr="00F13819" w:rsidRDefault="00A3277A" w:rsidP="00A3277A">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Termenele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DB202B">
              <w:rPr>
                <w:rFonts w:ascii="Times New Roman" w:eastAsia="Times New Roman" w:hAnsi="Times New Roman"/>
                <w:sz w:val="20"/>
                <w:szCs w:val="20"/>
                <w:lang w:val="ro-RO"/>
              </w:rPr>
              <w:t xml:space="preserve"> și </w:t>
            </w:r>
            <w:r w:rsidR="00DB202B" w:rsidRPr="00F13819">
              <w:rPr>
                <w:rFonts w:ascii="Times New Roman" w:eastAsia="Times New Roman" w:hAnsi="Times New Roman"/>
                <w:sz w:val="20"/>
                <w:szCs w:val="20"/>
                <w:lang w:val="ro-RO"/>
              </w:rPr>
              <w:t>D/202</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w:t>
            </w:r>
            <w:r w:rsidR="00DB202B">
              <w:rPr>
                <w:rFonts w:ascii="Times New Roman" w:eastAsia="Times New Roman" w:hAnsi="Times New Roman"/>
                <w:sz w:val="20"/>
                <w:szCs w:val="20"/>
                <w:lang w:val="ro-RO"/>
              </w:rPr>
              <w:t>02</w:t>
            </w:r>
            <w:r w:rsidR="00DB202B" w:rsidRPr="00F13819">
              <w:rPr>
                <w:rFonts w:ascii="Times New Roman" w:eastAsia="Times New Roman" w:hAnsi="Times New Roman"/>
                <w:sz w:val="20"/>
                <w:szCs w:val="20"/>
                <w:lang w:val="ro-RO"/>
              </w:rPr>
              <w:t>/MC-</w:t>
            </w:r>
            <w:proofErr w:type="spellStart"/>
            <w:r w:rsidR="00DB202B" w:rsidRPr="00F13819">
              <w:rPr>
                <w:rFonts w:ascii="Times New Roman" w:eastAsia="Times New Roman" w:hAnsi="Times New Roman"/>
                <w:sz w:val="20"/>
                <w:szCs w:val="20"/>
                <w:lang w:val="ro-RO"/>
              </w:rPr>
              <w:t>EnC</w:t>
            </w:r>
            <w:proofErr w:type="spellEnd"/>
            <w:r w:rsidR="00DB202B" w:rsidRPr="00F13819">
              <w:rPr>
                <w:rFonts w:ascii="Times New Roman" w:eastAsia="Times New Roman" w:hAnsi="Times New Roman"/>
                <w:sz w:val="20"/>
                <w:szCs w:val="20"/>
                <w:lang w:val="ro-RO"/>
              </w:rPr>
              <w:t xml:space="preserve"> din </w:t>
            </w:r>
            <w:r w:rsidR="00DB202B">
              <w:rPr>
                <w:rFonts w:ascii="Times New Roman" w:eastAsia="Times New Roman" w:hAnsi="Times New Roman"/>
                <w:sz w:val="20"/>
                <w:szCs w:val="20"/>
                <w:lang w:val="ro-RO"/>
              </w:rPr>
              <w:t>15</w:t>
            </w:r>
            <w:r w:rsidR="00DB202B" w:rsidRPr="00F13819">
              <w:rPr>
                <w:rFonts w:ascii="Times New Roman" w:eastAsia="Times New Roman" w:hAnsi="Times New Roman"/>
                <w:sz w:val="20"/>
                <w:szCs w:val="20"/>
                <w:lang w:val="ro-RO"/>
              </w:rPr>
              <w:t>.1</w:t>
            </w:r>
            <w:r w:rsidR="00DB202B">
              <w:rPr>
                <w:rFonts w:ascii="Times New Roman" w:eastAsia="Times New Roman" w:hAnsi="Times New Roman"/>
                <w:sz w:val="20"/>
                <w:szCs w:val="20"/>
                <w:lang w:val="ro-RO"/>
              </w:rPr>
              <w:t>2</w:t>
            </w:r>
            <w:r w:rsidR="00DB202B" w:rsidRPr="00F13819">
              <w:rPr>
                <w:rFonts w:ascii="Times New Roman" w:eastAsia="Times New Roman" w:hAnsi="Times New Roman"/>
                <w:sz w:val="20"/>
                <w:szCs w:val="20"/>
                <w:lang w:val="ro-RO"/>
              </w:rPr>
              <w:t>.202</w:t>
            </w:r>
            <w:r w:rsidR="00DB202B">
              <w:rPr>
                <w:rFonts w:ascii="Times New Roman" w:eastAsia="Times New Roman" w:hAnsi="Times New Roman"/>
                <w:sz w:val="20"/>
                <w:szCs w:val="20"/>
                <w:lang w:val="ro-RO"/>
              </w:rPr>
              <w:t>2.</w:t>
            </w:r>
          </w:p>
          <w:p w14:paraId="1EF803BC" w14:textId="77777777" w:rsidR="00D37AB7" w:rsidRDefault="00D37AB7" w:rsidP="003C4F9F">
            <w:pPr>
              <w:pStyle w:val="ColorfulList-Accent11"/>
              <w:spacing w:after="0" w:line="240" w:lineRule="auto"/>
              <w:ind w:left="0"/>
              <w:jc w:val="both"/>
              <w:rPr>
                <w:lang w:val="ro-RO"/>
              </w:rPr>
            </w:pPr>
          </w:p>
          <w:p w14:paraId="34CCC4BD" w14:textId="5A5B627A" w:rsidR="003C74D7" w:rsidRDefault="004C01A1" w:rsidP="003C74D7">
            <w:pPr>
              <w:pStyle w:val="ColorfulList-Accent11"/>
              <w:spacing w:after="0" w:line="240" w:lineRule="auto"/>
              <w:ind w:left="0"/>
              <w:jc w:val="both"/>
              <w:rPr>
                <w:lang w:val="ro-RO"/>
              </w:rPr>
            </w:pPr>
            <w:r>
              <w:rPr>
                <w:rFonts w:ascii="Times New Roman" w:eastAsia="Times New Roman" w:hAnsi="Times New Roman"/>
                <w:sz w:val="20"/>
                <w:szCs w:val="20"/>
                <w:lang w:val="ro-RO" w:eastAsia="ru-RU"/>
              </w:rPr>
              <w:t>Prevederile referitor la obiective și conținutul Strategiei pe termen lung au fost transpuse în</w:t>
            </w:r>
            <w:r w:rsidR="003C74D7">
              <w:rPr>
                <w:rFonts w:ascii="Times New Roman" w:eastAsia="Times New Roman" w:hAnsi="Times New Roman"/>
                <w:sz w:val="20"/>
                <w:szCs w:val="20"/>
                <w:lang w:val="ro-RO" w:eastAsia="ru-RU"/>
              </w:rPr>
              <w:t xml:space="preserve"> Capitolul II</w:t>
            </w:r>
            <w:r w:rsidR="003C74D7" w:rsidRPr="003C74D7">
              <w:rPr>
                <w:rFonts w:ascii="Times New Roman" w:eastAsia="Times New Roman" w:hAnsi="Times New Roman"/>
                <w:sz w:val="20"/>
                <w:szCs w:val="20"/>
                <w:vertAlign w:val="superscript"/>
                <w:lang w:val="ro-RO" w:eastAsia="ru-RU"/>
              </w:rPr>
              <w:t>2</w:t>
            </w:r>
            <w:r>
              <w:rPr>
                <w:rFonts w:ascii="Times New Roman" w:eastAsia="Times New Roman" w:hAnsi="Times New Roman"/>
                <w:sz w:val="20"/>
                <w:szCs w:val="20"/>
                <w:lang w:val="ro-RO" w:eastAsia="ru-RU"/>
              </w:rPr>
              <w:t xml:space="preserve"> </w:t>
            </w:r>
            <w:r w:rsidR="003C74D7">
              <w:rPr>
                <w:rFonts w:ascii="Times New Roman" w:eastAsia="Times New Roman" w:hAnsi="Times New Roman"/>
                <w:sz w:val="20"/>
                <w:szCs w:val="20"/>
                <w:lang w:val="ro-RO" w:eastAsia="ru-RU"/>
              </w:rPr>
              <w:t xml:space="preserve">Legea </w:t>
            </w:r>
            <w:r w:rsidR="003C74D7" w:rsidRPr="000921E9">
              <w:rPr>
                <w:rFonts w:ascii="Times New Roman" w:eastAsia="Times New Roman" w:hAnsi="Times New Roman"/>
                <w:bCs/>
                <w:sz w:val="20"/>
                <w:szCs w:val="20"/>
                <w:lang w:val="ro-MD"/>
              </w:rPr>
              <w:t>nr.174/2017 cu privire la energetică</w:t>
            </w:r>
          </w:p>
          <w:p w14:paraId="7BDA753C" w14:textId="47F45B1F" w:rsidR="004C01A1" w:rsidRPr="003C74D7" w:rsidRDefault="00967546" w:rsidP="004C01A1">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hAnsi="Times New Roman"/>
                <w:color w:val="000000" w:themeColor="text1"/>
                <w:sz w:val="20"/>
                <w:szCs w:val="20"/>
                <w:shd w:val="clear" w:color="auto" w:fill="FFFFFF"/>
                <w:lang w:val="ro-RO"/>
              </w:rPr>
              <w:t>ș</w:t>
            </w:r>
            <w:r w:rsidR="003C74D7">
              <w:rPr>
                <w:rFonts w:ascii="Times New Roman" w:hAnsi="Times New Roman"/>
                <w:color w:val="000000" w:themeColor="text1"/>
                <w:sz w:val="20"/>
                <w:szCs w:val="20"/>
                <w:shd w:val="clear" w:color="auto" w:fill="FFFFFF"/>
                <w:lang w:val="ro-RO"/>
              </w:rPr>
              <w:t>i</w:t>
            </w:r>
            <w:r>
              <w:rPr>
                <w:rFonts w:ascii="Times New Roman" w:hAnsi="Times New Roman"/>
                <w:color w:val="000000" w:themeColor="text1"/>
                <w:sz w:val="20"/>
                <w:szCs w:val="20"/>
                <w:shd w:val="clear" w:color="auto" w:fill="FFFFFF"/>
                <w:lang w:val="ro-RO"/>
              </w:rPr>
              <w:t xml:space="preserve"> la pct.37-40, pct.95 din</w:t>
            </w:r>
          </w:p>
          <w:p w14:paraId="2BB3F5A6" w14:textId="0A645BA1" w:rsidR="00B6472A" w:rsidRDefault="004C01A1" w:rsidP="004C01A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lastRenderedPageBreak/>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sidR="003C74D7">
              <w:rPr>
                <w:rFonts w:ascii="Times New Roman" w:hAnsi="Times New Roman"/>
                <w:color w:val="000000" w:themeColor="text1"/>
                <w:sz w:val="20"/>
                <w:szCs w:val="20"/>
                <w:shd w:val="clear" w:color="auto" w:fill="FFFFFF"/>
              </w:rPr>
              <w:t>.</w:t>
            </w:r>
          </w:p>
          <w:p w14:paraId="08EB47FA" w14:textId="77777777" w:rsidR="00B6472A" w:rsidRDefault="00B6472A" w:rsidP="003C4F9F">
            <w:pPr>
              <w:pStyle w:val="ColorfulList-Accent11"/>
              <w:spacing w:after="0" w:line="240" w:lineRule="auto"/>
              <w:ind w:left="0"/>
              <w:jc w:val="both"/>
              <w:rPr>
                <w:lang w:val="ro-RO"/>
              </w:rPr>
            </w:pPr>
          </w:p>
          <w:p w14:paraId="0080284D" w14:textId="7E100B66" w:rsidR="00B6472A" w:rsidRPr="003C4F9F" w:rsidRDefault="00B6472A" w:rsidP="003C4F9F">
            <w:pPr>
              <w:pStyle w:val="ColorfulList-Accent11"/>
              <w:spacing w:after="0" w:line="240" w:lineRule="auto"/>
              <w:ind w:left="0"/>
              <w:jc w:val="both"/>
              <w:rPr>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0FC4311C" w14:textId="77777777" w:rsidR="007943FC" w:rsidRDefault="007943FC" w:rsidP="003C4F9F">
            <w:pPr>
              <w:autoSpaceDE w:val="0"/>
              <w:spacing w:after="0" w:line="240" w:lineRule="auto"/>
              <w:rPr>
                <w:rFonts w:ascii="Times New Roman" w:hAnsi="Times New Roman"/>
                <w:sz w:val="20"/>
                <w:szCs w:val="20"/>
                <w:lang w:val="fr-FR"/>
              </w:rPr>
            </w:pPr>
            <w:r w:rsidRPr="003C4F9F">
              <w:rPr>
                <w:rFonts w:ascii="Times New Roman" w:hAnsi="Times New Roman"/>
                <w:sz w:val="20"/>
                <w:szCs w:val="20"/>
                <w:lang w:val="ro-RO"/>
              </w:rPr>
              <w:lastRenderedPageBreak/>
              <w:t>Ministerul Mediului</w:t>
            </w:r>
            <w:r w:rsidRPr="003F755D">
              <w:rPr>
                <w:rFonts w:ascii="Times New Roman" w:hAnsi="Times New Roman"/>
                <w:sz w:val="20"/>
                <w:szCs w:val="20"/>
                <w:lang w:val="fr-FR"/>
              </w:rPr>
              <w:t xml:space="preserve"> </w:t>
            </w:r>
          </w:p>
          <w:p w14:paraId="3908ACCA" w14:textId="77777777" w:rsidR="007943FC" w:rsidRDefault="007943FC" w:rsidP="003C4F9F">
            <w:pPr>
              <w:autoSpaceDE w:val="0"/>
              <w:spacing w:after="0" w:line="240" w:lineRule="auto"/>
              <w:rPr>
                <w:rFonts w:ascii="Times New Roman" w:hAnsi="Times New Roman"/>
                <w:sz w:val="20"/>
                <w:szCs w:val="20"/>
                <w:lang w:val="fr-FR"/>
              </w:rPr>
            </w:pPr>
          </w:p>
          <w:p w14:paraId="18C4336A" w14:textId="6DA313F3" w:rsidR="003C4F9F" w:rsidRPr="003F755D" w:rsidRDefault="003C4F9F" w:rsidP="003C4F9F">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3B17F3" w:rsidRPr="00A81801">
              <w:rPr>
                <w:rFonts w:ascii="Times New Roman" w:hAnsi="Times New Roman"/>
                <w:color w:val="000000" w:themeColor="text1"/>
                <w:sz w:val="20"/>
                <w:szCs w:val="20"/>
              </w:rPr>
              <w:t>Energiei</w:t>
            </w:r>
          </w:p>
          <w:p w14:paraId="0E56DF57" w14:textId="77777777" w:rsidR="00D37AB7" w:rsidRDefault="00D37AB7" w:rsidP="00D37AB7">
            <w:pPr>
              <w:pStyle w:val="ColorfulList-Accent11"/>
              <w:spacing w:after="0" w:line="240" w:lineRule="auto"/>
              <w:ind w:left="0"/>
              <w:jc w:val="both"/>
              <w:rPr>
                <w:lang w:val="ro-RO"/>
              </w:rPr>
            </w:pPr>
          </w:p>
          <w:p w14:paraId="4F96BEB4" w14:textId="19E11921" w:rsidR="003C4F9F" w:rsidRPr="003C4F9F" w:rsidRDefault="003C4F9F" w:rsidP="00D37AB7">
            <w:pPr>
              <w:pStyle w:val="ColorfulList-Accent11"/>
              <w:spacing w:after="0" w:line="240" w:lineRule="auto"/>
              <w:ind w:left="0"/>
              <w:jc w:val="both"/>
              <w:rPr>
                <w:rFonts w:ascii="Times New Roman" w:hAnsi="Times New Roman"/>
                <w:sz w:val="20"/>
                <w:szCs w:val="20"/>
                <w:lang w:val="ro-RO"/>
              </w:rPr>
            </w:pPr>
          </w:p>
        </w:tc>
      </w:tr>
      <w:tr w:rsidR="00D37AB7" w:rsidRPr="007A403F" w14:paraId="0F640C98" w14:textId="77777777" w:rsidTr="00A90105">
        <w:tc>
          <w:tcPr>
            <w:tcW w:w="4945" w:type="dxa"/>
          </w:tcPr>
          <w:p w14:paraId="0909FE9F" w14:textId="77777777" w:rsidR="00D37AB7" w:rsidRPr="00A23036" w:rsidRDefault="00D37AB7" w:rsidP="003C4F9F">
            <w:pPr>
              <w:spacing w:after="0" w:line="240" w:lineRule="auto"/>
              <w:jc w:val="center"/>
              <w:rPr>
                <w:rFonts w:ascii="Times New Roman" w:hAnsi="Times New Roman"/>
                <w:sz w:val="20"/>
                <w:szCs w:val="20"/>
                <w:lang w:val="en-US" w:eastAsia="ru-RU"/>
              </w:rPr>
            </w:pPr>
            <w:proofErr w:type="spellStart"/>
            <w:r w:rsidRPr="00A23036">
              <w:rPr>
                <w:rFonts w:ascii="Times New Roman" w:hAnsi="Times New Roman"/>
                <w:sz w:val="20"/>
                <w:szCs w:val="20"/>
                <w:lang w:val="en-US" w:eastAsia="ru-RU"/>
              </w:rPr>
              <w:lastRenderedPageBreak/>
              <w:t>Articolul</w:t>
            </w:r>
            <w:proofErr w:type="spellEnd"/>
            <w:r w:rsidRPr="00A23036">
              <w:rPr>
                <w:rFonts w:ascii="Times New Roman" w:hAnsi="Times New Roman"/>
                <w:sz w:val="20"/>
                <w:szCs w:val="20"/>
                <w:lang w:val="en-US" w:eastAsia="ru-RU"/>
              </w:rPr>
              <w:t xml:space="preserve"> 16</w:t>
            </w:r>
          </w:p>
          <w:p w14:paraId="5F79C080" w14:textId="77777777" w:rsidR="00D37AB7" w:rsidRPr="00A23036" w:rsidRDefault="00D37AB7" w:rsidP="003C4F9F">
            <w:pPr>
              <w:spacing w:after="0" w:line="240" w:lineRule="auto"/>
              <w:jc w:val="center"/>
              <w:rPr>
                <w:rFonts w:ascii="Times New Roman" w:hAnsi="Times New Roman"/>
                <w:b/>
                <w:bCs/>
                <w:sz w:val="20"/>
                <w:szCs w:val="20"/>
                <w:lang w:val="en-US" w:eastAsia="ru-RU"/>
              </w:rPr>
            </w:pPr>
            <w:r w:rsidRPr="00A23036">
              <w:rPr>
                <w:rFonts w:ascii="Times New Roman" w:hAnsi="Times New Roman"/>
                <w:b/>
                <w:bCs/>
                <w:sz w:val="20"/>
                <w:szCs w:val="20"/>
                <w:lang w:val="en-US" w:eastAsia="ru-RU"/>
              </w:rPr>
              <w:t xml:space="preserve">Plan strategic </w:t>
            </w:r>
            <w:proofErr w:type="spellStart"/>
            <w:r w:rsidRPr="00A23036">
              <w:rPr>
                <w:rFonts w:ascii="Times New Roman" w:hAnsi="Times New Roman"/>
                <w:b/>
                <w:bCs/>
                <w:sz w:val="20"/>
                <w:szCs w:val="20"/>
                <w:lang w:val="en-US" w:eastAsia="ru-RU"/>
              </w:rPr>
              <w:t>privind</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metanul</w:t>
            </w:r>
            <w:proofErr w:type="spellEnd"/>
          </w:p>
          <w:p w14:paraId="1FC9D28E" w14:textId="00179D55" w:rsidR="00D37AB7" w:rsidRPr="003C4F9F" w:rsidRDefault="00D37AB7" w:rsidP="003C4F9F">
            <w:pPr>
              <w:jc w:val="both"/>
              <w:rPr>
                <w:rFonts w:ascii="Times New Roman" w:hAnsi="Times New Roman"/>
                <w:sz w:val="20"/>
                <w:szCs w:val="20"/>
                <w:lang w:val="en-US" w:eastAsia="ru-RU"/>
              </w:rPr>
            </w:pPr>
            <w:proofErr w:type="spellStart"/>
            <w:r w:rsidRPr="00A23036">
              <w:rPr>
                <w:rFonts w:ascii="Times New Roman" w:hAnsi="Times New Roman"/>
                <w:sz w:val="20"/>
                <w:szCs w:val="20"/>
                <w:lang w:val="en-US" w:eastAsia="ru-RU"/>
              </w:rPr>
              <w:t>Dat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fiind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potențialul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ridicat</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încălzire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globală</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durata</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viață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relativ</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scurtă</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atmosferă</w:t>
            </w:r>
            <w:proofErr w:type="spell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metanului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Comisia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analizează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implicațiile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pentru</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punerea</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practică</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politici</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măsuri</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vederea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reducerii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impactului</w:t>
            </w:r>
            <w:proofErr w:type="spellEnd"/>
            <w:r w:rsidRPr="00A23036">
              <w:rPr>
                <w:rFonts w:ascii="Times New Roman" w:hAnsi="Times New Roman"/>
                <w:sz w:val="20"/>
                <w:szCs w:val="20"/>
                <w:lang w:val="en-US" w:eastAsia="ru-RU"/>
              </w:rPr>
              <w:t xml:space="preserve"> pe termen </w:t>
            </w:r>
            <w:proofErr w:type="spellStart"/>
            <w:r w:rsidRPr="00A23036">
              <w:rPr>
                <w:rFonts w:ascii="Times New Roman" w:hAnsi="Times New Roman"/>
                <w:sz w:val="20"/>
                <w:szCs w:val="20"/>
                <w:lang w:val="en-US" w:eastAsia="ru-RU"/>
              </w:rPr>
              <w:t>scurt</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mediu</w:t>
            </w:r>
            <w:proofErr w:type="spellEnd"/>
            <w:r w:rsidRPr="00A23036">
              <w:rPr>
                <w:rFonts w:ascii="Times New Roman" w:hAnsi="Times New Roman"/>
                <w:sz w:val="20"/>
                <w:szCs w:val="20"/>
                <w:lang w:val="en-US" w:eastAsia="ru-RU"/>
              </w:rPr>
              <w:t xml:space="preserve"> al </w:t>
            </w:r>
            <w:proofErr w:type="spellStart"/>
            <w:r w:rsidRPr="00A23036">
              <w:rPr>
                <w:rFonts w:ascii="Times New Roman" w:hAnsi="Times New Roman"/>
                <w:sz w:val="20"/>
                <w:szCs w:val="20"/>
                <w:lang w:val="en-US" w:eastAsia="ru-RU"/>
              </w:rPr>
              <w:t>emisiilor</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metan</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asupra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emisiilor</w:t>
            </w:r>
            <w:proofErr w:type="spellEnd"/>
            <w:r w:rsidRPr="00A23036">
              <w:rPr>
                <w:rFonts w:ascii="Times New Roman" w:hAnsi="Times New Roman"/>
                <w:sz w:val="20"/>
                <w:szCs w:val="20"/>
                <w:lang w:val="en-US" w:eastAsia="ru-RU"/>
              </w:rPr>
              <w:t xml:space="preserve"> de gaze cu </w:t>
            </w:r>
            <w:proofErr w:type="spellStart"/>
            <w:r w:rsidRPr="00A23036">
              <w:rPr>
                <w:rFonts w:ascii="Times New Roman" w:hAnsi="Times New Roman"/>
                <w:sz w:val="20"/>
                <w:szCs w:val="20"/>
                <w:lang w:val="en-US" w:eastAsia="ru-RU"/>
              </w:rPr>
              <w:t>efect</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seră</w:t>
            </w:r>
            <w:proofErr w:type="spellEnd"/>
            <w:r w:rsidRPr="00A23036">
              <w:rPr>
                <w:rFonts w:ascii="Times New Roman" w:hAnsi="Times New Roman"/>
                <w:sz w:val="20"/>
                <w:szCs w:val="20"/>
                <w:lang w:val="en-US" w:eastAsia="ru-RU"/>
              </w:rPr>
              <w:t xml:space="preserve"> ale </w:t>
            </w:r>
            <w:proofErr w:type="spellStart"/>
            <w:r w:rsidRPr="00A23036">
              <w:rPr>
                <w:rFonts w:ascii="Times New Roman" w:hAnsi="Times New Roman"/>
                <w:sz w:val="20"/>
                <w:szCs w:val="20"/>
                <w:lang w:val="en-US" w:eastAsia="ru-RU"/>
              </w:rPr>
              <w:t>Uniunii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Luând</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considerare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obiectivele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economiei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circulare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după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caz</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Comisia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analizează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opțiunile</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politică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pentru</w:t>
            </w:r>
            <w:proofErr w:type="spellEnd"/>
            <w:r w:rsidRPr="00A23036">
              <w:rPr>
                <w:rFonts w:ascii="Times New Roman" w:hAnsi="Times New Roman"/>
                <w:sz w:val="20"/>
                <w:szCs w:val="20"/>
                <w:lang w:val="en-US" w:eastAsia="ru-RU"/>
              </w:rPr>
              <w:t xml:space="preserve"> </w:t>
            </w:r>
            <w:proofErr w:type="gramStart"/>
            <w:r w:rsidRPr="00A23036">
              <w:rPr>
                <w:rFonts w:ascii="Times New Roman" w:hAnsi="Times New Roman"/>
                <w:sz w:val="20"/>
                <w:szCs w:val="20"/>
                <w:lang w:val="en-US" w:eastAsia="ru-RU"/>
              </w:rPr>
              <w:t>a</w:t>
            </w:r>
            <w:proofErr w:type="gram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aborda</w:t>
            </w:r>
            <w:proofErr w:type="spellEnd"/>
            <w:r w:rsidRPr="00A23036">
              <w:rPr>
                <w:rFonts w:ascii="Times New Roman" w:hAnsi="Times New Roman"/>
                <w:sz w:val="20"/>
                <w:szCs w:val="20"/>
                <w:lang w:val="en-US" w:eastAsia="ru-RU"/>
              </w:rPr>
              <w:t xml:space="preserve"> rapid </w:t>
            </w:r>
            <w:proofErr w:type="spellStart"/>
            <w:r w:rsidRPr="00A23036">
              <w:rPr>
                <w:rFonts w:ascii="Times New Roman" w:hAnsi="Times New Roman"/>
                <w:sz w:val="20"/>
                <w:szCs w:val="20"/>
                <w:lang w:val="en-US" w:eastAsia="ru-RU"/>
              </w:rPr>
              <w:t>problema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emisiilor</w:t>
            </w:r>
            <w:proofErr w:type="spellEnd"/>
            <w:r w:rsidRPr="00A23036">
              <w:rPr>
                <w:rFonts w:ascii="Times New Roman" w:hAnsi="Times New Roman"/>
                <w:sz w:val="20"/>
                <w:szCs w:val="20"/>
                <w:lang w:val="en-US" w:eastAsia="ru-RU"/>
              </w:rPr>
              <w:t xml:space="preserve"> de </w:t>
            </w:r>
            <w:proofErr w:type="spellStart"/>
            <w:r w:rsidRPr="00A23036">
              <w:rPr>
                <w:rFonts w:ascii="Times New Roman" w:hAnsi="Times New Roman"/>
                <w:sz w:val="20"/>
                <w:szCs w:val="20"/>
                <w:lang w:val="en-US" w:eastAsia="ru-RU"/>
              </w:rPr>
              <w:t>metan</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prezintă</w:t>
            </w:r>
            <w:proofErr w:type="spellEnd"/>
            <w:r w:rsidRPr="00A23036">
              <w:rPr>
                <w:rFonts w:ascii="Times New Roman" w:hAnsi="Times New Roman"/>
                <w:sz w:val="20"/>
                <w:szCs w:val="20"/>
                <w:lang w:val="en-US" w:eastAsia="ru-RU"/>
              </w:rPr>
              <w:t xml:space="preserve"> un plan strategic al </w:t>
            </w:r>
            <w:proofErr w:type="spellStart"/>
            <w:r w:rsidRPr="00A23036">
              <w:rPr>
                <w:rFonts w:ascii="Times New Roman" w:hAnsi="Times New Roman"/>
                <w:sz w:val="20"/>
                <w:szCs w:val="20"/>
                <w:lang w:val="en-US" w:eastAsia="ru-RU"/>
              </w:rPr>
              <w:t>Uniunii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metanul</w:t>
            </w:r>
            <w:proofErr w:type="spellEnd"/>
            <w:r w:rsidRPr="00A23036">
              <w:rPr>
                <w:rFonts w:ascii="Times New Roman" w:hAnsi="Times New Roman"/>
                <w:sz w:val="20"/>
                <w:szCs w:val="20"/>
                <w:lang w:val="en-US" w:eastAsia="ru-RU"/>
              </w:rPr>
              <w:t xml:space="preserve">, ca </w:t>
            </w:r>
            <w:proofErr w:type="spellStart"/>
            <w:r w:rsidRPr="00A23036">
              <w:rPr>
                <w:rFonts w:ascii="Times New Roman" w:hAnsi="Times New Roman"/>
                <w:sz w:val="20"/>
                <w:szCs w:val="20"/>
                <w:lang w:val="en-US" w:eastAsia="ru-RU"/>
              </w:rPr>
              <w:t>parte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integrantă</w:t>
            </w:r>
            <w:proofErr w:type="spell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strategiei</w:t>
            </w:r>
            <w:proofErr w:type="spellEnd"/>
            <w:r w:rsidRPr="00A23036">
              <w:rPr>
                <w:rFonts w:ascii="Times New Roman" w:hAnsi="Times New Roman"/>
                <w:sz w:val="20"/>
                <w:szCs w:val="20"/>
                <w:lang w:val="en-US" w:eastAsia="ru-RU"/>
              </w:rPr>
              <w:t xml:space="preserve"> pe termen lung a </w:t>
            </w:r>
            <w:proofErr w:type="spellStart"/>
            <w:r w:rsidRPr="00A23036">
              <w:rPr>
                <w:rFonts w:ascii="Times New Roman" w:hAnsi="Times New Roman"/>
                <w:sz w:val="20"/>
                <w:szCs w:val="20"/>
                <w:lang w:val="en-US" w:eastAsia="ru-RU"/>
              </w:rPr>
              <w:t>Uniunii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menționate</w:t>
            </w:r>
            <w:proofErr w:type="spellEnd"/>
            <w:r w:rsidRPr="00A23036">
              <w:rPr>
                <w:rFonts w:ascii="Times New Roman" w:hAnsi="Times New Roman"/>
                <w:sz w:val="20"/>
                <w:szCs w:val="20"/>
                <w:lang w:val="en-US" w:eastAsia="ru-RU"/>
              </w:rPr>
              <w:t xml:space="preserve"> la </w:t>
            </w:r>
            <w:proofErr w:type="spellStart"/>
            <w:r w:rsidRPr="00A23036">
              <w:rPr>
                <w:rFonts w:ascii="Times New Roman" w:hAnsi="Times New Roman"/>
                <w:sz w:val="20"/>
                <w:szCs w:val="20"/>
                <w:lang w:val="en-US" w:eastAsia="ru-RU"/>
              </w:rPr>
              <w:t>articolul</w:t>
            </w:r>
            <w:proofErr w:type="spellEnd"/>
            <w:r w:rsidR="003C4F9F" w:rsidRPr="00A23036">
              <w:rPr>
                <w:rFonts w:ascii="Times New Roman" w:hAnsi="Times New Roman"/>
                <w:sz w:val="20"/>
                <w:szCs w:val="20"/>
                <w:lang w:val="en-US" w:eastAsia="ru-RU"/>
              </w:rPr>
              <w:t xml:space="preserve"> </w:t>
            </w:r>
            <w:r w:rsidRPr="00A23036">
              <w:rPr>
                <w:rFonts w:ascii="Times New Roman" w:hAnsi="Times New Roman"/>
                <w:sz w:val="20"/>
                <w:szCs w:val="20"/>
                <w:lang w:val="en-US" w:eastAsia="ru-RU"/>
              </w:rPr>
              <w:t>15.</w:t>
            </w:r>
          </w:p>
        </w:tc>
        <w:tc>
          <w:tcPr>
            <w:tcW w:w="4440" w:type="dxa"/>
          </w:tcPr>
          <w:p w14:paraId="32303737" w14:textId="0E0687AE" w:rsidR="00167704" w:rsidRPr="00167704" w:rsidRDefault="00167704" w:rsidP="00167704">
            <w:pPr>
              <w:pStyle w:val="af3"/>
              <w:suppressAutoHyphens w:val="0"/>
              <w:autoSpaceDN/>
              <w:spacing w:after="0" w:line="240" w:lineRule="auto"/>
              <w:ind w:left="0"/>
              <w:jc w:val="both"/>
              <w:textAlignment w:val="auto"/>
              <w:rPr>
                <w:rFonts w:ascii="Times New Roman" w:eastAsia="Arial Unicode MS" w:hAnsi="Times New Roman"/>
                <w:bCs/>
                <w:color w:val="000000" w:themeColor="text1"/>
                <w:sz w:val="20"/>
                <w:szCs w:val="20"/>
                <w:shd w:val="clear" w:color="auto" w:fill="FFFFFF"/>
                <w:lang w:val="ro-MD"/>
              </w:rPr>
            </w:pPr>
            <w:r>
              <w:rPr>
                <w:rFonts w:ascii="Times New Roman" w:eastAsia="Times New Roman" w:hAnsi="Times New Roman"/>
                <w:b/>
                <w:sz w:val="20"/>
                <w:szCs w:val="20"/>
                <w:lang w:val="ro-MD" w:eastAsia="ru-RU"/>
              </w:rPr>
              <w:t xml:space="preserve">Articolul.37 </w:t>
            </w:r>
            <w:r>
              <w:rPr>
                <w:rFonts w:ascii="Times New Roman" w:eastAsia="Times New Roman" w:hAnsi="Times New Roman"/>
                <w:bCs/>
                <w:sz w:val="20"/>
                <w:szCs w:val="20"/>
                <w:lang w:val="ro-MD" w:eastAsia="ru-RU"/>
              </w:rPr>
              <w:t>Planul strategic privind metanul</w:t>
            </w:r>
          </w:p>
          <w:p w14:paraId="5A3275FB" w14:textId="4E3068C5" w:rsidR="00167704" w:rsidRPr="00167704" w:rsidRDefault="00167704" w:rsidP="00167704">
            <w:pPr>
              <w:pStyle w:val="af3"/>
              <w:numPr>
                <w:ilvl w:val="0"/>
                <w:numId w:val="318"/>
              </w:numPr>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ro-MD"/>
              </w:rPr>
            </w:pPr>
            <w:r w:rsidRPr="00167704">
              <w:rPr>
                <w:rFonts w:ascii="Times New Roman" w:hAnsi="Times New Roman"/>
                <w:color w:val="000000" w:themeColor="text1"/>
                <w:sz w:val="20"/>
                <w:szCs w:val="20"/>
                <w:shd w:val="clear" w:color="auto" w:fill="FFFFFF"/>
                <w:lang w:val="ro-MD"/>
              </w:rPr>
              <w:t xml:space="preserve">Planul strategic privind metanul stabilește politicile și măsurile pentru atingerea obiectivelor de </w:t>
            </w:r>
            <w:r w:rsidRPr="00167704">
              <w:rPr>
                <w:rFonts w:ascii="Times New Roman" w:eastAsia="Arial Unicode MS" w:hAnsi="Times New Roman"/>
                <w:color w:val="000000" w:themeColor="text1"/>
                <w:sz w:val="20"/>
                <w:szCs w:val="20"/>
                <w:shd w:val="clear" w:color="auto" w:fill="FFFFFF"/>
                <w:lang w:val="ro-MD"/>
              </w:rPr>
              <w:t>reducere a impactului pe termen scurt și mediu al emisiilor de metan asupra totalul emisiilor de GES</w:t>
            </w:r>
            <w:r w:rsidRPr="00167704">
              <w:rPr>
                <w:rFonts w:ascii="Times New Roman" w:hAnsi="Times New Roman"/>
                <w:color w:val="000000" w:themeColor="text1"/>
                <w:sz w:val="20"/>
                <w:szCs w:val="20"/>
                <w:shd w:val="clear" w:color="auto" w:fill="FFFFFF"/>
                <w:lang w:val="ro-MD"/>
              </w:rPr>
              <w:t xml:space="preserve">, luând în considerare </w:t>
            </w:r>
            <w:r w:rsidRPr="00167704">
              <w:rPr>
                <w:rFonts w:ascii="Times New Roman" w:eastAsia="Arial Unicode MS" w:hAnsi="Times New Roman"/>
                <w:color w:val="000000" w:themeColor="text1"/>
                <w:sz w:val="20"/>
                <w:szCs w:val="20"/>
                <w:shd w:val="clear" w:color="auto" w:fill="FFFFFF"/>
                <w:lang w:val="ro-MD"/>
              </w:rPr>
              <w:t>PÎG și durata de viață relativ scurtă a metanului în atmosferă, precum și se ia în considerare obiectivele economiei circulare, după caz.</w:t>
            </w:r>
          </w:p>
          <w:p w14:paraId="1C9F6223" w14:textId="5C7D205B" w:rsidR="00D37AB7" w:rsidRPr="00077DF7" w:rsidRDefault="00167704" w:rsidP="00077DF7">
            <w:pPr>
              <w:pStyle w:val="af3"/>
              <w:numPr>
                <w:ilvl w:val="0"/>
                <w:numId w:val="318"/>
              </w:numPr>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ro-MD"/>
              </w:rPr>
            </w:pPr>
            <w:r w:rsidRPr="00167704">
              <w:rPr>
                <w:rFonts w:ascii="Times New Roman" w:hAnsi="Times New Roman"/>
                <w:color w:val="000000" w:themeColor="text1"/>
                <w:sz w:val="20"/>
                <w:szCs w:val="20"/>
                <w:lang w:val="ro-MD"/>
              </w:rPr>
              <w:t>Ministerul Mediului ia în considerare opțiunile de politică pentru a aborda rapid problema emisiilor de metan și elaborează Planul strategic privind metanul.</w:t>
            </w:r>
          </w:p>
        </w:tc>
        <w:tc>
          <w:tcPr>
            <w:tcW w:w="1276" w:type="dxa"/>
          </w:tcPr>
          <w:p w14:paraId="430C7F90" w14:textId="77777777" w:rsidR="00A473BC" w:rsidRDefault="00A473BC" w:rsidP="00A473BC">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Parțial</w:t>
            </w:r>
          </w:p>
          <w:p w14:paraId="2984964F" w14:textId="51867F8B" w:rsidR="00D37AB7" w:rsidRDefault="00A473BC" w:rsidP="00A473BC">
            <w:pPr>
              <w:pStyle w:val="ColorfulList-Accent11"/>
              <w:spacing w:after="0" w:line="240" w:lineRule="auto"/>
              <w:ind w:left="0"/>
              <w:jc w:val="both"/>
              <w:rPr>
                <w:lang w:val="en-US"/>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5E871403" w14:textId="77777777" w:rsidR="00D37AB7" w:rsidRDefault="00D37AB7" w:rsidP="00D37AB7">
            <w:pPr>
              <w:pStyle w:val="ColorfulList-Accent11"/>
              <w:spacing w:after="0" w:line="240" w:lineRule="auto"/>
              <w:ind w:left="0"/>
              <w:jc w:val="both"/>
              <w:rPr>
                <w:lang w:val="en-US"/>
              </w:rPr>
            </w:pPr>
          </w:p>
        </w:tc>
        <w:tc>
          <w:tcPr>
            <w:tcW w:w="1701" w:type="dxa"/>
          </w:tcPr>
          <w:p w14:paraId="7F17A395" w14:textId="48F76A0B" w:rsidR="00D37AB7" w:rsidRPr="007A403F" w:rsidRDefault="00D37AB7" w:rsidP="00167704">
            <w:pPr>
              <w:autoSpaceDE w:val="0"/>
              <w:spacing w:after="0" w:line="240" w:lineRule="auto"/>
              <w:rPr>
                <w:lang w:val="ro-RO"/>
              </w:rPr>
            </w:pPr>
          </w:p>
        </w:tc>
        <w:tc>
          <w:tcPr>
            <w:tcW w:w="1460" w:type="dxa"/>
          </w:tcPr>
          <w:p w14:paraId="65EBCAED" w14:textId="77777777" w:rsidR="00D37AB7" w:rsidRDefault="007A403F" w:rsidP="007A403F">
            <w:pPr>
              <w:pStyle w:val="ColorfulList-Accent11"/>
              <w:spacing w:after="0" w:line="240" w:lineRule="auto"/>
              <w:ind w:left="0"/>
              <w:jc w:val="both"/>
              <w:rPr>
                <w:rFonts w:ascii="Times New Roman" w:hAnsi="Times New Roman"/>
                <w:sz w:val="20"/>
                <w:szCs w:val="20"/>
                <w:lang w:val="ro-RO"/>
              </w:rPr>
            </w:pPr>
            <w:r w:rsidRPr="003C4F9F">
              <w:rPr>
                <w:rFonts w:ascii="Times New Roman" w:hAnsi="Times New Roman"/>
                <w:sz w:val="20"/>
                <w:szCs w:val="20"/>
                <w:lang w:val="ro-RO"/>
              </w:rPr>
              <w:t>Ministerul Mediului</w:t>
            </w:r>
          </w:p>
          <w:p w14:paraId="21D4E601" w14:textId="77777777" w:rsidR="007675A5" w:rsidRDefault="007675A5" w:rsidP="007A403F">
            <w:pPr>
              <w:pStyle w:val="ColorfulList-Accent11"/>
              <w:spacing w:after="0" w:line="240" w:lineRule="auto"/>
              <w:ind w:left="0"/>
              <w:jc w:val="both"/>
              <w:rPr>
                <w:rFonts w:ascii="Times New Roman" w:hAnsi="Times New Roman"/>
                <w:sz w:val="20"/>
                <w:szCs w:val="20"/>
                <w:lang w:val="ro-RO"/>
              </w:rPr>
            </w:pPr>
          </w:p>
          <w:p w14:paraId="48EB8BEE" w14:textId="2958A289" w:rsidR="007675A5" w:rsidRPr="007A403F" w:rsidRDefault="007675A5" w:rsidP="00A473BC">
            <w:pPr>
              <w:autoSpaceDE w:val="0"/>
              <w:spacing w:after="0" w:line="240" w:lineRule="auto"/>
              <w:rPr>
                <w:lang w:val="ro-RO"/>
              </w:rPr>
            </w:pPr>
          </w:p>
        </w:tc>
      </w:tr>
      <w:tr w:rsidR="00D37AB7" w:rsidRPr="00F5326B" w14:paraId="5146B801" w14:textId="77777777" w:rsidTr="00A90105">
        <w:tc>
          <w:tcPr>
            <w:tcW w:w="4945" w:type="dxa"/>
          </w:tcPr>
          <w:p w14:paraId="1C2EABE5" w14:textId="77777777" w:rsidR="00D37AB7" w:rsidRPr="00A23036" w:rsidRDefault="00D37AB7" w:rsidP="002D3CCB">
            <w:pPr>
              <w:spacing w:after="0" w:line="240" w:lineRule="auto"/>
              <w:jc w:val="center"/>
              <w:rPr>
                <w:rFonts w:ascii="Times New Roman" w:hAnsi="Times New Roman"/>
                <w:b/>
                <w:bCs/>
                <w:sz w:val="20"/>
                <w:szCs w:val="20"/>
                <w:lang w:val="en-US" w:eastAsia="ru-RU"/>
              </w:rPr>
            </w:pPr>
            <w:r w:rsidRPr="00A23036">
              <w:rPr>
                <w:rFonts w:ascii="Times New Roman" w:hAnsi="Times New Roman"/>
                <w:b/>
                <w:bCs/>
                <w:sz w:val="20"/>
                <w:szCs w:val="20"/>
                <w:lang w:val="en-US" w:eastAsia="ru-RU"/>
              </w:rPr>
              <w:t>CAPITOLUL 4</w:t>
            </w:r>
          </w:p>
          <w:p w14:paraId="4585411D" w14:textId="77777777" w:rsidR="00D37AB7" w:rsidRPr="00A23036" w:rsidRDefault="00D37AB7" w:rsidP="002D3CCB">
            <w:pPr>
              <w:spacing w:after="0" w:line="240" w:lineRule="auto"/>
              <w:jc w:val="center"/>
              <w:rPr>
                <w:rFonts w:ascii="Times New Roman" w:hAnsi="Times New Roman"/>
                <w:b/>
                <w:bCs/>
                <w:sz w:val="20"/>
                <w:szCs w:val="20"/>
                <w:lang w:val="en-US" w:eastAsia="ru-RU"/>
              </w:rPr>
            </w:pPr>
            <w:proofErr w:type="spellStart"/>
            <w:r w:rsidRPr="00A23036">
              <w:rPr>
                <w:rFonts w:ascii="Times New Roman" w:hAnsi="Times New Roman"/>
                <w:b/>
                <w:bCs/>
                <w:sz w:val="20"/>
                <w:szCs w:val="20"/>
                <w:lang w:val="en-US" w:eastAsia="ru-RU"/>
              </w:rPr>
              <w:t>Raportare</w:t>
            </w:r>
            <w:proofErr w:type="spellEnd"/>
          </w:p>
          <w:p w14:paraId="241FD5F8" w14:textId="77777777" w:rsidR="00D37AB7" w:rsidRPr="00A23036" w:rsidRDefault="00D37AB7" w:rsidP="002D3CCB">
            <w:pPr>
              <w:spacing w:after="0" w:line="240" w:lineRule="auto"/>
              <w:jc w:val="center"/>
              <w:rPr>
                <w:rFonts w:ascii="Times New Roman" w:hAnsi="Times New Roman"/>
                <w:b/>
                <w:bCs/>
                <w:sz w:val="20"/>
                <w:szCs w:val="20"/>
                <w:lang w:val="en-US" w:eastAsia="ru-RU"/>
              </w:rPr>
            </w:pPr>
            <w:proofErr w:type="spellStart"/>
            <w:r w:rsidRPr="00A23036">
              <w:rPr>
                <w:rFonts w:ascii="Times New Roman" w:hAnsi="Times New Roman"/>
                <w:b/>
                <w:bCs/>
                <w:sz w:val="20"/>
                <w:szCs w:val="20"/>
                <w:lang w:val="en-US" w:eastAsia="ru-RU"/>
              </w:rPr>
              <w:t>Secțiunea</w:t>
            </w:r>
            <w:proofErr w:type="spellEnd"/>
            <w:r w:rsidRPr="00A23036">
              <w:rPr>
                <w:rFonts w:ascii="Times New Roman" w:hAnsi="Times New Roman"/>
                <w:b/>
                <w:bCs/>
                <w:sz w:val="20"/>
                <w:szCs w:val="20"/>
                <w:lang w:val="en-US" w:eastAsia="ru-RU"/>
              </w:rPr>
              <w:t xml:space="preserve"> 1</w:t>
            </w:r>
          </w:p>
          <w:p w14:paraId="74605C2A" w14:textId="77777777" w:rsidR="00D37AB7" w:rsidRPr="00A23036" w:rsidRDefault="00D37AB7" w:rsidP="002D3CCB">
            <w:pPr>
              <w:spacing w:after="0" w:line="240" w:lineRule="auto"/>
              <w:jc w:val="center"/>
              <w:rPr>
                <w:rFonts w:ascii="Times New Roman" w:hAnsi="Times New Roman"/>
                <w:b/>
                <w:bCs/>
                <w:sz w:val="20"/>
                <w:szCs w:val="20"/>
                <w:lang w:val="en-US" w:eastAsia="ru-RU"/>
              </w:rPr>
            </w:pPr>
            <w:proofErr w:type="spellStart"/>
            <w:r w:rsidRPr="00A23036">
              <w:rPr>
                <w:rFonts w:ascii="Times New Roman" w:hAnsi="Times New Roman"/>
                <w:b/>
                <w:bCs/>
                <w:sz w:val="20"/>
                <w:szCs w:val="20"/>
                <w:lang w:val="en-US" w:eastAsia="ru-RU"/>
              </w:rPr>
              <w:t>Rapoartele</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intermediare</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bienale</w:t>
            </w:r>
            <w:proofErr w:type="spellEnd"/>
            <w:r w:rsidRPr="00A23036">
              <w:rPr>
                <w:rFonts w:ascii="Times New Roman" w:hAnsi="Times New Roman"/>
                <w:b/>
                <w:bCs/>
                <w:sz w:val="20"/>
                <w:szCs w:val="20"/>
                <w:lang w:val="en-US" w:eastAsia="ru-RU"/>
              </w:rPr>
              <w:t xml:space="preserve"> și </w:t>
            </w:r>
            <w:proofErr w:type="spellStart"/>
            <w:r w:rsidRPr="00A23036">
              <w:rPr>
                <w:rFonts w:ascii="Times New Roman" w:hAnsi="Times New Roman"/>
                <w:b/>
                <w:bCs/>
                <w:sz w:val="20"/>
                <w:szCs w:val="20"/>
                <w:lang w:val="en-US" w:eastAsia="ru-RU"/>
              </w:rPr>
              <w:t>măsuri</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ulterioare</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acestora</w:t>
            </w:r>
            <w:proofErr w:type="spellEnd"/>
          </w:p>
          <w:p w14:paraId="2FBCA5A1" w14:textId="77777777" w:rsidR="00D37AB7" w:rsidRPr="00A23036" w:rsidRDefault="00D37AB7" w:rsidP="002D3CCB">
            <w:pPr>
              <w:spacing w:after="0" w:line="240" w:lineRule="auto"/>
              <w:jc w:val="center"/>
              <w:rPr>
                <w:rFonts w:ascii="Times New Roman" w:hAnsi="Times New Roman"/>
                <w:sz w:val="20"/>
                <w:szCs w:val="20"/>
                <w:lang w:val="en-US" w:eastAsia="ru-RU"/>
              </w:rPr>
            </w:pPr>
            <w:proofErr w:type="spellStart"/>
            <w:r w:rsidRPr="00A23036">
              <w:rPr>
                <w:rFonts w:ascii="Times New Roman" w:hAnsi="Times New Roman"/>
                <w:sz w:val="20"/>
                <w:szCs w:val="20"/>
                <w:lang w:val="en-US" w:eastAsia="ru-RU"/>
              </w:rPr>
              <w:t>Articolul</w:t>
            </w:r>
            <w:proofErr w:type="spellEnd"/>
            <w:r w:rsidRPr="00A23036">
              <w:rPr>
                <w:rFonts w:ascii="Times New Roman" w:hAnsi="Times New Roman"/>
                <w:sz w:val="20"/>
                <w:szCs w:val="20"/>
                <w:lang w:val="en-US" w:eastAsia="ru-RU"/>
              </w:rPr>
              <w:t xml:space="preserve"> 17</w:t>
            </w:r>
          </w:p>
          <w:p w14:paraId="732ADA64" w14:textId="77777777" w:rsidR="00D37AB7" w:rsidRPr="00A23036" w:rsidRDefault="00D37AB7" w:rsidP="002D3CCB">
            <w:pPr>
              <w:spacing w:after="0" w:line="240" w:lineRule="auto"/>
              <w:jc w:val="center"/>
              <w:rPr>
                <w:rFonts w:ascii="Times New Roman" w:hAnsi="Times New Roman"/>
                <w:b/>
                <w:bCs/>
                <w:sz w:val="20"/>
                <w:szCs w:val="20"/>
                <w:lang w:val="en-US" w:eastAsia="ru-RU"/>
              </w:rPr>
            </w:pPr>
            <w:proofErr w:type="spellStart"/>
            <w:r w:rsidRPr="00A23036">
              <w:rPr>
                <w:rFonts w:ascii="Times New Roman" w:hAnsi="Times New Roman"/>
                <w:b/>
                <w:bCs/>
                <w:sz w:val="20"/>
                <w:szCs w:val="20"/>
                <w:lang w:val="en-US" w:eastAsia="ru-RU"/>
              </w:rPr>
              <w:t>Rapoartele</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naționale</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intermediare</w:t>
            </w:r>
            <w:proofErr w:type="spellEnd"/>
            <w:r w:rsidRPr="00A23036">
              <w:rPr>
                <w:rFonts w:ascii="Times New Roman" w:hAnsi="Times New Roman"/>
                <w:b/>
                <w:bCs/>
                <w:sz w:val="20"/>
                <w:szCs w:val="20"/>
                <w:lang w:val="en-US" w:eastAsia="ru-RU"/>
              </w:rPr>
              <w:t xml:space="preserve"> integrate </w:t>
            </w:r>
            <w:proofErr w:type="spellStart"/>
            <w:r w:rsidRPr="00A23036">
              <w:rPr>
                <w:rFonts w:ascii="Times New Roman" w:hAnsi="Times New Roman"/>
                <w:b/>
                <w:bCs/>
                <w:sz w:val="20"/>
                <w:szCs w:val="20"/>
                <w:lang w:val="en-US" w:eastAsia="ru-RU"/>
              </w:rPr>
              <w:t>privind</w:t>
            </w:r>
            <w:proofErr w:type="spellEnd"/>
            <w:r w:rsidRPr="00A23036">
              <w:rPr>
                <w:rFonts w:ascii="Times New Roman" w:hAnsi="Times New Roman"/>
                <w:b/>
                <w:bCs/>
                <w:sz w:val="20"/>
                <w:szCs w:val="20"/>
                <w:lang w:val="en-US" w:eastAsia="ru-RU"/>
              </w:rPr>
              <w:t xml:space="preserve"> </w:t>
            </w:r>
            <w:proofErr w:type="spellStart"/>
            <w:r w:rsidRPr="00A23036">
              <w:rPr>
                <w:rFonts w:ascii="Times New Roman" w:hAnsi="Times New Roman"/>
                <w:b/>
                <w:bCs/>
                <w:sz w:val="20"/>
                <w:szCs w:val="20"/>
                <w:lang w:val="en-US" w:eastAsia="ru-RU"/>
              </w:rPr>
              <w:t>energia</w:t>
            </w:r>
            <w:proofErr w:type="spellEnd"/>
            <w:r w:rsidRPr="00A23036">
              <w:rPr>
                <w:rFonts w:ascii="Times New Roman" w:hAnsi="Times New Roman"/>
                <w:b/>
                <w:bCs/>
                <w:sz w:val="20"/>
                <w:szCs w:val="20"/>
                <w:lang w:val="en-US" w:eastAsia="ru-RU"/>
              </w:rPr>
              <w:t xml:space="preserve"> și </w:t>
            </w:r>
            <w:proofErr w:type="spellStart"/>
            <w:r w:rsidRPr="00A23036">
              <w:rPr>
                <w:rFonts w:ascii="Times New Roman" w:hAnsi="Times New Roman"/>
                <w:b/>
                <w:bCs/>
                <w:sz w:val="20"/>
                <w:szCs w:val="20"/>
                <w:lang w:val="en-US" w:eastAsia="ru-RU"/>
              </w:rPr>
              <w:t>clima</w:t>
            </w:r>
            <w:proofErr w:type="spellEnd"/>
          </w:p>
          <w:p w14:paraId="4E09246A" w14:textId="4A011269" w:rsidR="00D37AB7" w:rsidRPr="00A23036" w:rsidRDefault="00D37AB7" w:rsidP="00073C22">
            <w:pPr>
              <w:spacing w:after="0" w:line="240" w:lineRule="auto"/>
              <w:jc w:val="both"/>
              <w:rPr>
                <w:rFonts w:ascii="Times New Roman" w:hAnsi="Times New Roman"/>
                <w:sz w:val="20"/>
                <w:szCs w:val="20"/>
                <w:lang w:val="en-US" w:eastAsia="ru-RU"/>
              </w:rPr>
            </w:pPr>
            <w:r w:rsidRPr="00A23036">
              <w:rPr>
                <w:rFonts w:ascii="Times New Roman" w:hAnsi="Times New Roman"/>
                <w:sz w:val="20"/>
                <w:szCs w:val="20"/>
                <w:lang w:val="en-US" w:eastAsia="ru-RU"/>
              </w:rPr>
              <w:t>(</w:t>
            </w:r>
            <w:proofErr w:type="gramStart"/>
            <w:r w:rsidRPr="00A23036">
              <w:rPr>
                <w:rFonts w:ascii="Times New Roman" w:hAnsi="Times New Roman"/>
                <w:sz w:val="20"/>
                <w:szCs w:val="20"/>
                <w:lang w:val="en-US" w:eastAsia="ru-RU"/>
              </w:rPr>
              <w:t>1)</w:t>
            </w:r>
            <w:proofErr w:type="spellStart"/>
            <w:r w:rsidRPr="00A23036">
              <w:rPr>
                <w:rFonts w:ascii="Times New Roman" w:hAnsi="Times New Roman"/>
                <w:sz w:val="20"/>
                <w:szCs w:val="20"/>
                <w:lang w:val="en-US" w:eastAsia="ru-RU"/>
              </w:rPr>
              <w:t>Fără</w:t>
            </w:r>
            <w:proofErr w:type="spellEnd"/>
            <w:proofErr w:type="gram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aduce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atingere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articolului</w:t>
            </w:r>
            <w:proofErr w:type="spellEnd"/>
            <w:r w:rsidR="00073C22" w:rsidRPr="00A23036">
              <w:rPr>
                <w:rFonts w:ascii="Times New Roman" w:hAnsi="Times New Roman"/>
                <w:sz w:val="20"/>
                <w:szCs w:val="20"/>
                <w:lang w:val="en-US" w:eastAsia="ru-RU"/>
              </w:rPr>
              <w:t xml:space="preserve"> </w:t>
            </w:r>
            <w:r w:rsidRPr="00A23036">
              <w:rPr>
                <w:rFonts w:ascii="Times New Roman" w:hAnsi="Times New Roman"/>
                <w:sz w:val="20"/>
                <w:szCs w:val="20"/>
                <w:lang w:val="en-US" w:eastAsia="ru-RU"/>
              </w:rPr>
              <w:t xml:space="preserve">26, </w:t>
            </w:r>
            <w:proofErr w:type="spellStart"/>
            <w:r w:rsidRPr="00A23036">
              <w:rPr>
                <w:rFonts w:ascii="Times New Roman" w:hAnsi="Times New Roman"/>
                <w:sz w:val="20"/>
                <w:szCs w:val="20"/>
                <w:lang w:val="en-US" w:eastAsia="ru-RU"/>
              </w:rPr>
              <w:t>până</w:t>
            </w:r>
            <w:proofErr w:type="spellEnd"/>
            <w:r w:rsidRPr="00A23036">
              <w:rPr>
                <w:rFonts w:ascii="Times New Roman" w:hAnsi="Times New Roman"/>
                <w:sz w:val="20"/>
                <w:szCs w:val="20"/>
                <w:lang w:val="en-US" w:eastAsia="ru-RU"/>
              </w:rPr>
              <w:t xml:space="preserve"> la</w:t>
            </w:r>
            <w:r w:rsidR="00073C22" w:rsidRPr="00A23036">
              <w:rPr>
                <w:rFonts w:ascii="Times New Roman" w:hAnsi="Times New Roman"/>
                <w:sz w:val="20"/>
                <w:szCs w:val="20"/>
                <w:lang w:val="en-US" w:eastAsia="ru-RU"/>
              </w:rPr>
              <w:t xml:space="preserve"> </w:t>
            </w:r>
            <w:r w:rsidRPr="00A23036">
              <w:rPr>
                <w:rFonts w:ascii="Times New Roman" w:hAnsi="Times New Roman"/>
                <w:sz w:val="20"/>
                <w:szCs w:val="20"/>
                <w:lang w:val="en-US" w:eastAsia="ru-RU"/>
              </w:rPr>
              <w:t>15</w:t>
            </w:r>
            <w:r w:rsidR="00073C22"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martie</w:t>
            </w:r>
            <w:proofErr w:type="spellEnd"/>
            <w:r w:rsidR="00073C22" w:rsidRPr="00A23036">
              <w:rPr>
                <w:rFonts w:ascii="Times New Roman" w:hAnsi="Times New Roman"/>
                <w:sz w:val="20"/>
                <w:szCs w:val="20"/>
                <w:lang w:val="en-US" w:eastAsia="ru-RU"/>
              </w:rPr>
              <w:t xml:space="preserve"> </w:t>
            </w:r>
            <w:r w:rsidRPr="00A23036">
              <w:rPr>
                <w:rFonts w:ascii="Times New Roman" w:hAnsi="Times New Roman"/>
                <w:sz w:val="20"/>
                <w:szCs w:val="20"/>
                <w:lang w:val="en-US" w:eastAsia="ru-RU"/>
              </w:rPr>
              <w:t xml:space="preserve">2023 și, ulterior, la </w:t>
            </w:r>
            <w:proofErr w:type="spellStart"/>
            <w:r w:rsidRPr="00A23036">
              <w:rPr>
                <w:rFonts w:ascii="Times New Roman" w:hAnsi="Times New Roman"/>
                <w:sz w:val="20"/>
                <w:szCs w:val="20"/>
                <w:lang w:val="en-US" w:eastAsia="ru-RU"/>
              </w:rPr>
              <w:t>fiecare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doi</w:t>
            </w:r>
            <w:proofErr w:type="spellEnd"/>
            <w:r w:rsidRPr="00A23036">
              <w:rPr>
                <w:rFonts w:ascii="Times New Roman" w:hAnsi="Times New Roman"/>
                <w:sz w:val="20"/>
                <w:szCs w:val="20"/>
                <w:lang w:val="en-US" w:eastAsia="ru-RU"/>
              </w:rPr>
              <w:t xml:space="preserve"> ani, </w:t>
            </w:r>
            <w:proofErr w:type="spellStart"/>
            <w:r w:rsidRPr="00A23036">
              <w:rPr>
                <w:rFonts w:ascii="Times New Roman" w:hAnsi="Times New Roman"/>
                <w:sz w:val="20"/>
                <w:szCs w:val="20"/>
                <w:lang w:val="en-US" w:eastAsia="ru-RU"/>
              </w:rPr>
              <w:t>fiecare</w:t>
            </w:r>
            <w:proofErr w:type="spellEnd"/>
            <w:r w:rsidRPr="00A23036">
              <w:rPr>
                <w:rFonts w:ascii="Times New Roman" w:hAnsi="Times New Roman"/>
                <w:sz w:val="20"/>
                <w:szCs w:val="20"/>
                <w:lang w:val="en-US" w:eastAsia="ru-RU"/>
              </w:rPr>
              <w:t xml:space="preserve"> stat </w:t>
            </w:r>
            <w:proofErr w:type="spellStart"/>
            <w:r w:rsidRPr="00A23036">
              <w:rPr>
                <w:rFonts w:ascii="Times New Roman" w:hAnsi="Times New Roman"/>
                <w:sz w:val="20"/>
                <w:szCs w:val="20"/>
                <w:lang w:val="en-US" w:eastAsia="ru-RU"/>
              </w:rPr>
              <w:t>membru</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raportează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Comisiei</w:t>
            </w:r>
            <w:proofErr w:type="spellEnd"/>
            <w:r w:rsidRPr="00A23036">
              <w:rPr>
                <w:rFonts w:ascii="Times New Roman" w:hAnsi="Times New Roman"/>
                <w:sz w:val="20"/>
                <w:szCs w:val="20"/>
                <w:lang w:val="en-US" w:eastAsia="ru-RU"/>
              </w:rPr>
              <w:t xml:space="preserve"> cu </w:t>
            </w:r>
            <w:proofErr w:type="spellStart"/>
            <w:r w:rsidRPr="00A23036">
              <w:rPr>
                <w:rFonts w:ascii="Times New Roman" w:hAnsi="Times New Roman"/>
                <w:sz w:val="20"/>
                <w:szCs w:val="20"/>
                <w:lang w:val="en-US" w:eastAsia="ru-RU"/>
              </w:rPr>
              <w:t>privire</w:t>
            </w:r>
            <w:proofErr w:type="spellEnd"/>
            <w:r w:rsidRPr="00A23036">
              <w:rPr>
                <w:rFonts w:ascii="Times New Roman" w:hAnsi="Times New Roman"/>
                <w:sz w:val="20"/>
                <w:szCs w:val="20"/>
                <w:lang w:val="en-US" w:eastAsia="ru-RU"/>
              </w:rPr>
              <w:t xml:space="preserve"> la </w:t>
            </w:r>
            <w:proofErr w:type="spellStart"/>
            <w:r w:rsidRPr="00A23036">
              <w:rPr>
                <w:rFonts w:ascii="Times New Roman" w:hAnsi="Times New Roman"/>
                <w:sz w:val="20"/>
                <w:szCs w:val="20"/>
                <w:lang w:val="en-US" w:eastAsia="ru-RU"/>
              </w:rPr>
              <w:t>stadiul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punerii</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aplicare</w:t>
            </w:r>
            <w:proofErr w:type="spell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planului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său</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național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integrat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energia</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clima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prin</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intermediul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unui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raport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național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intermediar</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integrat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energia</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clima</w:t>
            </w:r>
            <w:proofErr w:type="spellEnd"/>
            <w:r w:rsidRPr="00A23036">
              <w:rPr>
                <w:rFonts w:ascii="Times New Roman" w:hAnsi="Times New Roman"/>
                <w:sz w:val="20"/>
                <w:szCs w:val="20"/>
                <w:lang w:val="en-US" w:eastAsia="ru-RU"/>
              </w:rPr>
              <w:t xml:space="preserve"> care </w:t>
            </w:r>
            <w:proofErr w:type="spellStart"/>
            <w:r w:rsidRPr="00A23036">
              <w:rPr>
                <w:rFonts w:ascii="Times New Roman" w:hAnsi="Times New Roman"/>
                <w:sz w:val="20"/>
                <w:szCs w:val="20"/>
                <w:lang w:val="en-US" w:eastAsia="ru-RU"/>
              </w:rPr>
              <w:t>acoperă</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toate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cele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cinci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dimensiuni</w:t>
            </w:r>
            <w:proofErr w:type="spellEnd"/>
            <w:r w:rsidRPr="00A23036">
              <w:rPr>
                <w:rFonts w:ascii="Times New Roman" w:hAnsi="Times New Roman"/>
                <w:sz w:val="20"/>
                <w:szCs w:val="20"/>
                <w:lang w:val="en-US" w:eastAsia="ru-RU"/>
              </w:rPr>
              <w:t xml:space="preserve"> ale </w:t>
            </w:r>
            <w:proofErr w:type="spellStart"/>
            <w:r w:rsidRPr="00A23036">
              <w:rPr>
                <w:rFonts w:ascii="Times New Roman" w:hAnsi="Times New Roman"/>
                <w:sz w:val="20"/>
                <w:szCs w:val="20"/>
                <w:lang w:val="en-US" w:eastAsia="ru-RU"/>
              </w:rPr>
              <w:t>uniunii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energetice</w:t>
            </w:r>
            <w:proofErr w:type="spellEnd"/>
            <w:r w:rsidRPr="00A23036">
              <w:rPr>
                <w:rFonts w:ascii="Times New Roman" w:hAnsi="Times New Roman"/>
                <w:sz w:val="20"/>
                <w:szCs w:val="20"/>
                <w:lang w:val="en-US" w:eastAsia="ru-RU"/>
              </w:rPr>
              <w:t>.</w:t>
            </w:r>
          </w:p>
          <w:p w14:paraId="3A575552" w14:textId="43710381" w:rsidR="00D955F5" w:rsidRDefault="00073C22" w:rsidP="00073C22">
            <w:pPr>
              <w:spacing w:after="0" w:line="240" w:lineRule="auto"/>
              <w:rPr>
                <w:rFonts w:ascii="Times New Roman" w:hAnsi="Times New Roman"/>
                <w:sz w:val="20"/>
                <w:szCs w:val="20"/>
                <w:lang w:val="en-US" w:eastAsia="ru-RU"/>
              </w:rPr>
            </w:pPr>
            <w:r w:rsidRPr="00A23036">
              <w:rPr>
                <w:rFonts w:ascii="Times New Roman" w:hAnsi="Times New Roman"/>
                <w:sz w:val="20"/>
                <w:szCs w:val="20"/>
                <w:lang w:val="en-US" w:eastAsia="ru-RU"/>
              </w:rPr>
              <w:t xml:space="preserve">(2) </w:t>
            </w:r>
            <w:proofErr w:type="spellStart"/>
            <w:r w:rsidRPr="00A23036">
              <w:rPr>
                <w:rFonts w:ascii="Times New Roman" w:hAnsi="Times New Roman"/>
                <w:sz w:val="20"/>
                <w:szCs w:val="20"/>
                <w:lang w:val="en-US" w:eastAsia="ru-RU"/>
              </w:rPr>
              <w:t>Raportul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național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intermediar</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integrat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energia</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clima</w:t>
            </w:r>
            <w:proofErr w:type="spellEnd"/>
            <w:r w:rsidRPr="00A23036">
              <w:rPr>
                <w:rFonts w:ascii="Times New Roman" w:hAnsi="Times New Roman"/>
                <w:sz w:val="20"/>
                <w:szCs w:val="20"/>
                <w:lang w:val="en-US" w:eastAsia="ru-RU"/>
              </w:rPr>
              <w:t xml:space="preserve"> include </w:t>
            </w:r>
            <w:proofErr w:type="spellStart"/>
            <w:r w:rsidRPr="00A23036">
              <w:rPr>
                <w:rFonts w:ascii="Times New Roman" w:hAnsi="Times New Roman"/>
                <w:sz w:val="20"/>
                <w:szCs w:val="20"/>
                <w:lang w:val="en-US" w:eastAsia="ru-RU"/>
              </w:rPr>
              <w:t>următoarele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elemente</w:t>
            </w:r>
            <w:proofErr w:type="spellEnd"/>
            <w:r w:rsidRPr="00A23036">
              <w:rPr>
                <w:rFonts w:ascii="Times New Roman" w:hAnsi="Times New Roman"/>
                <w:sz w:val="20"/>
                <w:szCs w:val="20"/>
                <w:lang w:val="en-US" w:eastAsia="ru-RU"/>
              </w:rPr>
              <w:t>:</w:t>
            </w:r>
          </w:p>
          <w:p w14:paraId="5CFAD7EC" w14:textId="21D73429" w:rsidR="00D955F5" w:rsidRPr="00D955F5" w:rsidRDefault="00000000" w:rsidP="00073C22">
            <w:pPr>
              <w:spacing w:after="0" w:line="240" w:lineRule="auto"/>
              <w:rPr>
                <w:rFonts w:ascii="Times New Roman" w:hAnsi="Times New Roman"/>
                <w:sz w:val="20"/>
                <w:szCs w:val="20"/>
                <w:lang w:val="en-US" w:eastAsia="ru-RU"/>
              </w:rPr>
            </w:pPr>
            <w:hyperlink r:id="rId29" w:tooltip="32021R1119: REPLACED" w:history="1">
              <w:r w:rsidR="00D955F5" w:rsidRPr="00D955F5">
                <w:rPr>
                  <w:rStyle w:val="af6"/>
                  <w:rFonts w:ascii="Times New Roman" w:eastAsia="Arial Unicode MS" w:hAnsi="Times New Roman"/>
                  <w:b/>
                  <w:bCs/>
                  <w:color w:val="23527C"/>
                  <w:sz w:val="20"/>
                  <w:szCs w:val="20"/>
                  <w:shd w:val="clear" w:color="auto" w:fill="FFFFFF"/>
                </w:rPr>
                <w:t>▼M2</w:t>
              </w:r>
            </w:hyperlink>
          </w:p>
          <w:p w14:paraId="5CDF2460" w14:textId="30E3059D" w:rsidR="00073C22" w:rsidRDefault="00073C22" w:rsidP="000C5A3B">
            <w:pPr>
              <w:pStyle w:val="af3"/>
              <w:numPr>
                <w:ilvl w:val="0"/>
                <w:numId w:val="108"/>
              </w:numPr>
              <w:spacing w:after="0" w:line="240" w:lineRule="auto"/>
              <w:ind w:left="470" w:hanging="357"/>
              <w:jc w:val="both"/>
              <w:rPr>
                <w:rFonts w:ascii="Times New Roman" w:hAnsi="Times New Roman"/>
                <w:sz w:val="20"/>
                <w:szCs w:val="20"/>
                <w:lang w:val="en-US" w:eastAsia="ru-RU"/>
              </w:rPr>
            </w:pPr>
            <w:proofErr w:type="spellStart"/>
            <w:r w:rsidRPr="00A23036">
              <w:rPr>
                <w:rFonts w:ascii="Times New Roman" w:hAnsi="Times New Roman"/>
                <w:sz w:val="20"/>
                <w:szCs w:val="20"/>
                <w:lang w:val="en-US" w:eastAsia="ru-RU"/>
              </w:rPr>
              <w:t>informații</w:t>
            </w:r>
            <w:proofErr w:type="spellEnd"/>
            <w:r w:rsidRPr="00A23036">
              <w:rPr>
                <w:rFonts w:ascii="Times New Roman" w:hAnsi="Times New Roman"/>
                <w:sz w:val="20"/>
                <w:szCs w:val="20"/>
                <w:lang w:val="en-US" w:eastAsia="ru-RU"/>
              </w:rPr>
              <w:t xml:space="preserve"> cu </w:t>
            </w:r>
            <w:proofErr w:type="spellStart"/>
            <w:r w:rsidRPr="00A23036">
              <w:rPr>
                <w:rFonts w:ascii="Times New Roman" w:hAnsi="Times New Roman"/>
                <w:sz w:val="20"/>
                <w:szCs w:val="20"/>
                <w:lang w:val="en-US" w:eastAsia="ru-RU"/>
              </w:rPr>
              <w:t>privire</w:t>
            </w:r>
            <w:proofErr w:type="spellEnd"/>
            <w:r w:rsidRPr="00A23036">
              <w:rPr>
                <w:rFonts w:ascii="Times New Roman" w:hAnsi="Times New Roman"/>
                <w:sz w:val="20"/>
                <w:szCs w:val="20"/>
                <w:lang w:val="en-US" w:eastAsia="ru-RU"/>
              </w:rPr>
              <w:t xml:space="preserve"> la </w:t>
            </w:r>
            <w:proofErr w:type="spellStart"/>
            <w:r w:rsidRPr="00A23036">
              <w:rPr>
                <w:rFonts w:ascii="Times New Roman" w:hAnsi="Times New Roman"/>
                <w:sz w:val="20"/>
                <w:szCs w:val="20"/>
                <w:lang w:val="en-US" w:eastAsia="ru-RU"/>
              </w:rPr>
              <w:t>progresele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înregistrate</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direcția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realizării</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obiectivelor</w:t>
            </w:r>
            <w:proofErr w:type="spellEnd"/>
            <w:r w:rsidR="00D955F5" w:rsidRPr="00D955F5">
              <w:rPr>
                <w:rFonts w:ascii="Times New Roman" w:hAnsi="Times New Roman"/>
                <w:sz w:val="20"/>
                <w:szCs w:val="20"/>
                <w:lang w:val="en-US" w:eastAsia="ru-RU"/>
              </w:rPr>
              <w:t xml:space="preserve">, </w:t>
            </w:r>
            <w:proofErr w:type="spellStart"/>
            <w:r w:rsidR="00D955F5" w:rsidRPr="00D955F5">
              <w:rPr>
                <w:rFonts w:ascii="Times New Roman" w:eastAsia="Arial Unicode MS" w:hAnsi="Times New Roman"/>
                <w:sz w:val="20"/>
                <w:szCs w:val="20"/>
                <w:shd w:val="clear" w:color="auto" w:fill="FFFFFF"/>
              </w:rPr>
              <w:t>inclusiv</w:t>
            </w:r>
            <w:proofErr w:type="spellEnd"/>
            <w:r w:rsidR="00D955F5" w:rsidRPr="00D955F5">
              <w:rPr>
                <w:rFonts w:ascii="Times New Roman" w:eastAsia="Arial Unicode MS" w:hAnsi="Times New Roman"/>
                <w:sz w:val="20"/>
                <w:szCs w:val="20"/>
                <w:shd w:val="clear" w:color="auto" w:fill="FFFFFF"/>
              </w:rPr>
              <w:t xml:space="preserve"> a </w:t>
            </w:r>
            <w:proofErr w:type="spellStart"/>
            <w:r w:rsidR="00D955F5" w:rsidRPr="00D955F5">
              <w:rPr>
                <w:rFonts w:ascii="Times New Roman" w:eastAsia="Arial Unicode MS" w:hAnsi="Times New Roman"/>
                <w:sz w:val="20"/>
                <w:szCs w:val="20"/>
                <w:shd w:val="clear" w:color="auto" w:fill="FFFFFF"/>
              </w:rPr>
              <w:t>obiectivului</w:t>
            </w:r>
            <w:proofErr w:type="spellEnd"/>
            <w:r w:rsidR="00D955F5" w:rsidRPr="00D955F5">
              <w:rPr>
                <w:rFonts w:ascii="Times New Roman" w:eastAsia="Arial Unicode MS" w:hAnsi="Times New Roman"/>
                <w:sz w:val="20"/>
                <w:szCs w:val="20"/>
                <w:shd w:val="clear" w:color="auto" w:fill="FFFFFF"/>
              </w:rPr>
              <w:t xml:space="preserve"> </w:t>
            </w:r>
            <w:proofErr w:type="spellStart"/>
            <w:r w:rsidR="00D955F5" w:rsidRPr="00D955F5">
              <w:rPr>
                <w:rFonts w:ascii="Times New Roman" w:eastAsia="Arial Unicode MS" w:hAnsi="Times New Roman"/>
                <w:sz w:val="20"/>
                <w:szCs w:val="20"/>
                <w:shd w:val="clear" w:color="auto" w:fill="FFFFFF"/>
              </w:rPr>
              <w:t>Uniunii</w:t>
            </w:r>
            <w:proofErr w:type="spellEnd"/>
            <w:r w:rsidR="00D955F5" w:rsidRPr="00D955F5">
              <w:rPr>
                <w:rFonts w:ascii="Times New Roman" w:eastAsia="Arial Unicode MS" w:hAnsi="Times New Roman"/>
                <w:sz w:val="20"/>
                <w:szCs w:val="20"/>
                <w:shd w:val="clear" w:color="auto" w:fill="FFFFFF"/>
              </w:rPr>
              <w:t xml:space="preserve"> </w:t>
            </w:r>
            <w:proofErr w:type="spellStart"/>
            <w:r w:rsidR="00D955F5" w:rsidRPr="00D955F5">
              <w:rPr>
                <w:rFonts w:ascii="Times New Roman" w:eastAsia="Arial Unicode MS" w:hAnsi="Times New Roman"/>
                <w:sz w:val="20"/>
                <w:szCs w:val="20"/>
                <w:shd w:val="clear" w:color="auto" w:fill="FFFFFF"/>
              </w:rPr>
              <w:t>privind</w:t>
            </w:r>
            <w:proofErr w:type="spellEnd"/>
            <w:r w:rsidR="00D955F5" w:rsidRPr="00D955F5">
              <w:rPr>
                <w:rFonts w:ascii="Times New Roman" w:eastAsia="Arial Unicode MS" w:hAnsi="Times New Roman"/>
                <w:sz w:val="20"/>
                <w:szCs w:val="20"/>
                <w:shd w:val="clear" w:color="auto" w:fill="FFFFFF"/>
              </w:rPr>
              <w:t xml:space="preserve"> </w:t>
            </w:r>
            <w:proofErr w:type="spellStart"/>
            <w:r w:rsidR="00D955F5" w:rsidRPr="00D955F5">
              <w:rPr>
                <w:rFonts w:ascii="Times New Roman" w:eastAsia="Arial Unicode MS" w:hAnsi="Times New Roman"/>
                <w:sz w:val="20"/>
                <w:szCs w:val="20"/>
                <w:shd w:val="clear" w:color="auto" w:fill="FFFFFF"/>
              </w:rPr>
              <w:t>neutralitatea</w:t>
            </w:r>
            <w:proofErr w:type="spellEnd"/>
            <w:r w:rsidR="00D955F5" w:rsidRPr="00D955F5">
              <w:rPr>
                <w:rFonts w:ascii="Times New Roman" w:eastAsia="Arial Unicode MS" w:hAnsi="Times New Roman"/>
                <w:sz w:val="20"/>
                <w:szCs w:val="20"/>
                <w:shd w:val="clear" w:color="auto" w:fill="FFFFFF"/>
              </w:rPr>
              <w:t xml:space="preserve"> </w:t>
            </w:r>
            <w:proofErr w:type="spellStart"/>
            <w:r w:rsidR="00D955F5" w:rsidRPr="00D955F5">
              <w:rPr>
                <w:rFonts w:ascii="Times New Roman" w:eastAsia="Arial Unicode MS" w:hAnsi="Times New Roman"/>
                <w:sz w:val="20"/>
                <w:szCs w:val="20"/>
                <w:shd w:val="clear" w:color="auto" w:fill="FFFFFF"/>
              </w:rPr>
              <w:t>climatică</w:t>
            </w:r>
            <w:proofErr w:type="spellEnd"/>
            <w:r w:rsidR="00D955F5" w:rsidRPr="00D955F5">
              <w:rPr>
                <w:rFonts w:ascii="Times New Roman" w:eastAsia="Arial Unicode MS" w:hAnsi="Times New Roman"/>
                <w:sz w:val="20"/>
                <w:szCs w:val="20"/>
                <w:shd w:val="clear" w:color="auto" w:fill="FFFFFF"/>
              </w:rPr>
              <w:t xml:space="preserve"> </w:t>
            </w:r>
            <w:proofErr w:type="spellStart"/>
            <w:r w:rsidR="00D955F5" w:rsidRPr="00D955F5">
              <w:rPr>
                <w:rFonts w:ascii="Times New Roman" w:eastAsia="Arial Unicode MS" w:hAnsi="Times New Roman"/>
                <w:sz w:val="20"/>
                <w:szCs w:val="20"/>
                <w:shd w:val="clear" w:color="auto" w:fill="FFFFFF"/>
              </w:rPr>
              <w:t>prevăzut</w:t>
            </w:r>
            <w:proofErr w:type="spellEnd"/>
            <w:r w:rsidR="00D955F5" w:rsidRPr="00D955F5">
              <w:rPr>
                <w:rFonts w:ascii="Times New Roman" w:eastAsia="Arial Unicode MS" w:hAnsi="Times New Roman"/>
                <w:sz w:val="20"/>
                <w:szCs w:val="20"/>
                <w:shd w:val="clear" w:color="auto" w:fill="FFFFFF"/>
              </w:rPr>
              <w:t xml:space="preserve"> la </w:t>
            </w:r>
            <w:proofErr w:type="spellStart"/>
            <w:r w:rsidR="00D955F5" w:rsidRPr="00D955F5">
              <w:rPr>
                <w:rFonts w:ascii="Times New Roman" w:eastAsia="Arial Unicode MS" w:hAnsi="Times New Roman"/>
                <w:sz w:val="20"/>
                <w:szCs w:val="20"/>
                <w:shd w:val="clear" w:color="auto" w:fill="FFFFFF"/>
              </w:rPr>
              <w:t>articolul</w:t>
            </w:r>
            <w:proofErr w:type="spellEnd"/>
            <w:r w:rsidR="00D955F5">
              <w:rPr>
                <w:rFonts w:ascii="Times New Roman" w:eastAsia="Arial Unicode MS" w:hAnsi="Times New Roman"/>
                <w:sz w:val="20"/>
                <w:szCs w:val="20"/>
                <w:shd w:val="clear" w:color="auto" w:fill="FFFFFF"/>
              </w:rPr>
              <w:t xml:space="preserve"> </w:t>
            </w:r>
            <w:r w:rsidR="00D955F5" w:rsidRPr="00D955F5">
              <w:rPr>
                <w:rFonts w:ascii="Times New Roman" w:eastAsia="Arial Unicode MS" w:hAnsi="Times New Roman"/>
                <w:sz w:val="20"/>
                <w:szCs w:val="20"/>
                <w:shd w:val="clear" w:color="auto" w:fill="FFFFFF"/>
              </w:rPr>
              <w:t xml:space="preserve">2 </w:t>
            </w:r>
            <w:proofErr w:type="spellStart"/>
            <w:r w:rsidR="00D955F5" w:rsidRPr="00D955F5">
              <w:rPr>
                <w:rFonts w:ascii="Times New Roman" w:eastAsia="Arial Unicode MS" w:hAnsi="Times New Roman"/>
                <w:sz w:val="20"/>
                <w:szCs w:val="20"/>
                <w:shd w:val="clear" w:color="auto" w:fill="FFFFFF"/>
              </w:rPr>
              <w:t>alineatul</w:t>
            </w:r>
            <w:proofErr w:type="spellEnd"/>
            <w:r w:rsidR="00D955F5" w:rsidRPr="00D955F5">
              <w:rPr>
                <w:rFonts w:ascii="Times New Roman" w:eastAsia="Arial Unicode MS" w:hAnsi="Times New Roman"/>
                <w:sz w:val="20"/>
                <w:szCs w:val="20"/>
                <w:shd w:val="clear" w:color="auto" w:fill="FFFFFF"/>
              </w:rPr>
              <w:t xml:space="preserve"> (1) din </w:t>
            </w:r>
            <w:proofErr w:type="spellStart"/>
            <w:r w:rsidR="00D955F5" w:rsidRPr="00D955F5">
              <w:rPr>
                <w:rFonts w:ascii="Times New Roman" w:eastAsia="Arial Unicode MS" w:hAnsi="Times New Roman"/>
                <w:sz w:val="20"/>
                <w:szCs w:val="20"/>
                <w:shd w:val="clear" w:color="auto" w:fill="FFFFFF"/>
              </w:rPr>
              <w:t>Regulamentul</w:t>
            </w:r>
            <w:proofErr w:type="spellEnd"/>
            <w:r w:rsidR="00D955F5" w:rsidRPr="00D955F5">
              <w:rPr>
                <w:rFonts w:ascii="Times New Roman" w:eastAsia="Arial Unicode MS" w:hAnsi="Times New Roman"/>
                <w:sz w:val="20"/>
                <w:szCs w:val="20"/>
                <w:shd w:val="clear" w:color="auto" w:fill="FFFFFF"/>
              </w:rPr>
              <w:t xml:space="preserve"> (UE) 2021/1119</w:t>
            </w:r>
            <w:r w:rsidRPr="00D955F5">
              <w:rPr>
                <w:rFonts w:ascii="Times New Roman" w:hAnsi="Times New Roman"/>
                <w:sz w:val="20"/>
                <w:szCs w:val="20"/>
                <w:lang w:val="en-US" w:eastAsia="ru-RU"/>
              </w:rPr>
              <w:t xml:space="preserve"> </w:t>
            </w:r>
            <w:r w:rsidRPr="00A23036">
              <w:rPr>
                <w:rFonts w:ascii="Times New Roman" w:hAnsi="Times New Roman"/>
                <w:sz w:val="20"/>
                <w:szCs w:val="20"/>
                <w:lang w:val="en-US" w:eastAsia="ru-RU"/>
              </w:rPr>
              <w:t xml:space="preserve">și </w:t>
            </w:r>
            <w:proofErr w:type="spellStart"/>
            <w:r w:rsidRPr="00A23036">
              <w:rPr>
                <w:rFonts w:ascii="Times New Roman" w:hAnsi="Times New Roman"/>
                <w:sz w:val="20"/>
                <w:szCs w:val="20"/>
                <w:lang w:val="en-US" w:eastAsia="ru-RU"/>
              </w:rPr>
              <w:t>contribuțiilor</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stabilite</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planul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național</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integrat</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energia</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clima</w:t>
            </w:r>
            <w:proofErr w:type="spellEnd"/>
            <w:r w:rsidRPr="00A23036">
              <w:rPr>
                <w:rFonts w:ascii="Times New Roman" w:hAnsi="Times New Roman"/>
                <w:sz w:val="20"/>
                <w:szCs w:val="20"/>
                <w:lang w:val="en-US" w:eastAsia="ru-RU"/>
              </w:rPr>
              <w:t xml:space="preserve">, precum și în </w:t>
            </w:r>
            <w:proofErr w:type="spellStart"/>
            <w:r w:rsidRPr="00A23036">
              <w:rPr>
                <w:rFonts w:ascii="Times New Roman" w:hAnsi="Times New Roman"/>
                <w:sz w:val="20"/>
                <w:szCs w:val="20"/>
                <w:lang w:val="en-US" w:eastAsia="ru-RU"/>
              </w:rPr>
              <w:t>direcția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finanțării</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punerii</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aplicare</w:t>
            </w:r>
            <w:proofErr w:type="spell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politicilor</w:t>
            </w:r>
            <w:proofErr w:type="spellEnd"/>
            <w:r w:rsidRPr="00A23036">
              <w:rPr>
                <w:rFonts w:ascii="Times New Roman" w:hAnsi="Times New Roman"/>
                <w:sz w:val="20"/>
                <w:szCs w:val="20"/>
                <w:lang w:val="en-US" w:eastAsia="ru-RU"/>
              </w:rPr>
              <w:t xml:space="preserve"> și </w:t>
            </w:r>
            <w:proofErr w:type="spellStart"/>
            <w:r w:rsidRPr="00A23036">
              <w:rPr>
                <w:rFonts w:ascii="Times New Roman" w:hAnsi="Times New Roman"/>
                <w:sz w:val="20"/>
                <w:szCs w:val="20"/>
                <w:lang w:val="en-US" w:eastAsia="ru-RU"/>
              </w:rPr>
              <w:t>măsurilor</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necesare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pentru</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realizarea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acestora</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inclusiv</w:t>
            </w:r>
            <w:proofErr w:type="spellEnd"/>
            <w:r w:rsidRPr="00A23036">
              <w:rPr>
                <w:rFonts w:ascii="Times New Roman" w:hAnsi="Times New Roman"/>
                <w:sz w:val="20"/>
                <w:szCs w:val="20"/>
                <w:lang w:val="en-US" w:eastAsia="ru-RU"/>
              </w:rPr>
              <w:t xml:space="preserve"> o </w:t>
            </w:r>
            <w:proofErr w:type="spellStart"/>
            <w:r w:rsidRPr="00A23036">
              <w:rPr>
                <w:rFonts w:ascii="Times New Roman" w:hAnsi="Times New Roman"/>
                <w:sz w:val="20"/>
                <w:szCs w:val="20"/>
                <w:lang w:val="en-US" w:eastAsia="ru-RU"/>
              </w:rPr>
              <w:t>analiză</w:t>
            </w:r>
            <w:proofErr w:type="spellEnd"/>
            <w:r w:rsidRPr="00A23036">
              <w:rPr>
                <w:rFonts w:ascii="Times New Roman" w:hAnsi="Times New Roman"/>
                <w:sz w:val="20"/>
                <w:szCs w:val="20"/>
                <w:lang w:val="en-US" w:eastAsia="ru-RU"/>
              </w:rPr>
              <w:t xml:space="preserve"> a </w:t>
            </w:r>
            <w:proofErr w:type="spellStart"/>
            <w:r w:rsidRPr="00A23036">
              <w:rPr>
                <w:rFonts w:ascii="Times New Roman" w:hAnsi="Times New Roman"/>
                <w:sz w:val="20"/>
                <w:szCs w:val="20"/>
                <w:lang w:val="en-US" w:eastAsia="ru-RU"/>
              </w:rPr>
              <w:t>investițiilor</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efective</w:t>
            </w:r>
            <w:proofErr w:type="spellEnd"/>
            <w:r w:rsidRPr="00A23036">
              <w:rPr>
                <w:rFonts w:ascii="Times New Roman" w:hAnsi="Times New Roman"/>
                <w:sz w:val="20"/>
                <w:szCs w:val="20"/>
                <w:lang w:val="en-US" w:eastAsia="ru-RU"/>
              </w:rPr>
              <w:t xml:space="preserve"> în </w:t>
            </w:r>
            <w:proofErr w:type="spellStart"/>
            <w:r w:rsidRPr="00A23036">
              <w:rPr>
                <w:rFonts w:ascii="Times New Roman" w:hAnsi="Times New Roman"/>
                <w:sz w:val="20"/>
                <w:szCs w:val="20"/>
                <w:lang w:val="en-US" w:eastAsia="ru-RU"/>
              </w:rPr>
              <w:t>raport</w:t>
            </w:r>
            <w:proofErr w:type="spellEnd"/>
            <w:r w:rsidRPr="00A23036">
              <w:rPr>
                <w:rFonts w:ascii="Times New Roman" w:hAnsi="Times New Roman"/>
                <w:sz w:val="20"/>
                <w:szCs w:val="20"/>
                <w:lang w:val="en-US" w:eastAsia="ru-RU"/>
              </w:rPr>
              <w:t xml:space="preserve"> cu </w:t>
            </w:r>
            <w:proofErr w:type="spellStart"/>
            <w:r w:rsidRPr="00A23036">
              <w:rPr>
                <w:rFonts w:ascii="Times New Roman" w:hAnsi="Times New Roman"/>
                <w:sz w:val="20"/>
                <w:szCs w:val="20"/>
                <w:lang w:val="en-US" w:eastAsia="ru-RU"/>
              </w:rPr>
              <w:t>ipotezele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inițiale</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privind</w:t>
            </w:r>
            <w:proofErr w:type="spellEnd"/>
            <w:r w:rsidRPr="00A23036">
              <w:rPr>
                <w:rFonts w:ascii="Times New Roman" w:hAnsi="Times New Roman"/>
                <w:sz w:val="20"/>
                <w:szCs w:val="20"/>
                <w:lang w:val="en-US" w:eastAsia="ru-RU"/>
              </w:rPr>
              <w:t xml:space="preserve"> </w:t>
            </w:r>
            <w:proofErr w:type="spellStart"/>
            <w:r w:rsidRPr="00A23036">
              <w:rPr>
                <w:rFonts w:ascii="Times New Roman" w:hAnsi="Times New Roman"/>
                <w:sz w:val="20"/>
                <w:szCs w:val="20"/>
                <w:lang w:val="en-US" w:eastAsia="ru-RU"/>
              </w:rPr>
              <w:t>investițiile</w:t>
            </w:r>
            <w:proofErr w:type="spellEnd"/>
            <w:r w:rsidRPr="00A23036">
              <w:rPr>
                <w:rFonts w:ascii="Times New Roman" w:hAnsi="Times New Roman"/>
                <w:sz w:val="20"/>
                <w:szCs w:val="20"/>
                <w:lang w:val="en-US" w:eastAsia="ru-RU"/>
              </w:rPr>
              <w:t>;</w:t>
            </w:r>
          </w:p>
          <w:p w14:paraId="64B03F1F" w14:textId="5061C6F7" w:rsidR="007A513C" w:rsidRPr="007A513C" w:rsidRDefault="00000000" w:rsidP="007A513C">
            <w:pPr>
              <w:spacing w:after="0" w:line="240" w:lineRule="auto"/>
              <w:ind w:left="113"/>
              <w:rPr>
                <w:rFonts w:ascii="Times New Roman" w:hAnsi="Times New Roman"/>
                <w:sz w:val="20"/>
                <w:szCs w:val="20"/>
                <w:lang w:val="en-US" w:eastAsia="ru-RU"/>
              </w:rPr>
            </w:pPr>
            <w:hyperlink r:id="rId30" w:tooltip="32018R1999" w:history="1">
              <w:r w:rsidR="007A513C" w:rsidRPr="007A513C">
                <w:rPr>
                  <w:rStyle w:val="af6"/>
                  <w:rFonts w:ascii="Times New Roman" w:eastAsia="Arial Unicode MS" w:hAnsi="Times New Roman"/>
                  <w:b/>
                  <w:bCs/>
                  <w:color w:val="23527C"/>
                  <w:sz w:val="20"/>
                  <w:szCs w:val="20"/>
                  <w:shd w:val="clear" w:color="auto" w:fill="FFFFFF"/>
                </w:rPr>
                <w:t>▼B</w:t>
              </w:r>
            </w:hyperlink>
          </w:p>
          <w:p w14:paraId="352812D2" w14:textId="65116B44" w:rsidR="00073C22" w:rsidRPr="00A23036" w:rsidRDefault="00073C22" w:rsidP="000C5A3B">
            <w:pPr>
              <w:pStyle w:val="af3"/>
              <w:numPr>
                <w:ilvl w:val="0"/>
                <w:numId w:val="108"/>
              </w:numPr>
              <w:spacing w:after="0" w:line="240" w:lineRule="auto"/>
              <w:ind w:left="470" w:hanging="357"/>
              <w:jc w:val="both"/>
              <w:rPr>
                <w:rFonts w:ascii="Times New Roman" w:hAnsi="Times New Roman"/>
                <w:sz w:val="20"/>
                <w:szCs w:val="20"/>
                <w:lang w:val="fr-FR" w:eastAsia="ru-RU"/>
              </w:rPr>
            </w:pPr>
            <w:proofErr w:type="spellStart"/>
            <w:proofErr w:type="gramStart"/>
            <w:r w:rsidRPr="00A23036">
              <w:rPr>
                <w:rFonts w:ascii="Times New Roman" w:hAnsi="Times New Roman"/>
                <w:sz w:val="20"/>
                <w:szCs w:val="20"/>
                <w:lang w:val="fr-FR" w:eastAsia="ru-RU"/>
              </w:rPr>
              <w:t>dacă</w:t>
            </w:r>
            <w:proofErr w:type="spellEnd"/>
            <w:proofErr w:type="gramEnd"/>
            <w:r w:rsidRPr="00A23036">
              <w:rPr>
                <w:rFonts w:ascii="Times New Roman" w:hAnsi="Times New Roman"/>
                <w:sz w:val="20"/>
                <w:szCs w:val="20"/>
                <w:lang w:val="fr-FR" w:eastAsia="ru-RU"/>
              </w:rPr>
              <w:t xml:space="preserve"> este </w:t>
            </w:r>
            <w:proofErr w:type="spellStart"/>
            <w:r w:rsidRPr="00A23036">
              <w:rPr>
                <w:rFonts w:ascii="Times New Roman" w:hAnsi="Times New Roman"/>
                <w:sz w:val="20"/>
                <w:szCs w:val="20"/>
                <w:lang w:val="fr-FR" w:eastAsia="ru-RU"/>
              </w:rPr>
              <w:t>cazul</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informații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privire</w:t>
            </w:r>
            <w:proofErr w:type="spellEnd"/>
            <w:r w:rsidRPr="00A23036">
              <w:rPr>
                <w:rFonts w:ascii="Times New Roman" w:hAnsi="Times New Roman"/>
                <w:sz w:val="20"/>
                <w:szCs w:val="20"/>
                <w:lang w:val="fr-FR" w:eastAsia="ru-RU"/>
              </w:rPr>
              <w:t xml:space="preserve"> la </w:t>
            </w:r>
            <w:proofErr w:type="spellStart"/>
            <w:r w:rsidRPr="00A23036">
              <w:rPr>
                <w:rFonts w:ascii="Times New Roman" w:hAnsi="Times New Roman"/>
                <w:sz w:val="20"/>
                <w:szCs w:val="20"/>
                <w:lang w:val="fr-FR" w:eastAsia="ru-RU"/>
              </w:rPr>
              <w:t>progresele</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înregistrate</w:t>
            </w:r>
            <w:proofErr w:type="spellEnd"/>
            <w:r w:rsidRPr="00A23036">
              <w:rPr>
                <w:rFonts w:ascii="Times New Roman" w:hAnsi="Times New Roman"/>
                <w:sz w:val="20"/>
                <w:szCs w:val="20"/>
                <w:lang w:val="fr-FR" w:eastAsia="ru-RU"/>
              </w:rPr>
              <w:t xml:space="preserve"> în </w:t>
            </w:r>
            <w:proofErr w:type="spellStart"/>
            <w:r w:rsidRPr="00A23036">
              <w:rPr>
                <w:rFonts w:ascii="Times New Roman" w:hAnsi="Times New Roman"/>
                <w:sz w:val="20"/>
                <w:szCs w:val="20"/>
                <w:lang w:val="fr-FR" w:eastAsia="ru-RU"/>
              </w:rPr>
              <w:t>direcția</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stabilirii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dialogului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menționat</w:t>
            </w:r>
            <w:proofErr w:type="spellEnd"/>
            <w:r w:rsidRPr="00A23036">
              <w:rPr>
                <w:rFonts w:ascii="Times New Roman" w:hAnsi="Times New Roman"/>
                <w:sz w:val="20"/>
                <w:szCs w:val="20"/>
                <w:lang w:val="fr-FR" w:eastAsia="ru-RU"/>
              </w:rPr>
              <w:t xml:space="preserve"> la </w:t>
            </w:r>
            <w:proofErr w:type="spellStart"/>
            <w:r w:rsidRPr="00A23036">
              <w:rPr>
                <w:rFonts w:ascii="Times New Roman" w:hAnsi="Times New Roman"/>
                <w:sz w:val="20"/>
                <w:szCs w:val="20"/>
                <w:lang w:val="fr-FR" w:eastAsia="ru-RU"/>
              </w:rPr>
              <w:t>articolul</w:t>
            </w:r>
            <w:proofErr w:type="spellEnd"/>
            <w:r w:rsidRPr="00A23036">
              <w:rPr>
                <w:rFonts w:ascii="Times New Roman" w:hAnsi="Times New Roman"/>
                <w:sz w:val="20"/>
                <w:szCs w:val="20"/>
                <w:lang w:val="fr-FR" w:eastAsia="ru-RU"/>
              </w:rPr>
              <w:t xml:space="preserve"> 11;</w:t>
            </w:r>
          </w:p>
          <w:p w14:paraId="684CFBBF" w14:textId="5B15BC83" w:rsidR="00073C22" w:rsidRPr="00A23036" w:rsidRDefault="00073C22" w:rsidP="000C5A3B">
            <w:pPr>
              <w:pStyle w:val="af3"/>
              <w:numPr>
                <w:ilvl w:val="0"/>
                <w:numId w:val="108"/>
              </w:numPr>
              <w:spacing w:after="0" w:line="240" w:lineRule="auto"/>
              <w:ind w:left="470" w:hanging="357"/>
              <w:jc w:val="both"/>
              <w:rPr>
                <w:rFonts w:ascii="Times New Roman" w:hAnsi="Times New Roman"/>
                <w:sz w:val="20"/>
                <w:szCs w:val="20"/>
                <w:lang w:val="fr-FR" w:eastAsia="ru-RU"/>
              </w:rPr>
            </w:pPr>
            <w:proofErr w:type="spellStart"/>
            <w:proofErr w:type="gramStart"/>
            <w:r w:rsidRPr="00A23036">
              <w:rPr>
                <w:rFonts w:ascii="Times New Roman" w:hAnsi="Times New Roman"/>
                <w:sz w:val="20"/>
                <w:szCs w:val="20"/>
                <w:lang w:val="fr-FR" w:eastAsia="ru-RU"/>
              </w:rPr>
              <w:lastRenderedPageBreak/>
              <w:t>informațiile</w:t>
            </w:r>
            <w:proofErr w:type="spellEnd"/>
            <w:proofErr w:type="gram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menționate</w:t>
            </w:r>
            <w:proofErr w:type="spellEnd"/>
            <w:r w:rsidRPr="00A23036">
              <w:rPr>
                <w:rFonts w:ascii="Times New Roman" w:hAnsi="Times New Roman"/>
                <w:sz w:val="20"/>
                <w:szCs w:val="20"/>
                <w:lang w:val="fr-FR" w:eastAsia="ru-RU"/>
              </w:rPr>
              <w:t xml:space="preserve"> la </w:t>
            </w:r>
            <w:proofErr w:type="spellStart"/>
            <w:r w:rsidRPr="00A23036">
              <w:rPr>
                <w:rFonts w:ascii="Times New Roman" w:hAnsi="Times New Roman"/>
                <w:sz w:val="20"/>
                <w:szCs w:val="20"/>
                <w:lang w:val="fr-FR" w:eastAsia="ru-RU"/>
              </w:rPr>
              <w:t>articolele</w:t>
            </w:r>
            <w:proofErr w:type="spellEnd"/>
            <w:r w:rsidR="006A32A3" w:rsidRPr="00A23036">
              <w:rPr>
                <w:rFonts w:ascii="Times New Roman" w:hAnsi="Times New Roman"/>
                <w:sz w:val="20"/>
                <w:szCs w:val="20"/>
                <w:lang w:val="fr-FR" w:eastAsia="ru-RU"/>
              </w:rPr>
              <w:t xml:space="preserve"> </w:t>
            </w:r>
            <w:r w:rsidRPr="00A23036">
              <w:rPr>
                <w:rFonts w:ascii="Times New Roman" w:hAnsi="Times New Roman"/>
                <w:sz w:val="20"/>
                <w:szCs w:val="20"/>
                <w:lang w:val="fr-FR" w:eastAsia="ru-RU"/>
              </w:rPr>
              <w:t xml:space="preserve">20-25 și, </w:t>
            </w:r>
            <w:proofErr w:type="spellStart"/>
            <w:r w:rsidRPr="00A23036">
              <w:rPr>
                <w:rFonts w:ascii="Times New Roman" w:hAnsi="Times New Roman"/>
                <w:sz w:val="20"/>
                <w:szCs w:val="20"/>
                <w:lang w:val="fr-FR" w:eastAsia="ru-RU"/>
              </w:rPr>
              <w:t>dacă</w:t>
            </w:r>
            <w:proofErr w:type="spellEnd"/>
            <w:r w:rsidRPr="00A23036">
              <w:rPr>
                <w:rFonts w:ascii="Times New Roman" w:hAnsi="Times New Roman"/>
                <w:sz w:val="20"/>
                <w:szCs w:val="20"/>
                <w:lang w:val="fr-FR" w:eastAsia="ru-RU"/>
              </w:rPr>
              <w:t xml:space="preserve"> este </w:t>
            </w:r>
            <w:proofErr w:type="spellStart"/>
            <w:r w:rsidRPr="00A23036">
              <w:rPr>
                <w:rFonts w:ascii="Times New Roman" w:hAnsi="Times New Roman"/>
                <w:sz w:val="20"/>
                <w:szCs w:val="20"/>
                <w:lang w:val="fr-FR" w:eastAsia="ru-RU"/>
              </w:rPr>
              <w:t>cazul</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actualizările</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referitoare</w:t>
            </w:r>
            <w:proofErr w:type="spellEnd"/>
            <w:r w:rsidRPr="00A23036">
              <w:rPr>
                <w:rFonts w:ascii="Times New Roman" w:hAnsi="Times New Roman"/>
                <w:sz w:val="20"/>
                <w:szCs w:val="20"/>
                <w:lang w:val="fr-FR" w:eastAsia="ru-RU"/>
              </w:rPr>
              <w:t xml:space="preserve"> la </w:t>
            </w:r>
            <w:proofErr w:type="spellStart"/>
            <w:r w:rsidRPr="00A23036">
              <w:rPr>
                <w:rFonts w:ascii="Times New Roman" w:hAnsi="Times New Roman"/>
                <w:sz w:val="20"/>
                <w:szCs w:val="20"/>
                <w:lang w:val="fr-FR" w:eastAsia="ru-RU"/>
              </w:rPr>
              <w:t>politici</w:t>
            </w:r>
            <w:proofErr w:type="spellEnd"/>
            <w:r w:rsidRPr="00A23036">
              <w:rPr>
                <w:rFonts w:ascii="Times New Roman" w:hAnsi="Times New Roman"/>
                <w:sz w:val="20"/>
                <w:szCs w:val="20"/>
                <w:lang w:val="fr-FR" w:eastAsia="ru-RU"/>
              </w:rPr>
              <w:t xml:space="preserve"> și la </w:t>
            </w:r>
            <w:proofErr w:type="spellStart"/>
            <w:r w:rsidRPr="00A23036">
              <w:rPr>
                <w:rFonts w:ascii="Times New Roman" w:hAnsi="Times New Roman"/>
                <w:sz w:val="20"/>
                <w:szCs w:val="20"/>
                <w:lang w:val="fr-FR" w:eastAsia="ru-RU"/>
              </w:rPr>
              <w:t>măsuri</w:t>
            </w:r>
            <w:proofErr w:type="spellEnd"/>
            <w:r w:rsidRPr="00A23036">
              <w:rPr>
                <w:rFonts w:ascii="Times New Roman" w:hAnsi="Times New Roman"/>
                <w:sz w:val="20"/>
                <w:szCs w:val="20"/>
                <w:lang w:val="fr-FR" w:eastAsia="ru-RU"/>
              </w:rPr>
              <w:t>, în</w:t>
            </w:r>
            <w:r w:rsidR="006A32A3" w:rsidRPr="00A23036">
              <w:rPr>
                <w:rFonts w:ascii="Times New Roman" w:hAnsi="Times New Roman"/>
                <w:sz w:val="20"/>
                <w:szCs w:val="20"/>
                <w:lang w:val="fr-FR" w:eastAsia="ru-RU"/>
              </w:rPr>
              <w:t xml:space="preserve"> </w:t>
            </w:r>
            <w:r w:rsidRPr="00A23036">
              <w:rPr>
                <w:rFonts w:ascii="Times New Roman" w:hAnsi="Times New Roman"/>
                <w:sz w:val="20"/>
                <w:szCs w:val="20"/>
                <w:lang w:val="fr-FR" w:eastAsia="ru-RU"/>
              </w:rPr>
              <w:t xml:space="preserve">conformitate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articolele</w:t>
            </w:r>
            <w:proofErr w:type="spellEnd"/>
            <w:r w:rsidRPr="00A23036">
              <w:rPr>
                <w:rFonts w:ascii="Times New Roman" w:hAnsi="Times New Roman"/>
                <w:sz w:val="20"/>
                <w:szCs w:val="20"/>
                <w:lang w:val="fr-FR" w:eastAsia="ru-RU"/>
              </w:rPr>
              <w:t xml:space="preserve"> respective;</w:t>
            </w:r>
          </w:p>
          <w:p w14:paraId="6BEDCDB8" w14:textId="43BC598C" w:rsidR="006A32A3" w:rsidRPr="00A23036" w:rsidRDefault="006A32A3" w:rsidP="000C5A3B">
            <w:pPr>
              <w:pStyle w:val="af3"/>
              <w:numPr>
                <w:ilvl w:val="0"/>
                <w:numId w:val="108"/>
              </w:numPr>
              <w:spacing w:after="0" w:line="240" w:lineRule="auto"/>
              <w:ind w:left="470" w:hanging="357"/>
              <w:jc w:val="both"/>
              <w:rPr>
                <w:rFonts w:ascii="Times New Roman" w:hAnsi="Times New Roman"/>
                <w:sz w:val="20"/>
                <w:szCs w:val="20"/>
                <w:lang w:val="fr-FR" w:eastAsia="ru-RU"/>
              </w:rPr>
            </w:pPr>
            <w:proofErr w:type="spellStart"/>
            <w:proofErr w:type="gramStart"/>
            <w:r w:rsidRPr="00A23036">
              <w:rPr>
                <w:rFonts w:ascii="Times New Roman" w:hAnsi="Times New Roman"/>
                <w:sz w:val="20"/>
                <w:szCs w:val="20"/>
                <w:lang w:val="fr-FR" w:eastAsia="ru-RU"/>
              </w:rPr>
              <w:t>informații</w:t>
            </w:r>
            <w:proofErr w:type="spellEnd"/>
            <w:proofErr w:type="gram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privire</w:t>
            </w:r>
            <w:proofErr w:type="spellEnd"/>
            <w:r w:rsidRPr="00A23036">
              <w:rPr>
                <w:rFonts w:ascii="Times New Roman" w:hAnsi="Times New Roman"/>
                <w:sz w:val="20"/>
                <w:szCs w:val="20"/>
                <w:lang w:val="fr-FR" w:eastAsia="ru-RU"/>
              </w:rPr>
              <w:t xml:space="preserve"> la </w:t>
            </w:r>
            <w:proofErr w:type="spellStart"/>
            <w:r w:rsidRPr="00A23036">
              <w:rPr>
                <w:rFonts w:ascii="Times New Roman" w:hAnsi="Times New Roman"/>
                <w:sz w:val="20"/>
                <w:szCs w:val="20"/>
                <w:lang w:val="fr-FR" w:eastAsia="ru-RU"/>
              </w:rPr>
              <w:t>adaptare</w:t>
            </w:r>
            <w:proofErr w:type="spellEnd"/>
            <w:r w:rsidRPr="00A23036">
              <w:rPr>
                <w:rFonts w:ascii="Times New Roman" w:hAnsi="Times New Roman"/>
                <w:sz w:val="20"/>
                <w:szCs w:val="20"/>
                <w:lang w:val="fr-FR" w:eastAsia="ru-RU"/>
              </w:rPr>
              <w:t xml:space="preserve"> în conformitate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articolul</w:t>
            </w:r>
            <w:proofErr w:type="spellEnd"/>
            <w:r w:rsidRPr="00A23036">
              <w:rPr>
                <w:rFonts w:ascii="Times New Roman" w:hAnsi="Times New Roman"/>
                <w:sz w:val="20"/>
                <w:szCs w:val="20"/>
                <w:lang w:val="fr-FR" w:eastAsia="ru-RU"/>
              </w:rPr>
              <w:t xml:space="preserve"> 4 litera (a) </w:t>
            </w:r>
            <w:proofErr w:type="spellStart"/>
            <w:r w:rsidRPr="00A23036">
              <w:rPr>
                <w:rFonts w:ascii="Times New Roman" w:hAnsi="Times New Roman"/>
                <w:sz w:val="20"/>
                <w:szCs w:val="20"/>
                <w:lang w:val="fr-FR" w:eastAsia="ru-RU"/>
              </w:rPr>
              <w:t>punctul</w:t>
            </w:r>
            <w:proofErr w:type="spellEnd"/>
            <w:r w:rsidRPr="00A23036">
              <w:rPr>
                <w:rFonts w:ascii="Times New Roman" w:hAnsi="Times New Roman"/>
                <w:sz w:val="20"/>
                <w:szCs w:val="20"/>
                <w:lang w:val="fr-FR" w:eastAsia="ru-RU"/>
              </w:rPr>
              <w:t xml:space="preserve"> 1;</w:t>
            </w:r>
          </w:p>
          <w:p w14:paraId="2BC43491" w14:textId="68B2CA19" w:rsidR="006A32A3" w:rsidRPr="00A23036" w:rsidRDefault="006A32A3" w:rsidP="000C5A3B">
            <w:pPr>
              <w:pStyle w:val="af3"/>
              <w:numPr>
                <w:ilvl w:val="0"/>
                <w:numId w:val="108"/>
              </w:numPr>
              <w:spacing w:after="0" w:line="240" w:lineRule="auto"/>
              <w:ind w:left="470" w:hanging="357"/>
              <w:jc w:val="both"/>
              <w:rPr>
                <w:rFonts w:ascii="Times New Roman" w:hAnsi="Times New Roman"/>
                <w:sz w:val="20"/>
                <w:szCs w:val="20"/>
                <w:lang w:val="fr-FR" w:eastAsia="ru-RU"/>
              </w:rPr>
            </w:pPr>
            <w:proofErr w:type="gramStart"/>
            <w:r w:rsidRPr="00A23036">
              <w:rPr>
                <w:rFonts w:ascii="Times New Roman" w:hAnsi="Times New Roman"/>
                <w:sz w:val="20"/>
                <w:szCs w:val="20"/>
                <w:lang w:val="fr-FR" w:eastAsia="ru-RU"/>
              </w:rPr>
              <w:t>în</w:t>
            </w:r>
            <w:proofErr w:type="gram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măsura</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posibilului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cuantificarea</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impactului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politicilor</w:t>
            </w:r>
            <w:proofErr w:type="spellEnd"/>
            <w:r w:rsidRPr="00A23036">
              <w:rPr>
                <w:rFonts w:ascii="Times New Roman" w:hAnsi="Times New Roman"/>
                <w:sz w:val="20"/>
                <w:szCs w:val="20"/>
                <w:lang w:val="fr-FR" w:eastAsia="ru-RU"/>
              </w:rPr>
              <w:t xml:space="preserve"> și </w:t>
            </w:r>
            <w:proofErr w:type="spellStart"/>
            <w:r w:rsidRPr="00A23036">
              <w:rPr>
                <w:rFonts w:ascii="Times New Roman" w:hAnsi="Times New Roman"/>
                <w:sz w:val="20"/>
                <w:szCs w:val="20"/>
                <w:lang w:val="fr-FR" w:eastAsia="ru-RU"/>
              </w:rPr>
              <w:t>măsurilor</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din</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planul</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național</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integrat</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privind</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energ</w:t>
            </w:r>
            <w:proofErr w:type="spellEnd"/>
            <w:r w:rsidRPr="00A23036">
              <w:rPr>
                <w:rFonts w:ascii="Times New Roman" w:hAnsi="Times New Roman"/>
                <w:sz w:val="20"/>
                <w:szCs w:val="20"/>
                <w:lang w:val="fr-FR" w:eastAsia="ru-RU"/>
              </w:rPr>
              <w:t xml:space="preserve"> a și </w:t>
            </w:r>
            <w:proofErr w:type="spellStart"/>
            <w:r w:rsidRPr="00A23036">
              <w:rPr>
                <w:rFonts w:ascii="Times New Roman" w:hAnsi="Times New Roman"/>
                <w:sz w:val="20"/>
                <w:szCs w:val="20"/>
                <w:lang w:val="fr-FR" w:eastAsia="ru-RU"/>
              </w:rPr>
              <w:t>clima</w:t>
            </w:r>
            <w:proofErr w:type="spellEnd"/>
            <w:r w:rsidRPr="00A23036">
              <w:rPr>
                <w:rFonts w:ascii="Times New Roman" w:hAnsi="Times New Roman"/>
                <w:sz w:val="20"/>
                <w:szCs w:val="20"/>
                <w:lang w:val="fr-FR" w:eastAsia="ru-RU"/>
              </w:rPr>
              <w:t xml:space="preserve"> în </w:t>
            </w:r>
            <w:proofErr w:type="spellStart"/>
            <w:r w:rsidRPr="00A23036">
              <w:rPr>
                <w:rFonts w:ascii="Times New Roman" w:hAnsi="Times New Roman"/>
                <w:sz w:val="20"/>
                <w:szCs w:val="20"/>
                <w:lang w:val="fr-FR" w:eastAsia="ru-RU"/>
              </w:rPr>
              <w:t>ceea</w:t>
            </w:r>
            <w:proofErr w:type="spellEnd"/>
            <w:r w:rsidRPr="00A23036">
              <w:rPr>
                <w:rFonts w:ascii="Times New Roman" w:hAnsi="Times New Roman"/>
                <w:sz w:val="20"/>
                <w:szCs w:val="20"/>
                <w:lang w:val="fr-FR" w:eastAsia="ru-RU"/>
              </w:rPr>
              <w:t xml:space="preserve"> ce </w:t>
            </w:r>
            <w:proofErr w:type="spellStart"/>
            <w:r w:rsidRPr="00A23036">
              <w:rPr>
                <w:rFonts w:ascii="Times New Roman" w:hAnsi="Times New Roman"/>
                <w:sz w:val="20"/>
                <w:szCs w:val="20"/>
                <w:lang w:val="fr-FR" w:eastAsia="ru-RU"/>
              </w:rPr>
              <w:t>privește</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calitatea</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aerului</w:t>
            </w:r>
            <w:proofErr w:type="spellEnd"/>
            <w:r w:rsidRPr="00A23036">
              <w:rPr>
                <w:rFonts w:ascii="Times New Roman" w:hAnsi="Times New Roman"/>
                <w:sz w:val="20"/>
                <w:szCs w:val="20"/>
                <w:lang w:val="fr-FR" w:eastAsia="ru-RU"/>
              </w:rPr>
              <w:t xml:space="preserve"> și </w:t>
            </w:r>
            <w:proofErr w:type="spellStart"/>
            <w:r w:rsidRPr="00A23036">
              <w:rPr>
                <w:rFonts w:ascii="Times New Roman" w:hAnsi="Times New Roman"/>
                <w:sz w:val="20"/>
                <w:szCs w:val="20"/>
                <w:lang w:val="fr-FR" w:eastAsia="ru-RU"/>
              </w:rPr>
              <w:t>emisiile</w:t>
            </w:r>
            <w:proofErr w:type="spellEnd"/>
            <w:r w:rsidRPr="00A23036">
              <w:rPr>
                <w:rFonts w:ascii="Times New Roman" w:hAnsi="Times New Roman"/>
                <w:sz w:val="20"/>
                <w:szCs w:val="20"/>
                <w:lang w:val="fr-FR" w:eastAsia="ru-RU"/>
              </w:rPr>
              <w:t xml:space="preserve"> de </w:t>
            </w:r>
            <w:proofErr w:type="spellStart"/>
            <w:r w:rsidRPr="00A23036">
              <w:rPr>
                <w:rFonts w:ascii="Times New Roman" w:hAnsi="Times New Roman"/>
                <w:sz w:val="20"/>
                <w:szCs w:val="20"/>
                <w:lang w:val="fr-FR" w:eastAsia="ru-RU"/>
              </w:rPr>
              <w:t>poluanți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atmosferici</w:t>
            </w:r>
            <w:proofErr w:type="spellEnd"/>
            <w:r w:rsidRPr="00A23036">
              <w:rPr>
                <w:rFonts w:ascii="Times New Roman" w:hAnsi="Times New Roman"/>
                <w:sz w:val="20"/>
                <w:szCs w:val="20"/>
                <w:lang w:val="fr-FR" w:eastAsia="ru-RU"/>
              </w:rPr>
              <w:t>.</w:t>
            </w:r>
          </w:p>
          <w:p w14:paraId="784C8BF3" w14:textId="77777777" w:rsidR="00D37AB7" w:rsidRPr="00A23036" w:rsidRDefault="006A32A3" w:rsidP="006A32A3">
            <w:pPr>
              <w:spacing w:after="0" w:line="240" w:lineRule="auto"/>
              <w:jc w:val="both"/>
              <w:rPr>
                <w:rFonts w:ascii="Times New Roman" w:hAnsi="Times New Roman"/>
                <w:sz w:val="20"/>
                <w:szCs w:val="20"/>
                <w:lang w:val="fr-FR" w:eastAsia="ru-RU"/>
              </w:rPr>
            </w:pPr>
            <w:proofErr w:type="spellStart"/>
            <w:r w:rsidRPr="00A23036">
              <w:rPr>
                <w:rFonts w:ascii="Times New Roman" w:hAnsi="Times New Roman"/>
                <w:sz w:val="20"/>
                <w:szCs w:val="20"/>
                <w:lang w:val="fr-FR" w:eastAsia="ru-RU"/>
              </w:rPr>
              <w:t>Uniunea</w:t>
            </w:r>
            <w:proofErr w:type="spellEnd"/>
            <w:r w:rsidRPr="00A23036">
              <w:rPr>
                <w:rFonts w:ascii="Times New Roman" w:hAnsi="Times New Roman"/>
                <w:sz w:val="20"/>
                <w:szCs w:val="20"/>
                <w:lang w:val="fr-FR" w:eastAsia="ru-RU"/>
              </w:rPr>
              <w:t xml:space="preserve"> și </w:t>
            </w:r>
            <w:proofErr w:type="spellStart"/>
            <w:r w:rsidRPr="00A23036">
              <w:rPr>
                <w:rFonts w:ascii="Times New Roman" w:hAnsi="Times New Roman"/>
                <w:sz w:val="20"/>
                <w:szCs w:val="20"/>
                <w:lang w:val="fr-FR" w:eastAsia="ru-RU"/>
              </w:rPr>
              <w:t>statele</w:t>
            </w:r>
            <w:proofErr w:type="spellEnd"/>
            <w:r w:rsidRPr="00A23036">
              <w:rPr>
                <w:rFonts w:ascii="Times New Roman" w:hAnsi="Times New Roman"/>
                <w:sz w:val="20"/>
                <w:szCs w:val="20"/>
                <w:lang w:val="fr-FR" w:eastAsia="ru-RU"/>
              </w:rPr>
              <w:t xml:space="preserve"> membre </w:t>
            </w:r>
            <w:proofErr w:type="spellStart"/>
            <w:r w:rsidRPr="00A23036">
              <w:rPr>
                <w:rFonts w:ascii="Times New Roman" w:hAnsi="Times New Roman"/>
                <w:sz w:val="20"/>
                <w:szCs w:val="20"/>
                <w:lang w:val="fr-FR" w:eastAsia="ru-RU"/>
              </w:rPr>
              <w:t>prezintă</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secretariatului</w:t>
            </w:r>
            <w:proofErr w:type="spellEnd"/>
            <w:r w:rsidRPr="00A23036">
              <w:rPr>
                <w:rFonts w:ascii="Times New Roman" w:hAnsi="Times New Roman"/>
                <w:sz w:val="20"/>
                <w:szCs w:val="20"/>
                <w:lang w:val="fr-FR" w:eastAsia="ru-RU"/>
              </w:rPr>
              <w:t xml:space="preserve"> CCONUSC </w:t>
            </w:r>
            <w:proofErr w:type="spellStart"/>
            <w:r w:rsidRPr="00A23036">
              <w:rPr>
                <w:rFonts w:ascii="Times New Roman" w:hAnsi="Times New Roman"/>
                <w:sz w:val="20"/>
                <w:szCs w:val="20"/>
                <w:lang w:val="fr-FR" w:eastAsia="ru-RU"/>
              </w:rPr>
              <w:t>rapoarte</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bienale</w:t>
            </w:r>
            <w:proofErr w:type="spellEnd"/>
            <w:r w:rsidRPr="00A23036">
              <w:rPr>
                <w:rFonts w:ascii="Times New Roman" w:hAnsi="Times New Roman"/>
                <w:sz w:val="20"/>
                <w:szCs w:val="20"/>
                <w:lang w:val="fr-FR" w:eastAsia="ru-RU"/>
              </w:rPr>
              <w:t xml:space="preserve"> în conformitate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Decizia</w:t>
            </w:r>
            <w:proofErr w:type="spellEnd"/>
            <w:r w:rsidRPr="00A23036">
              <w:rPr>
                <w:rFonts w:ascii="Times New Roman" w:hAnsi="Times New Roman"/>
                <w:sz w:val="20"/>
                <w:szCs w:val="20"/>
                <w:lang w:val="fr-FR" w:eastAsia="ru-RU"/>
              </w:rPr>
              <w:t xml:space="preserve"> 2/CP.17 a </w:t>
            </w:r>
            <w:proofErr w:type="spellStart"/>
            <w:r w:rsidRPr="00A23036">
              <w:rPr>
                <w:rFonts w:ascii="Times New Roman" w:hAnsi="Times New Roman"/>
                <w:sz w:val="20"/>
                <w:szCs w:val="20"/>
                <w:lang w:val="fr-FR" w:eastAsia="ru-RU"/>
              </w:rPr>
              <w:t>Conferinței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părților</w:t>
            </w:r>
            <w:proofErr w:type="spellEnd"/>
            <w:r w:rsidRPr="00A23036">
              <w:rPr>
                <w:rFonts w:ascii="Times New Roman" w:hAnsi="Times New Roman"/>
                <w:sz w:val="20"/>
                <w:szCs w:val="20"/>
                <w:lang w:val="fr-FR" w:eastAsia="ru-RU"/>
              </w:rPr>
              <w:t xml:space="preserve"> la CCONUSC, </w:t>
            </w:r>
            <w:proofErr w:type="spellStart"/>
            <w:r w:rsidRPr="00A23036">
              <w:rPr>
                <w:rFonts w:ascii="Times New Roman" w:hAnsi="Times New Roman"/>
                <w:sz w:val="20"/>
                <w:szCs w:val="20"/>
                <w:lang w:val="fr-FR" w:eastAsia="ru-RU"/>
              </w:rPr>
              <w:t>precum</w:t>
            </w:r>
            <w:proofErr w:type="spellEnd"/>
            <w:r w:rsidRPr="00A23036">
              <w:rPr>
                <w:rFonts w:ascii="Times New Roman" w:hAnsi="Times New Roman"/>
                <w:sz w:val="20"/>
                <w:szCs w:val="20"/>
                <w:lang w:val="fr-FR" w:eastAsia="ru-RU"/>
              </w:rPr>
              <w:t xml:space="preserve"> și </w:t>
            </w:r>
            <w:proofErr w:type="spellStart"/>
            <w:r w:rsidRPr="00A23036">
              <w:rPr>
                <w:rFonts w:ascii="Times New Roman" w:hAnsi="Times New Roman"/>
                <w:sz w:val="20"/>
                <w:szCs w:val="20"/>
                <w:lang w:val="fr-FR" w:eastAsia="ru-RU"/>
              </w:rPr>
              <w:t>comunicări</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naționale</w:t>
            </w:r>
            <w:proofErr w:type="spellEnd"/>
            <w:r w:rsidRPr="00A23036">
              <w:rPr>
                <w:rFonts w:ascii="Times New Roman" w:hAnsi="Times New Roman"/>
                <w:sz w:val="20"/>
                <w:szCs w:val="20"/>
                <w:lang w:val="fr-FR" w:eastAsia="ru-RU"/>
              </w:rPr>
              <w:t xml:space="preserve"> în conformitate </w:t>
            </w:r>
            <w:proofErr w:type="spellStart"/>
            <w:r w:rsidRPr="00A23036">
              <w:rPr>
                <w:rFonts w:ascii="Times New Roman" w:hAnsi="Times New Roman"/>
                <w:sz w:val="20"/>
                <w:szCs w:val="20"/>
                <w:lang w:val="fr-FR" w:eastAsia="ru-RU"/>
              </w:rPr>
              <w:t>cu</w:t>
            </w:r>
            <w:proofErr w:type="spellEnd"/>
            <w:r w:rsidRPr="00A23036">
              <w:rPr>
                <w:rFonts w:ascii="Times New Roman" w:hAnsi="Times New Roman"/>
                <w:sz w:val="20"/>
                <w:szCs w:val="20"/>
                <w:lang w:val="fr-FR" w:eastAsia="ru-RU"/>
              </w:rPr>
              <w:t xml:space="preserve"> </w:t>
            </w:r>
            <w:proofErr w:type="spellStart"/>
            <w:r w:rsidRPr="00A23036">
              <w:rPr>
                <w:rFonts w:ascii="Times New Roman" w:hAnsi="Times New Roman"/>
                <w:sz w:val="20"/>
                <w:szCs w:val="20"/>
                <w:lang w:val="fr-FR" w:eastAsia="ru-RU"/>
              </w:rPr>
              <w:t>articolul</w:t>
            </w:r>
            <w:proofErr w:type="spellEnd"/>
            <w:r w:rsidRPr="00A23036">
              <w:rPr>
                <w:rFonts w:ascii="Times New Roman" w:hAnsi="Times New Roman"/>
                <w:sz w:val="20"/>
                <w:szCs w:val="20"/>
                <w:lang w:val="fr-FR" w:eastAsia="ru-RU"/>
              </w:rPr>
              <w:t xml:space="preserve"> 12 </w:t>
            </w:r>
            <w:proofErr w:type="spellStart"/>
            <w:r w:rsidRPr="00A23036">
              <w:rPr>
                <w:rFonts w:ascii="Times New Roman" w:hAnsi="Times New Roman"/>
                <w:sz w:val="20"/>
                <w:szCs w:val="20"/>
                <w:lang w:val="fr-FR" w:eastAsia="ru-RU"/>
              </w:rPr>
              <w:t>din</w:t>
            </w:r>
            <w:proofErr w:type="spellEnd"/>
            <w:r w:rsidRPr="00A23036">
              <w:rPr>
                <w:rFonts w:ascii="Times New Roman" w:hAnsi="Times New Roman"/>
                <w:sz w:val="20"/>
                <w:szCs w:val="20"/>
                <w:lang w:val="fr-FR" w:eastAsia="ru-RU"/>
              </w:rPr>
              <w:t xml:space="preserve"> CCONUSC.</w:t>
            </w:r>
          </w:p>
          <w:p w14:paraId="0990EE4E" w14:textId="453E8C39" w:rsidR="006A32A3" w:rsidRPr="00A23036" w:rsidRDefault="006A32A3" w:rsidP="006A32A3">
            <w:pPr>
              <w:spacing w:after="0" w:line="240" w:lineRule="auto"/>
              <w:jc w:val="both"/>
              <w:rPr>
                <w:rFonts w:ascii="Times New Roman" w:hAnsi="Times New Roman"/>
                <w:sz w:val="20"/>
                <w:szCs w:val="20"/>
                <w:shd w:val="clear" w:color="auto" w:fill="FFFFFF"/>
                <w:lang w:val="fr-FR"/>
              </w:rPr>
            </w:pPr>
            <w:r w:rsidRPr="00A23036">
              <w:rPr>
                <w:rFonts w:ascii="Times New Roman" w:hAnsi="Times New Roman"/>
                <w:sz w:val="20"/>
                <w:szCs w:val="20"/>
                <w:shd w:val="clear" w:color="auto" w:fill="FFFFFF"/>
                <w:lang w:val="fr-FR"/>
              </w:rPr>
              <w:t>(</w:t>
            </w:r>
            <w:proofErr w:type="gramStart"/>
            <w:r w:rsidRPr="00A23036">
              <w:rPr>
                <w:rFonts w:ascii="Times New Roman" w:hAnsi="Times New Roman"/>
                <w:sz w:val="20"/>
                <w:szCs w:val="20"/>
                <w:shd w:val="clear" w:color="auto" w:fill="FFFFFF"/>
                <w:lang w:val="fr-FR"/>
              </w:rPr>
              <w:t>3)</w:t>
            </w:r>
            <w:proofErr w:type="spellStart"/>
            <w:r w:rsidRPr="00A23036">
              <w:rPr>
                <w:rFonts w:ascii="Times New Roman" w:hAnsi="Times New Roman"/>
                <w:sz w:val="20"/>
                <w:szCs w:val="20"/>
                <w:shd w:val="clear" w:color="auto" w:fill="FFFFFF"/>
                <w:lang w:val="fr-FR"/>
              </w:rPr>
              <w:t>Raportul</w:t>
            </w:r>
            <w:proofErr w:type="spellEnd"/>
            <w:proofErr w:type="gram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național</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intermediar</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integrat</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privind</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energia</w:t>
            </w:r>
            <w:proofErr w:type="spellEnd"/>
            <w:r w:rsidRPr="00A23036">
              <w:rPr>
                <w:rFonts w:ascii="Times New Roman" w:hAnsi="Times New Roman"/>
                <w:sz w:val="20"/>
                <w:szCs w:val="20"/>
                <w:shd w:val="clear" w:color="auto" w:fill="FFFFFF"/>
                <w:lang w:val="fr-FR"/>
              </w:rPr>
              <w:t xml:space="preserve"> și </w:t>
            </w:r>
            <w:proofErr w:type="spellStart"/>
            <w:r w:rsidRPr="00A23036">
              <w:rPr>
                <w:rFonts w:ascii="Times New Roman" w:hAnsi="Times New Roman"/>
                <w:sz w:val="20"/>
                <w:szCs w:val="20"/>
                <w:shd w:val="clear" w:color="auto" w:fill="FFFFFF"/>
                <w:lang w:val="fr-FR"/>
              </w:rPr>
              <w:t>clima</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cuprinde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informațiile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conținute</w:t>
            </w:r>
            <w:proofErr w:type="spellEnd"/>
            <w:r w:rsidRPr="00A23036">
              <w:rPr>
                <w:rFonts w:ascii="Times New Roman" w:hAnsi="Times New Roman"/>
                <w:sz w:val="20"/>
                <w:szCs w:val="20"/>
                <w:shd w:val="clear" w:color="auto" w:fill="FFFFFF"/>
                <w:lang w:val="fr-FR"/>
              </w:rPr>
              <w:t xml:space="preserve"> în </w:t>
            </w:r>
            <w:proofErr w:type="spellStart"/>
            <w:r w:rsidRPr="00A23036">
              <w:rPr>
                <w:rFonts w:ascii="Times New Roman" w:hAnsi="Times New Roman"/>
                <w:sz w:val="20"/>
                <w:szCs w:val="20"/>
                <w:shd w:val="clear" w:color="auto" w:fill="FFFFFF"/>
                <w:lang w:val="fr-FR"/>
              </w:rPr>
              <w:t>rapoartele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anuale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menționate</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articolul</w:t>
            </w:r>
            <w:proofErr w:type="spellEnd"/>
            <w:r w:rsidRPr="00A23036">
              <w:rPr>
                <w:rFonts w:ascii="Times New Roman" w:hAnsi="Times New Roman"/>
                <w:sz w:val="20"/>
                <w:szCs w:val="20"/>
                <w:shd w:val="clear" w:color="auto" w:fill="FFFFFF"/>
                <w:lang w:val="fr-FR"/>
              </w:rPr>
              <w:t xml:space="preserve"> 26 </w:t>
            </w:r>
            <w:proofErr w:type="spellStart"/>
            <w:r w:rsidRPr="00A23036">
              <w:rPr>
                <w:rFonts w:ascii="Times New Roman" w:hAnsi="Times New Roman"/>
                <w:sz w:val="20"/>
                <w:szCs w:val="20"/>
                <w:shd w:val="clear" w:color="auto" w:fill="FFFFFF"/>
                <w:lang w:val="fr-FR"/>
              </w:rPr>
              <w:t>alineatul</w:t>
            </w:r>
            <w:proofErr w:type="spellEnd"/>
            <w:r w:rsidRPr="00A23036">
              <w:rPr>
                <w:rFonts w:ascii="Times New Roman" w:hAnsi="Times New Roman"/>
                <w:sz w:val="20"/>
                <w:szCs w:val="20"/>
                <w:shd w:val="clear" w:color="auto" w:fill="FFFFFF"/>
                <w:lang w:val="fr-FR"/>
              </w:rPr>
              <w:t xml:space="preserve"> (3) și </w:t>
            </w:r>
            <w:proofErr w:type="spellStart"/>
            <w:r w:rsidRPr="00A23036">
              <w:rPr>
                <w:rFonts w:ascii="Times New Roman" w:hAnsi="Times New Roman"/>
                <w:sz w:val="20"/>
                <w:szCs w:val="20"/>
                <w:shd w:val="clear" w:color="auto" w:fill="FFFFFF"/>
                <w:lang w:val="fr-FR"/>
              </w:rPr>
              <w:t>informațiile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cu</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privire</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politicile</w:t>
            </w:r>
            <w:proofErr w:type="spellEnd"/>
            <w:r w:rsidRPr="00A23036">
              <w:rPr>
                <w:rFonts w:ascii="Times New Roman" w:hAnsi="Times New Roman"/>
                <w:sz w:val="20"/>
                <w:szCs w:val="20"/>
                <w:shd w:val="clear" w:color="auto" w:fill="FFFFFF"/>
                <w:lang w:val="fr-FR"/>
              </w:rPr>
              <w:t xml:space="preserve"> și </w:t>
            </w:r>
            <w:proofErr w:type="spellStart"/>
            <w:r w:rsidRPr="00A23036">
              <w:rPr>
                <w:rFonts w:ascii="Times New Roman" w:hAnsi="Times New Roman"/>
                <w:sz w:val="20"/>
                <w:szCs w:val="20"/>
                <w:shd w:val="clear" w:color="auto" w:fill="FFFFFF"/>
                <w:lang w:val="fr-FR"/>
              </w:rPr>
              <w:t>măsurile</w:t>
            </w:r>
            <w:proofErr w:type="spellEnd"/>
            <w:r w:rsidRPr="00A23036">
              <w:rPr>
                <w:rFonts w:ascii="Times New Roman" w:hAnsi="Times New Roman"/>
                <w:sz w:val="20"/>
                <w:szCs w:val="20"/>
                <w:shd w:val="clear" w:color="auto" w:fill="FFFFFF"/>
                <w:lang w:val="fr-FR"/>
              </w:rPr>
              <w:t xml:space="preserve"> și </w:t>
            </w:r>
            <w:proofErr w:type="spellStart"/>
            <w:r w:rsidRPr="00A23036">
              <w:rPr>
                <w:rFonts w:ascii="Times New Roman" w:hAnsi="Times New Roman"/>
                <w:sz w:val="20"/>
                <w:szCs w:val="20"/>
                <w:shd w:val="clear" w:color="auto" w:fill="FFFFFF"/>
                <w:lang w:val="fr-FR"/>
              </w:rPr>
              <w:t>prognozele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referitoare</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emisiile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antropice</w:t>
            </w:r>
            <w:proofErr w:type="spellEnd"/>
            <w:r w:rsidRPr="00A23036">
              <w:rPr>
                <w:rFonts w:ascii="Times New Roman" w:hAnsi="Times New Roman"/>
                <w:sz w:val="20"/>
                <w:szCs w:val="20"/>
                <w:shd w:val="clear" w:color="auto" w:fill="FFFFFF"/>
                <w:lang w:val="fr-FR"/>
              </w:rPr>
              <w:t xml:space="preserve"> de </w:t>
            </w:r>
            <w:proofErr w:type="spellStart"/>
            <w:r w:rsidRPr="00A23036">
              <w:rPr>
                <w:rFonts w:ascii="Times New Roman" w:hAnsi="Times New Roman"/>
                <w:sz w:val="20"/>
                <w:szCs w:val="20"/>
                <w:shd w:val="clear" w:color="auto" w:fill="FFFFFF"/>
                <w:lang w:val="fr-FR"/>
              </w:rPr>
              <w:t>către</w:t>
            </w:r>
            <w:proofErr w:type="spellEnd"/>
            <w:r w:rsidRPr="00A23036">
              <w:rPr>
                <w:rFonts w:ascii="Times New Roman" w:hAnsi="Times New Roman"/>
                <w:sz w:val="20"/>
                <w:szCs w:val="20"/>
                <w:shd w:val="clear" w:color="auto" w:fill="FFFFFF"/>
                <w:lang w:val="fr-FR"/>
              </w:rPr>
              <w:t xml:space="preserve"> surse și </w:t>
            </w:r>
            <w:proofErr w:type="spellStart"/>
            <w:r w:rsidRPr="00A23036">
              <w:rPr>
                <w:rFonts w:ascii="Times New Roman" w:hAnsi="Times New Roman"/>
                <w:sz w:val="20"/>
                <w:szCs w:val="20"/>
                <w:shd w:val="clear" w:color="auto" w:fill="FFFFFF"/>
                <w:lang w:val="fr-FR"/>
              </w:rPr>
              <w:t>absorbțiile</w:t>
            </w:r>
            <w:proofErr w:type="spellEnd"/>
            <w:r w:rsidRPr="00A23036">
              <w:rPr>
                <w:rFonts w:ascii="Times New Roman" w:hAnsi="Times New Roman"/>
                <w:sz w:val="20"/>
                <w:szCs w:val="20"/>
                <w:shd w:val="clear" w:color="auto" w:fill="FFFFFF"/>
                <w:lang w:val="fr-FR"/>
              </w:rPr>
              <w:t xml:space="preserve"> de </w:t>
            </w:r>
            <w:proofErr w:type="spellStart"/>
            <w:r w:rsidRPr="00A23036">
              <w:rPr>
                <w:rFonts w:ascii="Times New Roman" w:hAnsi="Times New Roman"/>
                <w:sz w:val="20"/>
                <w:szCs w:val="20"/>
                <w:shd w:val="clear" w:color="auto" w:fill="FFFFFF"/>
                <w:lang w:val="fr-FR"/>
              </w:rPr>
              <w:t>către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absorbanți</w:t>
            </w:r>
            <w:proofErr w:type="spellEnd"/>
            <w:r w:rsidRPr="00A23036">
              <w:rPr>
                <w:rFonts w:ascii="Times New Roman" w:hAnsi="Times New Roman"/>
                <w:sz w:val="20"/>
                <w:szCs w:val="20"/>
                <w:shd w:val="clear" w:color="auto" w:fill="FFFFFF"/>
                <w:lang w:val="fr-FR"/>
              </w:rPr>
              <w:t xml:space="preserve"> de gaze </w:t>
            </w:r>
            <w:proofErr w:type="spellStart"/>
            <w:r w:rsidRPr="00A23036">
              <w:rPr>
                <w:rFonts w:ascii="Times New Roman" w:hAnsi="Times New Roman"/>
                <w:sz w:val="20"/>
                <w:szCs w:val="20"/>
                <w:shd w:val="clear" w:color="auto" w:fill="FFFFFF"/>
                <w:lang w:val="fr-FR"/>
              </w:rPr>
              <w:t>cu</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efect</w:t>
            </w:r>
            <w:proofErr w:type="spellEnd"/>
            <w:r w:rsidRPr="00A23036">
              <w:rPr>
                <w:rFonts w:ascii="Times New Roman" w:hAnsi="Times New Roman"/>
                <w:sz w:val="20"/>
                <w:szCs w:val="20"/>
                <w:shd w:val="clear" w:color="auto" w:fill="FFFFFF"/>
                <w:lang w:val="fr-FR"/>
              </w:rPr>
              <w:t xml:space="preserve"> de </w:t>
            </w:r>
            <w:proofErr w:type="spellStart"/>
            <w:r w:rsidRPr="00A23036">
              <w:rPr>
                <w:rFonts w:ascii="Times New Roman" w:hAnsi="Times New Roman"/>
                <w:sz w:val="20"/>
                <w:szCs w:val="20"/>
                <w:shd w:val="clear" w:color="auto" w:fill="FFFFFF"/>
                <w:lang w:val="fr-FR"/>
              </w:rPr>
              <w:t>seră</w:t>
            </w:r>
            <w:proofErr w:type="spellEnd"/>
            <w:r w:rsidRPr="00A23036">
              <w:rPr>
                <w:rFonts w:ascii="Times New Roman" w:hAnsi="Times New Roman"/>
                <w:sz w:val="20"/>
                <w:szCs w:val="20"/>
                <w:shd w:val="clear" w:color="auto" w:fill="FFFFFF"/>
                <w:lang w:val="fr-FR"/>
              </w:rPr>
              <w:t xml:space="preserve"> incluse în </w:t>
            </w:r>
            <w:proofErr w:type="spellStart"/>
            <w:r w:rsidRPr="00A23036">
              <w:rPr>
                <w:rFonts w:ascii="Times New Roman" w:hAnsi="Times New Roman"/>
                <w:sz w:val="20"/>
                <w:szCs w:val="20"/>
                <w:shd w:val="clear" w:color="auto" w:fill="FFFFFF"/>
                <w:lang w:val="fr-FR"/>
              </w:rPr>
              <w:t>rapoartele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menționate</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articolul</w:t>
            </w:r>
            <w:proofErr w:type="spellEnd"/>
            <w:r w:rsidRPr="00A23036">
              <w:rPr>
                <w:rFonts w:ascii="Times New Roman" w:hAnsi="Times New Roman"/>
                <w:sz w:val="20"/>
                <w:szCs w:val="20"/>
                <w:shd w:val="clear" w:color="auto" w:fill="FFFFFF"/>
                <w:lang w:val="fr-FR"/>
              </w:rPr>
              <w:t xml:space="preserve"> 18.</w:t>
            </w:r>
          </w:p>
          <w:p w14:paraId="3A68118F" w14:textId="134E1C17" w:rsidR="006A32A3" w:rsidRPr="00373D90" w:rsidRDefault="006A32A3" w:rsidP="006A32A3">
            <w:pPr>
              <w:spacing w:after="0" w:line="240" w:lineRule="auto"/>
              <w:jc w:val="both"/>
              <w:rPr>
                <w:rFonts w:ascii="Times New Roman" w:hAnsi="Times New Roman"/>
                <w:sz w:val="20"/>
                <w:szCs w:val="20"/>
                <w:lang w:val="fr-FR"/>
              </w:rPr>
            </w:pPr>
            <w:r w:rsidRPr="00A23036">
              <w:rPr>
                <w:rFonts w:ascii="Times New Roman" w:hAnsi="Times New Roman"/>
                <w:sz w:val="20"/>
                <w:szCs w:val="20"/>
                <w:lang w:val="fr-FR"/>
              </w:rPr>
              <w:t>(4)</w:t>
            </w:r>
            <w:r w:rsidR="00373D90" w:rsidRPr="00373D90">
              <w:rPr>
                <w:lang w:val="fr-FR"/>
              </w:rPr>
              <w:t xml:space="preserve"> </w:t>
            </w:r>
            <w:hyperlink r:id="rId31" w:tooltip="32021R1119: REPLACED" w:history="1">
              <w:r w:rsidR="00373D90" w:rsidRPr="00373D90">
                <w:rPr>
                  <w:rStyle w:val="boldface"/>
                  <w:rFonts w:ascii="Times New Roman" w:eastAsia="Arial Unicode MS" w:hAnsi="Times New Roman"/>
                  <w:b/>
                  <w:bCs/>
                  <w:color w:val="23527C"/>
                  <w:sz w:val="20"/>
                  <w:szCs w:val="20"/>
                  <w:u w:val="single"/>
                  <w:shd w:val="clear" w:color="auto" w:fill="FFFFFF"/>
                  <w:lang w:val="fr-FR"/>
                </w:rPr>
                <w:t>►M2</w:t>
              </w:r>
            </w:hyperlink>
            <w:r w:rsidR="00373D90"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Comisia</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asistată</w:t>
            </w:r>
            <w:proofErr w:type="spellEnd"/>
            <w:r w:rsidRPr="00A23036">
              <w:rPr>
                <w:rFonts w:ascii="Times New Roman" w:hAnsi="Times New Roman"/>
                <w:sz w:val="20"/>
                <w:szCs w:val="20"/>
                <w:lang w:val="fr-FR"/>
              </w:rPr>
              <w:t xml:space="preserve"> de </w:t>
            </w:r>
            <w:proofErr w:type="spellStart"/>
            <w:r w:rsidRPr="00A23036">
              <w:rPr>
                <w:rFonts w:ascii="Times New Roman" w:hAnsi="Times New Roman"/>
                <w:sz w:val="20"/>
                <w:szCs w:val="20"/>
                <w:lang w:val="fr-FR"/>
              </w:rPr>
              <w:t>Comitetul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uniunii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energetice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menționat</w:t>
            </w:r>
            <w:proofErr w:type="spellEnd"/>
            <w:r w:rsidRPr="00A23036">
              <w:rPr>
                <w:rFonts w:ascii="Times New Roman" w:hAnsi="Times New Roman"/>
                <w:sz w:val="20"/>
                <w:szCs w:val="20"/>
                <w:lang w:val="fr-FR"/>
              </w:rPr>
              <w:t xml:space="preserve"> la </w:t>
            </w:r>
            <w:proofErr w:type="spellStart"/>
            <w:r w:rsidRPr="00A23036">
              <w:rPr>
                <w:rFonts w:ascii="Times New Roman" w:hAnsi="Times New Roman"/>
                <w:sz w:val="20"/>
                <w:szCs w:val="20"/>
                <w:lang w:val="fr-FR"/>
              </w:rPr>
              <w:t>articolul</w:t>
            </w:r>
            <w:proofErr w:type="spellEnd"/>
            <w:r w:rsidRPr="00A23036">
              <w:rPr>
                <w:rFonts w:ascii="Times New Roman" w:hAnsi="Times New Roman"/>
                <w:sz w:val="20"/>
                <w:szCs w:val="20"/>
                <w:lang w:val="fr-FR"/>
              </w:rPr>
              <w:t xml:space="preserve"> 44 </w:t>
            </w:r>
            <w:proofErr w:type="spellStart"/>
            <w:r w:rsidRPr="00A23036">
              <w:rPr>
                <w:rFonts w:ascii="Times New Roman" w:hAnsi="Times New Roman"/>
                <w:sz w:val="20"/>
                <w:szCs w:val="20"/>
                <w:lang w:val="fr-FR"/>
              </w:rPr>
              <w:t>alineatul</w:t>
            </w:r>
            <w:proofErr w:type="spellEnd"/>
            <w:r w:rsidRPr="00A23036">
              <w:rPr>
                <w:rFonts w:ascii="Times New Roman" w:hAnsi="Times New Roman"/>
                <w:sz w:val="20"/>
                <w:szCs w:val="20"/>
                <w:lang w:val="fr-FR"/>
              </w:rPr>
              <w:t xml:space="preserve"> (1) litera (b), </w:t>
            </w:r>
            <w:proofErr w:type="spellStart"/>
            <w:r w:rsidRPr="00A23036">
              <w:rPr>
                <w:rFonts w:ascii="Times New Roman" w:hAnsi="Times New Roman"/>
                <w:sz w:val="20"/>
                <w:szCs w:val="20"/>
                <w:lang w:val="fr-FR"/>
              </w:rPr>
              <w:t>adoptă</w:t>
            </w:r>
            <w:proofErr w:type="spellEnd"/>
            <w:r w:rsidRPr="00A23036">
              <w:rPr>
                <w:rFonts w:ascii="Times New Roman" w:hAnsi="Times New Roman"/>
                <w:sz w:val="20"/>
                <w:szCs w:val="20"/>
                <w:lang w:val="fr-FR"/>
              </w:rPr>
              <w:t xml:space="preserve"> acte de </w:t>
            </w:r>
            <w:proofErr w:type="spellStart"/>
            <w:r w:rsidRPr="00A23036">
              <w:rPr>
                <w:rFonts w:ascii="Times New Roman" w:hAnsi="Times New Roman"/>
                <w:sz w:val="20"/>
                <w:szCs w:val="20"/>
                <w:lang w:val="fr-FR"/>
              </w:rPr>
              <w:t>punere</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aplicare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pentru</w:t>
            </w:r>
            <w:proofErr w:type="spellEnd"/>
            <w:r w:rsidRPr="00A23036">
              <w:rPr>
                <w:rFonts w:ascii="Times New Roman" w:hAnsi="Times New Roman"/>
                <w:sz w:val="20"/>
                <w:szCs w:val="20"/>
                <w:lang w:val="fr-FR"/>
              </w:rPr>
              <w:t xml:space="preserve"> a </w:t>
            </w:r>
            <w:proofErr w:type="spellStart"/>
            <w:r w:rsidRPr="00A23036">
              <w:rPr>
                <w:rFonts w:ascii="Times New Roman" w:hAnsi="Times New Roman"/>
                <w:sz w:val="20"/>
                <w:szCs w:val="20"/>
                <w:lang w:val="fr-FR"/>
              </w:rPr>
              <w:t>stabili</w:t>
            </w:r>
            <w:proofErr w:type="spellEnd"/>
            <w:r w:rsidRPr="00A23036">
              <w:rPr>
                <w:rFonts w:ascii="Times New Roman" w:hAnsi="Times New Roman"/>
                <w:sz w:val="20"/>
                <w:szCs w:val="20"/>
                <w:lang w:val="fr-FR"/>
              </w:rPr>
              <w:t xml:space="preserve"> structura, </w:t>
            </w:r>
            <w:proofErr w:type="spellStart"/>
            <w:r w:rsidRPr="00A23036">
              <w:rPr>
                <w:rFonts w:ascii="Times New Roman" w:hAnsi="Times New Roman"/>
                <w:sz w:val="20"/>
                <w:szCs w:val="20"/>
                <w:lang w:val="fr-FR"/>
              </w:rPr>
              <w:t>formatul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detaliile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tehnice</w:t>
            </w:r>
            <w:proofErr w:type="spellEnd"/>
            <w:r w:rsidRPr="00A23036">
              <w:rPr>
                <w:rFonts w:ascii="Times New Roman" w:hAnsi="Times New Roman"/>
                <w:sz w:val="20"/>
                <w:szCs w:val="20"/>
                <w:lang w:val="fr-FR"/>
              </w:rPr>
              <w:t xml:space="preserve"> și </w:t>
            </w:r>
            <w:proofErr w:type="spellStart"/>
            <w:r w:rsidRPr="00A23036">
              <w:rPr>
                <w:rFonts w:ascii="Times New Roman" w:hAnsi="Times New Roman"/>
                <w:sz w:val="20"/>
                <w:szCs w:val="20"/>
                <w:lang w:val="fr-FR"/>
              </w:rPr>
              <w:t>procedurile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pentru</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informațiile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menționate</w:t>
            </w:r>
            <w:proofErr w:type="spellEnd"/>
            <w:r w:rsidRPr="00A23036">
              <w:rPr>
                <w:rFonts w:ascii="Times New Roman" w:hAnsi="Times New Roman"/>
                <w:sz w:val="20"/>
                <w:szCs w:val="20"/>
                <w:lang w:val="fr-FR"/>
              </w:rPr>
              <w:t xml:space="preserve"> la </w:t>
            </w:r>
            <w:proofErr w:type="spellStart"/>
            <w:r w:rsidRPr="00A23036">
              <w:rPr>
                <w:rFonts w:ascii="Times New Roman" w:hAnsi="Times New Roman"/>
                <w:sz w:val="20"/>
                <w:szCs w:val="20"/>
                <w:lang w:val="fr-FR"/>
              </w:rPr>
              <w:t>alineatele</w:t>
            </w:r>
            <w:proofErr w:type="spellEnd"/>
            <w:r w:rsidRPr="00A23036">
              <w:rPr>
                <w:rFonts w:ascii="Times New Roman" w:hAnsi="Times New Roman"/>
                <w:sz w:val="20"/>
                <w:szCs w:val="20"/>
                <w:lang w:val="fr-FR"/>
              </w:rPr>
              <w:t xml:space="preserve"> (1) și (2) </w:t>
            </w:r>
            <w:proofErr w:type="spellStart"/>
            <w:r w:rsidRPr="00A23036">
              <w:rPr>
                <w:rFonts w:ascii="Times New Roman" w:hAnsi="Times New Roman"/>
                <w:sz w:val="20"/>
                <w:szCs w:val="20"/>
                <w:lang w:val="fr-FR"/>
              </w:rPr>
              <w:t>din</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prezentul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articol</w:t>
            </w:r>
            <w:proofErr w:type="spellEnd"/>
            <w:r w:rsidR="00373D90">
              <w:rPr>
                <w:rFonts w:ascii="Times New Roman" w:hAnsi="Times New Roman"/>
                <w:sz w:val="20"/>
                <w:szCs w:val="20"/>
                <w:lang w:val="fr-FR"/>
              </w:rPr>
              <w:t>,</w:t>
            </w:r>
            <w:r w:rsidR="00373D90" w:rsidRPr="00373D90">
              <w:rPr>
                <w:rFonts w:ascii="Arial Unicode MS" w:eastAsia="Arial Unicode MS" w:hAnsi="Arial Unicode MS" w:cs="Arial Unicode MS" w:hint="eastAsia"/>
                <w:color w:val="333333"/>
                <w:sz w:val="21"/>
                <w:szCs w:val="21"/>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inclusiv</w:t>
            </w:r>
            <w:proofErr w:type="spellEnd"/>
            <w:r w:rsidR="00373D90" w:rsidRPr="00373D90">
              <w:rPr>
                <w:rFonts w:ascii="Times New Roman" w:eastAsia="Arial Unicode MS" w:hAnsi="Times New Roman"/>
                <w:sz w:val="20"/>
                <w:szCs w:val="20"/>
                <w:shd w:val="clear" w:color="auto" w:fill="FFFFFF"/>
                <w:lang w:val="fr-FR"/>
              </w:rPr>
              <w:t xml:space="preserve"> o </w:t>
            </w:r>
            <w:proofErr w:type="spellStart"/>
            <w:r w:rsidR="00373D90" w:rsidRPr="00373D90">
              <w:rPr>
                <w:rFonts w:ascii="Times New Roman" w:eastAsia="Arial Unicode MS" w:hAnsi="Times New Roman"/>
                <w:sz w:val="20"/>
                <w:szCs w:val="20"/>
                <w:shd w:val="clear" w:color="auto" w:fill="FFFFFF"/>
                <w:lang w:val="fr-FR"/>
              </w:rPr>
              <w:t>metodologie</w:t>
            </w:r>
            <w:proofErr w:type="spellEnd"/>
            <w:r w:rsidR="00373D90" w:rsidRPr="00373D90">
              <w:rPr>
                <w:rFonts w:ascii="Times New Roman" w:eastAsia="Arial Unicode MS" w:hAnsi="Times New Roman"/>
                <w:sz w:val="20"/>
                <w:szCs w:val="20"/>
                <w:shd w:val="clear" w:color="auto" w:fill="FFFFFF"/>
                <w:lang w:val="fr-FR"/>
              </w:rPr>
              <w:t xml:space="preserve"> de </w:t>
            </w:r>
            <w:proofErr w:type="spellStart"/>
            <w:r w:rsidR="00373D90" w:rsidRPr="00373D90">
              <w:rPr>
                <w:rFonts w:ascii="Times New Roman" w:eastAsia="Arial Unicode MS" w:hAnsi="Times New Roman"/>
                <w:sz w:val="20"/>
                <w:szCs w:val="20"/>
                <w:shd w:val="clear" w:color="auto" w:fill="FFFFFF"/>
                <w:lang w:val="fr-FR"/>
              </w:rPr>
              <w:t>raportare</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cu</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privire</w:t>
            </w:r>
            <w:proofErr w:type="spellEnd"/>
            <w:r w:rsidR="00373D90" w:rsidRPr="00373D90">
              <w:rPr>
                <w:rFonts w:ascii="Times New Roman" w:eastAsia="Arial Unicode MS" w:hAnsi="Times New Roman"/>
                <w:sz w:val="20"/>
                <w:szCs w:val="20"/>
                <w:shd w:val="clear" w:color="auto" w:fill="FFFFFF"/>
                <w:lang w:val="fr-FR"/>
              </w:rPr>
              <w:t xml:space="preserve"> la </w:t>
            </w:r>
            <w:proofErr w:type="spellStart"/>
            <w:r w:rsidR="00373D90" w:rsidRPr="00373D90">
              <w:rPr>
                <w:rFonts w:ascii="Times New Roman" w:eastAsia="Arial Unicode MS" w:hAnsi="Times New Roman"/>
                <w:sz w:val="20"/>
                <w:szCs w:val="20"/>
                <w:shd w:val="clear" w:color="auto" w:fill="FFFFFF"/>
                <w:lang w:val="fr-FR"/>
              </w:rPr>
              <w:t>eliminarea</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treptată</w:t>
            </w:r>
            <w:proofErr w:type="spellEnd"/>
            <w:r w:rsidR="00373D90" w:rsidRPr="00373D90">
              <w:rPr>
                <w:rFonts w:ascii="Times New Roman" w:eastAsia="Arial Unicode MS" w:hAnsi="Times New Roman"/>
                <w:sz w:val="20"/>
                <w:szCs w:val="20"/>
                <w:shd w:val="clear" w:color="auto" w:fill="FFFFFF"/>
                <w:lang w:val="fr-FR"/>
              </w:rPr>
              <w:t xml:space="preserve"> a </w:t>
            </w:r>
            <w:proofErr w:type="spellStart"/>
            <w:r w:rsidR="00373D90" w:rsidRPr="00373D90">
              <w:rPr>
                <w:rFonts w:ascii="Times New Roman" w:eastAsia="Arial Unicode MS" w:hAnsi="Times New Roman"/>
                <w:sz w:val="20"/>
                <w:szCs w:val="20"/>
                <w:shd w:val="clear" w:color="auto" w:fill="FFFFFF"/>
                <w:lang w:val="fr-FR"/>
              </w:rPr>
              <w:t>subvențiilor</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pentru</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energie</w:t>
            </w:r>
            <w:proofErr w:type="spellEnd"/>
            <w:r w:rsidR="00373D90" w:rsidRPr="00373D90">
              <w:rPr>
                <w:rFonts w:ascii="Times New Roman" w:eastAsia="Arial Unicode MS" w:hAnsi="Times New Roman"/>
                <w:sz w:val="20"/>
                <w:szCs w:val="20"/>
                <w:shd w:val="clear" w:color="auto" w:fill="FFFFFF"/>
                <w:lang w:val="fr-FR"/>
              </w:rPr>
              <w:t xml:space="preserve">, în </w:t>
            </w:r>
            <w:proofErr w:type="spellStart"/>
            <w:r w:rsidR="00373D90" w:rsidRPr="00373D90">
              <w:rPr>
                <w:rFonts w:ascii="Times New Roman" w:eastAsia="Arial Unicode MS" w:hAnsi="Times New Roman"/>
                <w:sz w:val="20"/>
                <w:szCs w:val="20"/>
                <w:shd w:val="clear" w:color="auto" w:fill="FFFFFF"/>
                <w:lang w:val="fr-FR"/>
              </w:rPr>
              <w:t>special</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pentru</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combustibilii</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fosili</w:t>
            </w:r>
            <w:proofErr w:type="spellEnd"/>
            <w:r w:rsidR="00373D90" w:rsidRPr="00373D90">
              <w:rPr>
                <w:rFonts w:ascii="Times New Roman" w:eastAsia="Arial Unicode MS" w:hAnsi="Times New Roman"/>
                <w:sz w:val="20"/>
                <w:szCs w:val="20"/>
                <w:shd w:val="clear" w:color="auto" w:fill="FFFFFF"/>
                <w:lang w:val="fr-FR"/>
              </w:rPr>
              <w:t xml:space="preserve">, în </w:t>
            </w:r>
            <w:proofErr w:type="spellStart"/>
            <w:r w:rsidR="00373D90" w:rsidRPr="00373D90">
              <w:rPr>
                <w:rFonts w:ascii="Times New Roman" w:eastAsia="Arial Unicode MS" w:hAnsi="Times New Roman"/>
                <w:sz w:val="20"/>
                <w:szCs w:val="20"/>
                <w:shd w:val="clear" w:color="auto" w:fill="FFFFFF"/>
                <w:lang w:val="fr-FR"/>
              </w:rPr>
              <w:t>temeiul</w:t>
            </w:r>
            <w:proofErr w:type="spellEnd"/>
            <w:r w:rsidR="00373D90" w:rsidRPr="00373D90">
              <w:rPr>
                <w:rFonts w:ascii="Times New Roman" w:eastAsia="Arial Unicode MS" w:hAnsi="Times New Roman"/>
                <w:sz w:val="20"/>
                <w:szCs w:val="20"/>
                <w:shd w:val="clear" w:color="auto" w:fill="FFFFFF"/>
                <w:lang w:val="fr-FR"/>
              </w:rPr>
              <w:t xml:space="preserve"> </w:t>
            </w:r>
            <w:proofErr w:type="spellStart"/>
            <w:r w:rsidR="00373D90" w:rsidRPr="00373D90">
              <w:rPr>
                <w:rFonts w:ascii="Times New Roman" w:eastAsia="Arial Unicode MS" w:hAnsi="Times New Roman"/>
                <w:sz w:val="20"/>
                <w:szCs w:val="20"/>
                <w:shd w:val="clear" w:color="auto" w:fill="FFFFFF"/>
                <w:lang w:val="fr-FR"/>
              </w:rPr>
              <w:t>articolului</w:t>
            </w:r>
            <w:proofErr w:type="spellEnd"/>
            <w:r w:rsidR="00373D90">
              <w:rPr>
                <w:rFonts w:ascii="Times New Roman" w:eastAsia="Arial Unicode MS" w:hAnsi="Times New Roman"/>
                <w:sz w:val="20"/>
                <w:szCs w:val="20"/>
                <w:shd w:val="clear" w:color="auto" w:fill="FFFFFF"/>
                <w:lang w:val="fr-FR"/>
              </w:rPr>
              <w:t xml:space="preserve"> </w:t>
            </w:r>
            <w:r w:rsidR="00373D90" w:rsidRPr="00373D90">
              <w:rPr>
                <w:rFonts w:ascii="Times New Roman" w:eastAsia="Arial Unicode MS" w:hAnsi="Times New Roman"/>
                <w:sz w:val="20"/>
                <w:szCs w:val="20"/>
                <w:shd w:val="clear" w:color="auto" w:fill="FFFFFF"/>
                <w:lang w:val="fr-FR"/>
              </w:rPr>
              <w:t>25 litera (d).</w:t>
            </w:r>
          </w:p>
          <w:p w14:paraId="45767E14" w14:textId="77777777" w:rsidR="006A32A3" w:rsidRPr="00A23036" w:rsidRDefault="006A32A3" w:rsidP="006A32A3">
            <w:pPr>
              <w:spacing w:after="0" w:line="240" w:lineRule="auto"/>
              <w:jc w:val="both"/>
              <w:rPr>
                <w:rFonts w:ascii="Times New Roman" w:hAnsi="Times New Roman"/>
                <w:sz w:val="20"/>
                <w:szCs w:val="20"/>
                <w:lang w:val="fr-FR"/>
              </w:rPr>
            </w:pPr>
            <w:proofErr w:type="spellStart"/>
            <w:r w:rsidRPr="00A23036">
              <w:rPr>
                <w:rFonts w:ascii="Times New Roman" w:hAnsi="Times New Roman"/>
                <w:sz w:val="20"/>
                <w:szCs w:val="20"/>
                <w:lang w:val="fr-FR"/>
              </w:rPr>
              <w:t>Respectivele</w:t>
            </w:r>
            <w:proofErr w:type="spellEnd"/>
            <w:r w:rsidRPr="00A23036">
              <w:rPr>
                <w:rFonts w:ascii="Times New Roman" w:hAnsi="Times New Roman"/>
                <w:sz w:val="20"/>
                <w:szCs w:val="20"/>
                <w:lang w:val="fr-FR"/>
              </w:rPr>
              <w:t xml:space="preserve"> acte de </w:t>
            </w:r>
            <w:proofErr w:type="spellStart"/>
            <w:r w:rsidRPr="00A23036">
              <w:rPr>
                <w:rFonts w:ascii="Times New Roman" w:hAnsi="Times New Roman"/>
                <w:sz w:val="20"/>
                <w:szCs w:val="20"/>
                <w:lang w:val="fr-FR"/>
              </w:rPr>
              <w:t>punere</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aplicare</w:t>
            </w:r>
            <w:proofErr w:type="spellEnd"/>
            <w:r w:rsidRPr="00A23036">
              <w:rPr>
                <w:rFonts w:ascii="Times New Roman" w:hAnsi="Times New Roman"/>
                <w:sz w:val="20"/>
                <w:szCs w:val="20"/>
                <w:lang w:val="fr-FR"/>
              </w:rPr>
              <w:t xml:space="preserve"> se </w:t>
            </w:r>
            <w:proofErr w:type="spellStart"/>
            <w:r w:rsidRPr="00A23036">
              <w:rPr>
                <w:rFonts w:ascii="Times New Roman" w:hAnsi="Times New Roman"/>
                <w:sz w:val="20"/>
                <w:szCs w:val="20"/>
                <w:lang w:val="fr-FR"/>
              </w:rPr>
              <w:t>adoptă</w:t>
            </w:r>
            <w:proofErr w:type="spellEnd"/>
            <w:r w:rsidRPr="00A23036">
              <w:rPr>
                <w:rFonts w:ascii="Times New Roman" w:hAnsi="Times New Roman"/>
                <w:sz w:val="20"/>
                <w:szCs w:val="20"/>
                <w:lang w:val="fr-FR"/>
              </w:rPr>
              <w:t xml:space="preserve"> în conformitate </w:t>
            </w:r>
            <w:proofErr w:type="spellStart"/>
            <w:r w:rsidRPr="00A23036">
              <w:rPr>
                <w:rFonts w:ascii="Times New Roman" w:hAnsi="Times New Roman"/>
                <w:sz w:val="20"/>
                <w:szCs w:val="20"/>
                <w:lang w:val="fr-FR"/>
              </w:rPr>
              <w:t>cu</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procedura</w:t>
            </w:r>
            <w:proofErr w:type="spellEnd"/>
            <w:r w:rsidRPr="00A23036">
              <w:rPr>
                <w:rFonts w:ascii="Times New Roman" w:hAnsi="Times New Roman"/>
                <w:sz w:val="20"/>
                <w:szCs w:val="20"/>
                <w:lang w:val="fr-FR"/>
              </w:rPr>
              <w:t xml:space="preserve"> de </w:t>
            </w:r>
            <w:proofErr w:type="spellStart"/>
            <w:r w:rsidRPr="00A23036">
              <w:rPr>
                <w:rFonts w:ascii="Times New Roman" w:hAnsi="Times New Roman"/>
                <w:sz w:val="20"/>
                <w:szCs w:val="20"/>
                <w:lang w:val="fr-FR"/>
              </w:rPr>
              <w:t>examinare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menționată</w:t>
            </w:r>
            <w:proofErr w:type="spellEnd"/>
            <w:r w:rsidRPr="00A23036">
              <w:rPr>
                <w:rFonts w:ascii="Times New Roman" w:hAnsi="Times New Roman"/>
                <w:sz w:val="20"/>
                <w:szCs w:val="20"/>
                <w:lang w:val="fr-FR"/>
              </w:rPr>
              <w:t xml:space="preserve"> la </w:t>
            </w:r>
            <w:proofErr w:type="spellStart"/>
            <w:r w:rsidRPr="00A23036">
              <w:rPr>
                <w:rFonts w:ascii="Times New Roman" w:hAnsi="Times New Roman"/>
                <w:sz w:val="20"/>
                <w:szCs w:val="20"/>
                <w:lang w:val="fr-FR"/>
              </w:rPr>
              <w:t>articolul</w:t>
            </w:r>
            <w:proofErr w:type="spellEnd"/>
            <w:r w:rsidRPr="00A23036">
              <w:rPr>
                <w:rFonts w:ascii="Times New Roman" w:hAnsi="Times New Roman"/>
                <w:sz w:val="20"/>
                <w:szCs w:val="20"/>
                <w:lang w:val="fr-FR"/>
              </w:rPr>
              <w:t xml:space="preserve"> 44 </w:t>
            </w:r>
            <w:proofErr w:type="spellStart"/>
            <w:r w:rsidRPr="00A23036">
              <w:rPr>
                <w:rFonts w:ascii="Times New Roman" w:hAnsi="Times New Roman"/>
                <w:sz w:val="20"/>
                <w:szCs w:val="20"/>
                <w:lang w:val="fr-FR"/>
              </w:rPr>
              <w:t>alineatul</w:t>
            </w:r>
            <w:proofErr w:type="spellEnd"/>
            <w:r w:rsidRPr="00A23036">
              <w:rPr>
                <w:rFonts w:ascii="Times New Roman" w:hAnsi="Times New Roman"/>
                <w:sz w:val="20"/>
                <w:szCs w:val="20"/>
                <w:lang w:val="fr-FR"/>
              </w:rPr>
              <w:t xml:space="preserve"> (6).</w:t>
            </w:r>
          </w:p>
          <w:p w14:paraId="0B96329D" w14:textId="09577BD1" w:rsidR="006A32A3" w:rsidRPr="00A23036" w:rsidRDefault="006A32A3" w:rsidP="006A32A3">
            <w:pPr>
              <w:spacing w:after="0" w:line="240" w:lineRule="auto"/>
              <w:jc w:val="both"/>
              <w:rPr>
                <w:rFonts w:ascii="Times New Roman" w:hAnsi="Times New Roman"/>
                <w:sz w:val="20"/>
                <w:szCs w:val="20"/>
                <w:shd w:val="clear" w:color="auto" w:fill="FFFFFF"/>
                <w:lang w:val="fr-FR"/>
              </w:rPr>
            </w:pPr>
            <w:r w:rsidRPr="00A23036">
              <w:rPr>
                <w:rFonts w:ascii="Times New Roman" w:hAnsi="Times New Roman"/>
                <w:sz w:val="20"/>
                <w:szCs w:val="20"/>
                <w:shd w:val="clear" w:color="auto" w:fill="FFFFFF"/>
                <w:lang w:val="fr-FR"/>
              </w:rPr>
              <w:t>(</w:t>
            </w:r>
            <w:proofErr w:type="gramStart"/>
            <w:r w:rsidRPr="00A23036">
              <w:rPr>
                <w:rFonts w:ascii="Times New Roman" w:hAnsi="Times New Roman"/>
                <w:sz w:val="20"/>
                <w:szCs w:val="20"/>
                <w:shd w:val="clear" w:color="auto" w:fill="FFFFFF"/>
                <w:lang w:val="fr-FR"/>
              </w:rPr>
              <w:t>5)</w:t>
            </w:r>
            <w:proofErr w:type="spellStart"/>
            <w:r w:rsidRPr="00A23036">
              <w:rPr>
                <w:rFonts w:ascii="Times New Roman" w:hAnsi="Times New Roman"/>
                <w:sz w:val="20"/>
                <w:szCs w:val="20"/>
                <w:shd w:val="clear" w:color="auto" w:fill="FFFFFF"/>
                <w:lang w:val="fr-FR"/>
              </w:rPr>
              <w:t>Frecvența</w:t>
            </w:r>
            <w:proofErr w:type="spellEnd"/>
            <w:proofErr w:type="gramEnd"/>
            <w:r w:rsidRPr="00A23036">
              <w:rPr>
                <w:rFonts w:ascii="Times New Roman" w:hAnsi="Times New Roman"/>
                <w:sz w:val="20"/>
                <w:szCs w:val="20"/>
                <w:shd w:val="clear" w:color="auto" w:fill="FFFFFF"/>
                <w:lang w:val="fr-FR"/>
              </w:rPr>
              <w:t xml:space="preserve"> și </w:t>
            </w:r>
            <w:proofErr w:type="spellStart"/>
            <w:r w:rsidRPr="00A23036">
              <w:rPr>
                <w:rFonts w:ascii="Times New Roman" w:hAnsi="Times New Roman"/>
                <w:sz w:val="20"/>
                <w:szCs w:val="20"/>
                <w:shd w:val="clear" w:color="auto" w:fill="FFFFFF"/>
                <w:lang w:val="fr-FR"/>
              </w:rPr>
              <w:t>amploarea</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informațiilor</w:t>
            </w:r>
            <w:proofErr w:type="spellEnd"/>
            <w:r w:rsidRPr="00A23036">
              <w:rPr>
                <w:rFonts w:ascii="Times New Roman" w:hAnsi="Times New Roman"/>
                <w:sz w:val="20"/>
                <w:szCs w:val="20"/>
                <w:shd w:val="clear" w:color="auto" w:fill="FFFFFF"/>
                <w:lang w:val="fr-FR"/>
              </w:rPr>
              <w:t xml:space="preserve"> și a </w:t>
            </w:r>
            <w:proofErr w:type="spellStart"/>
            <w:r w:rsidRPr="00A23036">
              <w:rPr>
                <w:rFonts w:ascii="Times New Roman" w:hAnsi="Times New Roman"/>
                <w:sz w:val="20"/>
                <w:szCs w:val="20"/>
                <w:shd w:val="clear" w:color="auto" w:fill="FFFFFF"/>
                <w:lang w:val="fr-FR"/>
              </w:rPr>
              <w:t>actualizărilor</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menționate</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alineatul</w:t>
            </w:r>
            <w:proofErr w:type="spellEnd"/>
            <w:r w:rsidRPr="00A23036">
              <w:rPr>
                <w:rFonts w:ascii="Times New Roman" w:hAnsi="Times New Roman"/>
                <w:sz w:val="20"/>
                <w:szCs w:val="20"/>
                <w:shd w:val="clear" w:color="auto" w:fill="FFFFFF"/>
                <w:lang w:val="fr-FR"/>
              </w:rPr>
              <w:t xml:space="preserve"> (2) litera (c) se </w:t>
            </w:r>
            <w:proofErr w:type="spellStart"/>
            <w:r w:rsidRPr="00A23036">
              <w:rPr>
                <w:rFonts w:ascii="Times New Roman" w:hAnsi="Times New Roman"/>
                <w:sz w:val="20"/>
                <w:szCs w:val="20"/>
                <w:shd w:val="clear" w:color="auto" w:fill="FFFFFF"/>
                <w:lang w:val="fr-FR"/>
              </w:rPr>
              <w:t>echilibrează</w:t>
            </w:r>
            <w:proofErr w:type="spellEnd"/>
            <w:r w:rsidRPr="00A23036">
              <w:rPr>
                <w:rFonts w:ascii="Times New Roman" w:hAnsi="Times New Roman"/>
                <w:sz w:val="20"/>
                <w:szCs w:val="20"/>
                <w:shd w:val="clear" w:color="auto" w:fill="FFFFFF"/>
                <w:lang w:val="fr-FR"/>
              </w:rPr>
              <w:t xml:space="preserve"> în </w:t>
            </w:r>
            <w:proofErr w:type="spellStart"/>
            <w:r w:rsidRPr="00A23036">
              <w:rPr>
                <w:rFonts w:ascii="Times New Roman" w:hAnsi="Times New Roman"/>
                <w:sz w:val="20"/>
                <w:szCs w:val="20"/>
                <w:shd w:val="clear" w:color="auto" w:fill="FFFFFF"/>
                <w:lang w:val="fr-FR"/>
              </w:rPr>
              <w:t>raport</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cu</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necesitatea</w:t>
            </w:r>
            <w:proofErr w:type="spellEnd"/>
            <w:r w:rsidRPr="00A23036">
              <w:rPr>
                <w:rFonts w:ascii="Times New Roman" w:hAnsi="Times New Roman"/>
                <w:sz w:val="20"/>
                <w:szCs w:val="20"/>
                <w:shd w:val="clear" w:color="auto" w:fill="FFFFFF"/>
                <w:lang w:val="fr-FR"/>
              </w:rPr>
              <w:t xml:space="preserve"> de a </w:t>
            </w:r>
            <w:proofErr w:type="spellStart"/>
            <w:r w:rsidRPr="00A23036">
              <w:rPr>
                <w:rFonts w:ascii="Times New Roman" w:hAnsi="Times New Roman"/>
                <w:sz w:val="20"/>
                <w:szCs w:val="20"/>
                <w:shd w:val="clear" w:color="auto" w:fill="FFFFFF"/>
                <w:lang w:val="fr-FR"/>
              </w:rPr>
              <w:t>asigura</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suficientă</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certitudine</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pentru</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investitori</w:t>
            </w:r>
            <w:proofErr w:type="spellEnd"/>
            <w:r w:rsidRPr="00A23036">
              <w:rPr>
                <w:rFonts w:ascii="Times New Roman" w:hAnsi="Times New Roman"/>
                <w:sz w:val="20"/>
                <w:szCs w:val="20"/>
                <w:shd w:val="clear" w:color="auto" w:fill="FFFFFF"/>
                <w:lang w:val="fr-FR"/>
              </w:rPr>
              <w:t>.</w:t>
            </w:r>
          </w:p>
          <w:p w14:paraId="3BA9614C" w14:textId="77777777" w:rsidR="006A32A3" w:rsidRPr="00A23036" w:rsidRDefault="006A32A3" w:rsidP="006A32A3">
            <w:pPr>
              <w:spacing w:after="0" w:line="240" w:lineRule="auto"/>
              <w:jc w:val="both"/>
              <w:rPr>
                <w:rFonts w:ascii="Times New Roman" w:hAnsi="Times New Roman"/>
                <w:sz w:val="20"/>
                <w:szCs w:val="20"/>
                <w:lang w:val="fr-FR"/>
              </w:rPr>
            </w:pPr>
            <w:r w:rsidRPr="00A23036">
              <w:rPr>
                <w:rFonts w:ascii="Times New Roman" w:hAnsi="Times New Roman"/>
                <w:sz w:val="20"/>
                <w:szCs w:val="20"/>
                <w:lang w:val="fr-FR"/>
              </w:rPr>
              <w:t>(</w:t>
            </w:r>
            <w:proofErr w:type="gramStart"/>
            <w:r w:rsidRPr="00A23036">
              <w:rPr>
                <w:rFonts w:ascii="Times New Roman" w:hAnsi="Times New Roman"/>
                <w:sz w:val="20"/>
                <w:szCs w:val="20"/>
                <w:lang w:val="fr-FR"/>
              </w:rPr>
              <w:t>6)În</w:t>
            </w:r>
            <w:proofErr w:type="gram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cazul</w:t>
            </w:r>
            <w:proofErr w:type="spellEnd"/>
            <w:r w:rsidRPr="00A23036">
              <w:rPr>
                <w:rFonts w:ascii="Times New Roman" w:hAnsi="Times New Roman"/>
                <w:sz w:val="20"/>
                <w:szCs w:val="20"/>
                <w:lang w:val="fr-FR"/>
              </w:rPr>
              <w:t xml:space="preserve"> în care </w:t>
            </w:r>
            <w:proofErr w:type="spellStart"/>
            <w:r w:rsidRPr="00A23036">
              <w:rPr>
                <w:rFonts w:ascii="Times New Roman" w:hAnsi="Times New Roman"/>
                <w:sz w:val="20"/>
                <w:szCs w:val="20"/>
                <w:lang w:val="fr-FR"/>
              </w:rPr>
              <w:t>Comisia</w:t>
            </w:r>
            <w:proofErr w:type="spellEnd"/>
            <w:r w:rsidRPr="00A23036">
              <w:rPr>
                <w:rFonts w:ascii="Times New Roman" w:hAnsi="Times New Roman"/>
                <w:sz w:val="20"/>
                <w:szCs w:val="20"/>
                <w:lang w:val="fr-FR"/>
              </w:rPr>
              <w:t xml:space="preserve"> a </w:t>
            </w:r>
            <w:proofErr w:type="spellStart"/>
            <w:r w:rsidRPr="00A23036">
              <w:rPr>
                <w:rFonts w:ascii="Times New Roman" w:hAnsi="Times New Roman"/>
                <w:sz w:val="20"/>
                <w:szCs w:val="20"/>
                <w:lang w:val="fr-FR"/>
              </w:rPr>
              <w:t>formulat</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recomandări</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temeiul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articolului</w:t>
            </w:r>
            <w:proofErr w:type="spellEnd"/>
            <w:r w:rsidRPr="00A23036">
              <w:rPr>
                <w:rFonts w:ascii="Times New Roman" w:hAnsi="Times New Roman"/>
                <w:sz w:val="20"/>
                <w:szCs w:val="20"/>
                <w:lang w:val="fr-FR"/>
              </w:rPr>
              <w:t xml:space="preserve"> 32 </w:t>
            </w:r>
            <w:proofErr w:type="spellStart"/>
            <w:r w:rsidRPr="00A23036">
              <w:rPr>
                <w:rFonts w:ascii="Times New Roman" w:hAnsi="Times New Roman"/>
                <w:sz w:val="20"/>
                <w:szCs w:val="20"/>
                <w:lang w:val="fr-FR"/>
              </w:rPr>
              <w:t>alineatul</w:t>
            </w:r>
            <w:proofErr w:type="spellEnd"/>
            <w:r w:rsidRPr="00A23036">
              <w:rPr>
                <w:rFonts w:ascii="Times New Roman" w:hAnsi="Times New Roman"/>
                <w:sz w:val="20"/>
                <w:szCs w:val="20"/>
                <w:lang w:val="fr-FR"/>
              </w:rPr>
              <w:t xml:space="preserve"> (1) </w:t>
            </w:r>
            <w:proofErr w:type="spellStart"/>
            <w:r w:rsidRPr="00A23036">
              <w:rPr>
                <w:rFonts w:ascii="Times New Roman" w:hAnsi="Times New Roman"/>
                <w:sz w:val="20"/>
                <w:szCs w:val="20"/>
                <w:lang w:val="fr-FR"/>
              </w:rPr>
              <w:t>sau</w:t>
            </w:r>
            <w:proofErr w:type="spellEnd"/>
            <w:r w:rsidRPr="00A23036">
              <w:rPr>
                <w:rFonts w:ascii="Times New Roman" w:hAnsi="Times New Roman"/>
                <w:sz w:val="20"/>
                <w:szCs w:val="20"/>
                <w:lang w:val="fr-FR"/>
              </w:rPr>
              <w:t xml:space="preserve"> (2), </w:t>
            </w:r>
            <w:proofErr w:type="spellStart"/>
            <w:r w:rsidRPr="00A23036">
              <w:rPr>
                <w:rFonts w:ascii="Times New Roman" w:hAnsi="Times New Roman"/>
                <w:sz w:val="20"/>
                <w:szCs w:val="20"/>
                <w:lang w:val="fr-FR"/>
              </w:rPr>
              <w:t>statul</w:t>
            </w:r>
            <w:proofErr w:type="spellEnd"/>
            <w:r w:rsidRPr="00A23036">
              <w:rPr>
                <w:rFonts w:ascii="Times New Roman" w:hAnsi="Times New Roman"/>
                <w:sz w:val="20"/>
                <w:szCs w:val="20"/>
                <w:lang w:val="fr-FR"/>
              </w:rPr>
              <w:t xml:space="preserve"> membru în </w:t>
            </w:r>
            <w:proofErr w:type="spellStart"/>
            <w:r w:rsidRPr="00A23036">
              <w:rPr>
                <w:rFonts w:ascii="Times New Roman" w:hAnsi="Times New Roman"/>
                <w:sz w:val="20"/>
                <w:szCs w:val="20"/>
                <w:lang w:val="fr-FR"/>
              </w:rPr>
              <w:t>cauză</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include</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raportul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său</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național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intermediar</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integrat</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privind</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energia</w:t>
            </w:r>
            <w:proofErr w:type="spellEnd"/>
            <w:r w:rsidRPr="00A23036">
              <w:rPr>
                <w:rFonts w:ascii="Times New Roman" w:hAnsi="Times New Roman"/>
                <w:sz w:val="20"/>
                <w:szCs w:val="20"/>
                <w:lang w:val="fr-FR"/>
              </w:rPr>
              <w:t xml:space="preserve"> și </w:t>
            </w:r>
            <w:proofErr w:type="spellStart"/>
            <w:r w:rsidRPr="00A23036">
              <w:rPr>
                <w:rFonts w:ascii="Times New Roman" w:hAnsi="Times New Roman"/>
                <w:sz w:val="20"/>
                <w:szCs w:val="20"/>
                <w:lang w:val="fr-FR"/>
              </w:rPr>
              <w:t>clima</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informații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privind</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politicile</w:t>
            </w:r>
            <w:proofErr w:type="spellEnd"/>
            <w:r w:rsidRPr="00A23036">
              <w:rPr>
                <w:rFonts w:ascii="Times New Roman" w:hAnsi="Times New Roman"/>
                <w:sz w:val="20"/>
                <w:szCs w:val="20"/>
                <w:lang w:val="fr-FR"/>
              </w:rPr>
              <w:t xml:space="preserve"> și </w:t>
            </w:r>
            <w:proofErr w:type="spellStart"/>
            <w:r w:rsidRPr="00A23036">
              <w:rPr>
                <w:rFonts w:ascii="Times New Roman" w:hAnsi="Times New Roman"/>
                <w:sz w:val="20"/>
                <w:szCs w:val="20"/>
                <w:lang w:val="fr-FR"/>
              </w:rPr>
              <w:t>măsurile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adoptate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sau</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prevăzute</w:t>
            </w:r>
            <w:proofErr w:type="spellEnd"/>
            <w:r w:rsidRPr="00A23036">
              <w:rPr>
                <w:rFonts w:ascii="Times New Roman" w:hAnsi="Times New Roman"/>
                <w:sz w:val="20"/>
                <w:szCs w:val="20"/>
                <w:lang w:val="fr-FR"/>
              </w:rPr>
              <w:t xml:space="preserve"> a fi </w:t>
            </w:r>
            <w:proofErr w:type="spellStart"/>
            <w:r w:rsidRPr="00A23036">
              <w:rPr>
                <w:rFonts w:ascii="Times New Roman" w:hAnsi="Times New Roman"/>
                <w:sz w:val="20"/>
                <w:szCs w:val="20"/>
                <w:lang w:val="fr-FR"/>
              </w:rPr>
              <w:t>adoptate</w:t>
            </w:r>
            <w:proofErr w:type="spellEnd"/>
            <w:r w:rsidRPr="00A23036">
              <w:rPr>
                <w:rFonts w:ascii="Times New Roman" w:hAnsi="Times New Roman"/>
                <w:sz w:val="20"/>
                <w:szCs w:val="20"/>
                <w:lang w:val="fr-FR"/>
              </w:rPr>
              <w:t xml:space="preserve"> și </w:t>
            </w:r>
            <w:proofErr w:type="spellStart"/>
            <w:r w:rsidRPr="00A23036">
              <w:rPr>
                <w:rFonts w:ascii="Times New Roman" w:hAnsi="Times New Roman"/>
                <w:sz w:val="20"/>
                <w:szCs w:val="20"/>
                <w:lang w:val="fr-FR"/>
              </w:rPr>
              <w:t>puse</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aplicare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pentru</w:t>
            </w:r>
            <w:proofErr w:type="spellEnd"/>
            <w:r w:rsidRPr="00A23036">
              <w:rPr>
                <w:rFonts w:ascii="Times New Roman" w:hAnsi="Times New Roman"/>
                <w:sz w:val="20"/>
                <w:szCs w:val="20"/>
                <w:lang w:val="fr-FR"/>
              </w:rPr>
              <w:t xml:space="preserve"> a aborda </w:t>
            </w:r>
            <w:proofErr w:type="spellStart"/>
            <w:r w:rsidRPr="00A23036">
              <w:rPr>
                <w:rFonts w:ascii="Times New Roman" w:hAnsi="Times New Roman"/>
                <w:sz w:val="20"/>
                <w:szCs w:val="20"/>
                <w:lang w:val="fr-FR"/>
              </w:rPr>
              <w:t>respectivele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recomandări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Dacă</w:t>
            </w:r>
            <w:proofErr w:type="spellEnd"/>
            <w:r w:rsidRPr="00A23036">
              <w:rPr>
                <w:rFonts w:ascii="Times New Roman" w:hAnsi="Times New Roman"/>
                <w:sz w:val="20"/>
                <w:szCs w:val="20"/>
                <w:lang w:val="fr-FR"/>
              </w:rPr>
              <w:t xml:space="preserve"> este </w:t>
            </w:r>
            <w:proofErr w:type="spellStart"/>
            <w:r w:rsidRPr="00A23036">
              <w:rPr>
                <w:rFonts w:ascii="Times New Roman" w:hAnsi="Times New Roman"/>
                <w:sz w:val="20"/>
                <w:szCs w:val="20"/>
                <w:lang w:val="fr-FR"/>
              </w:rPr>
              <w:t>cazul</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aceste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informații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cuprind</w:t>
            </w:r>
            <w:proofErr w:type="spellEnd"/>
            <w:r w:rsidRPr="00A23036">
              <w:rPr>
                <w:rFonts w:ascii="Times New Roman" w:hAnsi="Times New Roman"/>
                <w:sz w:val="20"/>
                <w:szCs w:val="20"/>
                <w:lang w:val="fr-FR"/>
              </w:rPr>
              <w:t xml:space="preserve"> un </w:t>
            </w:r>
            <w:proofErr w:type="spellStart"/>
            <w:r w:rsidRPr="00A23036">
              <w:rPr>
                <w:rFonts w:ascii="Times New Roman" w:hAnsi="Times New Roman"/>
                <w:sz w:val="20"/>
                <w:szCs w:val="20"/>
                <w:lang w:val="fr-FR"/>
              </w:rPr>
              <w:t>calendar</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detaliat</w:t>
            </w:r>
            <w:proofErr w:type="spellEnd"/>
            <w:r w:rsidRPr="00A23036">
              <w:rPr>
                <w:rFonts w:ascii="Times New Roman" w:hAnsi="Times New Roman"/>
                <w:sz w:val="20"/>
                <w:szCs w:val="20"/>
                <w:lang w:val="fr-FR"/>
              </w:rPr>
              <w:t xml:space="preserve"> de </w:t>
            </w:r>
            <w:proofErr w:type="spellStart"/>
            <w:r w:rsidRPr="00A23036">
              <w:rPr>
                <w:rFonts w:ascii="Times New Roman" w:hAnsi="Times New Roman"/>
                <w:sz w:val="20"/>
                <w:szCs w:val="20"/>
                <w:lang w:val="fr-FR"/>
              </w:rPr>
              <w:t>punere</w:t>
            </w:r>
            <w:proofErr w:type="spellEnd"/>
            <w:r w:rsidRPr="00A23036">
              <w:rPr>
                <w:rFonts w:ascii="Times New Roman" w:hAnsi="Times New Roman"/>
                <w:sz w:val="20"/>
                <w:szCs w:val="20"/>
                <w:lang w:val="fr-FR"/>
              </w:rPr>
              <w:t xml:space="preserve"> în </w:t>
            </w:r>
            <w:proofErr w:type="spellStart"/>
            <w:r w:rsidRPr="00A23036">
              <w:rPr>
                <w:rFonts w:ascii="Times New Roman" w:hAnsi="Times New Roman"/>
                <w:sz w:val="20"/>
                <w:szCs w:val="20"/>
                <w:lang w:val="fr-FR"/>
              </w:rPr>
              <w:t>aplicare</w:t>
            </w:r>
            <w:proofErr w:type="spellEnd"/>
            <w:r w:rsidRPr="00A23036">
              <w:rPr>
                <w:rFonts w:ascii="Times New Roman" w:hAnsi="Times New Roman"/>
                <w:sz w:val="20"/>
                <w:szCs w:val="20"/>
                <w:lang w:val="fr-FR"/>
              </w:rPr>
              <w:t>.</w:t>
            </w:r>
          </w:p>
          <w:p w14:paraId="5066C8B7" w14:textId="77777777" w:rsidR="006A32A3" w:rsidRPr="00A23036" w:rsidRDefault="006A32A3" w:rsidP="006A32A3">
            <w:pPr>
              <w:spacing w:after="0" w:line="240" w:lineRule="auto"/>
              <w:jc w:val="both"/>
              <w:rPr>
                <w:rFonts w:ascii="Times New Roman" w:hAnsi="Times New Roman"/>
                <w:sz w:val="20"/>
                <w:szCs w:val="20"/>
                <w:lang w:val="fr-FR"/>
              </w:rPr>
            </w:pPr>
            <w:proofErr w:type="spellStart"/>
            <w:r w:rsidRPr="00A23036">
              <w:rPr>
                <w:rFonts w:ascii="Times New Roman" w:hAnsi="Times New Roman"/>
                <w:sz w:val="20"/>
                <w:szCs w:val="20"/>
                <w:lang w:val="fr-FR"/>
              </w:rPr>
              <w:t>Dacă</w:t>
            </w:r>
            <w:proofErr w:type="spellEnd"/>
            <w:r w:rsidRPr="00A23036">
              <w:rPr>
                <w:rFonts w:ascii="Times New Roman" w:hAnsi="Times New Roman"/>
                <w:sz w:val="20"/>
                <w:szCs w:val="20"/>
                <w:lang w:val="fr-FR"/>
              </w:rPr>
              <w:t xml:space="preserve"> un stat membru </w:t>
            </w:r>
            <w:proofErr w:type="spellStart"/>
            <w:r w:rsidRPr="00A23036">
              <w:rPr>
                <w:rFonts w:ascii="Times New Roman" w:hAnsi="Times New Roman"/>
                <w:sz w:val="20"/>
                <w:szCs w:val="20"/>
                <w:lang w:val="fr-FR"/>
              </w:rPr>
              <w:t>vizat</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decide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să</w:t>
            </w:r>
            <w:proofErr w:type="spellEnd"/>
            <w:r w:rsidRPr="00A23036">
              <w:rPr>
                <w:rFonts w:ascii="Times New Roman" w:hAnsi="Times New Roman"/>
                <w:sz w:val="20"/>
                <w:szCs w:val="20"/>
                <w:lang w:val="fr-FR"/>
              </w:rPr>
              <w:t xml:space="preserve"> nu </w:t>
            </w:r>
            <w:proofErr w:type="spellStart"/>
            <w:r w:rsidRPr="00A23036">
              <w:rPr>
                <w:rFonts w:ascii="Times New Roman" w:hAnsi="Times New Roman"/>
                <w:sz w:val="20"/>
                <w:szCs w:val="20"/>
                <w:lang w:val="fr-FR"/>
              </w:rPr>
              <w:t>dea</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curs</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unei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recomandări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sau</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unei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părți</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considerabile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dintr</w:t>
            </w:r>
            <w:proofErr w:type="spellEnd"/>
            <w:r w:rsidRPr="00A23036">
              <w:rPr>
                <w:rFonts w:ascii="Times New Roman" w:hAnsi="Times New Roman"/>
                <w:sz w:val="20"/>
                <w:szCs w:val="20"/>
                <w:lang w:val="fr-FR"/>
              </w:rPr>
              <w:t xml:space="preserve">-o </w:t>
            </w:r>
            <w:proofErr w:type="spellStart"/>
            <w:r w:rsidRPr="00A23036">
              <w:rPr>
                <w:rFonts w:ascii="Times New Roman" w:hAnsi="Times New Roman"/>
                <w:sz w:val="20"/>
                <w:szCs w:val="20"/>
                <w:lang w:val="fr-FR"/>
              </w:rPr>
              <w:t>recomandare</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acesta</w:t>
            </w:r>
            <w:proofErr w:type="spellEnd"/>
            <w:r w:rsidRPr="00A23036">
              <w:rPr>
                <w:rFonts w:ascii="Times New Roman" w:hAnsi="Times New Roman"/>
                <w:sz w:val="20"/>
                <w:szCs w:val="20"/>
                <w:lang w:val="fr-FR"/>
              </w:rPr>
              <w:t xml:space="preserve"> </w:t>
            </w:r>
            <w:proofErr w:type="spellStart"/>
            <w:r w:rsidRPr="00A23036">
              <w:rPr>
                <w:rFonts w:ascii="Times New Roman" w:hAnsi="Times New Roman"/>
                <w:sz w:val="20"/>
                <w:szCs w:val="20"/>
                <w:lang w:val="fr-FR"/>
              </w:rPr>
              <w:t>prezintă</w:t>
            </w:r>
            <w:proofErr w:type="spellEnd"/>
            <w:r w:rsidRPr="00A23036">
              <w:rPr>
                <w:rFonts w:ascii="Times New Roman" w:hAnsi="Times New Roman"/>
                <w:sz w:val="20"/>
                <w:szCs w:val="20"/>
                <w:lang w:val="fr-FR"/>
              </w:rPr>
              <w:t xml:space="preserve"> o </w:t>
            </w:r>
            <w:proofErr w:type="spellStart"/>
            <w:r w:rsidRPr="00A23036">
              <w:rPr>
                <w:rFonts w:ascii="Times New Roman" w:hAnsi="Times New Roman"/>
                <w:sz w:val="20"/>
                <w:szCs w:val="20"/>
                <w:lang w:val="fr-FR"/>
              </w:rPr>
              <w:t>justificare</w:t>
            </w:r>
            <w:proofErr w:type="spellEnd"/>
            <w:r w:rsidRPr="00A23036">
              <w:rPr>
                <w:rFonts w:ascii="Times New Roman" w:hAnsi="Times New Roman"/>
                <w:sz w:val="20"/>
                <w:szCs w:val="20"/>
                <w:lang w:val="fr-FR"/>
              </w:rPr>
              <w:t>.</w:t>
            </w:r>
          </w:p>
          <w:p w14:paraId="0C43E29D" w14:textId="122EF225" w:rsidR="006A32A3" w:rsidRPr="006A32A3" w:rsidRDefault="006A32A3" w:rsidP="006A32A3">
            <w:pPr>
              <w:spacing w:after="0" w:line="240" w:lineRule="auto"/>
              <w:jc w:val="both"/>
              <w:rPr>
                <w:rFonts w:ascii="Times New Roman" w:hAnsi="Times New Roman"/>
                <w:sz w:val="20"/>
                <w:szCs w:val="20"/>
                <w:lang w:val="fr-FR" w:eastAsia="ru-RU"/>
              </w:rPr>
            </w:pPr>
            <w:r w:rsidRPr="00A23036">
              <w:rPr>
                <w:rFonts w:ascii="Times New Roman" w:hAnsi="Times New Roman"/>
                <w:sz w:val="20"/>
                <w:szCs w:val="20"/>
                <w:shd w:val="clear" w:color="auto" w:fill="FFFFFF"/>
                <w:lang w:val="fr-FR"/>
              </w:rPr>
              <w:lastRenderedPageBreak/>
              <w:t>(</w:t>
            </w:r>
            <w:proofErr w:type="gramStart"/>
            <w:r w:rsidRPr="00A23036">
              <w:rPr>
                <w:rFonts w:ascii="Times New Roman" w:hAnsi="Times New Roman"/>
                <w:sz w:val="20"/>
                <w:szCs w:val="20"/>
                <w:shd w:val="clear" w:color="auto" w:fill="FFFFFF"/>
                <w:lang w:val="fr-FR"/>
              </w:rPr>
              <w:t>7)</w:t>
            </w:r>
            <w:proofErr w:type="spellStart"/>
            <w:r w:rsidRPr="00A23036">
              <w:rPr>
                <w:rFonts w:ascii="Times New Roman" w:hAnsi="Times New Roman"/>
                <w:sz w:val="20"/>
                <w:szCs w:val="20"/>
                <w:shd w:val="clear" w:color="auto" w:fill="FFFFFF"/>
                <w:lang w:val="fr-FR"/>
              </w:rPr>
              <w:t>Statele</w:t>
            </w:r>
            <w:proofErr w:type="spellEnd"/>
            <w:proofErr w:type="gramEnd"/>
            <w:r w:rsidRPr="00A23036">
              <w:rPr>
                <w:rFonts w:ascii="Times New Roman" w:hAnsi="Times New Roman"/>
                <w:sz w:val="20"/>
                <w:szCs w:val="20"/>
                <w:shd w:val="clear" w:color="auto" w:fill="FFFFFF"/>
                <w:lang w:val="fr-FR"/>
              </w:rPr>
              <w:t xml:space="preserve"> membre </w:t>
            </w:r>
            <w:proofErr w:type="spellStart"/>
            <w:r w:rsidRPr="00A23036">
              <w:rPr>
                <w:rFonts w:ascii="Times New Roman" w:hAnsi="Times New Roman"/>
                <w:sz w:val="20"/>
                <w:szCs w:val="20"/>
                <w:shd w:val="clear" w:color="auto" w:fill="FFFFFF"/>
                <w:lang w:val="fr-FR"/>
              </w:rPr>
              <w:t>pun</w:t>
            </w:r>
            <w:proofErr w:type="spellEnd"/>
            <w:r w:rsidRPr="00A23036">
              <w:rPr>
                <w:rFonts w:ascii="Times New Roman" w:hAnsi="Times New Roman"/>
                <w:sz w:val="20"/>
                <w:szCs w:val="20"/>
                <w:shd w:val="clear" w:color="auto" w:fill="FFFFFF"/>
                <w:lang w:val="fr-FR"/>
              </w:rPr>
              <w:t xml:space="preserve"> la </w:t>
            </w:r>
            <w:proofErr w:type="spellStart"/>
            <w:r w:rsidRPr="00A23036">
              <w:rPr>
                <w:rFonts w:ascii="Times New Roman" w:hAnsi="Times New Roman"/>
                <w:sz w:val="20"/>
                <w:szCs w:val="20"/>
                <w:shd w:val="clear" w:color="auto" w:fill="FFFFFF"/>
                <w:lang w:val="fr-FR"/>
              </w:rPr>
              <w:t>dispoziția</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publicului</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rapoartele</w:t>
            </w:r>
            <w:proofErr w:type="spellEnd"/>
            <w:r w:rsidRPr="00A23036">
              <w:rPr>
                <w:rFonts w:ascii="Times New Roman" w:hAnsi="Times New Roman"/>
                <w:sz w:val="20"/>
                <w:szCs w:val="20"/>
                <w:shd w:val="clear" w:color="auto" w:fill="FFFFFF"/>
                <w:lang w:val="fr-FR"/>
              </w:rPr>
              <w:t xml:space="preserve"> transmise </w:t>
            </w:r>
            <w:proofErr w:type="spellStart"/>
            <w:r w:rsidRPr="00A23036">
              <w:rPr>
                <w:rFonts w:ascii="Times New Roman" w:hAnsi="Times New Roman"/>
                <w:sz w:val="20"/>
                <w:szCs w:val="20"/>
                <w:shd w:val="clear" w:color="auto" w:fill="FFFFFF"/>
                <w:lang w:val="fr-FR"/>
              </w:rPr>
              <w:t>Comisiei</w:t>
            </w:r>
            <w:proofErr w:type="spellEnd"/>
            <w:r w:rsidRPr="00A23036">
              <w:rPr>
                <w:rFonts w:ascii="Times New Roman" w:hAnsi="Times New Roman"/>
                <w:sz w:val="20"/>
                <w:szCs w:val="20"/>
                <w:shd w:val="clear" w:color="auto" w:fill="FFFFFF"/>
                <w:lang w:val="fr-FR"/>
              </w:rPr>
              <w:t xml:space="preserve"> în </w:t>
            </w:r>
            <w:proofErr w:type="spellStart"/>
            <w:r w:rsidRPr="00A23036">
              <w:rPr>
                <w:rFonts w:ascii="Times New Roman" w:hAnsi="Times New Roman"/>
                <w:sz w:val="20"/>
                <w:szCs w:val="20"/>
                <w:shd w:val="clear" w:color="auto" w:fill="FFFFFF"/>
                <w:lang w:val="fr-FR"/>
              </w:rPr>
              <w:t>temeiul</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prezentului</w:t>
            </w:r>
            <w:proofErr w:type="spellEnd"/>
            <w:r w:rsidRPr="00A23036">
              <w:rPr>
                <w:rFonts w:ascii="Times New Roman" w:hAnsi="Times New Roman"/>
                <w:sz w:val="20"/>
                <w:szCs w:val="20"/>
                <w:shd w:val="clear" w:color="auto" w:fill="FFFFFF"/>
                <w:lang w:val="fr-FR"/>
              </w:rPr>
              <w:t xml:space="preserve"> </w:t>
            </w:r>
            <w:proofErr w:type="spellStart"/>
            <w:r w:rsidRPr="00A23036">
              <w:rPr>
                <w:rFonts w:ascii="Times New Roman" w:hAnsi="Times New Roman"/>
                <w:sz w:val="20"/>
                <w:szCs w:val="20"/>
                <w:shd w:val="clear" w:color="auto" w:fill="FFFFFF"/>
                <w:lang w:val="fr-FR"/>
              </w:rPr>
              <w:t>articol</w:t>
            </w:r>
            <w:proofErr w:type="spellEnd"/>
            <w:r w:rsidRPr="00A23036">
              <w:rPr>
                <w:rFonts w:ascii="Times New Roman" w:hAnsi="Times New Roman"/>
                <w:sz w:val="20"/>
                <w:szCs w:val="20"/>
                <w:shd w:val="clear" w:color="auto" w:fill="FFFFFF"/>
                <w:lang w:val="fr-FR"/>
              </w:rPr>
              <w:t>.</w:t>
            </w:r>
          </w:p>
        </w:tc>
        <w:tc>
          <w:tcPr>
            <w:tcW w:w="4440" w:type="dxa"/>
          </w:tcPr>
          <w:p w14:paraId="235947C6" w14:textId="474F20B8" w:rsidR="009D4198" w:rsidRPr="009D4198" w:rsidRDefault="009D4198" w:rsidP="009D4198">
            <w:pPr>
              <w:shd w:val="clear" w:color="auto" w:fill="FFFFFF"/>
              <w:suppressAutoHyphens w:val="0"/>
              <w:autoSpaceDN/>
              <w:spacing w:after="0" w:line="240" w:lineRule="auto"/>
              <w:jc w:val="both"/>
              <w:textAlignment w:val="auto"/>
              <w:rPr>
                <w:rFonts w:ascii="Times New Roman" w:hAnsi="Times New Roman"/>
                <w:sz w:val="20"/>
                <w:szCs w:val="20"/>
                <w:lang w:val="ro-RO"/>
              </w:rPr>
            </w:pPr>
          </w:p>
        </w:tc>
        <w:tc>
          <w:tcPr>
            <w:tcW w:w="1276" w:type="dxa"/>
          </w:tcPr>
          <w:p w14:paraId="33234D40" w14:textId="03364D72" w:rsidR="00D37AB7" w:rsidRDefault="00C7607C" w:rsidP="00D37AB7">
            <w:pPr>
              <w:pStyle w:val="ColorfulList-Accent11"/>
              <w:spacing w:after="0" w:line="240" w:lineRule="auto"/>
              <w:ind w:left="0"/>
              <w:jc w:val="both"/>
              <w:rPr>
                <w:lang w:val="en-US"/>
              </w:rPr>
            </w:pPr>
            <w:r>
              <w:rPr>
                <w:rFonts w:ascii="Times New Roman" w:hAnsi="Times New Roman"/>
                <w:sz w:val="20"/>
                <w:szCs w:val="20"/>
                <w:lang w:val="ro-RO"/>
              </w:rPr>
              <w:t>C</w:t>
            </w:r>
            <w:r w:rsidR="00073C22" w:rsidRPr="00C951E7">
              <w:rPr>
                <w:rFonts w:ascii="Times New Roman" w:hAnsi="Times New Roman"/>
                <w:sz w:val="20"/>
                <w:szCs w:val="20"/>
                <w:lang w:val="ro-RO"/>
              </w:rPr>
              <w:t>ompatibil</w:t>
            </w:r>
          </w:p>
        </w:tc>
        <w:tc>
          <w:tcPr>
            <w:tcW w:w="1276" w:type="dxa"/>
          </w:tcPr>
          <w:p w14:paraId="6C574D50" w14:textId="77777777" w:rsidR="00D37AB7" w:rsidRDefault="00D37AB7" w:rsidP="00D37AB7">
            <w:pPr>
              <w:pStyle w:val="ColorfulList-Accent11"/>
              <w:spacing w:after="0" w:line="240" w:lineRule="auto"/>
              <w:ind w:left="0"/>
              <w:jc w:val="both"/>
              <w:rPr>
                <w:lang w:val="en-US"/>
              </w:rPr>
            </w:pPr>
          </w:p>
        </w:tc>
        <w:tc>
          <w:tcPr>
            <w:tcW w:w="1701" w:type="dxa"/>
          </w:tcPr>
          <w:p w14:paraId="1B08EB70" w14:textId="277B2FF6" w:rsidR="00002B0D" w:rsidRDefault="00002B0D" w:rsidP="00E54C6F">
            <w:pPr>
              <w:autoSpaceDE w:val="0"/>
              <w:spacing w:after="0" w:line="240" w:lineRule="auto"/>
              <w:rPr>
                <w:rFonts w:ascii="Times New Roman" w:hAnsi="Times New Roman"/>
                <w:sz w:val="20"/>
                <w:szCs w:val="20"/>
                <w:lang w:val="ro-RO"/>
              </w:rPr>
            </w:pPr>
            <w:r>
              <w:rPr>
                <w:rFonts w:ascii="Times New Roman" w:hAnsi="Times New Roman"/>
                <w:sz w:val="20"/>
                <w:szCs w:val="20"/>
                <w:lang w:val="ro-RO"/>
              </w:rPr>
              <w:t>Prevederile referitoare la raportarea și evaluarea progreselor sunt transpuse în art.7</w:t>
            </w:r>
            <w:r w:rsidRPr="00002B0D">
              <w:rPr>
                <w:rFonts w:ascii="Times New Roman" w:hAnsi="Times New Roman"/>
                <w:sz w:val="20"/>
                <w:szCs w:val="20"/>
                <w:vertAlign w:val="superscript"/>
                <w:lang w:val="ro-RO"/>
              </w:rPr>
              <w:t>3</w:t>
            </w:r>
            <w:r w:rsidRPr="000921E9">
              <w:rPr>
                <w:rFonts w:ascii="Times New Roman" w:eastAsia="Times New Roman" w:hAnsi="Times New Roman"/>
                <w:bCs/>
                <w:sz w:val="20"/>
                <w:szCs w:val="20"/>
                <w:lang w:val="ro-MD"/>
              </w:rPr>
              <w:t xml:space="preserve"> </w:t>
            </w:r>
            <w:r>
              <w:rPr>
                <w:rFonts w:ascii="Times New Roman" w:eastAsia="Times New Roman" w:hAnsi="Times New Roman"/>
                <w:bCs/>
                <w:sz w:val="20"/>
                <w:szCs w:val="20"/>
                <w:lang w:val="ro-MD"/>
              </w:rPr>
              <w:t xml:space="preserve">din </w:t>
            </w:r>
            <w:r w:rsidRPr="000921E9">
              <w:rPr>
                <w:rFonts w:ascii="Times New Roman" w:eastAsia="Times New Roman" w:hAnsi="Times New Roman"/>
                <w:bCs/>
                <w:sz w:val="20"/>
                <w:szCs w:val="20"/>
                <w:lang w:val="ro-MD"/>
              </w:rPr>
              <w:t>Legea nr.174/2017 cu privire la energetică</w:t>
            </w:r>
          </w:p>
          <w:p w14:paraId="12795231" w14:textId="77777777" w:rsidR="00077DF7" w:rsidRDefault="00077DF7" w:rsidP="00077DF7">
            <w:pPr>
              <w:pStyle w:val="ColorfulList-Accent11"/>
              <w:spacing w:after="0" w:line="240" w:lineRule="auto"/>
              <w:ind w:left="0"/>
              <w:jc w:val="both"/>
              <w:rPr>
                <w:rFonts w:ascii="Times New Roman" w:eastAsia="Times New Roman" w:hAnsi="Times New Roman"/>
                <w:sz w:val="20"/>
                <w:szCs w:val="20"/>
                <w:lang w:val="ro-RO" w:eastAsia="ru-RU"/>
              </w:rPr>
            </w:pPr>
          </w:p>
          <w:p w14:paraId="5198672F" w14:textId="17A58422"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pct.43-46 și pct.98 din</w:t>
            </w:r>
            <w:r>
              <w:rPr>
                <w:rFonts w:ascii="Times New Roman" w:eastAsia="Times New Roman" w:hAnsi="Times New Roman"/>
                <w:sz w:val="20"/>
                <w:szCs w:val="20"/>
                <w:lang w:val="ro-RO" w:eastAsia="ru-RU"/>
              </w:rPr>
              <w:t xml:space="preserve"> </w:t>
            </w:r>
          </w:p>
          <w:p w14:paraId="5EBB6411"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C2ECF37" w14:textId="77777777" w:rsidR="00002B0D" w:rsidRDefault="00002B0D" w:rsidP="00E54C6F">
            <w:pPr>
              <w:autoSpaceDE w:val="0"/>
              <w:spacing w:after="0" w:line="240" w:lineRule="auto"/>
              <w:rPr>
                <w:rFonts w:ascii="Times New Roman" w:hAnsi="Times New Roman"/>
                <w:sz w:val="20"/>
                <w:szCs w:val="20"/>
                <w:lang w:val="ro-RO"/>
              </w:rPr>
            </w:pPr>
          </w:p>
          <w:p w14:paraId="06BB4F2C" w14:textId="77777777" w:rsidR="00077DF7" w:rsidRDefault="00077DF7" w:rsidP="00E54C6F">
            <w:pPr>
              <w:autoSpaceDE w:val="0"/>
              <w:spacing w:after="0" w:line="240" w:lineRule="auto"/>
              <w:rPr>
                <w:rFonts w:ascii="Times New Roman" w:hAnsi="Times New Roman"/>
                <w:sz w:val="20"/>
                <w:szCs w:val="20"/>
                <w:lang w:val="ro-RO"/>
              </w:rPr>
            </w:pPr>
          </w:p>
          <w:p w14:paraId="12C4FF9D" w14:textId="6AA7996D" w:rsidR="00E54C6F" w:rsidRPr="00F13819" w:rsidRDefault="00BF0AB7" w:rsidP="00E54C6F">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w:t>
            </w:r>
            <w:r w:rsidR="00002B0D">
              <w:rPr>
                <w:rFonts w:ascii="Times New Roman" w:hAnsi="Times New Roman"/>
                <w:sz w:val="20"/>
                <w:szCs w:val="20"/>
                <w:lang w:val="ro-RO"/>
              </w:rPr>
              <w:t>referitoare la</w:t>
            </w:r>
            <w:r>
              <w:rPr>
                <w:rFonts w:ascii="Times New Roman" w:hAnsi="Times New Roman"/>
                <w:sz w:val="20"/>
                <w:szCs w:val="20"/>
                <w:lang w:val="ro-RO"/>
              </w:rPr>
              <w:t xml:space="preserve">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lastRenderedPageBreak/>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BF496F">
              <w:rPr>
                <w:rFonts w:ascii="Times New Roman" w:eastAsia="Times New Roman" w:hAnsi="Times New Roman"/>
                <w:sz w:val="20"/>
                <w:szCs w:val="20"/>
                <w:lang w:val="ro-RO"/>
              </w:rPr>
              <w:t xml:space="preserve"> </w:t>
            </w:r>
            <w:r w:rsidR="00E54C6F">
              <w:rPr>
                <w:rFonts w:ascii="Times New Roman" w:eastAsia="Times New Roman" w:hAnsi="Times New Roman"/>
                <w:sz w:val="20"/>
                <w:szCs w:val="20"/>
                <w:lang w:val="ro-RO"/>
              </w:rPr>
              <w:t xml:space="preserve">și </w:t>
            </w:r>
            <w:r w:rsidR="00E54C6F" w:rsidRPr="00F13819">
              <w:rPr>
                <w:rFonts w:ascii="Times New Roman" w:eastAsia="Times New Roman" w:hAnsi="Times New Roman"/>
                <w:sz w:val="20"/>
                <w:szCs w:val="20"/>
                <w:lang w:val="ro-RO"/>
              </w:rPr>
              <w:t>D/202</w:t>
            </w:r>
            <w:r w:rsidR="00E54C6F">
              <w:rPr>
                <w:rFonts w:ascii="Times New Roman" w:eastAsia="Times New Roman" w:hAnsi="Times New Roman"/>
                <w:sz w:val="20"/>
                <w:szCs w:val="20"/>
                <w:lang w:val="ro-RO"/>
              </w:rPr>
              <w:t>2</w:t>
            </w:r>
            <w:r w:rsidR="00E54C6F" w:rsidRPr="00F13819">
              <w:rPr>
                <w:rFonts w:ascii="Times New Roman" w:eastAsia="Times New Roman" w:hAnsi="Times New Roman"/>
                <w:sz w:val="20"/>
                <w:szCs w:val="20"/>
                <w:lang w:val="ro-RO"/>
              </w:rPr>
              <w:t>/</w:t>
            </w:r>
            <w:r w:rsidR="00E54C6F">
              <w:rPr>
                <w:rFonts w:ascii="Times New Roman" w:eastAsia="Times New Roman" w:hAnsi="Times New Roman"/>
                <w:sz w:val="20"/>
                <w:szCs w:val="20"/>
                <w:lang w:val="ro-RO"/>
              </w:rPr>
              <w:t>02</w:t>
            </w:r>
            <w:r w:rsidR="00E54C6F" w:rsidRPr="00F13819">
              <w:rPr>
                <w:rFonts w:ascii="Times New Roman" w:eastAsia="Times New Roman" w:hAnsi="Times New Roman"/>
                <w:sz w:val="20"/>
                <w:szCs w:val="20"/>
                <w:lang w:val="ro-RO"/>
              </w:rPr>
              <w:t>/MC-</w:t>
            </w:r>
            <w:proofErr w:type="spellStart"/>
            <w:r w:rsidR="00E54C6F" w:rsidRPr="00F13819">
              <w:rPr>
                <w:rFonts w:ascii="Times New Roman" w:eastAsia="Times New Roman" w:hAnsi="Times New Roman"/>
                <w:sz w:val="20"/>
                <w:szCs w:val="20"/>
                <w:lang w:val="ro-RO"/>
              </w:rPr>
              <w:t>EnC</w:t>
            </w:r>
            <w:proofErr w:type="spellEnd"/>
            <w:r w:rsidR="00E54C6F" w:rsidRPr="00F13819">
              <w:rPr>
                <w:rFonts w:ascii="Times New Roman" w:eastAsia="Times New Roman" w:hAnsi="Times New Roman"/>
                <w:sz w:val="20"/>
                <w:szCs w:val="20"/>
                <w:lang w:val="ro-RO"/>
              </w:rPr>
              <w:t xml:space="preserve"> din </w:t>
            </w:r>
            <w:r w:rsidR="00E54C6F">
              <w:rPr>
                <w:rFonts w:ascii="Times New Roman" w:eastAsia="Times New Roman" w:hAnsi="Times New Roman"/>
                <w:sz w:val="20"/>
                <w:szCs w:val="20"/>
                <w:lang w:val="ro-RO"/>
              </w:rPr>
              <w:t>15</w:t>
            </w:r>
            <w:r w:rsidR="00E54C6F" w:rsidRPr="00F13819">
              <w:rPr>
                <w:rFonts w:ascii="Times New Roman" w:eastAsia="Times New Roman" w:hAnsi="Times New Roman"/>
                <w:sz w:val="20"/>
                <w:szCs w:val="20"/>
                <w:lang w:val="ro-RO"/>
              </w:rPr>
              <w:t>.1</w:t>
            </w:r>
            <w:r w:rsidR="00E54C6F">
              <w:rPr>
                <w:rFonts w:ascii="Times New Roman" w:eastAsia="Times New Roman" w:hAnsi="Times New Roman"/>
                <w:sz w:val="20"/>
                <w:szCs w:val="20"/>
                <w:lang w:val="ro-RO"/>
              </w:rPr>
              <w:t>2</w:t>
            </w:r>
            <w:r w:rsidR="00E54C6F" w:rsidRPr="00F13819">
              <w:rPr>
                <w:rFonts w:ascii="Times New Roman" w:eastAsia="Times New Roman" w:hAnsi="Times New Roman"/>
                <w:sz w:val="20"/>
                <w:szCs w:val="20"/>
                <w:lang w:val="ro-RO"/>
              </w:rPr>
              <w:t>.202</w:t>
            </w:r>
            <w:r w:rsidR="00E54C6F">
              <w:rPr>
                <w:rFonts w:ascii="Times New Roman" w:eastAsia="Times New Roman" w:hAnsi="Times New Roman"/>
                <w:sz w:val="20"/>
                <w:szCs w:val="20"/>
                <w:lang w:val="ro-RO"/>
              </w:rPr>
              <w:t>2.</w:t>
            </w:r>
          </w:p>
          <w:p w14:paraId="520A9EA3" w14:textId="2A8EF0FE" w:rsidR="00BF0AB7" w:rsidRPr="00F13819" w:rsidRDefault="00BF0AB7" w:rsidP="00BF0AB7">
            <w:pPr>
              <w:autoSpaceDE w:val="0"/>
              <w:spacing w:after="0" w:line="240" w:lineRule="auto"/>
              <w:rPr>
                <w:rFonts w:ascii="Times New Roman" w:hAnsi="Times New Roman"/>
                <w:sz w:val="20"/>
                <w:szCs w:val="20"/>
                <w:shd w:val="clear" w:color="auto" w:fill="FFFFFF"/>
                <w:lang w:val="ro-RO"/>
              </w:rPr>
            </w:pPr>
          </w:p>
          <w:p w14:paraId="16C4999C" w14:textId="77777777" w:rsidR="00BF0AB7" w:rsidRDefault="00BF0AB7" w:rsidP="00073C22">
            <w:pPr>
              <w:autoSpaceDE w:val="0"/>
              <w:spacing w:after="0" w:line="240" w:lineRule="auto"/>
              <w:rPr>
                <w:rFonts w:ascii="Times New Roman" w:hAnsi="Times New Roman"/>
                <w:sz w:val="20"/>
                <w:szCs w:val="20"/>
                <w:shd w:val="clear" w:color="auto" w:fill="FFFFFF"/>
                <w:lang w:val="ro-RO"/>
              </w:rPr>
            </w:pPr>
          </w:p>
          <w:p w14:paraId="013448ED" w14:textId="77777777" w:rsidR="00BF0AB7" w:rsidRDefault="00BF0AB7" w:rsidP="00073C22">
            <w:pPr>
              <w:autoSpaceDE w:val="0"/>
              <w:spacing w:after="0" w:line="240" w:lineRule="auto"/>
              <w:rPr>
                <w:rFonts w:ascii="Times New Roman" w:hAnsi="Times New Roman"/>
                <w:sz w:val="20"/>
                <w:szCs w:val="20"/>
                <w:shd w:val="clear" w:color="auto" w:fill="FFFFFF"/>
                <w:lang w:val="ro-RO"/>
              </w:rPr>
            </w:pPr>
          </w:p>
          <w:p w14:paraId="194A085C" w14:textId="76D5C6E7" w:rsidR="00F5326B" w:rsidRDefault="00F5326B" w:rsidP="00073C22">
            <w:pPr>
              <w:autoSpaceDE w:val="0"/>
              <w:spacing w:after="0" w:line="240" w:lineRule="auto"/>
              <w:rPr>
                <w:rFonts w:ascii="Times New Roman" w:hAnsi="Times New Roman"/>
                <w:sz w:val="20"/>
                <w:szCs w:val="20"/>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5F388677" w14:textId="4422DC8C" w:rsidR="00F5326B" w:rsidRDefault="00F5326B" w:rsidP="00073C22">
            <w:pPr>
              <w:autoSpaceDE w:val="0"/>
              <w:spacing w:after="0" w:line="240" w:lineRule="auto"/>
              <w:rPr>
                <w:rFonts w:ascii="Times New Roman" w:hAnsi="Times New Roman"/>
                <w:sz w:val="20"/>
                <w:szCs w:val="20"/>
                <w:lang w:val="ro-RO"/>
              </w:rPr>
            </w:pPr>
          </w:p>
          <w:p w14:paraId="0873B0BE" w14:textId="77777777" w:rsidR="00F5326B" w:rsidRDefault="00F5326B" w:rsidP="00073C22">
            <w:pPr>
              <w:autoSpaceDE w:val="0"/>
              <w:spacing w:after="0" w:line="240" w:lineRule="auto"/>
              <w:rPr>
                <w:rFonts w:ascii="Times New Roman" w:hAnsi="Times New Roman"/>
                <w:sz w:val="20"/>
                <w:szCs w:val="20"/>
                <w:lang w:val="ro-RO"/>
              </w:rPr>
            </w:pPr>
          </w:p>
          <w:p w14:paraId="6C3DF7B0" w14:textId="717EBD14" w:rsidR="00D37AB7" w:rsidRPr="00073C22" w:rsidRDefault="00D37AB7" w:rsidP="00073C22">
            <w:pPr>
              <w:pStyle w:val="ColorfulList-Accent11"/>
              <w:spacing w:after="0" w:line="240" w:lineRule="auto"/>
              <w:ind w:left="0"/>
              <w:jc w:val="both"/>
              <w:rPr>
                <w:lang w:val="ro-RO"/>
              </w:rPr>
            </w:pPr>
          </w:p>
        </w:tc>
        <w:tc>
          <w:tcPr>
            <w:tcW w:w="1460" w:type="dxa"/>
          </w:tcPr>
          <w:p w14:paraId="1B000950" w14:textId="5A26C9AA" w:rsidR="00073C22" w:rsidRPr="003F755D" w:rsidRDefault="00073C22" w:rsidP="00073C22">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E9618D" w:rsidRPr="00A81801">
              <w:rPr>
                <w:rFonts w:ascii="Times New Roman" w:hAnsi="Times New Roman"/>
                <w:color w:val="000000" w:themeColor="text1"/>
                <w:sz w:val="20"/>
                <w:szCs w:val="20"/>
              </w:rPr>
              <w:t>Energiei</w:t>
            </w:r>
          </w:p>
          <w:p w14:paraId="36D161A5" w14:textId="77777777" w:rsidR="00CF09D4" w:rsidRDefault="00CF09D4" w:rsidP="00CF09D4">
            <w:pPr>
              <w:pStyle w:val="ColorfulList-Accent11"/>
              <w:spacing w:after="0" w:line="240" w:lineRule="auto"/>
              <w:ind w:left="0"/>
              <w:jc w:val="both"/>
              <w:rPr>
                <w:lang w:val="ro-RO"/>
              </w:rPr>
            </w:pPr>
          </w:p>
          <w:p w14:paraId="16DF1C4B" w14:textId="25B89FA6" w:rsidR="00CF09D4" w:rsidRDefault="00CF09D4" w:rsidP="00CF09D4">
            <w:pPr>
              <w:pStyle w:val="ColorfulList-Accent11"/>
              <w:spacing w:after="0" w:line="240" w:lineRule="auto"/>
              <w:ind w:left="0"/>
              <w:jc w:val="both"/>
              <w:rPr>
                <w:rFonts w:ascii="Times New Roman" w:hAnsi="Times New Roman"/>
                <w:sz w:val="20"/>
                <w:szCs w:val="20"/>
                <w:lang w:val="ro-RO"/>
              </w:rPr>
            </w:pPr>
            <w:r w:rsidRPr="003C4F9F">
              <w:rPr>
                <w:rFonts w:ascii="Times New Roman" w:hAnsi="Times New Roman"/>
                <w:sz w:val="20"/>
                <w:szCs w:val="20"/>
                <w:lang w:val="ro-RO"/>
              </w:rPr>
              <w:t>Ministerul Mediului</w:t>
            </w:r>
          </w:p>
          <w:p w14:paraId="6B720486" w14:textId="084D33A7" w:rsidR="00073C22" w:rsidRDefault="00073C22" w:rsidP="003B17F3">
            <w:pPr>
              <w:pStyle w:val="ColorfulList-Accent11"/>
              <w:tabs>
                <w:tab w:val="left" w:pos="584"/>
              </w:tabs>
              <w:spacing w:after="0" w:line="240" w:lineRule="auto"/>
              <w:ind w:left="0"/>
              <w:jc w:val="both"/>
              <w:rPr>
                <w:lang w:val="ro-RO"/>
              </w:rPr>
            </w:pPr>
          </w:p>
          <w:p w14:paraId="2053FE12" w14:textId="28FE3B22" w:rsidR="00D37AB7" w:rsidRPr="00F5326B" w:rsidRDefault="00D37AB7" w:rsidP="00073C22">
            <w:pPr>
              <w:pStyle w:val="ColorfulList-Accent11"/>
              <w:spacing w:after="0" w:line="240" w:lineRule="auto"/>
              <w:ind w:left="0"/>
              <w:jc w:val="both"/>
              <w:rPr>
                <w:lang w:val="fr-FR"/>
              </w:rPr>
            </w:pPr>
          </w:p>
        </w:tc>
      </w:tr>
      <w:tr w:rsidR="000F6108" w:rsidRPr="00EF4A42" w14:paraId="747F7343" w14:textId="77777777" w:rsidTr="00A90105">
        <w:tc>
          <w:tcPr>
            <w:tcW w:w="4945" w:type="dxa"/>
          </w:tcPr>
          <w:p w14:paraId="388E5C25" w14:textId="77777777" w:rsidR="000F6108" w:rsidRPr="00742FD9" w:rsidRDefault="000F6108" w:rsidP="000F6108">
            <w:pPr>
              <w:spacing w:after="0" w:line="240" w:lineRule="auto"/>
              <w:jc w:val="center"/>
              <w:rPr>
                <w:rFonts w:ascii="Times New Roman" w:hAnsi="Times New Roman"/>
                <w:sz w:val="20"/>
                <w:szCs w:val="20"/>
                <w:lang w:val="fr-FR" w:eastAsia="ru-RU"/>
              </w:rPr>
            </w:pPr>
            <w:proofErr w:type="spellStart"/>
            <w:r w:rsidRPr="00742FD9">
              <w:rPr>
                <w:rFonts w:ascii="Times New Roman" w:hAnsi="Times New Roman"/>
                <w:sz w:val="20"/>
                <w:szCs w:val="20"/>
                <w:lang w:val="fr-FR" w:eastAsia="ru-RU"/>
              </w:rPr>
              <w:lastRenderedPageBreak/>
              <w:t>Articolul</w:t>
            </w:r>
            <w:proofErr w:type="spellEnd"/>
            <w:r w:rsidRPr="00742FD9">
              <w:rPr>
                <w:rFonts w:ascii="Times New Roman" w:hAnsi="Times New Roman"/>
                <w:sz w:val="20"/>
                <w:szCs w:val="20"/>
                <w:lang w:val="fr-FR" w:eastAsia="ru-RU"/>
              </w:rPr>
              <w:t xml:space="preserve"> 18</w:t>
            </w:r>
          </w:p>
          <w:p w14:paraId="4871BAF4" w14:textId="77777777" w:rsidR="000F6108" w:rsidRPr="00742FD9" w:rsidRDefault="000F6108" w:rsidP="000F6108">
            <w:pPr>
              <w:spacing w:after="0" w:line="240" w:lineRule="auto"/>
              <w:jc w:val="center"/>
              <w:rPr>
                <w:rFonts w:ascii="Times New Roman" w:hAnsi="Times New Roman"/>
                <w:b/>
                <w:bCs/>
                <w:sz w:val="20"/>
                <w:szCs w:val="20"/>
                <w:lang w:val="fr-FR" w:eastAsia="ru-RU"/>
              </w:rPr>
            </w:pPr>
            <w:proofErr w:type="spellStart"/>
            <w:r w:rsidRPr="00742FD9">
              <w:rPr>
                <w:rFonts w:ascii="Times New Roman" w:hAnsi="Times New Roman"/>
                <w:b/>
                <w:bCs/>
                <w:sz w:val="20"/>
                <w:szCs w:val="20"/>
                <w:lang w:val="fr-FR" w:eastAsia="ru-RU"/>
              </w:rPr>
              <w:t>Raportarea</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integrată</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cu</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privire</w:t>
            </w:r>
            <w:proofErr w:type="spellEnd"/>
            <w:r w:rsidRPr="00742FD9">
              <w:rPr>
                <w:rFonts w:ascii="Times New Roman" w:hAnsi="Times New Roman"/>
                <w:b/>
                <w:bCs/>
                <w:sz w:val="20"/>
                <w:szCs w:val="20"/>
                <w:lang w:val="fr-FR" w:eastAsia="ru-RU"/>
              </w:rPr>
              <w:t xml:space="preserve"> la </w:t>
            </w:r>
            <w:proofErr w:type="spellStart"/>
            <w:r w:rsidRPr="00742FD9">
              <w:rPr>
                <w:rFonts w:ascii="Times New Roman" w:hAnsi="Times New Roman"/>
                <w:b/>
                <w:bCs/>
                <w:sz w:val="20"/>
                <w:szCs w:val="20"/>
                <w:lang w:val="fr-FR" w:eastAsia="ru-RU"/>
              </w:rPr>
              <w:t>politicile</w:t>
            </w:r>
            <w:proofErr w:type="spellEnd"/>
            <w:r w:rsidRPr="00742FD9">
              <w:rPr>
                <w:rFonts w:ascii="Times New Roman" w:hAnsi="Times New Roman"/>
                <w:b/>
                <w:bCs/>
                <w:sz w:val="20"/>
                <w:szCs w:val="20"/>
                <w:lang w:val="fr-FR" w:eastAsia="ru-RU"/>
              </w:rPr>
              <w:t xml:space="preserve"> și </w:t>
            </w:r>
            <w:proofErr w:type="spellStart"/>
            <w:r w:rsidRPr="00742FD9">
              <w:rPr>
                <w:rFonts w:ascii="Times New Roman" w:hAnsi="Times New Roman"/>
                <w:b/>
                <w:bCs/>
                <w:sz w:val="20"/>
                <w:szCs w:val="20"/>
                <w:lang w:val="fr-FR" w:eastAsia="ru-RU"/>
              </w:rPr>
              <w:t>măsurile</w:t>
            </w:r>
            <w:proofErr w:type="spellEnd"/>
            <w:r w:rsidRPr="00742FD9">
              <w:rPr>
                <w:rFonts w:ascii="Times New Roman" w:hAnsi="Times New Roman"/>
                <w:b/>
                <w:bCs/>
                <w:sz w:val="20"/>
                <w:szCs w:val="20"/>
                <w:lang w:val="fr-FR" w:eastAsia="ru-RU"/>
              </w:rPr>
              <w:t xml:space="preserve"> în </w:t>
            </w:r>
            <w:proofErr w:type="spellStart"/>
            <w:r w:rsidRPr="00742FD9">
              <w:rPr>
                <w:rFonts w:ascii="Times New Roman" w:hAnsi="Times New Roman"/>
                <w:b/>
                <w:bCs/>
                <w:sz w:val="20"/>
                <w:szCs w:val="20"/>
                <w:lang w:val="fr-FR" w:eastAsia="ru-RU"/>
              </w:rPr>
              <w:t>domeniul</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gazelor</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cu</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efect</w:t>
            </w:r>
            <w:proofErr w:type="spellEnd"/>
            <w:r w:rsidRPr="00742FD9">
              <w:rPr>
                <w:rFonts w:ascii="Times New Roman" w:hAnsi="Times New Roman"/>
                <w:b/>
                <w:bCs/>
                <w:sz w:val="20"/>
                <w:szCs w:val="20"/>
                <w:lang w:val="fr-FR" w:eastAsia="ru-RU"/>
              </w:rPr>
              <w:t xml:space="preserve"> de </w:t>
            </w:r>
            <w:proofErr w:type="spellStart"/>
            <w:r w:rsidRPr="00742FD9">
              <w:rPr>
                <w:rFonts w:ascii="Times New Roman" w:hAnsi="Times New Roman"/>
                <w:b/>
                <w:bCs/>
                <w:sz w:val="20"/>
                <w:szCs w:val="20"/>
                <w:lang w:val="fr-FR" w:eastAsia="ru-RU"/>
              </w:rPr>
              <w:t>seră</w:t>
            </w:r>
            <w:proofErr w:type="spellEnd"/>
            <w:r w:rsidRPr="00742FD9">
              <w:rPr>
                <w:rFonts w:ascii="Times New Roman" w:hAnsi="Times New Roman"/>
                <w:b/>
                <w:bCs/>
                <w:sz w:val="20"/>
                <w:szCs w:val="20"/>
                <w:lang w:val="fr-FR" w:eastAsia="ru-RU"/>
              </w:rPr>
              <w:t xml:space="preserve"> și </w:t>
            </w:r>
            <w:proofErr w:type="spellStart"/>
            <w:r w:rsidRPr="00742FD9">
              <w:rPr>
                <w:rFonts w:ascii="Times New Roman" w:hAnsi="Times New Roman"/>
                <w:b/>
                <w:bCs/>
                <w:sz w:val="20"/>
                <w:szCs w:val="20"/>
                <w:lang w:val="fr-FR" w:eastAsia="ru-RU"/>
              </w:rPr>
              <w:t>cu</w:t>
            </w:r>
            <w:proofErr w:type="spellEnd"/>
            <w:r w:rsidRPr="00742FD9">
              <w:rPr>
                <w:rFonts w:ascii="Times New Roman" w:hAnsi="Times New Roman"/>
                <w:b/>
                <w:bCs/>
                <w:sz w:val="20"/>
                <w:szCs w:val="20"/>
                <w:lang w:val="fr-FR" w:eastAsia="ru-RU"/>
              </w:rPr>
              <w:t xml:space="preserve"> </w:t>
            </w:r>
            <w:proofErr w:type="spellStart"/>
            <w:r w:rsidRPr="00742FD9">
              <w:rPr>
                <w:rFonts w:ascii="Times New Roman" w:hAnsi="Times New Roman"/>
                <w:b/>
                <w:bCs/>
                <w:sz w:val="20"/>
                <w:szCs w:val="20"/>
                <w:lang w:val="fr-FR" w:eastAsia="ru-RU"/>
              </w:rPr>
              <w:t>privire</w:t>
            </w:r>
            <w:proofErr w:type="spellEnd"/>
            <w:r w:rsidRPr="00742FD9">
              <w:rPr>
                <w:rFonts w:ascii="Times New Roman" w:hAnsi="Times New Roman"/>
                <w:b/>
                <w:bCs/>
                <w:sz w:val="20"/>
                <w:szCs w:val="20"/>
                <w:lang w:val="fr-FR" w:eastAsia="ru-RU"/>
              </w:rPr>
              <w:t xml:space="preserve"> la </w:t>
            </w:r>
            <w:proofErr w:type="spellStart"/>
            <w:r w:rsidRPr="00742FD9">
              <w:rPr>
                <w:rFonts w:ascii="Times New Roman" w:hAnsi="Times New Roman"/>
                <w:b/>
                <w:bCs/>
                <w:sz w:val="20"/>
                <w:szCs w:val="20"/>
                <w:lang w:val="fr-FR" w:eastAsia="ru-RU"/>
              </w:rPr>
              <w:t>prognoze</w:t>
            </w:r>
            <w:proofErr w:type="spellEnd"/>
          </w:p>
          <w:p w14:paraId="4E1DEF5E" w14:textId="78852791" w:rsidR="000F6108" w:rsidRPr="00742FD9" w:rsidRDefault="000F6108" w:rsidP="002D3592">
            <w:pPr>
              <w:spacing w:after="0" w:line="240" w:lineRule="auto"/>
              <w:rPr>
                <w:rFonts w:ascii="Times New Roman" w:hAnsi="Times New Roman"/>
                <w:sz w:val="20"/>
                <w:szCs w:val="20"/>
                <w:lang w:val="fr-FR" w:eastAsia="ru-RU"/>
              </w:rPr>
            </w:pPr>
            <w:r w:rsidRPr="00742FD9">
              <w:rPr>
                <w:rFonts w:ascii="Times New Roman" w:hAnsi="Times New Roman"/>
                <w:sz w:val="20"/>
                <w:szCs w:val="20"/>
                <w:lang w:val="fr-FR" w:eastAsia="ru-RU"/>
              </w:rPr>
              <w:t>(</w:t>
            </w:r>
            <w:proofErr w:type="gramStart"/>
            <w:r w:rsidRPr="00742FD9">
              <w:rPr>
                <w:rFonts w:ascii="Times New Roman" w:hAnsi="Times New Roman"/>
                <w:sz w:val="20"/>
                <w:szCs w:val="20"/>
                <w:lang w:val="fr-FR" w:eastAsia="ru-RU"/>
              </w:rPr>
              <w:t>1)</w:t>
            </w:r>
            <w:proofErr w:type="spellStart"/>
            <w:r w:rsidRPr="00742FD9">
              <w:rPr>
                <w:rFonts w:ascii="Times New Roman" w:hAnsi="Times New Roman"/>
                <w:sz w:val="20"/>
                <w:szCs w:val="20"/>
                <w:lang w:val="fr-FR" w:eastAsia="ru-RU"/>
              </w:rPr>
              <w:t>Până</w:t>
            </w:r>
            <w:proofErr w:type="spellEnd"/>
            <w:proofErr w:type="gramEnd"/>
            <w:r w:rsidRPr="00742FD9">
              <w:rPr>
                <w:rFonts w:ascii="Times New Roman" w:hAnsi="Times New Roman"/>
                <w:sz w:val="20"/>
                <w:szCs w:val="20"/>
                <w:lang w:val="fr-FR" w:eastAsia="ru-RU"/>
              </w:rPr>
              <w:t xml:space="preserve"> la</w:t>
            </w:r>
            <w:r w:rsidR="002D3592" w:rsidRPr="00742FD9">
              <w:rPr>
                <w:rFonts w:ascii="Times New Roman" w:hAnsi="Times New Roman"/>
                <w:sz w:val="20"/>
                <w:szCs w:val="20"/>
                <w:lang w:val="fr-FR" w:eastAsia="ru-RU"/>
              </w:rPr>
              <w:t xml:space="preserve"> </w:t>
            </w:r>
            <w:r w:rsidRPr="00742FD9">
              <w:rPr>
                <w:rFonts w:ascii="Times New Roman" w:hAnsi="Times New Roman"/>
                <w:sz w:val="20"/>
                <w:szCs w:val="20"/>
                <w:lang w:val="fr-FR" w:eastAsia="ru-RU"/>
              </w:rPr>
              <w:t>15</w:t>
            </w:r>
            <w:r w:rsidR="002D3592"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martie</w:t>
            </w:r>
            <w:proofErr w:type="spellEnd"/>
            <w:r w:rsidR="002D3592" w:rsidRPr="00742FD9">
              <w:rPr>
                <w:rFonts w:ascii="Times New Roman" w:hAnsi="Times New Roman"/>
                <w:sz w:val="20"/>
                <w:szCs w:val="20"/>
                <w:lang w:val="fr-FR" w:eastAsia="ru-RU"/>
              </w:rPr>
              <w:t xml:space="preserve"> </w:t>
            </w:r>
            <w:r w:rsidRPr="00742FD9">
              <w:rPr>
                <w:rFonts w:ascii="Times New Roman" w:hAnsi="Times New Roman"/>
                <w:sz w:val="20"/>
                <w:szCs w:val="20"/>
                <w:lang w:val="fr-FR" w:eastAsia="ru-RU"/>
              </w:rPr>
              <w:t xml:space="preserve">2021 și, </w:t>
            </w:r>
            <w:proofErr w:type="spellStart"/>
            <w:r w:rsidRPr="00742FD9">
              <w:rPr>
                <w:rFonts w:ascii="Times New Roman" w:hAnsi="Times New Roman"/>
                <w:sz w:val="20"/>
                <w:szCs w:val="20"/>
                <w:lang w:val="fr-FR" w:eastAsia="ru-RU"/>
              </w:rPr>
              <w:t>ulterior</w:t>
            </w:r>
            <w:proofErr w:type="spellEnd"/>
            <w:r w:rsidRPr="00742FD9">
              <w:rPr>
                <w:rFonts w:ascii="Times New Roman" w:hAnsi="Times New Roman"/>
                <w:sz w:val="20"/>
                <w:szCs w:val="20"/>
                <w:lang w:val="fr-FR" w:eastAsia="ru-RU"/>
              </w:rPr>
              <w:t xml:space="preserve">, la </w:t>
            </w:r>
            <w:proofErr w:type="spellStart"/>
            <w:r w:rsidRPr="00742FD9">
              <w:rPr>
                <w:rFonts w:ascii="Times New Roman" w:hAnsi="Times New Roman"/>
                <w:sz w:val="20"/>
                <w:szCs w:val="20"/>
                <w:lang w:val="fr-FR" w:eastAsia="ru-RU"/>
              </w:rPr>
              <w:t>fiecare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doi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ani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statele</w:t>
            </w:r>
            <w:proofErr w:type="spellEnd"/>
            <w:r w:rsidRPr="00742FD9">
              <w:rPr>
                <w:rFonts w:ascii="Times New Roman" w:hAnsi="Times New Roman"/>
                <w:sz w:val="20"/>
                <w:szCs w:val="20"/>
                <w:lang w:val="fr-FR" w:eastAsia="ru-RU"/>
              </w:rPr>
              <w:t xml:space="preserve"> membre </w:t>
            </w:r>
            <w:proofErr w:type="spellStart"/>
            <w:r w:rsidRPr="00742FD9">
              <w:rPr>
                <w:rFonts w:ascii="Times New Roman" w:hAnsi="Times New Roman"/>
                <w:sz w:val="20"/>
                <w:szCs w:val="20"/>
                <w:lang w:val="fr-FR" w:eastAsia="ru-RU"/>
              </w:rPr>
              <w:t>prezintă</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Comisiei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informații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cu</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privire</w:t>
            </w:r>
            <w:proofErr w:type="spellEnd"/>
            <w:r w:rsidRPr="00742FD9">
              <w:rPr>
                <w:rFonts w:ascii="Times New Roman" w:hAnsi="Times New Roman"/>
                <w:sz w:val="20"/>
                <w:szCs w:val="20"/>
                <w:lang w:val="fr-FR" w:eastAsia="ru-RU"/>
              </w:rPr>
              <w:t xml:space="preserve"> la:</w:t>
            </w:r>
          </w:p>
          <w:p w14:paraId="274BCF67" w14:textId="5E664D43" w:rsidR="002D3592" w:rsidRPr="00742FD9" w:rsidRDefault="002D3592" w:rsidP="000C5A3B">
            <w:pPr>
              <w:pStyle w:val="af3"/>
              <w:numPr>
                <w:ilvl w:val="0"/>
                <w:numId w:val="110"/>
              </w:numPr>
              <w:spacing w:after="0" w:line="240" w:lineRule="auto"/>
              <w:rPr>
                <w:rFonts w:ascii="Times New Roman" w:hAnsi="Times New Roman"/>
                <w:sz w:val="20"/>
                <w:szCs w:val="20"/>
                <w:lang w:val="fr-FR" w:eastAsia="ru-RU"/>
              </w:rPr>
            </w:pPr>
            <w:proofErr w:type="spellStart"/>
            <w:proofErr w:type="gramStart"/>
            <w:r w:rsidRPr="00742FD9">
              <w:rPr>
                <w:rFonts w:ascii="Times New Roman" w:hAnsi="Times New Roman"/>
                <w:sz w:val="20"/>
                <w:szCs w:val="20"/>
                <w:lang w:val="fr-FR" w:eastAsia="ru-RU"/>
              </w:rPr>
              <w:t>propriile</w:t>
            </w:r>
            <w:proofErr w:type="spellEnd"/>
            <w:proofErr w:type="gram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politici</w:t>
            </w:r>
            <w:proofErr w:type="spellEnd"/>
            <w:r w:rsidRPr="00742FD9">
              <w:rPr>
                <w:rFonts w:ascii="Times New Roman" w:hAnsi="Times New Roman"/>
                <w:sz w:val="20"/>
                <w:szCs w:val="20"/>
                <w:lang w:val="fr-FR" w:eastAsia="ru-RU"/>
              </w:rPr>
              <w:t xml:space="preserve"> și </w:t>
            </w:r>
            <w:proofErr w:type="spellStart"/>
            <w:r w:rsidRPr="00742FD9">
              <w:rPr>
                <w:rFonts w:ascii="Times New Roman" w:hAnsi="Times New Roman"/>
                <w:sz w:val="20"/>
                <w:szCs w:val="20"/>
                <w:lang w:val="fr-FR" w:eastAsia="ru-RU"/>
              </w:rPr>
              <w:t>măsuri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sau</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grupuri</w:t>
            </w:r>
            <w:proofErr w:type="spellEnd"/>
            <w:r w:rsidRPr="00742FD9">
              <w:rPr>
                <w:rFonts w:ascii="Times New Roman" w:hAnsi="Times New Roman"/>
                <w:sz w:val="20"/>
                <w:szCs w:val="20"/>
                <w:lang w:val="fr-FR" w:eastAsia="ru-RU"/>
              </w:rPr>
              <w:t xml:space="preserve"> de </w:t>
            </w:r>
            <w:proofErr w:type="spellStart"/>
            <w:r w:rsidRPr="00742FD9">
              <w:rPr>
                <w:rFonts w:ascii="Times New Roman" w:hAnsi="Times New Roman"/>
                <w:sz w:val="20"/>
                <w:szCs w:val="20"/>
                <w:lang w:val="fr-FR" w:eastAsia="ru-RU"/>
              </w:rPr>
              <w:t>măsuri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naționale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astfel</w:t>
            </w:r>
            <w:proofErr w:type="spellEnd"/>
            <w:r w:rsidRPr="00742FD9">
              <w:rPr>
                <w:rFonts w:ascii="Times New Roman" w:hAnsi="Times New Roman"/>
                <w:sz w:val="20"/>
                <w:szCs w:val="20"/>
                <w:lang w:val="fr-FR" w:eastAsia="ru-RU"/>
              </w:rPr>
              <w:t xml:space="preserve"> cum se </w:t>
            </w:r>
            <w:proofErr w:type="spellStart"/>
            <w:r w:rsidRPr="00742FD9">
              <w:rPr>
                <w:rFonts w:ascii="Times New Roman" w:hAnsi="Times New Roman"/>
                <w:sz w:val="20"/>
                <w:szCs w:val="20"/>
                <w:lang w:val="fr-FR" w:eastAsia="ru-RU"/>
              </w:rPr>
              <w:t>prevede</w:t>
            </w:r>
            <w:proofErr w:type="spellEnd"/>
            <w:r w:rsidRPr="00742FD9">
              <w:rPr>
                <w:rFonts w:ascii="Times New Roman" w:hAnsi="Times New Roman"/>
                <w:sz w:val="20"/>
                <w:szCs w:val="20"/>
                <w:lang w:val="fr-FR" w:eastAsia="ru-RU"/>
              </w:rPr>
              <w:t xml:space="preserve"> în </w:t>
            </w:r>
            <w:proofErr w:type="spellStart"/>
            <w:r w:rsidRPr="00742FD9">
              <w:rPr>
                <w:rFonts w:ascii="Times New Roman" w:hAnsi="Times New Roman"/>
                <w:sz w:val="20"/>
                <w:szCs w:val="20"/>
                <w:lang w:val="fr-FR" w:eastAsia="ru-RU"/>
              </w:rPr>
              <w:t>anexa</w:t>
            </w:r>
            <w:proofErr w:type="spellEnd"/>
            <w:r w:rsidRPr="00742FD9">
              <w:rPr>
                <w:rFonts w:ascii="Times New Roman" w:hAnsi="Times New Roman"/>
                <w:sz w:val="20"/>
                <w:szCs w:val="20"/>
                <w:lang w:val="fr-FR" w:eastAsia="ru-RU"/>
              </w:rPr>
              <w:t xml:space="preserve"> VI; și</w:t>
            </w:r>
          </w:p>
          <w:p w14:paraId="15AEFCCD" w14:textId="083F48F9" w:rsidR="002D3592" w:rsidRPr="00742FD9" w:rsidRDefault="002D3592" w:rsidP="000C5A3B">
            <w:pPr>
              <w:pStyle w:val="af3"/>
              <w:numPr>
                <w:ilvl w:val="0"/>
                <w:numId w:val="110"/>
              </w:numPr>
              <w:spacing w:after="0" w:line="240" w:lineRule="auto"/>
              <w:jc w:val="both"/>
              <w:rPr>
                <w:rFonts w:ascii="Times New Roman" w:hAnsi="Times New Roman"/>
                <w:sz w:val="20"/>
                <w:szCs w:val="20"/>
                <w:lang w:val="fr-FR" w:eastAsia="ru-RU"/>
              </w:rPr>
            </w:pPr>
            <w:proofErr w:type="spellStart"/>
            <w:proofErr w:type="gramStart"/>
            <w:r w:rsidRPr="00742FD9">
              <w:rPr>
                <w:rFonts w:ascii="Times New Roman" w:hAnsi="Times New Roman"/>
                <w:sz w:val="20"/>
                <w:szCs w:val="20"/>
                <w:lang w:val="fr-FR" w:eastAsia="ru-RU"/>
              </w:rPr>
              <w:t>propriile</w:t>
            </w:r>
            <w:proofErr w:type="spellEnd"/>
            <w:proofErr w:type="gram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prognoze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naționale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referitoare</w:t>
            </w:r>
            <w:proofErr w:type="spellEnd"/>
            <w:r w:rsidRPr="00742FD9">
              <w:rPr>
                <w:rFonts w:ascii="Times New Roman" w:hAnsi="Times New Roman"/>
                <w:sz w:val="20"/>
                <w:szCs w:val="20"/>
                <w:lang w:val="fr-FR" w:eastAsia="ru-RU"/>
              </w:rPr>
              <w:t xml:space="preserve"> la </w:t>
            </w:r>
            <w:proofErr w:type="spellStart"/>
            <w:r w:rsidRPr="00742FD9">
              <w:rPr>
                <w:rFonts w:ascii="Times New Roman" w:hAnsi="Times New Roman"/>
                <w:sz w:val="20"/>
                <w:szCs w:val="20"/>
                <w:lang w:val="fr-FR" w:eastAsia="ru-RU"/>
              </w:rPr>
              <w:t>emisiile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antropice</w:t>
            </w:r>
            <w:proofErr w:type="spellEnd"/>
            <w:r w:rsidRPr="00742FD9">
              <w:rPr>
                <w:rFonts w:ascii="Times New Roman" w:hAnsi="Times New Roman"/>
                <w:sz w:val="20"/>
                <w:szCs w:val="20"/>
                <w:lang w:val="fr-FR" w:eastAsia="ru-RU"/>
              </w:rPr>
              <w:t xml:space="preserve"> de </w:t>
            </w:r>
            <w:proofErr w:type="spellStart"/>
            <w:r w:rsidRPr="00742FD9">
              <w:rPr>
                <w:rFonts w:ascii="Times New Roman" w:hAnsi="Times New Roman"/>
                <w:sz w:val="20"/>
                <w:szCs w:val="20"/>
                <w:lang w:val="fr-FR" w:eastAsia="ru-RU"/>
              </w:rPr>
              <w:t>către</w:t>
            </w:r>
            <w:proofErr w:type="spellEnd"/>
            <w:r w:rsidRPr="00742FD9">
              <w:rPr>
                <w:rFonts w:ascii="Times New Roman" w:hAnsi="Times New Roman"/>
                <w:sz w:val="20"/>
                <w:szCs w:val="20"/>
                <w:lang w:val="fr-FR" w:eastAsia="ru-RU"/>
              </w:rPr>
              <w:t xml:space="preserve"> surse și </w:t>
            </w:r>
            <w:proofErr w:type="spellStart"/>
            <w:r w:rsidRPr="00742FD9">
              <w:rPr>
                <w:rFonts w:ascii="Times New Roman" w:hAnsi="Times New Roman"/>
                <w:sz w:val="20"/>
                <w:szCs w:val="20"/>
                <w:lang w:val="fr-FR" w:eastAsia="ru-RU"/>
              </w:rPr>
              <w:t>absorbțiile</w:t>
            </w:r>
            <w:proofErr w:type="spellEnd"/>
            <w:r w:rsidRPr="00742FD9">
              <w:rPr>
                <w:rFonts w:ascii="Times New Roman" w:hAnsi="Times New Roman"/>
                <w:sz w:val="20"/>
                <w:szCs w:val="20"/>
                <w:lang w:val="fr-FR" w:eastAsia="ru-RU"/>
              </w:rPr>
              <w:t xml:space="preserve"> de </w:t>
            </w:r>
            <w:proofErr w:type="spellStart"/>
            <w:r w:rsidRPr="00742FD9">
              <w:rPr>
                <w:rFonts w:ascii="Times New Roman" w:hAnsi="Times New Roman"/>
                <w:sz w:val="20"/>
                <w:szCs w:val="20"/>
                <w:lang w:val="fr-FR" w:eastAsia="ru-RU"/>
              </w:rPr>
              <w:t>către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absorbanți</w:t>
            </w:r>
            <w:proofErr w:type="spellEnd"/>
            <w:r w:rsidRPr="00742FD9">
              <w:rPr>
                <w:rFonts w:ascii="Times New Roman" w:hAnsi="Times New Roman"/>
                <w:sz w:val="20"/>
                <w:szCs w:val="20"/>
                <w:lang w:val="fr-FR" w:eastAsia="ru-RU"/>
              </w:rPr>
              <w:t xml:space="preserve"> de gaze </w:t>
            </w:r>
            <w:proofErr w:type="spellStart"/>
            <w:r w:rsidRPr="00742FD9">
              <w:rPr>
                <w:rFonts w:ascii="Times New Roman" w:hAnsi="Times New Roman"/>
                <w:sz w:val="20"/>
                <w:szCs w:val="20"/>
                <w:lang w:val="fr-FR" w:eastAsia="ru-RU"/>
              </w:rPr>
              <w:t>cu</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efect</w:t>
            </w:r>
            <w:proofErr w:type="spellEnd"/>
            <w:r w:rsidRPr="00742FD9">
              <w:rPr>
                <w:rFonts w:ascii="Times New Roman" w:hAnsi="Times New Roman"/>
                <w:sz w:val="20"/>
                <w:szCs w:val="20"/>
                <w:lang w:val="fr-FR" w:eastAsia="ru-RU"/>
              </w:rPr>
              <w:t xml:space="preserve"> de </w:t>
            </w:r>
            <w:proofErr w:type="spellStart"/>
            <w:r w:rsidRPr="00742FD9">
              <w:rPr>
                <w:rFonts w:ascii="Times New Roman" w:hAnsi="Times New Roman"/>
                <w:sz w:val="20"/>
                <w:szCs w:val="20"/>
                <w:lang w:val="fr-FR" w:eastAsia="ru-RU"/>
              </w:rPr>
              <w:t>seră</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defalcate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pe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gazele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sau</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grupele</w:t>
            </w:r>
            <w:proofErr w:type="spellEnd"/>
            <w:r w:rsidRPr="00742FD9">
              <w:rPr>
                <w:rFonts w:ascii="Times New Roman" w:hAnsi="Times New Roman"/>
                <w:sz w:val="20"/>
                <w:szCs w:val="20"/>
                <w:lang w:val="fr-FR" w:eastAsia="ru-RU"/>
              </w:rPr>
              <w:t xml:space="preserve"> de gaze (</w:t>
            </w:r>
            <w:proofErr w:type="spellStart"/>
            <w:r w:rsidRPr="00742FD9">
              <w:rPr>
                <w:rFonts w:ascii="Times New Roman" w:hAnsi="Times New Roman"/>
                <w:sz w:val="20"/>
                <w:szCs w:val="20"/>
                <w:lang w:val="fr-FR" w:eastAsia="ru-RU"/>
              </w:rPr>
              <w:t>hidrofluorocarburi</w:t>
            </w:r>
            <w:proofErr w:type="spellEnd"/>
            <w:r w:rsidRPr="00742FD9">
              <w:rPr>
                <w:rFonts w:ascii="Times New Roman" w:hAnsi="Times New Roman"/>
                <w:sz w:val="20"/>
                <w:szCs w:val="20"/>
                <w:lang w:val="fr-FR" w:eastAsia="ru-RU"/>
              </w:rPr>
              <w:t xml:space="preserve"> și </w:t>
            </w:r>
            <w:proofErr w:type="spellStart"/>
            <w:r w:rsidRPr="00742FD9">
              <w:rPr>
                <w:rFonts w:ascii="Times New Roman" w:hAnsi="Times New Roman"/>
                <w:sz w:val="20"/>
                <w:szCs w:val="20"/>
                <w:lang w:val="fr-FR" w:eastAsia="ru-RU"/>
              </w:rPr>
              <w:t>perfluorocarburi</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enumerate</w:t>
            </w:r>
            <w:proofErr w:type="spellEnd"/>
            <w:r w:rsidRPr="00742FD9">
              <w:rPr>
                <w:rFonts w:ascii="Times New Roman" w:hAnsi="Times New Roman"/>
                <w:sz w:val="20"/>
                <w:szCs w:val="20"/>
                <w:lang w:val="fr-FR" w:eastAsia="ru-RU"/>
              </w:rPr>
              <w:t xml:space="preserve"> în </w:t>
            </w:r>
            <w:proofErr w:type="spellStart"/>
            <w:r w:rsidRPr="00742FD9">
              <w:rPr>
                <w:rFonts w:ascii="Times New Roman" w:hAnsi="Times New Roman"/>
                <w:sz w:val="20"/>
                <w:szCs w:val="20"/>
                <w:lang w:val="fr-FR" w:eastAsia="ru-RU"/>
              </w:rPr>
              <w:t>anexa</w:t>
            </w:r>
            <w:proofErr w:type="spellEnd"/>
            <w:r w:rsidRPr="00742FD9">
              <w:rPr>
                <w:rFonts w:ascii="Times New Roman" w:hAnsi="Times New Roman"/>
                <w:sz w:val="20"/>
                <w:szCs w:val="20"/>
                <w:lang w:val="fr-FR" w:eastAsia="ru-RU"/>
              </w:rPr>
              <w:t xml:space="preserve"> V </w:t>
            </w:r>
            <w:proofErr w:type="spellStart"/>
            <w:r w:rsidRPr="00742FD9">
              <w:rPr>
                <w:rFonts w:ascii="Times New Roman" w:hAnsi="Times New Roman"/>
                <w:sz w:val="20"/>
                <w:szCs w:val="20"/>
                <w:lang w:val="fr-FR" w:eastAsia="ru-RU"/>
              </w:rPr>
              <w:t>partea</w:t>
            </w:r>
            <w:proofErr w:type="spellEnd"/>
            <w:r w:rsidRPr="00742FD9">
              <w:rPr>
                <w:rFonts w:ascii="Times New Roman" w:hAnsi="Times New Roman"/>
                <w:sz w:val="20"/>
                <w:szCs w:val="20"/>
                <w:lang w:val="fr-FR" w:eastAsia="ru-RU"/>
              </w:rPr>
              <w:t xml:space="preserve"> 2. </w:t>
            </w:r>
            <w:proofErr w:type="spellStart"/>
            <w:r w:rsidRPr="00742FD9">
              <w:rPr>
                <w:rFonts w:ascii="Times New Roman" w:hAnsi="Times New Roman"/>
                <w:sz w:val="20"/>
                <w:szCs w:val="20"/>
                <w:lang w:val="fr-FR" w:eastAsia="ru-RU"/>
              </w:rPr>
              <w:t>Prognozele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naționale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țin</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seama</w:t>
            </w:r>
            <w:proofErr w:type="spellEnd"/>
            <w:r w:rsidRPr="00742FD9">
              <w:rPr>
                <w:rFonts w:ascii="Times New Roman" w:hAnsi="Times New Roman"/>
                <w:sz w:val="20"/>
                <w:szCs w:val="20"/>
                <w:lang w:val="fr-FR" w:eastAsia="ru-RU"/>
              </w:rPr>
              <w:t xml:space="preserve"> de </w:t>
            </w:r>
            <w:proofErr w:type="spellStart"/>
            <w:r w:rsidRPr="00742FD9">
              <w:rPr>
                <w:rFonts w:ascii="Times New Roman" w:hAnsi="Times New Roman"/>
                <w:sz w:val="20"/>
                <w:szCs w:val="20"/>
                <w:lang w:val="fr-FR" w:eastAsia="ru-RU"/>
              </w:rPr>
              <w:t>toate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politicile</w:t>
            </w:r>
            <w:proofErr w:type="spellEnd"/>
            <w:r w:rsidRPr="00742FD9">
              <w:rPr>
                <w:rFonts w:ascii="Times New Roman" w:hAnsi="Times New Roman"/>
                <w:sz w:val="20"/>
                <w:szCs w:val="20"/>
                <w:lang w:val="fr-FR" w:eastAsia="ru-RU"/>
              </w:rPr>
              <w:t xml:space="preserve"> și </w:t>
            </w:r>
            <w:proofErr w:type="spellStart"/>
            <w:r w:rsidRPr="00742FD9">
              <w:rPr>
                <w:rFonts w:ascii="Times New Roman" w:hAnsi="Times New Roman"/>
                <w:sz w:val="20"/>
                <w:szCs w:val="20"/>
                <w:lang w:val="fr-FR" w:eastAsia="ru-RU"/>
              </w:rPr>
              <w:t>măsurile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adoptate</w:t>
            </w:r>
            <w:proofErr w:type="spellEnd"/>
            <w:r w:rsidRPr="00742FD9">
              <w:rPr>
                <w:rFonts w:ascii="Times New Roman" w:hAnsi="Times New Roman"/>
                <w:sz w:val="20"/>
                <w:szCs w:val="20"/>
                <w:lang w:val="fr-FR" w:eastAsia="ru-RU"/>
              </w:rPr>
              <w:t xml:space="preserve"> la </w:t>
            </w:r>
            <w:proofErr w:type="spellStart"/>
            <w:r w:rsidRPr="00742FD9">
              <w:rPr>
                <w:rFonts w:ascii="Times New Roman" w:hAnsi="Times New Roman"/>
                <w:sz w:val="20"/>
                <w:szCs w:val="20"/>
                <w:lang w:val="fr-FR" w:eastAsia="ru-RU"/>
              </w:rPr>
              <w:t>nivelul</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Uniunii</w:t>
            </w:r>
            <w:proofErr w:type="spellEnd"/>
            <w:r w:rsidRPr="00742FD9">
              <w:rPr>
                <w:rFonts w:ascii="Times New Roman" w:hAnsi="Times New Roman"/>
                <w:sz w:val="20"/>
                <w:szCs w:val="20"/>
                <w:lang w:val="fr-FR" w:eastAsia="ru-RU"/>
              </w:rPr>
              <w:t xml:space="preserve"> și </w:t>
            </w:r>
            <w:proofErr w:type="spellStart"/>
            <w:r w:rsidRPr="00742FD9">
              <w:rPr>
                <w:rFonts w:ascii="Times New Roman" w:hAnsi="Times New Roman"/>
                <w:sz w:val="20"/>
                <w:szCs w:val="20"/>
                <w:lang w:val="fr-FR" w:eastAsia="ru-RU"/>
              </w:rPr>
              <w:t>cuprind</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informațiile</w:t>
            </w:r>
            <w:proofErr w:type="spellEnd"/>
            <w:r w:rsidRPr="00742FD9">
              <w:rPr>
                <w:rFonts w:ascii="Times New Roman" w:hAnsi="Times New Roman"/>
                <w:sz w:val="20"/>
                <w:szCs w:val="20"/>
                <w:lang w:val="fr-FR" w:eastAsia="ru-RU"/>
              </w:rPr>
              <w:t xml:space="preserve"> </w:t>
            </w:r>
            <w:proofErr w:type="spellStart"/>
            <w:r w:rsidRPr="00742FD9">
              <w:rPr>
                <w:rFonts w:ascii="Times New Roman" w:hAnsi="Times New Roman"/>
                <w:sz w:val="20"/>
                <w:szCs w:val="20"/>
                <w:lang w:val="fr-FR" w:eastAsia="ru-RU"/>
              </w:rPr>
              <w:t>stabilite</w:t>
            </w:r>
            <w:proofErr w:type="spellEnd"/>
            <w:r w:rsidRPr="00742FD9">
              <w:rPr>
                <w:rFonts w:ascii="Times New Roman" w:hAnsi="Times New Roman"/>
                <w:sz w:val="20"/>
                <w:szCs w:val="20"/>
                <w:lang w:val="fr-FR" w:eastAsia="ru-RU"/>
              </w:rPr>
              <w:t xml:space="preserve"> în </w:t>
            </w:r>
            <w:proofErr w:type="spellStart"/>
            <w:r w:rsidRPr="00742FD9">
              <w:rPr>
                <w:rFonts w:ascii="Times New Roman" w:hAnsi="Times New Roman"/>
                <w:sz w:val="20"/>
                <w:szCs w:val="20"/>
                <w:lang w:val="fr-FR" w:eastAsia="ru-RU"/>
              </w:rPr>
              <w:t>anexa</w:t>
            </w:r>
            <w:proofErr w:type="spellEnd"/>
            <w:r w:rsidRPr="00742FD9">
              <w:rPr>
                <w:rFonts w:ascii="Times New Roman" w:hAnsi="Times New Roman"/>
                <w:sz w:val="20"/>
                <w:szCs w:val="20"/>
                <w:lang w:val="fr-FR" w:eastAsia="ru-RU"/>
              </w:rPr>
              <w:t xml:space="preserve"> VII.</w:t>
            </w:r>
          </w:p>
          <w:p w14:paraId="2EF5082F" w14:textId="77777777" w:rsidR="000F6108" w:rsidRPr="00742FD9" w:rsidRDefault="002D3592" w:rsidP="000F6108">
            <w:pPr>
              <w:pStyle w:val="ColorfulList-Accent11"/>
              <w:spacing w:after="0" w:line="240" w:lineRule="auto"/>
              <w:ind w:left="0"/>
              <w:jc w:val="both"/>
              <w:rPr>
                <w:rFonts w:ascii="Times New Roman" w:hAnsi="Times New Roman"/>
                <w:sz w:val="20"/>
                <w:szCs w:val="20"/>
                <w:shd w:val="clear" w:color="auto" w:fill="FFFFFF"/>
                <w:lang w:val="fr-FR"/>
              </w:rPr>
            </w:pPr>
            <w:r w:rsidRPr="00742FD9">
              <w:rPr>
                <w:rFonts w:ascii="Times New Roman" w:hAnsi="Times New Roman"/>
                <w:sz w:val="20"/>
                <w:szCs w:val="20"/>
                <w:shd w:val="clear" w:color="auto" w:fill="FFFFFF"/>
                <w:lang w:val="fr-FR"/>
              </w:rPr>
              <w:t>(</w:t>
            </w:r>
            <w:proofErr w:type="gramStart"/>
            <w:r w:rsidRPr="00742FD9">
              <w:rPr>
                <w:rFonts w:ascii="Times New Roman" w:hAnsi="Times New Roman"/>
                <w:sz w:val="20"/>
                <w:szCs w:val="20"/>
                <w:shd w:val="clear" w:color="auto" w:fill="FFFFFF"/>
                <w:lang w:val="fr-FR"/>
              </w:rPr>
              <w:t>2)</w:t>
            </w:r>
            <w:proofErr w:type="spellStart"/>
            <w:r w:rsidRPr="00742FD9">
              <w:rPr>
                <w:rFonts w:ascii="Times New Roman" w:hAnsi="Times New Roman"/>
                <w:sz w:val="20"/>
                <w:szCs w:val="20"/>
                <w:shd w:val="clear" w:color="auto" w:fill="FFFFFF"/>
                <w:lang w:val="fr-FR"/>
              </w:rPr>
              <w:t>Statele</w:t>
            </w:r>
            <w:proofErr w:type="spellEnd"/>
            <w:proofErr w:type="gramEnd"/>
            <w:r w:rsidRPr="00742FD9">
              <w:rPr>
                <w:rFonts w:ascii="Times New Roman" w:hAnsi="Times New Roman"/>
                <w:sz w:val="20"/>
                <w:szCs w:val="20"/>
                <w:shd w:val="clear" w:color="auto" w:fill="FFFFFF"/>
                <w:lang w:val="fr-FR"/>
              </w:rPr>
              <w:t xml:space="preserve"> membre </w:t>
            </w:r>
            <w:proofErr w:type="spellStart"/>
            <w:r w:rsidRPr="00742FD9">
              <w:rPr>
                <w:rFonts w:ascii="Times New Roman" w:hAnsi="Times New Roman"/>
                <w:sz w:val="20"/>
                <w:szCs w:val="20"/>
                <w:shd w:val="clear" w:color="auto" w:fill="FFFFFF"/>
                <w:lang w:val="fr-FR"/>
              </w:rPr>
              <w:t>raportează</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cu</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privire</w:t>
            </w:r>
            <w:proofErr w:type="spellEnd"/>
            <w:r w:rsidRPr="00742FD9">
              <w:rPr>
                <w:rFonts w:ascii="Times New Roman" w:hAnsi="Times New Roman"/>
                <w:sz w:val="20"/>
                <w:szCs w:val="20"/>
                <w:shd w:val="clear" w:color="auto" w:fill="FFFFFF"/>
                <w:lang w:val="fr-FR"/>
              </w:rPr>
              <w:t xml:space="preserve"> la </w:t>
            </w:r>
            <w:proofErr w:type="spellStart"/>
            <w:r w:rsidRPr="00742FD9">
              <w:rPr>
                <w:rFonts w:ascii="Times New Roman" w:hAnsi="Times New Roman"/>
                <w:sz w:val="20"/>
                <w:szCs w:val="20"/>
                <w:shd w:val="clear" w:color="auto" w:fill="FFFFFF"/>
                <w:lang w:val="fr-FR"/>
              </w:rPr>
              <w:t>cele</w:t>
            </w:r>
            <w:proofErr w:type="spellEnd"/>
            <w:r w:rsidRPr="00742FD9">
              <w:rPr>
                <w:rFonts w:ascii="Times New Roman" w:hAnsi="Times New Roman"/>
                <w:sz w:val="20"/>
                <w:szCs w:val="20"/>
                <w:shd w:val="clear" w:color="auto" w:fill="FFFFFF"/>
                <w:lang w:val="fr-FR"/>
              </w:rPr>
              <w:t xml:space="preserve"> mai </w:t>
            </w:r>
            <w:proofErr w:type="spellStart"/>
            <w:r w:rsidRPr="00742FD9">
              <w:rPr>
                <w:rFonts w:ascii="Times New Roman" w:hAnsi="Times New Roman"/>
                <w:sz w:val="20"/>
                <w:szCs w:val="20"/>
                <w:shd w:val="clear" w:color="auto" w:fill="FFFFFF"/>
                <w:lang w:val="fr-FR"/>
              </w:rPr>
              <w:t>actuale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prognoze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disponibile</w:t>
            </w:r>
            <w:proofErr w:type="spellEnd"/>
            <w:r w:rsidRPr="00742FD9">
              <w:rPr>
                <w:rFonts w:ascii="Times New Roman" w:hAnsi="Times New Roman"/>
                <w:sz w:val="20"/>
                <w:szCs w:val="20"/>
                <w:shd w:val="clear" w:color="auto" w:fill="FFFFFF"/>
                <w:lang w:val="fr-FR"/>
              </w:rPr>
              <w:t xml:space="preserve">. În </w:t>
            </w:r>
            <w:proofErr w:type="spellStart"/>
            <w:r w:rsidRPr="00742FD9">
              <w:rPr>
                <w:rFonts w:ascii="Times New Roman" w:hAnsi="Times New Roman"/>
                <w:sz w:val="20"/>
                <w:szCs w:val="20"/>
                <w:shd w:val="clear" w:color="auto" w:fill="FFFFFF"/>
                <w:lang w:val="fr-FR"/>
              </w:rPr>
              <w:t>cazul</w:t>
            </w:r>
            <w:proofErr w:type="spellEnd"/>
            <w:r w:rsidRPr="00742FD9">
              <w:rPr>
                <w:rFonts w:ascii="Times New Roman" w:hAnsi="Times New Roman"/>
                <w:sz w:val="20"/>
                <w:szCs w:val="20"/>
                <w:shd w:val="clear" w:color="auto" w:fill="FFFFFF"/>
                <w:lang w:val="fr-FR"/>
              </w:rPr>
              <w:t xml:space="preserve"> în care un stat membru nu </w:t>
            </w:r>
            <w:proofErr w:type="spellStart"/>
            <w:r w:rsidRPr="00742FD9">
              <w:rPr>
                <w:rFonts w:ascii="Times New Roman" w:hAnsi="Times New Roman"/>
                <w:sz w:val="20"/>
                <w:szCs w:val="20"/>
                <w:shd w:val="clear" w:color="auto" w:fill="FFFFFF"/>
                <w:lang w:val="fr-FR"/>
              </w:rPr>
              <w:t>prezintă</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estimări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complete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aferente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prognozelor</w:t>
            </w:r>
            <w:proofErr w:type="spellEnd"/>
            <w:r w:rsidRPr="00742FD9">
              <w:rPr>
                <w:rFonts w:ascii="Times New Roman" w:hAnsi="Times New Roman"/>
                <w:sz w:val="20"/>
                <w:szCs w:val="20"/>
                <w:shd w:val="clear" w:color="auto" w:fill="FFFFFF"/>
                <w:lang w:val="fr-FR"/>
              </w:rPr>
              <w:t xml:space="preserve"> la </w:t>
            </w:r>
            <w:proofErr w:type="spellStart"/>
            <w:r w:rsidRPr="00742FD9">
              <w:rPr>
                <w:rFonts w:ascii="Times New Roman" w:hAnsi="Times New Roman"/>
                <w:sz w:val="20"/>
                <w:szCs w:val="20"/>
                <w:shd w:val="clear" w:color="auto" w:fill="FFFFFF"/>
                <w:lang w:val="fr-FR"/>
              </w:rPr>
              <w:t>fiecare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doi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ani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până</w:t>
            </w:r>
            <w:proofErr w:type="spellEnd"/>
            <w:r w:rsidRPr="00742FD9">
              <w:rPr>
                <w:rFonts w:ascii="Times New Roman" w:hAnsi="Times New Roman"/>
                <w:sz w:val="20"/>
                <w:szCs w:val="20"/>
                <w:shd w:val="clear" w:color="auto" w:fill="FFFFFF"/>
                <w:lang w:val="fr-FR"/>
              </w:rPr>
              <w:t xml:space="preserve"> la data de 15 </w:t>
            </w:r>
            <w:proofErr w:type="spellStart"/>
            <w:r w:rsidRPr="00742FD9">
              <w:rPr>
                <w:rFonts w:ascii="Times New Roman" w:hAnsi="Times New Roman"/>
                <w:sz w:val="20"/>
                <w:szCs w:val="20"/>
                <w:shd w:val="clear" w:color="auto" w:fill="FFFFFF"/>
                <w:lang w:val="fr-FR"/>
              </w:rPr>
              <w:t>martie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iar</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Comisia</w:t>
            </w:r>
            <w:proofErr w:type="spellEnd"/>
            <w:r w:rsidRPr="00742FD9">
              <w:rPr>
                <w:rFonts w:ascii="Times New Roman" w:hAnsi="Times New Roman"/>
                <w:sz w:val="20"/>
                <w:szCs w:val="20"/>
                <w:shd w:val="clear" w:color="auto" w:fill="FFFFFF"/>
                <w:lang w:val="fr-FR"/>
              </w:rPr>
              <w:t xml:space="preserve"> a </w:t>
            </w:r>
            <w:proofErr w:type="spellStart"/>
            <w:r w:rsidRPr="00742FD9">
              <w:rPr>
                <w:rFonts w:ascii="Times New Roman" w:hAnsi="Times New Roman"/>
                <w:sz w:val="20"/>
                <w:szCs w:val="20"/>
                <w:shd w:val="clear" w:color="auto" w:fill="FFFFFF"/>
                <w:lang w:val="fr-FR"/>
              </w:rPr>
              <w:t>stabilit</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că</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statul</w:t>
            </w:r>
            <w:proofErr w:type="spellEnd"/>
            <w:r w:rsidRPr="00742FD9">
              <w:rPr>
                <w:rFonts w:ascii="Times New Roman" w:hAnsi="Times New Roman"/>
                <w:sz w:val="20"/>
                <w:szCs w:val="20"/>
                <w:shd w:val="clear" w:color="auto" w:fill="FFFFFF"/>
                <w:lang w:val="fr-FR"/>
              </w:rPr>
              <w:t xml:space="preserve"> membru </w:t>
            </w:r>
            <w:proofErr w:type="spellStart"/>
            <w:r w:rsidRPr="00742FD9">
              <w:rPr>
                <w:rFonts w:ascii="Times New Roman" w:hAnsi="Times New Roman"/>
                <w:sz w:val="20"/>
                <w:szCs w:val="20"/>
                <w:shd w:val="clear" w:color="auto" w:fill="FFFFFF"/>
                <w:lang w:val="fr-FR"/>
              </w:rPr>
              <w:t>respectiv</w:t>
            </w:r>
            <w:proofErr w:type="spellEnd"/>
            <w:r w:rsidRPr="00742FD9">
              <w:rPr>
                <w:rFonts w:ascii="Times New Roman" w:hAnsi="Times New Roman"/>
                <w:sz w:val="20"/>
                <w:szCs w:val="20"/>
                <w:shd w:val="clear" w:color="auto" w:fill="FFFFFF"/>
                <w:lang w:val="fr-FR"/>
              </w:rPr>
              <w:t xml:space="preserve"> nu </w:t>
            </w:r>
            <w:proofErr w:type="spellStart"/>
            <w:r w:rsidRPr="00742FD9">
              <w:rPr>
                <w:rFonts w:ascii="Times New Roman" w:hAnsi="Times New Roman"/>
                <w:sz w:val="20"/>
                <w:szCs w:val="20"/>
                <w:shd w:val="clear" w:color="auto" w:fill="FFFFFF"/>
                <w:lang w:val="fr-FR"/>
              </w:rPr>
              <w:t>poate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completa</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lacunele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din</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estimări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odată</w:t>
            </w:r>
            <w:proofErr w:type="spellEnd"/>
            <w:r w:rsidRPr="00742FD9">
              <w:rPr>
                <w:rFonts w:ascii="Times New Roman" w:hAnsi="Times New Roman"/>
                <w:sz w:val="20"/>
                <w:szCs w:val="20"/>
                <w:shd w:val="clear" w:color="auto" w:fill="FFFFFF"/>
                <w:lang w:val="fr-FR"/>
              </w:rPr>
              <w:t xml:space="preserve"> ce </w:t>
            </w:r>
            <w:proofErr w:type="spellStart"/>
            <w:r w:rsidRPr="00742FD9">
              <w:rPr>
                <w:rFonts w:ascii="Times New Roman" w:hAnsi="Times New Roman"/>
                <w:sz w:val="20"/>
                <w:szCs w:val="20"/>
                <w:shd w:val="clear" w:color="auto" w:fill="FFFFFF"/>
                <w:lang w:val="fr-FR"/>
              </w:rPr>
              <w:t>acestea</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sunt</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identificate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prin</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procedurile</w:t>
            </w:r>
            <w:proofErr w:type="spellEnd"/>
            <w:r w:rsidRPr="00742FD9">
              <w:rPr>
                <w:rFonts w:ascii="Times New Roman" w:hAnsi="Times New Roman"/>
                <w:sz w:val="20"/>
                <w:szCs w:val="20"/>
                <w:shd w:val="clear" w:color="auto" w:fill="FFFFFF"/>
                <w:lang w:val="fr-FR"/>
              </w:rPr>
              <w:t xml:space="preserve"> de </w:t>
            </w:r>
            <w:proofErr w:type="spellStart"/>
            <w:r w:rsidRPr="00742FD9">
              <w:rPr>
                <w:rFonts w:ascii="Times New Roman" w:hAnsi="Times New Roman"/>
                <w:sz w:val="20"/>
                <w:szCs w:val="20"/>
                <w:shd w:val="clear" w:color="auto" w:fill="FFFFFF"/>
                <w:lang w:val="fr-FR"/>
              </w:rPr>
              <w:t>asigurare</w:t>
            </w:r>
            <w:proofErr w:type="spellEnd"/>
            <w:r w:rsidRPr="00742FD9">
              <w:rPr>
                <w:rFonts w:ascii="Times New Roman" w:hAnsi="Times New Roman"/>
                <w:sz w:val="20"/>
                <w:szCs w:val="20"/>
                <w:shd w:val="clear" w:color="auto" w:fill="FFFFFF"/>
                <w:lang w:val="fr-FR"/>
              </w:rPr>
              <w:t xml:space="preserve"> a </w:t>
            </w:r>
            <w:proofErr w:type="spellStart"/>
            <w:r w:rsidRPr="00742FD9">
              <w:rPr>
                <w:rFonts w:ascii="Times New Roman" w:hAnsi="Times New Roman"/>
                <w:sz w:val="20"/>
                <w:szCs w:val="20"/>
                <w:shd w:val="clear" w:color="auto" w:fill="FFFFFF"/>
                <w:lang w:val="fr-FR"/>
              </w:rPr>
              <w:t>calității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sau</w:t>
            </w:r>
            <w:proofErr w:type="spellEnd"/>
            <w:r w:rsidRPr="00742FD9">
              <w:rPr>
                <w:rFonts w:ascii="Times New Roman" w:hAnsi="Times New Roman"/>
                <w:sz w:val="20"/>
                <w:szCs w:val="20"/>
                <w:shd w:val="clear" w:color="auto" w:fill="FFFFFF"/>
                <w:lang w:val="fr-FR"/>
              </w:rPr>
              <w:t xml:space="preserve"> de control al </w:t>
            </w:r>
            <w:proofErr w:type="spellStart"/>
            <w:r w:rsidRPr="00742FD9">
              <w:rPr>
                <w:rFonts w:ascii="Times New Roman" w:hAnsi="Times New Roman"/>
                <w:sz w:val="20"/>
                <w:szCs w:val="20"/>
                <w:shd w:val="clear" w:color="auto" w:fill="FFFFFF"/>
                <w:lang w:val="fr-FR"/>
              </w:rPr>
              <w:t>calității</w:t>
            </w:r>
            <w:proofErr w:type="spellEnd"/>
            <w:r w:rsidRPr="00742FD9">
              <w:rPr>
                <w:rFonts w:ascii="Times New Roman" w:hAnsi="Times New Roman"/>
                <w:sz w:val="20"/>
                <w:szCs w:val="20"/>
                <w:shd w:val="clear" w:color="auto" w:fill="FFFFFF"/>
                <w:lang w:val="fr-FR"/>
              </w:rPr>
              <w:t xml:space="preserve"> ale </w:t>
            </w:r>
            <w:proofErr w:type="spellStart"/>
            <w:r w:rsidRPr="00742FD9">
              <w:rPr>
                <w:rFonts w:ascii="Times New Roman" w:hAnsi="Times New Roman"/>
                <w:sz w:val="20"/>
                <w:szCs w:val="20"/>
                <w:shd w:val="clear" w:color="auto" w:fill="FFFFFF"/>
                <w:lang w:val="fr-FR"/>
              </w:rPr>
              <w:t>Comisiei</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Comisia</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poate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elabora</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estimările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necesare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pentru</w:t>
            </w:r>
            <w:proofErr w:type="spellEnd"/>
            <w:r w:rsidRPr="00742FD9">
              <w:rPr>
                <w:rFonts w:ascii="Times New Roman" w:hAnsi="Times New Roman"/>
                <w:sz w:val="20"/>
                <w:szCs w:val="20"/>
                <w:shd w:val="clear" w:color="auto" w:fill="FFFFFF"/>
                <w:lang w:val="fr-FR"/>
              </w:rPr>
              <w:t xml:space="preserve"> a compila </w:t>
            </w:r>
            <w:proofErr w:type="spellStart"/>
            <w:r w:rsidRPr="00742FD9">
              <w:rPr>
                <w:rFonts w:ascii="Times New Roman" w:hAnsi="Times New Roman"/>
                <w:sz w:val="20"/>
                <w:szCs w:val="20"/>
                <w:shd w:val="clear" w:color="auto" w:fill="FFFFFF"/>
                <w:lang w:val="fr-FR"/>
              </w:rPr>
              <w:t>prognoze</w:t>
            </w:r>
            <w:proofErr w:type="spellEnd"/>
            <w:r w:rsidRPr="00742FD9">
              <w:rPr>
                <w:rFonts w:ascii="Times New Roman" w:hAnsi="Times New Roman"/>
                <w:sz w:val="20"/>
                <w:szCs w:val="20"/>
                <w:shd w:val="clear" w:color="auto" w:fill="FFFFFF"/>
                <w:lang w:val="fr-FR"/>
              </w:rPr>
              <w:t xml:space="preserve"> la </w:t>
            </w:r>
            <w:proofErr w:type="spellStart"/>
            <w:r w:rsidRPr="00742FD9">
              <w:rPr>
                <w:rFonts w:ascii="Times New Roman" w:hAnsi="Times New Roman"/>
                <w:sz w:val="20"/>
                <w:szCs w:val="20"/>
                <w:shd w:val="clear" w:color="auto" w:fill="FFFFFF"/>
                <w:lang w:val="fr-FR"/>
              </w:rPr>
              <w:t>nivelul</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Uniunii</w:t>
            </w:r>
            <w:proofErr w:type="spellEnd"/>
            <w:r w:rsidRPr="00742FD9">
              <w:rPr>
                <w:rFonts w:ascii="Times New Roman" w:hAnsi="Times New Roman"/>
                <w:sz w:val="20"/>
                <w:szCs w:val="20"/>
                <w:shd w:val="clear" w:color="auto" w:fill="FFFFFF"/>
                <w:lang w:val="fr-FR"/>
              </w:rPr>
              <w:t xml:space="preserve"> în </w:t>
            </w:r>
            <w:proofErr w:type="spellStart"/>
            <w:r w:rsidRPr="00742FD9">
              <w:rPr>
                <w:rFonts w:ascii="Times New Roman" w:hAnsi="Times New Roman"/>
                <w:sz w:val="20"/>
                <w:szCs w:val="20"/>
                <w:shd w:val="clear" w:color="auto" w:fill="FFFFFF"/>
                <w:lang w:val="fr-FR"/>
              </w:rPr>
              <w:t>consultare</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cu</w:t>
            </w:r>
            <w:proofErr w:type="spellEnd"/>
            <w:r w:rsidRPr="00742FD9">
              <w:rPr>
                <w:rFonts w:ascii="Times New Roman" w:hAnsi="Times New Roman"/>
                <w:sz w:val="20"/>
                <w:szCs w:val="20"/>
                <w:shd w:val="clear" w:color="auto" w:fill="FFFFFF"/>
                <w:lang w:val="fr-FR"/>
              </w:rPr>
              <w:t xml:space="preserve"> </w:t>
            </w:r>
            <w:proofErr w:type="spellStart"/>
            <w:r w:rsidRPr="00742FD9">
              <w:rPr>
                <w:rFonts w:ascii="Times New Roman" w:hAnsi="Times New Roman"/>
                <w:sz w:val="20"/>
                <w:szCs w:val="20"/>
                <w:shd w:val="clear" w:color="auto" w:fill="FFFFFF"/>
                <w:lang w:val="fr-FR"/>
              </w:rPr>
              <w:t>statul</w:t>
            </w:r>
            <w:proofErr w:type="spellEnd"/>
            <w:r w:rsidRPr="00742FD9">
              <w:rPr>
                <w:rFonts w:ascii="Times New Roman" w:hAnsi="Times New Roman"/>
                <w:sz w:val="20"/>
                <w:szCs w:val="20"/>
                <w:shd w:val="clear" w:color="auto" w:fill="FFFFFF"/>
                <w:lang w:val="fr-FR"/>
              </w:rPr>
              <w:t xml:space="preserve"> membru în </w:t>
            </w:r>
            <w:proofErr w:type="spellStart"/>
            <w:r w:rsidRPr="00742FD9">
              <w:rPr>
                <w:rFonts w:ascii="Times New Roman" w:hAnsi="Times New Roman"/>
                <w:sz w:val="20"/>
                <w:szCs w:val="20"/>
                <w:shd w:val="clear" w:color="auto" w:fill="FFFFFF"/>
                <w:lang w:val="fr-FR"/>
              </w:rPr>
              <w:t>cauză</w:t>
            </w:r>
            <w:proofErr w:type="spellEnd"/>
            <w:r w:rsidRPr="00742FD9">
              <w:rPr>
                <w:rFonts w:ascii="Times New Roman" w:hAnsi="Times New Roman"/>
                <w:sz w:val="20"/>
                <w:szCs w:val="20"/>
                <w:shd w:val="clear" w:color="auto" w:fill="FFFFFF"/>
                <w:lang w:val="fr-FR"/>
              </w:rPr>
              <w:t>.</w:t>
            </w:r>
          </w:p>
          <w:p w14:paraId="69CE1205" w14:textId="77777777" w:rsidR="002D3592" w:rsidRPr="00742FD9" w:rsidRDefault="002D3592" w:rsidP="000F6108">
            <w:pPr>
              <w:pStyle w:val="ColorfulList-Accent11"/>
              <w:spacing w:after="0" w:line="240" w:lineRule="auto"/>
              <w:ind w:left="0"/>
              <w:jc w:val="both"/>
              <w:rPr>
                <w:rFonts w:ascii="Times New Roman" w:hAnsi="Times New Roman"/>
                <w:sz w:val="20"/>
                <w:szCs w:val="20"/>
                <w:shd w:val="clear" w:color="auto" w:fill="FFFFFF"/>
                <w:lang w:val="ro-RO"/>
              </w:rPr>
            </w:pPr>
            <w:r w:rsidRPr="00742FD9">
              <w:rPr>
                <w:rFonts w:ascii="Times New Roman" w:hAnsi="Times New Roman"/>
                <w:sz w:val="20"/>
                <w:szCs w:val="20"/>
                <w:shd w:val="clear" w:color="auto" w:fill="FFFFFF"/>
                <w:lang w:val="ro-RO"/>
              </w:rPr>
              <w:t>(3)În cazul unor modificări substanțiale ale informațiilor raportate în temeiul alineatului (1) pe parcursul primului an al perioadei de raportare, statul membru în cauză comunică aceste modificări Comisiei până la data de 15 martie a anului care urmează raportului anterior.</w:t>
            </w:r>
          </w:p>
          <w:p w14:paraId="0DF65DD4" w14:textId="6DE3FCE7" w:rsidR="002D3592" w:rsidRPr="005404FB" w:rsidRDefault="005404FB" w:rsidP="005404FB">
            <w:pPr>
              <w:jc w:val="both"/>
              <w:rPr>
                <w:rFonts w:ascii="Times New Roman" w:hAnsi="Times New Roman"/>
                <w:sz w:val="20"/>
                <w:szCs w:val="20"/>
                <w:lang w:val="ro-RO"/>
              </w:rPr>
            </w:pPr>
            <w:r w:rsidRPr="00742FD9">
              <w:rPr>
                <w:rFonts w:ascii="Times New Roman" w:hAnsi="Times New Roman"/>
                <w:sz w:val="20"/>
                <w:szCs w:val="20"/>
                <w:lang w:val="ro-RO"/>
              </w:rPr>
              <w:t>(4)Statele membre pun la dispoziția publicului, în format electronic, propriile prognoze naționale în temeiul alineatului (1) și orice evaluare relevantă a costurilor și a efectelor politicilor și măsurilor naționale cu privire la punerea în aplicare a politicilor Uniunii care prezintă relevanță pentru limitarea emisiilor de gaze cu efect de seră, împreună cu orice raport tehnic justificativ relevant. Aceste prognoze și evaluări ar trebui să includă descrieri ale modelelor și ale abordărilor metodologice folosite, definiții și ipotezele aferente.</w:t>
            </w:r>
          </w:p>
        </w:tc>
        <w:tc>
          <w:tcPr>
            <w:tcW w:w="4440" w:type="dxa"/>
          </w:tcPr>
          <w:p w14:paraId="3F7A3EB8" w14:textId="0919FA80" w:rsidR="000F6108" w:rsidRPr="00E405F7" w:rsidRDefault="000F6108" w:rsidP="00E405F7">
            <w:pPr>
              <w:shd w:val="clear" w:color="auto" w:fill="FFFFFF"/>
              <w:suppressAutoHyphens w:val="0"/>
              <w:autoSpaceDN/>
              <w:spacing w:after="0" w:line="240" w:lineRule="auto"/>
              <w:jc w:val="both"/>
              <w:textAlignment w:val="auto"/>
              <w:rPr>
                <w:rFonts w:ascii="Times New Roman" w:hAnsi="Times New Roman"/>
                <w:color w:val="000000" w:themeColor="text1"/>
                <w:sz w:val="24"/>
                <w:szCs w:val="24"/>
                <w:shd w:val="clear" w:color="auto" w:fill="FFFFFF"/>
                <w:lang w:val="ro-MD"/>
              </w:rPr>
            </w:pPr>
          </w:p>
        </w:tc>
        <w:tc>
          <w:tcPr>
            <w:tcW w:w="1276" w:type="dxa"/>
          </w:tcPr>
          <w:p w14:paraId="4FC4F53B" w14:textId="56884C16" w:rsidR="000F6108" w:rsidRPr="00745D9A" w:rsidRDefault="00EF4A42" w:rsidP="000F6108">
            <w:pPr>
              <w:pStyle w:val="ColorfulList-Accent11"/>
              <w:spacing w:after="0" w:line="240" w:lineRule="auto"/>
              <w:ind w:left="0"/>
              <w:jc w:val="both"/>
              <w:rPr>
                <w:lang w:val="fr-FR"/>
              </w:rPr>
            </w:pPr>
            <w:r>
              <w:rPr>
                <w:rFonts w:ascii="Times New Roman" w:hAnsi="Times New Roman"/>
                <w:sz w:val="20"/>
                <w:szCs w:val="20"/>
                <w:lang w:val="ro-RO"/>
              </w:rPr>
              <w:t>C</w:t>
            </w:r>
            <w:r w:rsidR="000F6108" w:rsidRPr="00C951E7">
              <w:rPr>
                <w:rFonts w:ascii="Times New Roman" w:hAnsi="Times New Roman"/>
                <w:sz w:val="20"/>
                <w:szCs w:val="20"/>
                <w:lang w:val="ro-RO"/>
              </w:rPr>
              <w:t>ompatibil</w:t>
            </w:r>
          </w:p>
        </w:tc>
        <w:tc>
          <w:tcPr>
            <w:tcW w:w="1276" w:type="dxa"/>
          </w:tcPr>
          <w:p w14:paraId="5200B0D9" w14:textId="77777777" w:rsidR="000F6108" w:rsidRPr="00745D9A" w:rsidRDefault="000F6108" w:rsidP="000F6108">
            <w:pPr>
              <w:pStyle w:val="ColorfulList-Accent11"/>
              <w:spacing w:after="0" w:line="240" w:lineRule="auto"/>
              <w:ind w:left="0"/>
              <w:jc w:val="both"/>
              <w:rPr>
                <w:lang w:val="fr-FR"/>
              </w:rPr>
            </w:pPr>
          </w:p>
        </w:tc>
        <w:tc>
          <w:tcPr>
            <w:tcW w:w="1701" w:type="dxa"/>
          </w:tcPr>
          <w:p w14:paraId="386BF8A0" w14:textId="77777777" w:rsidR="006D59A3" w:rsidRPr="00F13819" w:rsidRDefault="00EF4A42" w:rsidP="006D59A3">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6D59A3">
              <w:rPr>
                <w:rFonts w:ascii="Times New Roman" w:eastAsia="Times New Roman" w:hAnsi="Times New Roman"/>
                <w:sz w:val="20"/>
                <w:szCs w:val="20"/>
                <w:lang w:val="ro-RO"/>
              </w:rPr>
              <w:t xml:space="preserve"> 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0F0AEDD5" w14:textId="212DE0BA" w:rsidR="00EF4A42" w:rsidRPr="00F13819" w:rsidRDefault="00EF4A42" w:rsidP="00EF4A42">
            <w:pPr>
              <w:autoSpaceDE w:val="0"/>
              <w:spacing w:after="0" w:line="240" w:lineRule="auto"/>
              <w:rPr>
                <w:rFonts w:ascii="Times New Roman" w:hAnsi="Times New Roman"/>
                <w:sz w:val="20"/>
                <w:szCs w:val="20"/>
                <w:shd w:val="clear" w:color="auto" w:fill="FFFFFF"/>
                <w:lang w:val="ro-RO"/>
              </w:rPr>
            </w:pPr>
          </w:p>
          <w:p w14:paraId="6B6A26A5" w14:textId="068813E2"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pct.48-50 din</w:t>
            </w:r>
          </w:p>
          <w:p w14:paraId="62598778"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F8D5B8E" w14:textId="45DBBF49" w:rsidR="000F6108" w:rsidRPr="000F6108" w:rsidRDefault="000F6108" w:rsidP="000F6108">
            <w:pPr>
              <w:pStyle w:val="ColorfulList-Accent11"/>
              <w:spacing w:after="0" w:line="240" w:lineRule="auto"/>
              <w:ind w:left="0"/>
              <w:jc w:val="both"/>
              <w:rPr>
                <w:lang w:val="ro-RO"/>
              </w:rPr>
            </w:pPr>
          </w:p>
        </w:tc>
        <w:tc>
          <w:tcPr>
            <w:tcW w:w="1460" w:type="dxa"/>
          </w:tcPr>
          <w:p w14:paraId="0326EA18" w14:textId="77777777" w:rsidR="00BF633F" w:rsidRDefault="00BF633F" w:rsidP="00BF633F">
            <w:pPr>
              <w:pStyle w:val="ColorfulList-Accent11"/>
              <w:spacing w:after="0" w:line="240" w:lineRule="auto"/>
              <w:ind w:left="0"/>
              <w:jc w:val="both"/>
              <w:rPr>
                <w:rFonts w:ascii="Times New Roman" w:hAnsi="Times New Roman"/>
                <w:sz w:val="20"/>
                <w:szCs w:val="20"/>
                <w:lang w:val="ro-RO"/>
              </w:rPr>
            </w:pPr>
            <w:r w:rsidRPr="003C4F9F">
              <w:rPr>
                <w:rFonts w:ascii="Times New Roman" w:hAnsi="Times New Roman"/>
                <w:sz w:val="20"/>
                <w:szCs w:val="20"/>
                <w:lang w:val="ro-RO"/>
              </w:rPr>
              <w:t>Ministerul Mediului</w:t>
            </w:r>
          </w:p>
          <w:p w14:paraId="14119FAA" w14:textId="77777777" w:rsidR="00BF633F" w:rsidRDefault="00BF633F" w:rsidP="000F6108">
            <w:pPr>
              <w:autoSpaceDE w:val="0"/>
              <w:spacing w:after="0" w:line="240" w:lineRule="auto"/>
              <w:rPr>
                <w:rFonts w:ascii="Times New Roman" w:hAnsi="Times New Roman"/>
                <w:sz w:val="20"/>
                <w:szCs w:val="20"/>
                <w:lang w:val="fr-FR"/>
              </w:rPr>
            </w:pPr>
          </w:p>
          <w:p w14:paraId="7DB9889C" w14:textId="79469C92" w:rsidR="000F6108" w:rsidRPr="003F755D" w:rsidRDefault="000F6108" w:rsidP="000F610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6CFE57E9" w14:textId="5F09D49F" w:rsidR="000F6108" w:rsidRPr="000F6108" w:rsidRDefault="00742FD9" w:rsidP="000F6108">
            <w:pPr>
              <w:pStyle w:val="ColorfulList-Accent11"/>
              <w:spacing w:after="0" w:line="240" w:lineRule="auto"/>
              <w:ind w:left="0"/>
              <w:jc w:val="both"/>
              <w:rPr>
                <w:lang w:val="ro-RO"/>
              </w:rPr>
            </w:pPr>
            <w:r w:rsidRPr="00A81801">
              <w:rPr>
                <w:rFonts w:ascii="Times New Roman" w:hAnsi="Times New Roman"/>
                <w:color w:val="000000" w:themeColor="text1"/>
                <w:sz w:val="20"/>
                <w:szCs w:val="20"/>
              </w:rPr>
              <w:t>Energiei</w:t>
            </w:r>
          </w:p>
        </w:tc>
      </w:tr>
      <w:tr w:rsidR="008F5636" w:rsidRPr="00EF4A42" w14:paraId="5EC1CEA6" w14:textId="77777777" w:rsidTr="00A90105">
        <w:tc>
          <w:tcPr>
            <w:tcW w:w="4945" w:type="dxa"/>
          </w:tcPr>
          <w:p w14:paraId="5AD87521" w14:textId="77777777" w:rsidR="008F5636" w:rsidRPr="00432504" w:rsidRDefault="008F5636" w:rsidP="008F5636">
            <w:pPr>
              <w:spacing w:after="0" w:line="240" w:lineRule="auto"/>
              <w:jc w:val="center"/>
              <w:rPr>
                <w:rFonts w:ascii="Times New Roman" w:hAnsi="Times New Roman"/>
                <w:sz w:val="20"/>
                <w:szCs w:val="20"/>
                <w:lang w:val="fr-FR" w:eastAsia="ru-RU"/>
              </w:rPr>
            </w:pPr>
            <w:proofErr w:type="spellStart"/>
            <w:r w:rsidRPr="00432504">
              <w:rPr>
                <w:rFonts w:ascii="Times New Roman" w:hAnsi="Times New Roman"/>
                <w:sz w:val="20"/>
                <w:szCs w:val="20"/>
                <w:lang w:val="fr-FR" w:eastAsia="ru-RU"/>
              </w:rPr>
              <w:t>Articolul</w:t>
            </w:r>
            <w:proofErr w:type="spellEnd"/>
            <w:r w:rsidRPr="00432504">
              <w:rPr>
                <w:rFonts w:ascii="Times New Roman" w:hAnsi="Times New Roman"/>
                <w:sz w:val="20"/>
                <w:szCs w:val="20"/>
                <w:lang w:val="fr-FR" w:eastAsia="ru-RU"/>
              </w:rPr>
              <w:t xml:space="preserve"> 19</w:t>
            </w:r>
          </w:p>
          <w:p w14:paraId="3D125E10" w14:textId="77777777" w:rsidR="008F5636" w:rsidRPr="00432504" w:rsidRDefault="008F5636" w:rsidP="008F5636">
            <w:pPr>
              <w:spacing w:after="0" w:line="240" w:lineRule="auto"/>
              <w:jc w:val="center"/>
              <w:rPr>
                <w:rFonts w:ascii="Times New Roman" w:hAnsi="Times New Roman"/>
                <w:b/>
                <w:bCs/>
                <w:sz w:val="20"/>
                <w:szCs w:val="20"/>
                <w:lang w:val="fr-FR" w:eastAsia="ru-RU"/>
              </w:rPr>
            </w:pPr>
            <w:proofErr w:type="spellStart"/>
            <w:r w:rsidRPr="00432504">
              <w:rPr>
                <w:rFonts w:ascii="Times New Roman" w:hAnsi="Times New Roman"/>
                <w:b/>
                <w:bCs/>
                <w:sz w:val="20"/>
                <w:szCs w:val="20"/>
                <w:lang w:val="fr-FR" w:eastAsia="ru-RU"/>
              </w:rPr>
              <w:lastRenderedPageBreak/>
              <w:t>Raportarea</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integrată</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cu</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privire</w:t>
            </w:r>
            <w:proofErr w:type="spellEnd"/>
            <w:r w:rsidRPr="00432504">
              <w:rPr>
                <w:rFonts w:ascii="Times New Roman" w:hAnsi="Times New Roman"/>
                <w:b/>
                <w:bCs/>
                <w:sz w:val="20"/>
                <w:szCs w:val="20"/>
                <w:lang w:val="fr-FR" w:eastAsia="ru-RU"/>
              </w:rPr>
              <w:t xml:space="preserve"> la </w:t>
            </w:r>
            <w:proofErr w:type="spellStart"/>
            <w:r w:rsidRPr="00432504">
              <w:rPr>
                <w:rFonts w:ascii="Times New Roman" w:hAnsi="Times New Roman"/>
                <w:b/>
                <w:bCs/>
                <w:sz w:val="20"/>
                <w:szCs w:val="20"/>
                <w:lang w:val="fr-FR" w:eastAsia="ru-RU"/>
              </w:rPr>
              <w:t>acțiunile</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naționale</w:t>
            </w:r>
            <w:proofErr w:type="spellEnd"/>
            <w:r w:rsidRPr="00432504">
              <w:rPr>
                <w:rFonts w:ascii="Times New Roman" w:hAnsi="Times New Roman"/>
                <w:b/>
                <w:bCs/>
                <w:sz w:val="20"/>
                <w:szCs w:val="20"/>
                <w:lang w:val="fr-FR" w:eastAsia="ru-RU"/>
              </w:rPr>
              <w:t xml:space="preserve"> de </w:t>
            </w:r>
            <w:proofErr w:type="spellStart"/>
            <w:r w:rsidRPr="00432504">
              <w:rPr>
                <w:rFonts w:ascii="Times New Roman" w:hAnsi="Times New Roman"/>
                <w:b/>
                <w:bCs/>
                <w:sz w:val="20"/>
                <w:szCs w:val="20"/>
                <w:lang w:val="fr-FR" w:eastAsia="ru-RU"/>
              </w:rPr>
              <w:t>adaptare</w:t>
            </w:r>
            <w:proofErr w:type="spellEnd"/>
            <w:r w:rsidRPr="00432504">
              <w:rPr>
                <w:rFonts w:ascii="Times New Roman" w:hAnsi="Times New Roman"/>
                <w:b/>
                <w:bCs/>
                <w:sz w:val="20"/>
                <w:szCs w:val="20"/>
                <w:lang w:val="fr-FR" w:eastAsia="ru-RU"/>
              </w:rPr>
              <w:t xml:space="preserve">, la </w:t>
            </w:r>
            <w:proofErr w:type="spellStart"/>
            <w:r w:rsidRPr="00432504">
              <w:rPr>
                <w:rFonts w:ascii="Times New Roman" w:hAnsi="Times New Roman"/>
                <w:b/>
                <w:bCs/>
                <w:sz w:val="20"/>
                <w:szCs w:val="20"/>
                <w:lang w:val="fr-FR" w:eastAsia="ru-RU"/>
              </w:rPr>
              <w:t>sprijinul</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financiar</w:t>
            </w:r>
            <w:proofErr w:type="spellEnd"/>
            <w:r w:rsidRPr="00432504">
              <w:rPr>
                <w:rFonts w:ascii="Times New Roman" w:hAnsi="Times New Roman"/>
                <w:b/>
                <w:bCs/>
                <w:sz w:val="20"/>
                <w:szCs w:val="20"/>
                <w:lang w:val="fr-FR" w:eastAsia="ru-RU"/>
              </w:rPr>
              <w:t xml:space="preserve"> și </w:t>
            </w:r>
            <w:proofErr w:type="spellStart"/>
            <w:r w:rsidRPr="00432504">
              <w:rPr>
                <w:rFonts w:ascii="Times New Roman" w:hAnsi="Times New Roman"/>
                <w:b/>
                <w:bCs/>
                <w:sz w:val="20"/>
                <w:szCs w:val="20"/>
                <w:lang w:val="fr-FR" w:eastAsia="ru-RU"/>
              </w:rPr>
              <w:t>tehnologic</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acordat</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țărilor</w:t>
            </w:r>
            <w:proofErr w:type="spellEnd"/>
            <w:r w:rsidRPr="00432504">
              <w:rPr>
                <w:rFonts w:ascii="Times New Roman" w:hAnsi="Times New Roman"/>
                <w:b/>
                <w:bCs/>
                <w:sz w:val="20"/>
                <w:szCs w:val="20"/>
                <w:lang w:val="fr-FR" w:eastAsia="ru-RU"/>
              </w:rPr>
              <w:t xml:space="preserve"> în </w:t>
            </w:r>
            <w:proofErr w:type="spellStart"/>
            <w:r w:rsidRPr="00432504">
              <w:rPr>
                <w:rFonts w:ascii="Times New Roman" w:hAnsi="Times New Roman"/>
                <w:b/>
                <w:bCs/>
                <w:sz w:val="20"/>
                <w:szCs w:val="20"/>
                <w:lang w:val="fr-FR" w:eastAsia="ru-RU"/>
              </w:rPr>
              <w:t>curs</w:t>
            </w:r>
            <w:proofErr w:type="spellEnd"/>
            <w:r w:rsidRPr="00432504">
              <w:rPr>
                <w:rFonts w:ascii="Times New Roman" w:hAnsi="Times New Roman"/>
                <w:b/>
                <w:bCs/>
                <w:sz w:val="20"/>
                <w:szCs w:val="20"/>
                <w:lang w:val="fr-FR" w:eastAsia="ru-RU"/>
              </w:rPr>
              <w:t xml:space="preserve"> de </w:t>
            </w:r>
            <w:proofErr w:type="spellStart"/>
            <w:r w:rsidRPr="00432504">
              <w:rPr>
                <w:rFonts w:ascii="Times New Roman" w:hAnsi="Times New Roman"/>
                <w:b/>
                <w:bCs/>
                <w:sz w:val="20"/>
                <w:szCs w:val="20"/>
                <w:lang w:val="fr-FR" w:eastAsia="ru-RU"/>
              </w:rPr>
              <w:t>dezvoltare</w:t>
            </w:r>
            <w:proofErr w:type="spellEnd"/>
            <w:r w:rsidRPr="00432504">
              <w:rPr>
                <w:rFonts w:ascii="Times New Roman" w:hAnsi="Times New Roman"/>
                <w:b/>
                <w:bCs/>
                <w:sz w:val="20"/>
                <w:szCs w:val="20"/>
                <w:lang w:val="fr-FR" w:eastAsia="ru-RU"/>
              </w:rPr>
              <w:t xml:space="preserve"> și la </w:t>
            </w:r>
            <w:proofErr w:type="spellStart"/>
            <w:r w:rsidRPr="00432504">
              <w:rPr>
                <w:rFonts w:ascii="Times New Roman" w:hAnsi="Times New Roman"/>
                <w:b/>
                <w:bCs/>
                <w:sz w:val="20"/>
                <w:szCs w:val="20"/>
                <w:lang w:val="fr-FR" w:eastAsia="ru-RU"/>
              </w:rPr>
              <w:t>veniturile</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din</w:t>
            </w:r>
            <w:proofErr w:type="spellEnd"/>
            <w:r w:rsidRPr="00432504">
              <w:rPr>
                <w:rFonts w:ascii="Times New Roman" w:hAnsi="Times New Roman"/>
                <w:b/>
                <w:bCs/>
                <w:sz w:val="20"/>
                <w:szCs w:val="20"/>
                <w:lang w:val="fr-FR" w:eastAsia="ru-RU"/>
              </w:rPr>
              <w:t xml:space="preserve"> </w:t>
            </w:r>
            <w:proofErr w:type="spellStart"/>
            <w:r w:rsidRPr="00432504">
              <w:rPr>
                <w:rFonts w:ascii="Times New Roman" w:hAnsi="Times New Roman"/>
                <w:b/>
                <w:bCs/>
                <w:sz w:val="20"/>
                <w:szCs w:val="20"/>
                <w:lang w:val="fr-FR" w:eastAsia="ru-RU"/>
              </w:rPr>
              <w:t>licitații</w:t>
            </w:r>
            <w:proofErr w:type="spellEnd"/>
          </w:p>
          <w:p w14:paraId="34E53D3E" w14:textId="77777777" w:rsidR="008F5636" w:rsidRPr="00432504" w:rsidRDefault="008F5636" w:rsidP="008F5636">
            <w:pPr>
              <w:spacing w:after="0" w:line="240" w:lineRule="auto"/>
              <w:jc w:val="both"/>
              <w:rPr>
                <w:rFonts w:ascii="Times New Roman" w:hAnsi="Times New Roman"/>
                <w:sz w:val="20"/>
                <w:szCs w:val="20"/>
                <w:lang w:val="fr-FR" w:eastAsia="ru-RU"/>
              </w:rPr>
            </w:pPr>
            <w:r w:rsidRPr="00432504">
              <w:rPr>
                <w:rFonts w:ascii="Times New Roman" w:hAnsi="Times New Roman"/>
                <w:sz w:val="20"/>
                <w:szCs w:val="20"/>
                <w:lang w:val="fr-FR" w:eastAsia="ru-RU"/>
              </w:rPr>
              <w:t>(</w:t>
            </w:r>
            <w:proofErr w:type="gramStart"/>
            <w:r w:rsidRPr="00432504">
              <w:rPr>
                <w:rFonts w:ascii="Times New Roman" w:hAnsi="Times New Roman"/>
                <w:sz w:val="20"/>
                <w:szCs w:val="20"/>
                <w:lang w:val="fr-FR" w:eastAsia="ru-RU"/>
              </w:rPr>
              <w:t>1)</w:t>
            </w:r>
            <w:proofErr w:type="spellStart"/>
            <w:r w:rsidRPr="00432504">
              <w:rPr>
                <w:rFonts w:ascii="Times New Roman" w:hAnsi="Times New Roman"/>
                <w:sz w:val="20"/>
                <w:szCs w:val="20"/>
                <w:lang w:val="fr-FR" w:eastAsia="ru-RU"/>
              </w:rPr>
              <w:t>Până</w:t>
            </w:r>
            <w:proofErr w:type="spellEnd"/>
            <w:proofErr w:type="gramEnd"/>
            <w:r w:rsidRPr="00432504">
              <w:rPr>
                <w:rFonts w:ascii="Times New Roman" w:hAnsi="Times New Roman"/>
                <w:sz w:val="20"/>
                <w:szCs w:val="20"/>
                <w:lang w:val="fr-FR" w:eastAsia="ru-RU"/>
              </w:rPr>
              <w:t xml:space="preserve"> la 15 </w:t>
            </w:r>
            <w:proofErr w:type="spellStart"/>
            <w:r w:rsidRPr="00432504">
              <w:rPr>
                <w:rFonts w:ascii="Times New Roman" w:hAnsi="Times New Roman"/>
                <w:sz w:val="20"/>
                <w:szCs w:val="20"/>
                <w:lang w:val="fr-FR" w:eastAsia="ru-RU"/>
              </w:rPr>
              <w:t>martie</w:t>
            </w:r>
            <w:proofErr w:type="spellEnd"/>
            <w:r w:rsidRPr="00432504">
              <w:rPr>
                <w:rFonts w:ascii="Times New Roman" w:hAnsi="Times New Roman"/>
                <w:sz w:val="20"/>
                <w:szCs w:val="20"/>
                <w:lang w:val="fr-FR" w:eastAsia="ru-RU"/>
              </w:rPr>
              <w:t xml:space="preserve"> 2021 și, </w:t>
            </w:r>
            <w:proofErr w:type="spellStart"/>
            <w:r w:rsidRPr="00432504">
              <w:rPr>
                <w:rFonts w:ascii="Times New Roman" w:hAnsi="Times New Roman"/>
                <w:sz w:val="20"/>
                <w:szCs w:val="20"/>
                <w:lang w:val="fr-FR" w:eastAsia="ru-RU"/>
              </w:rPr>
              <w:t>ulterior</w:t>
            </w:r>
            <w:proofErr w:type="spellEnd"/>
            <w:r w:rsidRPr="00432504">
              <w:rPr>
                <w:rFonts w:ascii="Times New Roman" w:hAnsi="Times New Roman"/>
                <w:sz w:val="20"/>
                <w:szCs w:val="20"/>
                <w:lang w:val="fr-FR" w:eastAsia="ru-RU"/>
              </w:rPr>
              <w:t xml:space="preserve">, la </w:t>
            </w:r>
            <w:proofErr w:type="spellStart"/>
            <w:r w:rsidRPr="00432504">
              <w:rPr>
                <w:rFonts w:ascii="Times New Roman" w:hAnsi="Times New Roman"/>
                <w:sz w:val="20"/>
                <w:szCs w:val="20"/>
                <w:lang w:val="fr-FR" w:eastAsia="ru-RU"/>
              </w:rPr>
              <w:t>fiecare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doi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ani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statele</w:t>
            </w:r>
            <w:proofErr w:type="spellEnd"/>
            <w:r w:rsidRPr="00432504">
              <w:rPr>
                <w:rFonts w:ascii="Times New Roman" w:hAnsi="Times New Roman"/>
                <w:sz w:val="20"/>
                <w:szCs w:val="20"/>
                <w:lang w:val="fr-FR" w:eastAsia="ru-RU"/>
              </w:rPr>
              <w:t xml:space="preserve"> membre </w:t>
            </w:r>
            <w:proofErr w:type="spellStart"/>
            <w:r w:rsidRPr="00432504">
              <w:rPr>
                <w:rFonts w:ascii="Times New Roman" w:hAnsi="Times New Roman"/>
                <w:sz w:val="20"/>
                <w:szCs w:val="20"/>
                <w:lang w:val="fr-FR" w:eastAsia="ru-RU"/>
              </w:rPr>
              <w:t>raportează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Comisiei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informații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privind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planificarea</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strategiile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naționale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proprii</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adaptare</w:t>
            </w:r>
            <w:proofErr w:type="spellEnd"/>
            <w:r w:rsidRPr="00432504">
              <w:rPr>
                <w:rFonts w:ascii="Times New Roman" w:hAnsi="Times New Roman"/>
                <w:sz w:val="20"/>
                <w:szCs w:val="20"/>
                <w:lang w:val="fr-FR" w:eastAsia="ru-RU"/>
              </w:rPr>
              <w:t xml:space="preserve"> la </w:t>
            </w:r>
            <w:proofErr w:type="spellStart"/>
            <w:r w:rsidRPr="00432504">
              <w:rPr>
                <w:rFonts w:ascii="Times New Roman" w:hAnsi="Times New Roman"/>
                <w:sz w:val="20"/>
                <w:szCs w:val="20"/>
                <w:lang w:val="fr-FR" w:eastAsia="ru-RU"/>
              </w:rPr>
              <w:t>schimbările</w:t>
            </w:r>
            <w:proofErr w:type="spellEnd"/>
            <w:r w:rsidRPr="00432504">
              <w:rPr>
                <w:rFonts w:ascii="Times New Roman" w:hAnsi="Times New Roman"/>
                <w:sz w:val="20"/>
                <w:szCs w:val="20"/>
                <w:lang w:val="fr-FR" w:eastAsia="ru-RU"/>
              </w:rPr>
              <w:t xml:space="preserve"> climatice, </w:t>
            </w:r>
            <w:proofErr w:type="spellStart"/>
            <w:r w:rsidRPr="00432504">
              <w:rPr>
                <w:rFonts w:ascii="Times New Roman" w:hAnsi="Times New Roman"/>
                <w:sz w:val="20"/>
                <w:szCs w:val="20"/>
                <w:lang w:val="fr-FR" w:eastAsia="ru-RU"/>
              </w:rPr>
              <w:t>descriind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acțiunile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puse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aplicare</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planificate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a facilita </w:t>
            </w:r>
            <w:proofErr w:type="spellStart"/>
            <w:r w:rsidRPr="00432504">
              <w:rPr>
                <w:rFonts w:ascii="Times New Roman" w:hAnsi="Times New Roman"/>
                <w:sz w:val="20"/>
                <w:szCs w:val="20"/>
                <w:lang w:val="fr-FR" w:eastAsia="ru-RU"/>
              </w:rPr>
              <w:t>adaptarea</w:t>
            </w:r>
            <w:proofErr w:type="spellEnd"/>
            <w:r w:rsidRPr="00432504">
              <w:rPr>
                <w:rFonts w:ascii="Times New Roman" w:hAnsi="Times New Roman"/>
                <w:sz w:val="20"/>
                <w:szCs w:val="20"/>
                <w:lang w:val="fr-FR" w:eastAsia="ru-RU"/>
              </w:rPr>
              <w:t xml:space="preserve"> la </w:t>
            </w:r>
            <w:proofErr w:type="spellStart"/>
            <w:r w:rsidRPr="00432504">
              <w:rPr>
                <w:rFonts w:ascii="Times New Roman" w:hAnsi="Times New Roman"/>
                <w:sz w:val="20"/>
                <w:szCs w:val="20"/>
                <w:lang w:val="fr-FR" w:eastAsia="ru-RU"/>
              </w:rPr>
              <w:t>schimbările</w:t>
            </w:r>
            <w:proofErr w:type="spellEnd"/>
            <w:r w:rsidRPr="00432504">
              <w:rPr>
                <w:rFonts w:ascii="Times New Roman" w:hAnsi="Times New Roman"/>
                <w:sz w:val="20"/>
                <w:szCs w:val="20"/>
                <w:lang w:val="fr-FR" w:eastAsia="ru-RU"/>
              </w:rPr>
              <w:t xml:space="preserve"> climatice, </w:t>
            </w:r>
            <w:proofErr w:type="spellStart"/>
            <w:r w:rsidRPr="00432504">
              <w:rPr>
                <w:rFonts w:ascii="Times New Roman" w:hAnsi="Times New Roman"/>
                <w:sz w:val="20"/>
                <w:szCs w:val="20"/>
                <w:lang w:val="fr-FR" w:eastAsia="ru-RU"/>
              </w:rPr>
              <w:t>inclusiv</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informațiile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specificate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partea</w:t>
            </w:r>
            <w:proofErr w:type="spellEnd"/>
            <w:r w:rsidRPr="00432504">
              <w:rPr>
                <w:rFonts w:ascii="Times New Roman" w:hAnsi="Times New Roman"/>
                <w:sz w:val="20"/>
                <w:szCs w:val="20"/>
                <w:lang w:val="fr-FR" w:eastAsia="ru-RU"/>
              </w:rPr>
              <w:t xml:space="preserve"> 1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anexa</w:t>
            </w:r>
            <w:proofErr w:type="spellEnd"/>
            <w:r w:rsidRPr="00432504">
              <w:rPr>
                <w:rFonts w:ascii="Times New Roman" w:hAnsi="Times New Roman"/>
                <w:sz w:val="20"/>
                <w:szCs w:val="20"/>
                <w:lang w:val="fr-FR" w:eastAsia="ru-RU"/>
              </w:rPr>
              <w:t xml:space="preserve"> VIII și în conformitate </w:t>
            </w:r>
            <w:proofErr w:type="spellStart"/>
            <w:r w:rsidRPr="00432504">
              <w:rPr>
                <w:rFonts w:ascii="Times New Roman" w:hAnsi="Times New Roman"/>
                <w:sz w:val="20"/>
                <w:szCs w:val="20"/>
                <w:lang w:val="fr-FR" w:eastAsia="ru-RU"/>
              </w:rPr>
              <w:t>cu</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cerințele</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raportare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convenite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cadrul</w:t>
            </w:r>
            <w:proofErr w:type="spellEnd"/>
            <w:r w:rsidRPr="00432504">
              <w:rPr>
                <w:rFonts w:ascii="Times New Roman" w:hAnsi="Times New Roman"/>
                <w:sz w:val="20"/>
                <w:szCs w:val="20"/>
                <w:lang w:val="fr-FR" w:eastAsia="ru-RU"/>
              </w:rPr>
              <w:t xml:space="preserve"> CCONUSC și al </w:t>
            </w:r>
            <w:proofErr w:type="spellStart"/>
            <w:r w:rsidRPr="00432504">
              <w:rPr>
                <w:rFonts w:ascii="Times New Roman" w:hAnsi="Times New Roman"/>
                <w:sz w:val="20"/>
                <w:szCs w:val="20"/>
                <w:lang w:val="fr-FR" w:eastAsia="ru-RU"/>
              </w:rPr>
              <w:t>Acordului</w:t>
            </w:r>
            <w:proofErr w:type="spellEnd"/>
            <w:r w:rsidRPr="00432504">
              <w:rPr>
                <w:rFonts w:ascii="Times New Roman" w:hAnsi="Times New Roman"/>
                <w:sz w:val="20"/>
                <w:szCs w:val="20"/>
                <w:lang w:val="fr-FR" w:eastAsia="ru-RU"/>
              </w:rPr>
              <w:t xml:space="preserve"> de la Paris.</w:t>
            </w:r>
          </w:p>
          <w:p w14:paraId="75A605FA" w14:textId="77777777" w:rsidR="008F5636" w:rsidRPr="00432504" w:rsidRDefault="008F5636" w:rsidP="008F5636">
            <w:pPr>
              <w:spacing w:after="0" w:line="240" w:lineRule="auto"/>
              <w:jc w:val="both"/>
              <w:rPr>
                <w:rFonts w:ascii="Times New Roman" w:hAnsi="Times New Roman"/>
                <w:sz w:val="20"/>
                <w:szCs w:val="20"/>
                <w:shd w:val="clear" w:color="auto" w:fill="FFFFFF"/>
                <w:lang w:val="fr-FR"/>
              </w:rPr>
            </w:pPr>
            <w:r w:rsidRPr="00432504">
              <w:rPr>
                <w:rFonts w:ascii="Times New Roman" w:hAnsi="Times New Roman"/>
                <w:sz w:val="20"/>
                <w:szCs w:val="20"/>
                <w:shd w:val="clear" w:color="auto" w:fill="FFFFFF"/>
                <w:lang w:val="fr-FR"/>
              </w:rPr>
              <w:t>(</w:t>
            </w:r>
            <w:proofErr w:type="gramStart"/>
            <w:r w:rsidRPr="00432504">
              <w:rPr>
                <w:rFonts w:ascii="Times New Roman" w:hAnsi="Times New Roman"/>
                <w:sz w:val="20"/>
                <w:szCs w:val="20"/>
                <w:shd w:val="clear" w:color="auto" w:fill="FFFFFF"/>
                <w:lang w:val="fr-FR"/>
              </w:rPr>
              <w:t>2)</w:t>
            </w:r>
            <w:proofErr w:type="spellStart"/>
            <w:r w:rsidRPr="00432504">
              <w:rPr>
                <w:rFonts w:ascii="Times New Roman" w:hAnsi="Times New Roman"/>
                <w:sz w:val="20"/>
                <w:szCs w:val="20"/>
                <w:shd w:val="clear" w:color="auto" w:fill="FFFFFF"/>
                <w:lang w:val="fr-FR"/>
              </w:rPr>
              <w:t>Până</w:t>
            </w:r>
            <w:proofErr w:type="spellEnd"/>
            <w:proofErr w:type="gramEnd"/>
            <w:r w:rsidRPr="00432504">
              <w:rPr>
                <w:rFonts w:ascii="Times New Roman" w:hAnsi="Times New Roman"/>
                <w:sz w:val="20"/>
                <w:szCs w:val="20"/>
                <w:shd w:val="clear" w:color="auto" w:fill="FFFFFF"/>
                <w:lang w:val="fr-FR"/>
              </w:rPr>
              <w:t xml:space="preserve"> la 31 </w:t>
            </w:r>
            <w:proofErr w:type="spellStart"/>
            <w:r w:rsidRPr="00432504">
              <w:rPr>
                <w:rFonts w:ascii="Times New Roman" w:hAnsi="Times New Roman"/>
                <w:sz w:val="20"/>
                <w:szCs w:val="20"/>
                <w:shd w:val="clear" w:color="auto" w:fill="FFFFFF"/>
                <w:lang w:val="fr-FR"/>
              </w:rPr>
              <w:t>iulie</w:t>
            </w:r>
            <w:proofErr w:type="spellEnd"/>
            <w:r w:rsidRPr="00432504">
              <w:rPr>
                <w:rFonts w:ascii="Times New Roman" w:hAnsi="Times New Roman"/>
                <w:sz w:val="20"/>
                <w:szCs w:val="20"/>
                <w:shd w:val="clear" w:color="auto" w:fill="FFFFFF"/>
                <w:lang w:val="fr-FR"/>
              </w:rPr>
              <w:t xml:space="preserve"> 2021 și, </w:t>
            </w:r>
            <w:proofErr w:type="spellStart"/>
            <w:r w:rsidRPr="00432504">
              <w:rPr>
                <w:rFonts w:ascii="Times New Roman" w:hAnsi="Times New Roman"/>
                <w:sz w:val="20"/>
                <w:szCs w:val="20"/>
                <w:shd w:val="clear" w:color="auto" w:fill="FFFFFF"/>
                <w:lang w:val="fr-FR"/>
              </w:rPr>
              <w:t>ulterior</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fiecare</w:t>
            </w:r>
            <w:proofErr w:type="spellEnd"/>
            <w:r w:rsidRPr="00432504">
              <w:rPr>
                <w:rFonts w:ascii="Times New Roman" w:hAnsi="Times New Roman"/>
                <w:sz w:val="20"/>
                <w:szCs w:val="20"/>
                <w:shd w:val="clear" w:color="auto" w:fill="FFFFFF"/>
                <w:lang w:val="fr-FR"/>
              </w:rPr>
              <w:t xml:space="preserve"> an (anul X), </w:t>
            </w:r>
            <w:proofErr w:type="spellStart"/>
            <w:r w:rsidRPr="00432504">
              <w:rPr>
                <w:rFonts w:ascii="Times New Roman" w:hAnsi="Times New Roman"/>
                <w:sz w:val="20"/>
                <w:szCs w:val="20"/>
                <w:shd w:val="clear" w:color="auto" w:fill="FFFFFF"/>
                <w:lang w:val="fr-FR"/>
              </w:rPr>
              <w:t>statele</w:t>
            </w:r>
            <w:proofErr w:type="spellEnd"/>
            <w:r w:rsidRPr="00432504">
              <w:rPr>
                <w:rFonts w:ascii="Times New Roman" w:hAnsi="Times New Roman"/>
                <w:sz w:val="20"/>
                <w:szCs w:val="20"/>
                <w:shd w:val="clear" w:color="auto" w:fill="FFFFFF"/>
                <w:lang w:val="fr-FR"/>
              </w:rPr>
              <w:t xml:space="preserve"> membre </w:t>
            </w:r>
            <w:proofErr w:type="spellStart"/>
            <w:r w:rsidRPr="00432504">
              <w:rPr>
                <w:rFonts w:ascii="Times New Roman" w:hAnsi="Times New Roman"/>
                <w:sz w:val="20"/>
                <w:szCs w:val="20"/>
                <w:shd w:val="clear" w:color="auto" w:fill="FFFFFF"/>
                <w:lang w:val="fr-FR"/>
              </w:rPr>
              <w:t>prezintă</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Comisiei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informații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cu</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privire</w:t>
            </w:r>
            <w:proofErr w:type="spellEnd"/>
            <w:r w:rsidRPr="00432504">
              <w:rPr>
                <w:rFonts w:ascii="Times New Roman" w:hAnsi="Times New Roman"/>
                <w:sz w:val="20"/>
                <w:szCs w:val="20"/>
                <w:shd w:val="clear" w:color="auto" w:fill="FFFFFF"/>
                <w:lang w:val="fr-FR"/>
              </w:rPr>
              <w:t xml:space="preserve"> la </w:t>
            </w:r>
            <w:proofErr w:type="spellStart"/>
            <w:r w:rsidRPr="00432504">
              <w:rPr>
                <w:rFonts w:ascii="Times New Roman" w:hAnsi="Times New Roman"/>
                <w:sz w:val="20"/>
                <w:szCs w:val="20"/>
                <w:shd w:val="clear" w:color="auto" w:fill="FFFFFF"/>
                <w:lang w:val="fr-FR"/>
              </w:rPr>
              <w:t>utilizarea</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veniturilor</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generate</w:t>
            </w:r>
            <w:proofErr w:type="spellEnd"/>
            <w:r w:rsidRPr="00432504">
              <w:rPr>
                <w:rFonts w:ascii="Times New Roman" w:hAnsi="Times New Roman"/>
                <w:sz w:val="20"/>
                <w:szCs w:val="20"/>
                <w:shd w:val="clear" w:color="auto" w:fill="FFFFFF"/>
                <w:lang w:val="fr-FR"/>
              </w:rPr>
              <w:t xml:space="preserve"> de </w:t>
            </w:r>
            <w:proofErr w:type="spellStart"/>
            <w:r w:rsidRPr="00432504">
              <w:rPr>
                <w:rFonts w:ascii="Times New Roman" w:hAnsi="Times New Roman"/>
                <w:sz w:val="20"/>
                <w:szCs w:val="20"/>
                <w:shd w:val="clear" w:color="auto" w:fill="FFFFFF"/>
                <w:lang w:val="fr-FR"/>
              </w:rPr>
              <w:t>statul</w:t>
            </w:r>
            <w:proofErr w:type="spellEnd"/>
            <w:r w:rsidRPr="00432504">
              <w:rPr>
                <w:rFonts w:ascii="Times New Roman" w:hAnsi="Times New Roman"/>
                <w:sz w:val="20"/>
                <w:szCs w:val="20"/>
                <w:shd w:val="clear" w:color="auto" w:fill="FFFFFF"/>
                <w:lang w:val="fr-FR"/>
              </w:rPr>
              <w:t xml:space="preserve"> membru </w:t>
            </w:r>
            <w:proofErr w:type="spellStart"/>
            <w:r w:rsidRPr="00432504">
              <w:rPr>
                <w:rFonts w:ascii="Times New Roman" w:hAnsi="Times New Roman"/>
                <w:sz w:val="20"/>
                <w:szCs w:val="20"/>
                <w:shd w:val="clear" w:color="auto" w:fill="FFFFFF"/>
                <w:lang w:val="fr-FR"/>
              </w:rPr>
              <w:t>respectiv</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prin</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licitarea</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certificatelor</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temeiul</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articolului</w:t>
            </w:r>
            <w:proofErr w:type="spellEnd"/>
            <w:r w:rsidRPr="00432504">
              <w:rPr>
                <w:rFonts w:ascii="Times New Roman" w:hAnsi="Times New Roman"/>
                <w:sz w:val="20"/>
                <w:szCs w:val="20"/>
                <w:shd w:val="clear" w:color="auto" w:fill="FFFFFF"/>
                <w:lang w:val="fr-FR"/>
              </w:rPr>
              <w:t xml:space="preserve"> 10 </w:t>
            </w:r>
            <w:proofErr w:type="spellStart"/>
            <w:r w:rsidRPr="00432504">
              <w:rPr>
                <w:rFonts w:ascii="Times New Roman" w:hAnsi="Times New Roman"/>
                <w:sz w:val="20"/>
                <w:szCs w:val="20"/>
                <w:shd w:val="clear" w:color="auto" w:fill="FFFFFF"/>
                <w:lang w:val="fr-FR"/>
              </w:rPr>
              <w:t>alineatul</w:t>
            </w:r>
            <w:proofErr w:type="spellEnd"/>
            <w:r w:rsidRPr="00432504">
              <w:rPr>
                <w:rFonts w:ascii="Times New Roman" w:hAnsi="Times New Roman"/>
                <w:sz w:val="20"/>
                <w:szCs w:val="20"/>
                <w:shd w:val="clear" w:color="auto" w:fill="FFFFFF"/>
                <w:lang w:val="fr-FR"/>
              </w:rPr>
              <w:t xml:space="preserve"> (1) și al </w:t>
            </w:r>
            <w:proofErr w:type="spellStart"/>
            <w:r w:rsidRPr="00432504">
              <w:rPr>
                <w:rFonts w:ascii="Times New Roman" w:hAnsi="Times New Roman"/>
                <w:sz w:val="20"/>
                <w:szCs w:val="20"/>
                <w:shd w:val="clear" w:color="auto" w:fill="FFFFFF"/>
                <w:lang w:val="fr-FR"/>
              </w:rPr>
              <w:t>articolului</w:t>
            </w:r>
            <w:proofErr w:type="spellEnd"/>
            <w:r w:rsidRPr="00432504">
              <w:rPr>
                <w:rFonts w:ascii="Times New Roman" w:hAnsi="Times New Roman"/>
                <w:sz w:val="20"/>
                <w:szCs w:val="20"/>
                <w:shd w:val="clear" w:color="auto" w:fill="FFFFFF"/>
                <w:lang w:val="fr-FR"/>
              </w:rPr>
              <w:t xml:space="preserve"> 3d </w:t>
            </w:r>
            <w:proofErr w:type="spellStart"/>
            <w:r w:rsidRPr="00432504">
              <w:rPr>
                <w:rFonts w:ascii="Times New Roman" w:hAnsi="Times New Roman"/>
                <w:sz w:val="20"/>
                <w:szCs w:val="20"/>
                <w:shd w:val="clear" w:color="auto" w:fill="FFFFFF"/>
                <w:lang w:val="fr-FR"/>
              </w:rPr>
              <w:t>alineatul</w:t>
            </w:r>
            <w:proofErr w:type="spellEnd"/>
            <w:r w:rsidRPr="00432504">
              <w:rPr>
                <w:rFonts w:ascii="Times New Roman" w:hAnsi="Times New Roman"/>
                <w:sz w:val="20"/>
                <w:szCs w:val="20"/>
                <w:shd w:val="clear" w:color="auto" w:fill="FFFFFF"/>
                <w:lang w:val="fr-FR"/>
              </w:rPr>
              <w:t xml:space="preserve"> (1) </w:t>
            </w:r>
            <w:proofErr w:type="spellStart"/>
            <w:r w:rsidRPr="00432504">
              <w:rPr>
                <w:rFonts w:ascii="Times New Roman" w:hAnsi="Times New Roman"/>
                <w:sz w:val="20"/>
                <w:szCs w:val="20"/>
                <w:shd w:val="clear" w:color="auto" w:fill="FFFFFF"/>
                <w:lang w:val="fr-FR"/>
              </w:rPr>
              <w:t>sau</w:t>
            </w:r>
            <w:proofErr w:type="spellEnd"/>
            <w:r w:rsidRPr="00432504">
              <w:rPr>
                <w:rFonts w:ascii="Times New Roman" w:hAnsi="Times New Roman"/>
                <w:sz w:val="20"/>
                <w:szCs w:val="20"/>
                <w:shd w:val="clear" w:color="auto" w:fill="FFFFFF"/>
                <w:lang w:val="fr-FR"/>
              </w:rPr>
              <w:t xml:space="preserve"> (2) </w:t>
            </w:r>
            <w:proofErr w:type="spellStart"/>
            <w:r w:rsidRPr="00432504">
              <w:rPr>
                <w:rFonts w:ascii="Times New Roman" w:hAnsi="Times New Roman"/>
                <w:sz w:val="20"/>
                <w:szCs w:val="20"/>
                <w:shd w:val="clear" w:color="auto" w:fill="FFFFFF"/>
                <w:lang w:val="fr-FR"/>
              </w:rPr>
              <w:t>din</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Directiva</w:t>
            </w:r>
            <w:proofErr w:type="spellEnd"/>
            <w:r w:rsidRPr="00432504">
              <w:rPr>
                <w:rFonts w:ascii="Times New Roman" w:hAnsi="Times New Roman"/>
                <w:sz w:val="20"/>
                <w:szCs w:val="20"/>
                <w:shd w:val="clear" w:color="auto" w:fill="FFFFFF"/>
                <w:lang w:val="fr-FR"/>
              </w:rPr>
              <w:t xml:space="preserve"> 2003/87/CE, </w:t>
            </w:r>
            <w:proofErr w:type="spellStart"/>
            <w:r w:rsidRPr="00432504">
              <w:rPr>
                <w:rFonts w:ascii="Times New Roman" w:hAnsi="Times New Roman"/>
                <w:sz w:val="20"/>
                <w:szCs w:val="20"/>
                <w:shd w:val="clear" w:color="auto" w:fill="FFFFFF"/>
                <w:lang w:val="fr-FR"/>
              </w:rPr>
              <w:t>inclusiv</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informațiile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specificate</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partea</w:t>
            </w:r>
            <w:proofErr w:type="spellEnd"/>
            <w:r w:rsidRPr="00432504">
              <w:rPr>
                <w:rFonts w:ascii="Times New Roman" w:hAnsi="Times New Roman"/>
                <w:sz w:val="20"/>
                <w:szCs w:val="20"/>
                <w:shd w:val="clear" w:color="auto" w:fill="FFFFFF"/>
                <w:lang w:val="fr-FR"/>
              </w:rPr>
              <w:t xml:space="preserve"> 3 </w:t>
            </w:r>
            <w:proofErr w:type="spellStart"/>
            <w:r w:rsidRPr="00432504">
              <w:rPr>
                <w:rFonts w:ascii="Times New Roman" w:hAnsi="Times New Roman"/>
                <w:sz w:val="20"/>
                <w:szCs w:val="20"/>
                <w:shd w:val="clear" w:color="auto" w:fill="FFFFFF"/>
                <w:lang w:val="fr-FR"/>
              </w:rPr>
              <w:t>din</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anexa</w:t>
            </w:r>
            <w:proofErr w:type="spellEnd"/>
            <w:r w:rsidRPr="00432504">
              <w:rPr>
                <w:rFonts w:ascii="Times New Roman" w:hAnsi="Times New Roman"/>
                <w:sz w:val="20"/>
                <w:szCs w:val="20"/>
                <w:shd w:val="clear" w:color="auto" w:fill="FFFFFF"/>
                <w:lang w:val="fr-FR"/>
              </w:rPr>
              <w:t xml:space="preserve"> VIII.</w:t>
            </w:r>
          </w:p>
          <w:p w14:paraId="62F8D37F" w14:textId="77777777" w:rsidR="008F5636" w:rsidRPr="00432504" w:rsidRDefault="008F5636" w:rsidP="008F5636">
            <w:pPr>
              <w:spacing w:after="0" w:line="240" w:lineRule="auto"/>
              <w:jc w:val="both"/>
              <w:rPr>
                <w:rFonts w:ascii="Times New Roman" w:hAnsi="Times New Roman"/>
                <w:sz w:val="20"/>
                <w:szCs w:val="20"/>
                <w:shd w:val="clear" w:color="auto" w:fill="FFFFFF"/>
                <w:lang w:val="fr-FR"/>
              </w:rPr>
            </w:pPr>
            <w:r w:rsidRPr="00432504">
              <w:rPr>
                <w:rFonts w:ascii="Times New Roman" w:hAnsi="Times New Roman"/>
                <w:sz w:val="20"/>
                <w:szCs w:val="20"/>
                <w:shd w:val="clear" w:color="auto" w:fill="FFFFFF"/>
                <w:lang w:val="fr-FR"/>
              </w:rPr>
              <w:t>(</w:t>
            </w:r>
            <w:proofErr w:type="gramStart"/>
            <w:r w:rsidRPr="00432504">
              <w:rPr>
                <w:rFonts w:ascii="Times New Roman" w:hAnsi="Times New Roman"/>
                <w:sz w:val="20"/>
                <w:szCs w:val="20"/>
                <w:shd w:val="clear" w:color="auto" w:fill="FFFFFF"/>
                <w:lang w:val="fr-FR"/>
              </w:rPr>
              <w:t>3)</w:t>
            </w:r>
            <w:proofErr w:type="spellStart"/>
            <w:r w:rsidRPr="00432504">
              <w:rPr>
                <w:rFonts w:ascii="Times New Roman" w:hAnsi="Times New Roman"/>
                <w:sz w:val="20"/>
                <w:szCs w:val="20"/>
                <w:shd w:val="clear" w:color="auto" w:fill="FFFFFF"/>
                <w:lang w:val="fr-FR"/>
              </w:rPr>
              <w:t>Până</w:t>
            </w:r>
            <w:proofErr w:type="spellEnd"/>
            <w:proofErr w:type="gramEnd"/>
            <w:r w:rsidRPr="00432504">
              <w:rPr>
                <w:rFonts w:ascii="Times New Roman" w:hAnsi="Times New Roman"/>
                <w:sz w:val="20"/>
                <w:szCs w:val="20"/>
                <w:shd w:val="clear" w:color="auto" w:fill="FFFFFF"/>
                <w:lang w:val="fr-FR"/>
              </w:rPr>
              <w:t xml:space="preserve"> la 30 </w:t>
            </w:r>
            <w:proofErr w:type="spellStart"/>
            <w:r w:rsidRPr="00432504">
              <w:rPr>
                <w:rFonts w:ascii="Times New Roman" w:hAnsi="Times New Roman"/>
                <w:sz w:val="20"/>
                <w:szCs w:val="20"/>
                <w:shd w:val="clear" w:color="auto" w:fill="FFFFFF"/>
                <w:lang w:val="fr-FR"/>
              </w:rPr>
              <w:t>septembrie</w:t>
            </w:r>
            <w:proofErr w:type="spellEnd"/>
            <w:r w:rsidRPr="00432504">
              <w:rPr>
                <w:rFonts w:ascii="Times New Roman" w:hAnsi="Times New Roman"/>
                <w:sz w:val="20"/>
                <w:szCs w:val="20"/>
                <w:shd w:val="clear" w:color="auto" w:fill="FFFFFF"/>
                <w:lang w:val="fr-FR"/>
              </w:rPr>
              <w:t xml:space="preserve"> 2021 și, </w:t>
            </w:r>
            <w:proofErr w:type="spellStart"/>
            <w:r w:rsidRPr="00432504">
              <w:rPr>
                <w:rFonts w:ascii="Times New Roman" w:hAnsi="Times New Roman"/>
                <w:sz w:val="20"/>
                <w:szCs w:val="20"/>
                <w:shd w:val="clear" w:color="auto" w:fill="FFFFFF"/>
                <w:lang w:val="fr-FR"/>
              </w:rPr>
              <w:t>ulterior</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fiecare</w:t>
            </w:r>
            <w:proofErr w:type="spellEnd"/>
            <w:r w:rsidRPr="00432504">
              <w:rPr>
                <w:rFonts w:ascii="Times New Roman" w:hAnsi="Times New Roman"/>
                <w:sz w:val="20"/>
                <w:szCs w:val="20"/>
                <w:shd w:val="clear" w:color="auto" w:fill="FFFFFF"/>
                <w:lang w:val="fr-FR"/>
              </w:rPr>
              <w:t xml:space="preserve"> an (anul X), </w:t>
            </w:r>
            <w:proofErr w:type="spellStart"/>
            <w:r w:rsidRPr="00432504">
              <w:rPr>
                <w:rFonts w:ascii="Times New Roman" w:hAnsi="Times New Roman"/>
                <w:sz w:val="20"/>
                <w:szCs w:val="20"/>
                <w:shd w:val="clear" w:color="auto" w:fill="FFFFFF"/>
                <w:lang w:val="fr-FR"/>
              </w:rPr>
              <w:t>statele</w:t>
            </w:r>
            <w:proofErr w:type="spellEnd"/>
            <w:r w:rsidRPr="00432504">
              <w:rPr>
                <w:rFonts w:ascii="Times New Roman" w:hAnsi="Times New Roman"/>
                <w:sz w:val="20"/>
                <w:szCs w:val="20"/>
                <w:shd w:val="clear" w:color="auto" w:fill="FFFFFF"/>
                <w:lang w:val="fr-FR"/>
              </w:rPr>
              <w:t xml:space="preserve"> membre </w:t>
            </w:r>
            <w:proofErr w:type="spellStart"/>
            <w:r w:rsidRPr="00432504">
              <w:rPr>
                <w:rFonts w:ascii="Times New Roman" w:hAnsi="Times New Roman"/>
                <w:sz w:val="20"/>
                <w:szCs w:val="20"/>
                <w:shd w:val="clear" w:color="auto" w:fill="FFFFFF"/>
                <w:lang w:val="fr-FR"/>
              </w:rPr>
              <w:t>prezintă</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Comisiei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informații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cu</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privire</w:t>
            </w:r>
            <w:proofErr w:type="spellEnd"/>
            <w:r w:rsidRPr="00432504">
              <w:rPr>
                <w:rFonts w:ascii="Times New Roman" w:hAnsi="Times New Roman"/>
                <w:sz w:val="20"/>
                <w:szCs w:val="20"/>
                <w:shd w:val="clear" w:color="auto" w:fill="FFFFFF"/>
                <w:lang w:val="fr-FR"/>
              </w:rPr>
              <w:t xml:space="preserve"> la </w:t>
            </w:r>
            <w:proofErr w:type="spellStart"/>
            <w:r w:rsidRPr="00432504">
              <w:rPr>
                <w:rFonts w:ascii="Times New Roman" w:hAnsi="Times New Roman"/>
                <w:sz w:val="20"/>
                <w:szCs w:val="20"/>
                <w:shd w:val="clear" w:color="auto" w:fill="FFFFFF"/>
                <w:lang w:val="fr-FR"/>
              </w:rPr>
              <w:t>sprijinul</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acordat</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țărilor</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curs</w:t>
            </w:r>
            <w:proofErr w:type="spellEnd"/>
            <w:r w:rsidRPr="00432504">
              <w:rPr>
                <w:rFonts w:ascii="Times New Roman" w:hAnsi="Times New Roman"/>
                <w:sz w:val="20"/>
                <w:szCs w:val="20"/>
                <w:shd w:val="clear" w:color="auto" w:fill="FFFFFF"/>
                <w:lang w:val="fr-FR"/>
              </w:rPr>
              <w:t xml:space="preserve"> de </w:t>
            </w:r>
            <w:proofErr w:type="spellStart"/>
            <w:r w:rsidRPr="00432504">
              <w:rPr>
                <w:rFonts w:ascii="Times New Roman" w:hAnsi="Times New Roman"/>
                <w:sz w:val="20"/>
                <w:szCs w:val="20"/>
                <w:shd w:val="clear" w:color="auto" w:fill="FFFFFF"/>
                <w:lang w:val="fr-FR"/>
              </w:rPr>
              <w:t>dezvoltare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inclusiv</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informațiile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specificate</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partea</w:t>
            </w:r>
            <w:proofErr w:type="spellEnd"/>
            <w:r w:rsidRPr="00432504">
              <w:rPr>
                <w:rFonts w:ascii="Times New Roman" w:hAnsi="Times New Roman"/>
                <w:sz w:val="20"/>
                <w:szCs w:val="20"/>
                <w:shd w:val="clear" w:color="auto" w:fill="FFFFFF"/>
                <w:lang w:val="fr-FR"/>
              </w:rPr>
              <w:t xml:space="preserve"> 2 </w:t>
            </w:r>
            <w:proofErr w:type="spellStart"/>
            <w:r w:rsidRPr="00432504">
              <w:rPr>
                <w:rFonts w:ascii="Times New Roman" w:hAnsi="Times New Roman"/>
                <w:sz w:val="20"/>
                <w:szCs w:val="20"/>
                <w:shd w:val="clear" w:color="auto" w:fill="FFFFFF"/>
                <w:lang w:val="fr-FR"/>
              </w:rPr>
              <w:t>din</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anexa</w:t>
            </w:r>
            <w:proofErr w:type="spellEnd"/>
            <w:r w:rsidRPr="00432504">
              <w:rPr>
                <w:rFonts w:ascii="Times New Roman" w:hAnsi="Times New Roman"/>
                <w:sz w:val="20"/>
                <w:szCs w:val="20"/>
                <w:shd w:val="clear" w:color="auto" w:fill="FFFFFF"/>
                <w:lang w:val="fr-FR"/>
              </w:rPr>
              <w:t xml:space="preserve"> VIII și în conformitate </w:t>
            </w:r>
            <w:proofErr w:type="spellStart"/>
            <w:r w:rsidRPr="00432504">
              <w:rPr>
                <w:rFonts w:ascii="Times New Roman" w:hAnsi="Times New Roman"/>
                <w:sz w:val="20"/>
                <w:szCs w:val="20"/>
                <w:shd w:val="clear" w:color="auto" w:fill="FFFFFF"/>
                <w:lang w:val="fr-FR"/>
              </w:rPr>
              <w:t>cu</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cerințele</w:t>
            </w:r>
            <w:proofErr w:type="spellEnd"/>
            <w:r w:rsidRPr="00432504">
              <w:rPr>
                <w:rFonts w:ascii="Times New Roman" w:hAnsi="Times New Roman"/>
                <w:sz w:val="20"/>
                <w:szCs w:val="20"/>
                <w:shd w:val="clear" w:color="auto" w:fill="FFFFFF"/>
                <w:lang w:val="fr-FR"/>
              </w:rPr>
              <w:t xml:space="preserve"> de </w:t>
            </w:r>
            <w:proofErr w:type="spellStart"/>
            <w:r w:rsidRPr="00432504">
              <w:rPr>
                <w:rFonts w:ascii="Times New Roman" w:hAnsi="Times New Roman"/>
                <w:sz w:val="20"/>
                <w:szCs w:val="20"/>
                <w:shd w:val="clear" w:color="auto" w:fill="FFFFFF"/>
                <w:lang w:val="fr-FR"/>
              </w:rPr>
              <w:t>raportare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relevante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convenite</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cadrul</w:t>
            </w:r>
            <w:proofErr w:type="spellEnd"/>
            <w:r w:rsidRPr="00432504">
              <w:rPr>
                <w:rFonts w:ascii="Times New Roman" w:hAnsi="Times New Roman"/>
                <w:sz w:val="20"/>
                <w:szCs w:val="20"/>
                <w:shd w:val="clear" w:color="auto" w:fill="FFFFFF"/>
                <w:lang w:val="fr-FR"/>
              </w:rPr>
              <w:t xml:space="preserve"> CCONUSC și al </w:t>
            </w:r>
            <w:proofErr w:type="spellStart"/>
            <w:r w:rsidRPr="00432504">
              <w:rPr>
                <w:rFonts w:ascii="Times New Roman" w:hAnsi="Times New Roman"/>
                <w:sz w:val="20"/>
                <w:szCs w:val="20"/>
                <w:shd w:val="clear" w:color="auto" w:fill="FFFFFF"/>
                <w:lang w:val="fr-FR"/>
              </w:rPr>
              <w:t>Acordului</w:t>
            </w:r>
            <w:proofErr w:type="spellEnd"/>
            <w:r w:rsidRPr="00432504">
              <w:rPr>
                <w:rFonts w:ascii="Times New Roman" w:hAnsi="Times New Roman"/>
                <w:sz w:val="20"/>
                <w:szCs w:val="20"/>
                <w:shd w:val="clear" w:color="auto" w:fill="FFFFFF"/>
                <w:lang w:val="fr-FR"/>
              </w:rPr>
              <w:t xml:space="preserve"> de la Paris.</w:t>
            </w:r>
          </w:p>
          <w:p w14:paraId="1A1EDC6F" w14:textId="77777777" w:rsidR="008F5636" w:rsidRPr="00432504" w:rsidRDefault="008F5636" w:rsidP="008F5636">
            <w:pPr>
              <w:spacing w:after="0" w:line="240" w:lineRule="auto"/>
              <w:jc w:val="both"/>
              <w:rPr>
                <w:rFonts w:ascii="Times New Roman" w:hAnsi="Times New Roman"/>
                <w:sz w:val="20"/>
                <w:szCs w:val="20"/>
                <w:shd w:val="clear" w:color="auto" w:fill="FFFFFF"/>
                <w:lang w:val="fr-FR"/>
              </w:rPr>
            </w:pPr>
            <w:r w:rsidRPr="00432504">
              <w:rPr>
                <w:rFonts w:ascii="Times New Roman" w:hAnsi="Times New Roman"/>
                <w:sz w:val="20"/>
                <w:szCs w:val="20"/>
                <w:shd w:val="clear" w:color="auto" w:fill="FFFFFF"/>
                <w:lang w:val="fr-FR"/>
              </w:rPr>
              <w:t>(</w:t>
            </w:r>
            <w:proofErr w:type="gramStart"/>
            <w:r w:rsidRPr="00432504">
              <w:rPr>
                <w:rFonts w:ascii="Times New Roman" w:hAnsi="Times New Roman"/>
                <w:sz w:val="20"/>
                <w:szCs w:val="20"/>
                <w:shd w:val="clear" w:color="auto" w:fill="FFFFFF"/>
                <w:lang w:val="fr-FR"/>
              </w:rPr>
              <w:t>4)</w:t>
            </w:r>
            <w:proofErr w:type="spellStart"/>
            <w:r w:rsidRPr="00432504">
              <w:rPr>
                <w:rFonts w:ascii="Times New Roman" w:hAnsi="Times New Roman"/>
                <w:sz w:val="20"/>
                <w:szCs w:val="20"/>
                <w:shd w:val="clear" w:color="auto" w:fill="FFFFFF"/>
                <w:lang w:val="fr-FR"/>
              </w:rPr>
              <w:t>Statele</w:t>
            </w:r>
            <w:proofErr w:type="spellEnd"/>
            <w:proofErr w:type="gramEnd"/>
            <w:r w:rsidRPr="00432504">
              <w:rPr>
                <w:rFonts w:ascii="Times New Roman" w:hAnsi="Times New Roman"/>
                <w:sz w:val="20"/>
                <w:szCs w:val="20"/>
                <w:shd w:val="clear" w:color="auto" w:fill="FFFFFF"/>
                <w:lang w:val="fr-FR"/>
              </w:rPr>
              <w:t xml:space="preserve"> membre </w:t>
            </w:r>
            <w:proofErr w:type="spellStart"/>
            <w:r w:rsidRPr="00432504">
              <w:rPr>
                <w:rFonts w:ascii="Times New Roman" w:hAnsi="Times New Roman"/>
                <w:sz w:val="20"/>
                <w:szCs w:val="20"/>
                <w:shd w:val="clear" w:color="auto" w:fill="FFFFFF"/>
                <w:lang w:val="fr-FR"/>
              </w:rPr>
              <w:t>pun</w:t>
            </w:r>
            <w:proofErr w:type="spellEnd"/>
            <w:r w:rsidRPr="00432504">
              <w:rPr>
                <w:rFonts w:ascii="Times New Roman" w:hAnsi="Times New Roman"/>
                <w:sz w:val="20"/>
                <w:szCs w:val="20"/>
                <w:shd w:val="clear" w:color="auto" w:fill="FFFFFF"/>
                <w:lang w:val="fr-FR"/>
              </w:rPr>
              <w:t xml:space="preserve"> la </w:t>
            </w:r>
            <w:proofErr w:type="spellStart"/>
            <w:r w:rsidRPr="00432504">
              <w:rPr>
                <w:rFonts w:ascii="Times New Roman" w:hAnsi="Times New Roman"/>
                <w:sz w:val="20"/>
                <w:szCs w:val="20"/>
                <w:shd w:val="clear" w:color="auto" w:fill="FFFFFF"/>
                <w:lang w:val="fr-FR"/>
              </w:rPr>
              <w:t>dispoziția</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publicului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rapoartele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prezentate</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Comisiei</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temeiul</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prezentului</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articol</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cu</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excepția</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informațiilor</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specificate</w:t>
            </w:r>
            <w:proofErr w:type="spellEnd"/>
            <w:r w:rsidRPr="00432504">
              <w:rPr>
                <w:rFonts w:ascii="Times New Roman" w:hAnsi="Times New Roman"/>
                <w:sz w:val="20"/>
                <w:szCs w:val="20"/>
                <w:shd w:val="clear" w:color="auto" w:fill="FFFFFF"/>
                <w:lang w:val="fr-FR"/>
              </w:rPr>
              <w:t xml:space="preserve"> în </w:t>
            </w:r>
            <w:proofErr w:type="spellStart"/>
            <w:r w:rsidRPr="00432504">
              <w:rPr>
                <w:rFonts w:ascii="Times New Roman" w:hAnsi="Times New Roman"/>
                <w:sz w:val="20"/>
                <w:szCs w:val="20"/>
                <w:shd w:val="clear" w:color="auto" w:fill="FFFFFF"/>
                <w:lang w:val="fr-FR"/>
              </w:rPr>
              <w:t>partea</w:t>
            </w:r>
            <w:proofErr w:type="spellEnd"/>
            <w:r w:rsidRPr="00432504">
              <w:rPr>
                <w:rFonts w:ascii="Times New Roman" w:hAnsi="Times New Roman"/>
                <w:sz w:val="20"/>
                <w:szCs w:val="20"/>
                <w:shd w:val="clear" w:color="auto" w:fill="FFFFFF"/>
                <w:lang w:val="fr-FR"/>
              </w:rPr>
              <w:t xml:space="preserve"> 2 litera (b) </w:t>
            </w:r>
            <w:proofErr w:type="spellStart"/>
            <w:r w:rsidRPr="00432504">
              <w:rPr>
                <w:rFonts w:ascii="Times New Roman" w:hAnsi="Times New Roman"/>
                <w:sz w:val="20"/>
                <w:szCs w:val="20"/>
                <w:shd w:val="clear" w:color="auto" w:fill="FFFFFF"/>
                <w:lang w:val="fr-FR"/>
              </w:rPr>
              <w:t>din</w:t>
            </w:r>
            <w:proofErr w:type="spellEnd"/>
            <w:r w:rsidRPr="00432504">
              <w:rPr>
                <w:rFonts w:ascii="Times New Roman" w:hAnsi="Times New Roman"/>
                <w:sz w:val="20"/>
                <w:szCs w:val="20"/>
                <w:shd w:val="clear" w:color="auto" w:fill="FFFFFF"/>
                <w:lang w:val="fr-FR"/>
              </w:rPr>
              <w:t xml:space="preserve"> </w:t>
            </w:r>
            <w:proofErr w:type="spellStart"/>
            <w:r w:rsidRPr="00432504">
              <w:rPr>
                <w:rFonts w:ascii="Times New Roman" w:hAnsi="Times New Roman"/>
                <w:sz w:val="20"/>
                <w:szCs w:val="20"/>
                <w:shd w:val="clear" w:color="auto" w:fill="FFFFFF"/>
                <w:lang w:val="fr-FR"/>
              </w:rPr>
              <w:t>anexa</w:t>
            </w:r>
            <w:proofErr w:type="spellEnd"/>
            <w:r w:rsidRPr="00432504">
              <w:rPr>
                <w:rFonts w:ascii="Times New Roman" w:hAnsi="Times New Roman"/>
                <w:sz w:val="20"/>
                <w:szCs w:val="20"/>
                <w:shd w:val="clear" w:color="auto" w:fill="FFFFFF"/>
                <w:lang w:val="fr-FR"/>
              </w:rPr>
              <w:t xml:space="preserve"> VIII.</w:t>
            </w:r>
          </w:p>
          <w:p w14:paraId="5127D595" w14:textId="0AA4A64E" w:rsidR="008F5636" w:rsidRPr="00432504" w:rsidRDefault="008F5636" w:rsidP="008F5636">
            <w:pPr>
              <w:spacing w:after="0" w:line="240" w:lineRule="auto"/>
              <w:jc w:val="both"/>
              <w:rPr>
                <w:rFonts w:ascii="Times New Roman" w:hAnsi="Times New Roman"/>
                <w:sz w:val="20"/>
                <w:szCs w:val="20"/>
                <w:lang w:val="fr-FR"/>
              </w:rPr>
            </w:pPr>
            <w:r w:rsidRPr="00432504">
              <w:rPr>
                <w:rFonts w:ascii="Times New Roman" w:hAnsi="Times New Roman"/>
                <w:sz w:val="20"/>
                <w:szCs w:val="20"/>
                <w:lang w:val="fr-FR"/>
              </w:rPr>
              <w:t xml:space="preserve">(5) </w:t>
            </w:r>
            <w:proofErr w:type="spellStart"/>
            <w:r w:rsidRPr="00432504">
              <w:rPr>
                <w:rFonts w:ascii="Times New Roman" w:hAnsi="Times New Roman"/>
                <w:sz w:val="20"/>
                <w:szCs w:val="20"/>
                <w:lang w:val="fr-FR"/>
              </w:rPr>
              <w:t>Comisia</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asistată</w:t>
            </w:r>
            <w:proofErr w:type="spellEnd"/>
            <w:r w:rsidRPr="00432504">
              <w:rPr>
                <w:rFonts w:ascii="Times New Roman" w:hAnsi="Times New Roman"/>
                <w:sz w:val="20"/>
                <w:szCs w:val="20"/>
                <w:lang w:val="fr-FR"/>
              </w:rPr>
              <w:t xml:space="preserve"> de </w:t>
            </w:r>
            <w:proofErr w:type="spellStart"/>
            <w:r w:rsidRPr="00432504">
              <w:rPr>
                <w:rFonts w:ascii="Times New Roman" w:hAnsi="Times New Roman"/>
                <w:sz w:val="20"/>
                <w:szCs w:val="20"/>
                <w:lang w:val="fr-FR"/>
              </w:rPr>
              <w:t>Comitetul</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privind</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schimbările</w:t>
            </w:r>
            <w:proofErr w:type="spellEnd"/>
            <w:r w:rsidRPr="00432504">
              <w:rPr>
                <w:rFonts w:ascii="Times New Roman" w:hAnsi="Times New Roman"/>
                <w:sz w:val="20"/>
                <w:szCs w:val="20"/>
                <w:lang w:val="fr-FR"/>
              </w:rPr>
              <w:t xml:space="preserve"> climatice </w:t>
            </w:r>
            <w:proofErr w:type="spellStart"/>
            <w:r w:rsidRPr="00432504">
              <w:rPr>
                <w:rFonts w:ascii="Times New Roman" w:hAnsi="Times New Roman"/>
                <w:sz w:val="20"/>
                <w:szCs w:val="20"/>
                <w:lang w:val="fr-FR"/>
              </w:rPr>
              <w:t>menționat</w:t>
            </w:r>
            <w:proofErr w:type="spellEnd"/>
            <w:r w:rsidRPr="00432504">
              <w:rPr>
                <w:rFonts w:ascii="Times New Roman" w:hAnsi="Times New Roman"/>
                <w:sz w:val="20"/>
                <w:szCs w:val="20"/>
                <w:lang w:val="fr-FR"/>
              </w:rPr>
              <w:t xml:space="preserve"> la </w:t>
            </w:r>
            <w:proofErr w:type="spellStart"/>
            <w:r w:rsidRPr="00432504">
              <w:rPr>
                <w:rFonts w:ascii="Times New Roman" w:hAnsi="Times New Roman"/>
                <w:sz w:val="20"/>
                <w:szCs w:val="20"/>
                <w:lang w:val="fr-FR"/>
              </w:rPr>
              <w:t>articolul</w:t>
            </w:r>
            <w:proofErr w:type="spellEnd"/>
            <w:r w:rsidRPr="00432504">
              <w:rPr>
                <w:rFonts w:ascii="Times New Roman" w:hAnsi="Times New Roman"/>
                <w:sz w:val="20"/>
                <w:szCs w:val="20"/>
                <w:lang w:val="fr-FR"/>
              </w:rPr>
              <w:t xml:space="preserve"> 44 </w:t>
            </w:r>
            <w:proofErr w:type="spellStart"/>
            <w:r w:rsidRPr="00432504">
              <w:rPr>
                <w:rFonts w:ascii="Times New Roman" w:hAnsi="Times New Roman"/>
                <w:sz w:val="20"/>
                <w:szCs w:val="20"/>
                <w:lang w:val="fr-FR"/>
              </w:rPr>
              <w:t>alineatul</w:t>
            </w:r>
            <w:proofErr w:type="spellEnd"/>
            <w:r w:rsidRPr="00432504">
              <w:rPr>
                <w:rFonts w:ascii="Times New Roman" w:hAnsi="Times New Roman"/>
                <w:sz w:val="20"/>
                <w:szCs w:val="20"/>
                <w:lang w:val="fr-FR"/>
              </w:rPr>
              <w:t xml:space="preserve"> (1) litera (a), </w:t>
            </w:r>
            <w:proofErr w:type="spellStart"/>
            <w:r w:rsidRPr="00432504">
              <w:rPr>
                <w:rFonts w:ascii="Times New Roman" w:hAnsi="Times New Roman"/>
                <w:sz w:val="20"/>
                <w:szCs w:val="20"/>
                <w:lang w:val="fr-FR"/>
              </w:rPr>
              <w:t>adoptă</w:t>
            </w:r>
            <w:proofErr w:type="spellEnd"/>
            <w:r w:rsidRPr="00432504">
              <w:rPr>
                <w:rFonts w:ascii="Times New Roman" w:hAnsi="Times New Roman"/>
                <w:sz w:val="20"/>
                <w:szCs w:val="20"/>
                <w:lang w:val="fr-FR"/>
              </w:rPr>
              <w:t xml:space="preserve"> acte de </w:t>
            </w:r>
            <w:proofErr w:type="spellStart"/>
            <w:r w:rsidRPr="00432504">
              <w:rPr>
                <w:rFonts w:ascii="Times New Roman" w:hAnsi="Times New Roman"/>
                <w:sz w:val="20"/>
                <w:szCs w:val="20"/>
                <w:lang w:val="fr-FR"/>
              </w:rPr>
              <w:t>punere</w:t>
            </w:r>
            <w:proofErr w:type="spellEnd"/>
            <w:r w:rsidRPr="00432504">
              <w:rPr>
                <w:rFonts w:ascii="Times New Roman" w:hAnsi="Times New Roman"/>
                <w:sz w:val="20"/>
                <w:szCs w:val="20"/>
                <w:lang w:val="fr-FR"/>
              </w:rPr>
              <w:t xml:space="preserve"> în </w:t>
            </w:r>
            <w:proofErr w:type="spellStart"/>
            <w:r w:rsidRPr="00432504">
              <w:rPr>
                <w:rFonts w:ascii="Times New Roman" w:hAnsi="Times New Roman"/>
                <w:sz w:val="20"/>
                <w:szCs w:val="20"/>
                <w:lang w:val="fr-FR"/>
              </w:rPr>
              <w:t>aplicare</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pentru</w:t>
            </w:r>
            <w:proofErr w:type="spellEnd"/>
            <w:r w:rsidRPr="00432504">
              <w:rPr>
                <w:rFonts w:ascii="Times New Roman" w:hAnsi="Times New Roman"/>
                <w:sz w:val="20"/>
                <w:szCs w:val="20"/>
                <w:lang w:val="fr-FR"/>
              </w:rPr>
              <w:t xml:space="preserve"> a </w:t>
            </w:r>
            <w:proofErr w:type="spellStart"/>
            <w:r w:rsidRPr="00432504">
              <w:rPr>
                <w:rFonts w:ascii="Times New Roman" w:hAnsi="Times New Roman"/>
                <w:sz w:val="20"/>
                <w:szCs w:val="20"/>
                <w:lang w:val="fr-FR"/>
              </w:rPr>
              <w:t>stabili</w:t>
            </w:r>
            <w:proofErr w:type="spellEnd"/>
            <w:r w:rsidRPr="00432504">
              <w:rPr>
                <w:rFonts w:ascii="Times New Roman" w:hAnsi="Times New Roman"/>
                <w:sz w:val="20"/>
                <w:szCs w:val="20"/>
                <w:lang w:val="fr-FR"/>
              </w:rPr>
              <w:t xml:space="preserve"> structura, </w:t>
            </w:r>
            <w:proofErr w:type="spellStart"/>
            <w:r w:rsidRPr="00432504">
              <w:rPr>
                <w:rFonts w:ascii="Times New Roman" w:hAnsi="Times New Roman"/>
                <w:sz w:val="20"/>
                <w:szCs w:val="20"/>
                <w:lang w:val="fr-FR"/>
              </w:rPr>
              <w:t>formatul</w:t>
            </w:r>
            <w:proofErr w:type="spellEnd"/>
            <w:r w:rsidRPr="00432504">
              <w:rPr>
                <w:rFonts w:ascii="Times New Roman" w:hAnsi="Times New Roman"/>
                <w:sz w:val="20"/>
                <w:szCs w:val="20"/>
                <w:lang w:val="fr-FR"/>
              </w:rPr>
              <w:t xml:space="preserve"> și </w:t>
            </w:r>
            <w:proofErr w:type="spellStart"/>
            <w:r w:rsidRPr="00432504">
              <w:rPr>
                <w:rFonts w:ascii="Times New Roman" w:hAnsi="Times New Roman"/>
                <w:sz w:val="20"/>
                <w:szCs w:val="20"/>
                <w:lang w:val="fr-FR"/>
              </w:rPr>
              <w:t>procedurile</w:t>
            </w:r>
            <w:proofErr w:type="spellEnd"/>
            <w:r w:rsidRPr="00432504">
              <w:rPr>
                <w:rFonts w:ascii="Times New Roman" w:hAnsi="Times New Roman"/>
                <w:sz w:val="20"/>
                <w:szCs w:val="20"/>
                <w:lang w:val="fr-FR"/>
              </w:rPr>
              <w:t xml:space="preserve"> de </w:t>
            </w:r>
            <w:proofErr w:type="spellStart"/>
            <w:r w:rsidRPr="00432504">
              <w:rPr>
                <w:rFonts w:ascii="Times New Roman" w:hAnsi="Times New Roman"/>
                <w:sz w:val="20"/>
                <w:szCs w:val="20"/>
                <w:lang w:val="fr-FR"/>
              </w:rPr>
              <w:t>transmitere</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pentru</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raportarea</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informațiilor</w:t>
            </w:r>
            <w:proofErr w:type="spellEnd"/>
            <w:r w:rsidRPr="00432504">
              <w:rPr>
                <w:rFonts w:ascii="Times New Roman" w:hAnsi="Times New Roman"/>
                <w:sz w:val="20"/>
                <w:szCs w:val="20"/>
                <w:lang w:val="fr-FR"/>
              </w:rPr>
              <w:t xml:space="preserve"> de </w:t>
            </w:r>
            <w:proofErr w:type="spellStart"/>
            <w:r w:rsidRPr="00432504">
              <w:rPr>
                <w:rFonts w:ascii="Times New Roman" w:hAnsi="Times New Roman"/>
                <w:sz w:val="20"/>
                <w:szCs w:val="20"/>
                <w:lang w:val="fr-FR"/>
              </w:rPr>
              <w:t>către</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statele</w:t>
            </w:r>
            <w:proofErr w:type="spellEnd"/>
            <w:r w:rsidRPr="00432504">
              <w:rPr>
                <w:rFonts w:ascii="Times New Roman" w:hAnsi="Times New Roman"/>
                <w:sz w:val="20"/>
                <w:szCs w:val="20"/>
                <w:lang w:val="fr-FR"/>
              </w:rPr>
              <w:t xml:space="preserve"> membre în </w:t>
            </w:r>
            <w:proofErr w:type="spellStart"/>
            <w:r w:rsidRPr="00432504">
              <w:rPr>
                <w:rFonts w:ascii="Times New Roman" w:hAnsi="Times New Roman"/>
                <w:sz w:val="20"/>
                <w:szCs w:val="20"/>
                <w:lang w:val="fr-FR"/>
              </w:rPr>
              <w:t>temeiul</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prezentului</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articol</w:t>
            </w:r>
            <w:proofErr w:type="spellEnd"/>
            <w:r w:rsidRPr="00432504">
              <w:rPr>
                <w:rFonts w:ascii="Times New Roman" w:hAnsi="Times New Roman"/>
                <w:sz w:val="20"/>
                <w:szCs w:val="20"/>
                <w:lang w:val="fr-FR"/>
              </w:rPr>
              <w:t>.</w:t>
            </w:r>
          </w:p>
          <w:p w14:paraId="7AC7A840" w14:textId="46717BBC" w:rsidR="008F5636" w:rsidRPr="00432504" w:rsidRDefault="008F5636" w:rsidP="008F5636">
            <w:pPr>
              <w:spacing w:after="0" w:line="240" w:lineRule="auto"/>
              <w:jc w:val="both"/>
              <w:rPr>
                <w:rFonts w:ascii="Times New Roman" w:hAnsi="Times New Roman"/>
                <w:sz w:val="20"/>
                <w:szCs w:val="20"/>
                <w:lang w:val="fr-FR"/>
              </w:rPr>
            </w:pPr>
            <w:proofErr w:type="spellStart"/>
            <w:r w:rsidRPr="00432504">
              <w:rPr>
                <w:rFonts w:ascii="Times New Roman" w:hAnsi="Times New Roman"/>
                <w:sz w:val="20"/>
                <w:szCs w:val="20"/>
                <w:lang w:val="fr-FR"/>
              </w:rPr>
              <w:t>Respectivele</w:t>
            </w:r>
            <w:proofErr w:type="spellEnd"/>
            <w:r w:rsidRPr="00432504">
              <w:rPr>
                <w:rFonts w:ascii="Times New Roman" w:hAnsi="Times New Roman"/>
                <w:sz w:val="20"/>
                <w:szCs w:val="20"/>
                <w:lang w:val="fr-FR"/>
              </w:rPr>
              <w:t xml:space="preserve"> acte de </w:t>
            </w:r>
            <w:proofErr w:type="spellStart"/>
            <w:r w:rsidRPr="00432504">
              <w:rPr>
                <w:rFonts w:ascii="Times New Roman" w:hAnsi="Times New Roman"/>
                <w:sz w:val="20"/>
                <w:szCs w:val="20"/>
                <w:lang w:val="fr-FR"/>
              </w:rPr>
              <w:t>punere</w:t>
            </w:r>
            <w:proofErr w:type="spellEnd"/>
            <w:r w:rsidRPr="00432504">
              <w:rPr>
                <w:rFonts w:ascii="Times New Roman" w:hAnsi="Times New Roman"/>
                <w:sz w:val="20"/>
                <w:szCs w:val="20"/>
                <w:lang w:val="fr-FR"/>
              </w:rPr>
              <w:t xml:space="preserve"> în </w:t>
            </w:r>
            <w:proofErr w:type="spellStart"/>
            <w:r w:rsidRPr="00432504">
              <w:rPr>
                <w:rFonts w:ascii="Times New Roman" w:hAnsi="Times New Roman"/>
                <w:sz w:val="20"/>
                <w:szCs w:val="20"/>
                <w:lang w:val="fr-FR"/>
              </w:rPr>
              <w:t>aplicare</w:t>
            </w:r>
            <w:proofErr w:type="spellEnd"/>
            <w:r w:rsidRPr="00432504">
              <w:rPr>
                <w:rFonts w:ascii="Times New Roman" w:hAnsi="Times New Roman"/>
                <w:sz w:val="20"/>
                <w:szCs w:val="20"/>
                <w:lang w:val="fr-FR"/>
              </w:rPr>
              <w:t xml:space="preserve"> se </w:t>
            </w:r>
            <w:proofErr w:type="spellStart"/>
            <w:r w:rsidRPr="00432504">
              <w:rPr>
                <w:rFonts w:ascii="Times New Roman" w:hAnsi="Times New Roman"/>
                <w:sz w:val="20"/>
                <w:szCs w:val="20"/>
                <w:lang w:val="fr-FR"/>
              </w:rPr>
              <w:t>adoptă</w:t>
            </w:r>
            <w:proofErr w:type="spellEnd"/>
            <w:r w:rsidRPr="00432504">
              <w:rPr>
                <w:rFonts w:ascii="Times New Roman" w:hAnsi="Times New Roman"/>
                <w:sz w:val="20"/>
                <w:szCs w:val="20"/>
                <w:lang w:val="fr-FR"/>
              </w:rPr>
              <w:t xml:space="preserve"> în conformitate </w:t>
            </w:r>
            <w:proofErr w:type="spellStart"/>
            <w:r w:rsidRPr="00432504">
              <w:rPr>
                <w:rFonts w:ascii="Times New Roman" w:hAnsi="Times New Roman"/>
                <w:sz w:val="20"/>
                <w:szCs w:val="20"/>
                <w:lang w:val="fr-FR"/>
              </w:rPr>
              <w:t>cu</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procedura</w:t>
            </w:r>
            <w:proofErr w:type="spellEnd"/>
            <w:r w:rsidRPr="00432504">
              <w:rPr>
                <w:rFonts w:ascii="Times New Roman" w:hAnsi="Times New Roman"/>
                <w:sz w:val="20"/>
                <w:szCs w:val="20"/>
                <w:lang w:val="fr-FR"/>
              </w:rPr>
              <w:t xml:space="preserve"> de </w:t>
            </w:r>
            <w:proofErr w:type="spellStart"/>
            <w:r w:rsidRPr="00432504">
              <w:rPr>
                <w:rFonts w:ascii="Times New Roman" w:hAnsi="Times New Roman"/>
                <w:sz w:val="20"/>
                <w:szCs w:val="20"/>
                <w:lang w:val="fr-FR"/>
              </w:rPr>
              <w:t>examinare</w:t>
            </w:r>
            <w:proofErr w:type="spellEnd"/>
            <w:r w:rsidRPr="00432504">
              <w:rPr>
                <w:rFonts w:ascii="Times New Roman" w:hAnsi="Times New Roman"/>
                <w:sz w:val="20"/>
                <w:szCs w:val="20"/>
                <w:lang w:val="fr-FR"/>
              </w:rPr>
              <w:t xml:space="preserve"> </w:t>
            </w:r>
            <w:proofErr w:type="spellStart"/>
            <w:r w:rsidRPr="00432504">
              <w:rPr>
                <w:rFonts w:ascii="Times New Roman" w:hAnsi="Times New Roman"/>
                <w:sz w:val="20"/>
                <w:szCs w:val="20"/>
                <w:lang w:val="fr-FR"/>
              </w:rPr>
              <w:t>menționată</w:t>
            </w:r>
            <w:proofErr w:type="spellEnd"/>
            <w:r w:rsidRPr="00432504">
              <w:rPr>
                <w:rFonts w:ascii="Times New Roman" w:hAnsi="Times New Roman"/>
                <w:sz w:val="20"/>
                <w:szCs w:val="20"/>
                <w:lang w:val="fr-FR"/>
              </w:rPr>
              <w:t xml:space="preserve"> la </w:t>
            </w:r>
            <w:proofErr w:type="spellStart"/>
            <w:r w:rsidRPr="00432504">
              <w:rPr>
                <w:rFonts w:ascii="Times New Roman" w:hAnsi="Times New Roman"/>
                <w:sz w:val="20"/>
                <w:szCs w:val="20"/>
                <w:lang w:val="fr-FR"/>
              </w:rPr>
              <w:t>articolul</w:t>
            </w:r>
            <w:proofErr w:type="spellEnd"/>
            <w:r w:rsidRPr="00432504">
              <w:rPr>
                <w:rFonts w:ascii="Times New Roman" w:hAnsi="Times New Roman"/>
                <w:sz w:val="20"/>
                <w:szCs w:val="20"/>
                <w:lang w:val="fr-FR"/>
              </w:rPr>
              <w:t xml:space="preserve"> 44 </w:t>
            </w:r>
            <w:proofErr w:type="spellStart"/>
            <w:r w:rsidRPr="00432504">
              <w:rPr>
                <w:rFonts w:ascii="Times New Roman" w:hAnsi="Times New Roman"/>
                <w:sz w:val="20"/>
                <w:szCs w:val="20"/>
                <w:lang w:val="fr-FR"/>
              </w:rPr>
              <w:t>alineatul</w:t>
            </w:r>
            <w:proofErr w:type="spellEnd"/>
            <w:r w:rsidRPr="00432504">
              <w:rPr>
                <w:rFonts w:ascii="Times New Roman" w:hAnsi="Times New Roman"/>
                <w:sz w:val="20"/>
                <w:szCs w:val="20"/>
                <w:lang w:val="fr-FR"/>
              </w:rPr>
              <w:t xml:space="preserve"> (6).</w:t>
            </w:r>
          </w:p>
        </w:tc>
        <w:tc>
          <w:tcPr>
            <w:tcW w:w="4440" w:type="dxa"/>
          </w:tcPr>
          <w:p w14:paraId="588EA333" w14:textId="77777777" w:rsidR="008F5636" w:rsidRPr="00EF4A42" w:rsidRDefault="008F5636" w:rsidP="00077DF7">
            <w:pPr>
              <w:shd w:val="clear" w:color="auto" w:fill="FFFFFF"/>
              <w:suppressAutoHyphens w:val="0"/>
              <w:autoSpaceDN/>
              <w:spacing w:after="0" w:line="240" w:lineRule="auto"/>
              <w:jc w:val="both"/>
              <w:textAlignment w:val="auto"/>
              <w:rPr>
                <w:lang w:val="ro-MD"/>
              </w:rPr>
            </w:pPr>
          </w:p>
        </w:tc>
        <w:tc>
          <w:tcPr>
            <w:tcW w:w="1276" w:type="dxa"/>
          </w:tcPr>
          <w:p w14:paraId="7317C759" w14:textId="5587B3D3" w:rsidR="008F5636" w:rsidRPr="00745D9A" w:rsidRDefault="00EF4A42" w:rsidP="008F5636">
            <w:pPr>
              <w:pStyle w:val="ColorfulList-Accent11"/>
              <w:spacing w:after="0" w:line="240" w:lineRule="auto"/>
              <w:ind w:left="0"/>
              <w:jc w:val="both"/>
              <w:rPr>
                <w:lang w:val="fr-FR"/>
              </w:rPr>
            </w:pPr>
            <w:r>
              <w:rPr>
                <w:rFonts w:ascii="Times New Roman" w:hAnsi="Times New Roman"/>
                <w:sz w:val="20"/>
                <w:szCs w:val="20"/>
                <w:lang w:val="ro-RO"/>
              </w:rPr>
              <w:t>C</w:t>
            </w:r>
            <w:r w:rsidR="008F5636" w:rsidRPr="00C951E7">
              <w:rPr>
                <w:rFonts w:ascii="Times New Roman" w:hAnsi="Times New Roman"/>
                <w:sz w:val="20"/>
                <w:szCs w:val="20"/>
                <w:lang w:val="ro-RO"/>
              </w:rPr>
              <w:t>ompatibil</w:t>
            </w:r>
          </w:p>
        </w:tc>
        <w:tc>
          <w:tcPr>
            <w:tcW w:w="1276" w:type="dxa"/>
          </w:tcPr>
          <w:p w14:paraId="724789C8" w14:textId="77777777" w:rsidR="008F5636" w:rsidRPr="00745D9A" w:rsidRDefault="008F5636" w:rsidP="008F5636">
            <w:pPr>
              <w:pStyle w:val="ColorfulList-Accent11"/>
              <w:spacing w:after="0" w:line="240" w:lineRule="auto"/>
              <w:ind w:left="0"/>
              <w:jc w:val="both"/>
              <w:rPr>
                <w:lang w:val="fr-FR"/>
              </w:rPr>
            </w:pPr>
          </w:p>
        </w:tc>
        <w:tc>
          <w:tcPr>
            <w:tcW w:w="1701" w:type="dxa"/>
          </w:tcPr>
          <w:p w14:paraId="7E49D115" w14:textId="77777777" w:rsidR="006D59A3" w:rsidRPr="00F13819" w:rsidRDefault="00EF4A42" w:rsidP="006D59A3">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w:t>
            </w:r>
            <w:r>
              <w:rPr>
                <w:rFonts w:ascii="Times New Roman" w:hAnsi="Times New Roman"/>
                <w:sz w:val="20"/>
                <w:szCs w:val="20"/>
                <w:lang w:val="ro-RO"/>
              </w:rPr>
              <w:lastRenderedPageBreak/>
              <w:t xml:space="preserve">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6D59A3">
              <w:rPr>
                <w:rFonts w:ascii="Times New Roman" w:eastAsia="Times New Roman" w:hAnsi="Times New Roman"/>
                <w:sz w:val="20"/>
                <w:szCs w:val="20"/>
                <w:lang w:val="ro-RO"/>
              </w:rPr>
              <w:t xml:space="preserve"> 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1DAE0D58" w14:textId="70E702DE" w:rsidR="00EF4A42" w:rsidRPr="00F13819" w:rsidRDefault="00EF4A42" w:rsidP="00EF4A42">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 </w:t>
            </w:r>
          </w:p>
          <w:p w14:paraId="2190361D" w14:textId="02197E8D"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pct.51 și pct.52</w:t>
            </w:r>
          </w:p>
          <w:p w14:paraId="3478B6E6"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3D7D9F97" w14:textId="5B982E35" w:rsidR="008F5636" w:rsidRPr="008F5636" w:rsidRDefault="008F5636" w:rsidP="008F5636">
            <w:pPr>
              <w:pStyle w:val="ColorfulList-Accent11"/>
              <w:spacing w:after="0" w:line="240" w:lineRule="auto"/>
              <w:ind w:left="0"/>
              <w:jc w:val="both"/>
              <w:rPr>
                <w:lang w:val="ro-RO"/>
              </w:rPr>
            </w:pPr>
          </w:p>
        </w:tc>
        <w:tc>
          <w:tcPr>
            <w:tcW w:w="1460" w:type="dxa"/>
          </w:tcPr>
          <w:p w14:paraId="37DE2D10" w14:textId="772FB954" w:rsidR="008F5636" w:rsidRPr="003F755D" w:rsidRDefault="008F5636" w:rsidP="008F563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6835E2" w:rsidRPr="00A81801">
              <w:rPr>
                <w:rFonts w:ascii="Times New Roman" w:hAnsi="Times New Roman"/>
                <w:color w:val="000000" w:themeColor="text1"/>
                <w:sz w:val="20"/>
                <w:szCs w:val="20"/>
              </w:rPr>
              <w:t>Energiei</w:t>
            </w:r>
          </w:p>
          <w:p w14:paraId="0CBBA366" w14:textId="77777777" w:rsidR="005637D1" w:rsidRDefault="005637D1" w:rsidP="005637D1">
            <w:pPr>
              <w:pStyle w:val="ColorfulList-Accent11"/>
              <w:spacing w:after="0" w:line="240" w:lineRule="auto"/>
              <w:ind w:left="0"/>
              <w:jc w:val="both"/>
              <w:rPr>
                <w:rFonts w:ascii="Times New Roman" w:hAnsi="Times New Roman"/>
                <w:sz w:val="20"/>
                <w:szCs w:val="20"/>
                <w:lang w:val="ro-RO"/>
              </w:rPr>
            </w:pPr>
          </w:p>
          <w:p w14:paraId="2FFCB515" w14:textId="77777777" w:rsidR="005637D1" w:rsidRDefault="005637D1" w:rsidP="005637D1">
            <w:pPr>
              <w:pStyle w:val="ColorfulList-Accent11"/>
              <w:spacing w:after="0" w:line="240" w:lineRule="auto"/>
              <w:ind w:left="0"/>
              <w:jc w:val="both"/>
              <w:rPr>
                <w:rFonts w:ascii="Times New Roman" w:hAnsi="Times New Roman"/>
                <w:sz w:val="20"/>
                <w:szCs w:val="20"/>
                <w:lang w:val="ro-RO"/>
              </w:rPr>
            </w:pPr>
            <w:r w:rsidRPr="003C4F9F">
              <w:rPr>
                <w:rFonts w:ascii="Times New Roman" w:hAnsi="Times New Roman"/>
                <w:sz w:val="20"/>
                <w:szCs w:val="20"/>
                <w:lang w:val="ro-RO"/>
              </w:rPr>
              <w:lastRenderedPageBreak/>
              <w:t>Ministerul Mediului</w:t>
            </w:r>
          </w:p>
          <w:p w14:paraId="176026EB" w14:textId="77777777" w:rsidR="008F5636" w:rsidRPr="008F5636" w:rsidRDefault="008F5636" w:rsidP="008F5636">
            <w:pPr>
              <w:pStyle w:val="ColorfulList-Accent11"/>
              <w:spacing w:after="0" w:line="240" w:lineRule="auto"/>
              <w:ind w:left="0"/>
              <w:jc w:val="both"/>
              <w:rPr>
                <w:lang w:val="ro-RO"/>
              </w:rPr>
            </w:pPr>
          </w:p>
        </w:tc>
      </w:tr>
      <w:tr w:rsidR="008F5636" w:rsidRPr="00DE5A2E" w14:paraId="2EB19747" w14:textId="77777777" w:rsidTr="00A90105">
        <w:tc>
          <w:tcPr>
            <w:tcW w:w="4945" w:type="dxa"/>
          </w:tcPr>
          <w:p w14:paraId="5BC5BAD3" w14:textId="77777777" w:rsidR="008F5636" w:rsidRPr="00432504" w:rsidRDefault="008F5636" w:rsidP="008F5636">
            <w:pPr>
              <w:spacing w:after="0" w:line="240" w:lineRule="auto"/>
              <w:jc w:val="center"/>
              <w:rPr>
                <w:rFonts w:ascii="Times New Roman" w:hAnsi="Times New Roman"/>
                <w:sz w:val="20"/>
                <w:szCs w:val="20"/>
                <w:lang w:eastAsia="ru-RU"/>
              </w:rPr>
            </w:pPr>
            <w:proofErr w:type="spellStart"/>
            <w:r w:rsidRPr="00432504">
              <w:rPr>
                <w:rFonts w:ascii="Times New Roman" w:hAnsi="Times New Roman"/>
                <w:sz w:val="20"/>
                <w:szCs w:val="20"/>
                <w:lang w:eastAsia="ru-RU"/>
              </w:rPr>
              <w:t>Articolul</w:t>
            </w:r>
            <w:proofErr w:type="spellEnd"/>
            <w:r w:rsidRPr="00432504">
              <w:rPr>
                <w:rFonts w:ascii="Times New Roman" w:hAnsi="Times New Roman"/>
                <w:sz w:val="20"/>
                <w:szCs w:val="20"/>
                <w:lang w:eastAsia="ru-RU"/>
              </w:rPr>
              <w:t xml:space="preserve"> 20</w:t>
            </w:r>
          </w:p>
          <w:p w14:paraId="4B9D2757" w14:textId="77777777" w:rsidR="008F5636" w:rsidRPr="00432504" w:rsidRDefault="008F5636" w:rsidP="008F5636">
            <w:pPr>
              <w:spacing w:after="0" w:line="240" w:lineRule="auto"/>
              <w:jc w:val="center"/>
              <w:rPr>
                <w:rFonts w:ascii="Times New Roman" w:hAnsi="Times New Roman"/>
                <w:b/>
                <w:bCs/>
                <w:sz w:val="20"/>
                <w:szCs w:val="20"/>
                <w:lang w:eastAsia="ru-RU"/>
              </w:rPr>
            </w:pPr>
            <w:proofErr w:type="spellStart"/>
            <w:r w:rsidRPr="00432504">
              <w:rPr>
                <w:rFonts w:ascii="Times New Roman" w:hAnsi="Times New Roman"/>
                <w:b/>
                <w:bCs/>
                <w:sz w:val="20"/>
                <w:szCs w:val="20"/>
                <w:lang w:eastAsia="ru-RU"/>
              </w:rPr>
              <w:t>Raportarea</w:t>
            </w:r>
            <w:proofErr w:type="spellEnd"/>
            <w:r w:rsidRPr="00432504">
              <w:rPr>
                <w:rFonts w:ascii="Times New Roman" w:hAnsi="Times New Roman"/>
                <w:b/>
                <w:bCs/>
                <w:sz w:val="20"/>
                <w:szCs w:val="20"/>
                <w:lang w:eastAsia="ru-RU"/>
              </w:rPr>
              <w:t xml:space="preserve"> </w:t>
            </w:r>
            <w:proofErr w:type="spellStart"/>
            <w:r w:rsidRPr="00432504">
              <w:rPr>
                <w:rFonts w:ascii="Times New Roman" w:hAnsi="Times New Roman"/>
                <w:b/>
                <w:bCs/>
                <w:sz w:val="20"/>
                <w:szCs w:val="20"/>
                <w:lang w:eastAsia="ru-RU"/>
              </w:rPr>
              <w:t>integrată</w:t>
            </w:r>
            <w:proofErr w:type="spellEnd"/>
            <w:r w:rsidRPr="00432504">
              <w:rPr>
                <w:rFonts w:ascii="Times New Roman" w:hAnsi="Times New Roman"/>
                <w:b/>
                <w:bCs/>
                <w:sz w:val="20"/>
                <w:szCs w:val="20"/>
                <w:lang w:eastAsia="ru-RU"/>
              </w:rPr>
              <w:t xml:space="preserve"> cu </w:t>
            </w:r>
            <w:proofErr w:type="spellStart"/>
            <w:r w:rsidRPr="00432504">
              <w:rPr>
                <w:rFonts w:ascii="Times New Roman" w:hAnsi="Times New Roman"/>
                <w:b/>
                <w:bCs/>
                <w:sz w:val="20"/>
                <w:szCs w:val="20"/>
                <w:lang w:eastAsia="ru-RU"/>
              </w:rPr>
              <w:t>privire</w:t>
            </w:r>
            <w:proofErr w:type="spellEnd"/>
            <w:r w:rsidRPr="00432504">
              <w:rPr>
                <w:rFonts w:ascii="Times New Roman" w:hAnsi="Times New Roman"/>
                <w:b/>
                <w:bCs/>
                <w:sz w:val="20"/>
                <w:szCs w:val="20"/>
                <w:lang w:eastAsia="ru-RU"/>
              </w:rPr>
              <w:t xml:space="preserve"> la </w:t>
            </w:r>
            <w:proofErr w:type="spellStart"/>
            <w:r w:rsidRPr="00432504">
              <w:rPr>
                <w:rFonts w:ascii="Times New Roman" w:hAnsi="Times New Roman"/>
                <w:b/>
                <w:bCs/>
                <w:sz w:val="20"/>
                <w:szCs w:val="20"/>
                <w:lang w:eastAsia="ru-RU"/>
              </w:rPr>
              <w:t>energia</w:t>
            </w:r>
            <w:proofErr w:type="spellEnd"/>
            <w:r w:rsidRPr="00432504">
              <w:rPr>
                <w:rFonts w:ascii="Times New Roman" w:hAnsi="Times New Roman"/>
                <w:b/>
                <w:bCs/>
                <w:sz w:val="20"/>
                <w:szCs w:val="20"/>
                <w:lang w:eastAsia="ru-RU"/>
              </w:rPr>
              <w:t xml:space="preserve"> din surse </w:t>
            </w:r>
            <w:proofErr w:type="spellStart"/>
            <w:r w:rsidRPr="00432504">
              <w:rPr>
                <w:rFonts w:ascii="Times New Roman" w:hAnsi="Times New Roman"/>
                <w:b/>
                <w:bCs/>
                <w:sz w:val="20"/>
                <w:szCs w:val="20"/>
                <w:lang w:eastAsia="ru-RU"/>
              </w:rPr>
              <w:t>regenerabile</w:t>
            </w:r>
            <w:proofErr w:type="spellEnd"/>
          </w:p>
          <w:p w14:paraId="66FB03A7" w14:textId="320B53F6" w:rsidR="008F5636" w:rsidRPr="00432504" w:rsidRDefault="008F5636" w:rsidP="008F5636">
            <w:pPr>
              <w:spacing w:after="0" w:line="240" w:lineRule="auto"/>
              <w:jc w:val="both"/>
              <w:rPr>
                <w:rFonts w:ascii="Times New Roman" w:hAnsi="Times New Roman"/>
                <w:sz w:val="20"/>
                <w:szCs w:val="20"/>
                <w:lang w:eastAsia="ru-RU"/>
              </w:rPr>
            </w:pPr>
            <w:proofErr w:type="spellStart"/>
            <w:r w:rsidRPr="00432504">
              <w:rPr>
                <w:sz w:val="20"/>
                <w:szCs w:val="20"/>
                <w:lang w:eastAsia="ru-RU"/>
              </w:rPr>
              <w:t>Statele</w:t>
            </w:r>
            <w:proofErr w:type="spellEnd"/>
            <w:r w:rsidRPr="00432504">
              <w:rPr>
                <w:sz w:val="20"/>
                <w:szCs w:val="20"/>
                <w:lang w:eastAsia="ru-RU"/>
              </w:rPr>
              <w:t xml:space="preserve"> </w:t>
            </w:r>
            <w:proofErr w:type="spellStart"/>
            <w:r w:rsidRPr="00432504">
              <w:rPr>
                <w:sz w:val="20"/>
                <w:szCs w:val="20"/>
                <w:lang w:eastAsia="ru-RU"/>
              </w:rPr>
              <w:t>membre</w:t>
            </w:r>
            <w:proofErr w:type="spellEnd"/>
            <w:r w:rsidRPr="00432504">
              <w:rPr>
                <w:sz w:val="20"/>
                <w:szCs w:val="20"/>
                <w:lang w:eastAsia="ru-RU"/>
              </w:rPr>
              <w:t xml:space="preserve"> </w:t>
            </w:r>
            <w:proofErr w:type="spellStart"/>
            <w:r w:rsidRPr="00432504">
              <w:rPr>
                <w:sz w:val="20"/>
                <w:szCs w:val="20"/>
                <w:lang w:eastAsia="ru-RU"/>
              </w:rPr>
              <w:t>includ</w:t>
            </w:r>
            <w:proofErr w:type="spellEnd"/>
            <w:r w:rsidRPr="00432504">
              <w:rPr>
                <w:sz w:val="20"/>
                <w:szCs w:val="20"/>
                <w:lang w:eastAsia="ru-RU"/>
              </w:rPr>
              <w:t xml:space="preserve"> în </w:t>
            </w:r>
            <w:proofErr w:type="spellStart"/>
            <w:r w:rsidRPr="00432504">
              <w:rPr>
                <w:sz w:val="20"/>
                <w:szCs w:val="20"/>
                <w:lang w:eastAsia="ru-RU"/>
              </w:rPr>
              <w:t>rapoartele</w:t>
            </w:r>
            <w:proofErr w:type="spellEnd"/>
            <w:r w:rsidRPr="00432504">
              <w:rPr>
                <w:sz w:val="20"/>
                <w:szCs w:val="20"/>
                <w:lang w:eastAsia="ru-RU"/>
              </w:rPr>
              <w:t xml:space="preserve"> </w:t>
            </w:r>
            <w:proofErr w:type="spellStart"/>
            <w:r w:rsidRPr="00432504">
              <w:rPr>
                <w:sz w:val="20"/>
                <w:szCs w:val="20"/>
                <w:lang w:eastAsia="ru-RU"/>
              </w:rPr>
              <w:t>naționale</w:t>
            </w:r>
            <w:proofErr w:type="spellEnd"/>
            <w:r w:rsidRPr="00432504">
              <w:rPr>
                <w:sz w:val="20"/>
                <w:szCs w:val="20"/>
                <w:lang w:eastAsia="ru-RU"/>
              </w:rPr>
              <w:t xml:space="preserve"> </w:t>
            </w:r>
            <w:proofErr w:type="spellStart"/>
            <w:r w:rsidRPr="00432504">
              <w:rPr>
                <w:rFonts w:ascii="Times New Roman" w:hAnsi="Times New Roman"/>
                <w:sz w:val="20"/>
                <w:szCs w:val="20"/>
                <w:lang w:eastAsia="ru-RU"/>
              </w:rPr>
              <w:t>intermediare</w:t>
            </w:r>
            <w:proofErr w:type="spellEnd"/>
            <w:r w:rsidRPr="00432504">
              <w:rPr>
                <w:rFonts w:ascii="Times New Roman" w:hAnsi="Times New Roman"/>
                <w:sz w:val="20"/>
                <w:szCs w:val="20"/>
                <w:lang w:eastAsia="ru-RU"/>
              </w:rPr>
              <w:t xml:space="preserve"> integrate </w:t>
            </w:r>
            <w:proofErr w:type="spellStart"/>
            <w:r w:rsidRPr="00432504">
              <w:rPr>
                <w:rFonts w:ascii="Times New Roman" w:hAnsi="Times New Roman"/>
                <w:sz w:val="20"/>
                <w:szCs w:val="20"/>
                <w:lang w:eastAsia="ru-RU"/>
              </w:rPr>
              <w:t>privind</w:t>
            </w:r>
            <w:proofErr w:type="spellEnd"/>
            <w:r w:rsidRPr="00432504">
              <w:rPr>
                <w:rFonts w:ascii="Times New Roman" w:hAnsi="Times New Roman"/>
                <w:sz w:val="20"/>
                <w:szCs w:val="20"/>
                <w:lang w:eastAsia="ru-RU"/>
              </w:rPr>
              <w:t xml:space="preserve"> </w:t>
            </w:r>
            <w:proofErr w:type="spellStart"/>
            <w:r w:rsidRPr="00432504">
              <w:rPr>
                <w:rFonts w:ascii="Times New Roman" w:hAnsi="Times New Roman"/>
                <w:sz w:val="20"/>
                <w:szCs w:val="20"/>
                <w:lang w:eastAsia="ru-RU"/>
              </w:rPr>
              <w:t>energia</w:t>
            </w:r>
            <w:proofErr w:type="spellEnd"/>
            <w:r w:rsidRPr="00432504">
              <w:rPr>
                <w:rFonts w:ascii="Times New Roman" w:hAnsi="Times New Roman"/>
                <w:sz w:val="20"/>
                <w:szCs w:val="20"/>
                <w:lang w:eastAsia="ru-RU"/>
              </w:rPr>
              <w:t xml:space="preserve"> și </w:t>
            </w:r>
            <w:proofErr w:type="spellStart"/>
            <w:r w:rsidRPr="00432504">
              <w:rPr>
                <w:rFonts w:ascii="Times New Roman" w:hAnsi="Times New Roman"/>
                <w:sz w:val="20"/>
                <w:szCs w:val="20"/>
                <w:lang w:eastAsia="ru-RU"/>
              </w:rPr>
              <w:t>clima</w:t>
            </w:r>
            <w:proofErr w:type="spellEnd"/>
            <w:r w:rsidRPr="00432504">
              <w:rPr>
                <w:rFonts w:ascii="Times New Roman" w:hAnsi="Times New Roman"/>
                <w:sz w:val="20"/>
                <w:szCs w:val="20"/>
                <w:lang w:eastAsia="ru-RU"/>
              </w:rPr>
              <w:t xml:space="preserve"> </w:t>
            </w:r>
            <w:proofErr w:type="spellStart"/>
            <w:r w:rsidRPr="00432504">
              <w:rPr>
                <w:rFonts w:ascii="Times New Roman" w:hAnsi="Times New Roman"/>
                <w:sz w:val="20"/>
                <w:szCs w:val="20"/>
                <w:lang w:eastAsia="ru-RU"/>
              </w:rPr>
              <w:t>informațiile</w:t>
            </w:r>
            <w:proofErr w:type="spellEnd"/>
            <w:r w:rsidRPr="00432504">
              <w:rPr>
                <w:rFonts w:ascii="Times New Roman" w:hAnsi="Times New Roman"/>
                <w:sz w:val="20"/>
                <w:szCs w:val="20"/>
                <w:lang w:eastAsia="ru-RU"/>
              </w:rPr>
              <w:t>:</w:t>
            </w:r>
          </w:p>
          <w:p w14:paraId="426C0071" w14:textId="70675BB1" w:rsidR="008F5636" w:rsidRPr="00432504" w:rsidRDefault="008F5636" w:rsidP="000C5A3B">
            <w:pPr>
              <w:pStyle w:val="af3"/>
              <w:numPr>
                <w:ilvl w:val="0"/>
                <w:numId w:val="111"/>
              </w:numPr>
              <w:spacing w:after="0" w:line="240" w:lineRule="auto"/>
              <w:ind w:left="697" w:hanging="357"/>
              <w:rPr>
                <w:rFonts w:ascii="Times New Roman" w:hAnsi="Times New Roman"/>
                <w:sz w:val="20"/>
                <w:szCs w:val="20"/>
                <w:lang w:val="fr-FR" w:eastAsia="ru-RU"/>
              </w:rPr>
            </w:pPr>
            <w:proofErr w:type="spellStart"/>
            <w:proofErr w:type="gramStart"/>
            <w:r w:rsidRPr="00432504">
              <w:rPr>
                <w:rFonts w:ascii="Times New Roman" w:hAnsi="Times New Roman"/>
                <w:sz w:val="20"/>
                <w:szCs w:val="20"/>
                <w:lang w:val="fr-FR" w:eastAsia="ru-RU"/>
              </w:rPr>
              <w:t>cu</w:t>
            </w:r>
            <w:proofErr w:type="spellEnd"/>
            <w:proofErr w:type="gram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privire</w:t>
            </w:r>
            <w:proofErr w:type="spellEnd"/>
            <w:r w:rsidRPr="00432504">
              <w:rPr>
                <w:rFonts w:ascii="Times New Roman" w:hAnsi="Times New Roman"/>
                <w:sz w:val="20"/>
                <w:szCs w:val="20"/>
                <w:lang w:val="fr-FR" w:eastAsia="ru-RU"/>
              </w:rPr>
              <w:t xml:space="preserve"> la </w:t>
            </w:r>
            <w:proofErr w:type="spellStart"/>
            <w:r w:rsidRPr="00432504">
              <w:rPr>
                <w:rFonts w:ascii="Times New Roman" w:hAnsi="Times New Roman"/>
                <w:sz w:val="20"/>
                <w:szCs w:val="20"/>
                <w:lang w:val="fr-FR" w:eastAsia="ru-RU"/>
              </w:rPr>
              <w:t>punerea</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aplicare</w:t>
            </w:r>
            <w:proofErr w:type="spellEnd"/>
            <w:r w:rsidRPr="00432504">
              <w:rPr>
                <w:rFonts w:ascii="Times New Roman" w:hAnsi="Times New Roman"/>
                <w:sz w:val="20"/>
                <w:szCs w:val="20"/>
                <w:lang w:val="fr-FR" w:eastAsia="ru-RU"/>
              </w:rPr>
              <w:t xml:space="preserve"> a </w:t>
            </w:r>
            <w:proofErr w:type="spellStart"/>
            <w:r w:rsidRPr="00432504">
              <w:rPr>
                <w:rFonts w:ascii="Times New Roman" w:hAnsi="Times New Roman"/>
                <w:sz w:val="20"/>
                <w:szCs w:val="20"/>
                <w:lang w:val="fr-FR" w:eastAsia="ru-RU"/>
              </w:rPr>
              <w:t>următoarelor</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traiectorii</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obiective</w:t>
            </w:r>
            <w:proofErr w:type="spellEnd"/>
            <w:r w:rsidRPr="00432504">
              <w:rPr>
                <w:rFonts w:ascii="Times New Roman" w:hAnsi="Times New Roman"/>
                <w:sz w:val="20"/>
                <w:szCs w:val="20"/>
                <w:lang w:val="fr-FR" w:eastAsia="ru-RU"/>
              </w:rPr>
              <w:t>:</w:t>
            </w:r>
          </w:p>
          <w:p w14:paraId="48357715" w14:textId="2C5F64CF" w:rsidR="008F5636" w:rsidRPr="00432504" w:rsidRDefault="008F5636" w:rsidP="000C5A3B">
            <w:pPr>
              <w:pStyle w:val="af3"/>
              <w:numPr>
                <w:ilvl w:val="0"/>
                <w:numId w:val="112"/>
              </w:numPr>
              <w:spacing w:after="0" w:line="240" w:lineRule="auto"/>
              <w:ind w:left="697" w:hanging="357"/>
              <w:jc w:val="both"/>
              <w:rPr>
                <w:rFonts w:ascii="Times New Roman" w:hAnsi="Times New Roman"/>
                <w:sz w:val="20"/>
                <w:szCs w:val="20"/>
                <w:lang w:val="fr-FR" w:eastAsia="ru-RU"/>
              </w:rPr>
            </w:pPr>
            <w:proofErr w:type="spellStart"/>
            <w:proofErr w:type="gramStart"/>
            <w:r w:rsidRPr="00432504">
              <w:rPr>
                <w:rFonts w:ascii="Times New Roman" w:hAnsi="Times New Roman"/>
                <w:sz w:val="20"/>
                <w:szCs w:val="20"/>
                <w:lang w:val="fr-FR" w:eastAsia="ru-RU"/>
              </w:rPr>
              <w:t>traiectoria</w:t>
            </w:r>
            <w:proofErr w:type="spellEnd"/>
            <w:proofErr w:type="gramEnd"/>
            <w:r w:rsidRPr="00432504">
              <w:rPr>
                <w:rFonts w:ascii="Times New Roman" w:hAnsi="Times New Roman"/>
                <w:sz w:val="20"/>
                <w:szCs w:val="20"/>
                <w:lang w:val="fr-FR" w:eastAsia="ru-RU"/>
              </w:rPr>
              <w:t xml:space="preserve"> națională </w:t>
            </w:r>
            <w:proofErr w:type="spellStart"/>
            <w:r w:rsidRPr="00432504">
              <w:rPr>
                <w:rFonts w:ascii="Times New Roman" w:hAnsi="Times New Roman"/>
                <w:sz w:val="20"/>
                <w:szCs w:val="20"/>
                <w:lang w:val="fr-FR" w:eastAsia="ru-RU"/>
              </w:rPr>
              <w:t>orientativă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privind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ponderea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globală</w:t>
            </w:r>
            <w:proofErr w:type="spellEnd"/>
            <w:r w:rsidRPr="00432504">
              <w:rPr>
                <w:rFonts w:ascii="Times New Roman" w:hAnsi="Times New Roman"/>
                <w:sz w:val="20"/>
                <w:szCs w:val="20"/>
                <w:lang w:val="fr-FR" w:eastAsia="ru-RU"/>
              </w:rPr>
              <w:t xml:space="preserve"> a energiei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în c</w:t>
            </w:r>
            <w:r w:rsidRPr="00432504">
              <w:rPr>
                <w:rFonts w:ascii="Times New Roman" w:hAnsi="Times New Roman"/>
                <w:sz w:val="20"/>
                <w:szCs w:val="20"/>
                <w:lang w:val="fr-FR" w:eastAsia="ru-RU"/>
              </w:rPr>
              <w:cr/>
            </w:r>
            <w:proofErr w:type="spellStart"/>
            <w:proofErr w:type="gramStart"/>
            <w:r w:rsidRPr="00432504">
              <w:rPr>
                <w:rFonts w:ascii="Times New Roman" w:hAnsi="Times New Roman"/>
                <w:sz w:val="20"/>
                <w:szCs w:val="20"/>
                <w:lang w:val="fr-FR" w:eastAsia="ru-RU"/>
              </w:rPr>
              <w:t>nsumul</w:t>
            </w:r>
            <w:proofErr w:type="spellEnd"/>
            <w:proofErr w:type="gramEnd"/>
            <w:r w:rsidRPr="00432504">
              <w:rPr>
                <w:rFonts w:ascii="Times New Roman" w:hAnsi="Times New Roman"/>
                <w:sz w:val="20"/>
                <w:szCs w:val="20"/>
                <w:lang w:val="fr-FR" w:eastAsia="ru-RU"/>
              </w:rPr>
              <w:t xml:space="preserve"> final brut de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perioada 2021-2030;</w:t>
            </w:r>
          </w:p>
          <w:p w14:paraId="62AB1391" w14:textId="32B9CEE2" w:rsidR="008F5636" w:rsidRPr="00432504" w:rsidRDefault="008F5636" w:rsidP="000C5A3B">
            <w:pPr>
              <w:pStyle w:val="af3"/>
              <w:numPr>
                <w:ilvl w:val="0"/>
                <w:numId w:val="112"/>
              </w:numPr>
              <w:spacing w:after="0" w:line="240" w:lineRule="auto"/>
              <w:ind w:left="697" w:hanging="357"/>
              <w:jc w:val="both"/>
              <w:rPr>
                <w:rFonts w:ascii="Times New Roman" w:hAnsi="Times New Roman"/>
                <w:sz w:val="20"/>
                <w:szCs w:val="20"/>
                <w:lang w:val="fr-FR" w:eastAsia="ru-RU"/>
              </w:rPr>
            </w:pPr>
            <w:proofErr w:type="spellStart"/>
            <w:proofErr w:type="gramStart"/>
            <w:r w:rsidRPr="00432504">
              <w:rPr>
                <w:rFonts w:ascii="Times New Roman" w:hAnsi="Times New Roman"/>
                <w:sz w:val="20"/>
                <w:szCs w:val="20"/>
                <w:lang w:val="fr-FR" w:eastAsia="ru-RU"/>
              </w:rPr>
              <w:lastRenderedPageBreak/>
              <w:t>traiectoriile</w:t>
            </w:r>
            <w:proofErr w:type="spellEnd"/>
            <w:proofErr w:type="gram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estimate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privind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ponderea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sectorială</w:t>
            </w:r>
            <w:proofErr w:type="spellEnd"/>
            <w:r w:rsidRPr="00432504">
              <w:rPr>
                <w:rFonts w:ascii="Times New Roman" w:hAnsi="Times New Roman"/>
                <w:sz w:val="20"/>
                <w:szCs w:val="20"/>
                <w:lang w:val="fr-FR" w:eastAsia="ru-RU"/>
              </w:rPr>
              <w:t xml:space="preserve"> a energiei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consumul</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finală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perioada 2021-2030 în </w:t>
            </w:r>
            <w:proofErr w:type="spellStart"/>
            <w:r w:rsidRPr="00432504">
              <w:rPr>
                <w:rFonts w:ascii="Times New Roman" w:hAnsi="Times New Roman"/>
                <w:sz w:val="20"/>
                <w:szCs w:val="20"/>
                <w:lang w:val="fr-FR" w:eastAsia="ru-RU"/>
              </w:rPr>
              <w:t>sectorul</w:t>
            </w:r>
            <w:proofErr w:type="spellEnd"/>
            <w:r w:rsidRPr="00432504">
              <w:rPr>
                <w:rFonts w:ascii="Times New Roman" w:hAnsi="Times New Roman"/>
                <w:sz w:val="20"/>
                <w:szCs w:val="20"/>
                <w:lang w:val="fr-FR" w:eastAsia="ru-RU"/>
              </w:rPr>
              <w:t xml:space="preserve"> energiei </w:t>
            </w:r>
            <w:proofErr w:type="spellStart"/>
            <w:r w:rsidRPr="00432504">
              <w:rPr>
                <w:rFonts w:ascii="Times New Roman" w:hAnsi="Times New Roman"/>
                <w:sz w:val="20"/>
                <w:szCs w:val="20"/>
                <w:lang w:val="fr-FR" w:eastAsia="ru-RU"/>
              </w:rPr>
              <w:t>electrice</w:t>
            </w:r>
            <w:proofErr w:type="spellEnd"/>
            <w:r w:rsidRPr="00432504">
              <w:rPr>
                <w:rFonts w:ascii="Times New Roman" w:hAnsi="Times New Roman"/>
                <w:sz w:val="20"/>
                <w:szCs w:val="20"/>
                <w:lang w:val="fr-FR" w:eastAsia="ru-RU"/>
              </w:rPr>
              <w:t xml:space="preserve">, al </w:t>
            </w:r>
            <w:proofErr w:type="spellStart"/>
            <w:r w:rsidRPr="00432504">
              <w:rPr>
                <w:rFonts w:ascii="Times New Roman" w:hAnsi="Times New Roman"/>
                <w:sz w:val="20"/>
                <w:szCs w:val="20"/>
                <w:lang w:val="fr-FR" w:eastAsia="ru-RU"/>
              </w:rPr>
              <w:t>încălzirii</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răcirii</w:t>
            </w:r>
            <w:proofErr w:type="spellEnd"/>
            <w:r w:rsidRPr="00432504">
              <w:rPr>
                <w:rFonts w:ascii="Times New Roman" w:hAnsi="Times New Roman"/>
                <w:sz w:val="20"/>
                <w:szCs w:val="20"/>
                <w:lang w:val="fr-FR" w:eastAsia="ru-RU"/>
              </w:rPr>
              <w:t xml:space="preserve"> și al </w:t>
            </w:r>
            <w:proofErr w:type="spellStart"/>
            <w:r w:rsidRPr="00432504">
              <w:rPr>
                <w:rFonts w:ascii="Times New Roman" w:hAnsi="Times New Roman"/>
                <w:sz w:val="20"/>
                <w:szCs w:val="20"/>
                <w:lang w:val="fr-FR" w:eastAsia="ru-RU"/>
              </w:rPr>
              <w:t>tansporturilor</w:t>
            </w:r>
            <w:proofErr w:type="spellEnd"/>
            <w:r w:rsidRPr="00432504">
              <w:rPr>
                <w:rFonts w:ascii="Times New Roman" w:hAnsi="Times New Roman"/>
                <w:sz w:val="20"/>
                <w:szCs w:val="20"/>
                <w:lang w:val="fr-FR" w:eastAsia="ru-RU"/>
              </w:rPr>
              <w:t>;</w:t>
            </w:r>
          </w:p>
          <w:p w14:paraId="1D4274FE" w14:textId="0EDDA797" w:rsidR="008F5636" w:rsidRPr="00432504" w:rsidRDefault="008F5636" w:rsidP="000C5A3B">
            <w:pPr>
              <w:pStyle w:val="af3"/>
              <w:numPr>
                <w:ilvl w:val="0"/>
                <w:numId w:val="112"/>
              </w:numPr>
              <w:spacing w:after="0" w:line="240" w:lineRule="auto"/>
              <w:ind w:left="697" w:hanging="357"/>
              <w:jc w:val="both"/>
              <w:rPr>
                <w:rFonts w:ascii="Times New Roman" w:hAnsi="Times New Roman"/>
                <w:sz w:val="20"/>
                <w:szCs w:val="20"/>
                <w:lang w:val="fr-FR" w:eastAsia="ru-RU"/>
              </w:rPr>
            </w:pPr>
            <w:proofErr w:type="spellStart"/>
            <w:proofErr w:type="gramStart"/>
            <w:r w:rsidRPr="00432504">
              <w:rPr>
                <w:rFonts w:ascii="Times New Roman" w:hAnsi="Times New Roman"/>
                <w:sz w:val="20"/>
                <w:szCs w:val="20"/>
                <w:lang w:val="fr-FR" w:eastAsia="ru-RU"/>
              </w:rPr>
              <w:t>traiectoriile</w:t>
            </w:r>
            <w:proofErr w:type="spellEnd"/>
            <w:proofErr w:type="gram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estimate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fiecare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tehnologie</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obținere</w:t>
            </w:r>
            <w:proofErr w:type="spellEnd"/>
            <w:r w:rsidRPr="00432504">
              <w:rPr>
                <w:rFonts w:ascii="Times New Roman" w:hAnsi="Times New Roman"/>
                <w:sz w:val="20"/>
                <w:szCs w:val="20"/>
                <w:lang w:val="fr-FR" w:eastAsia="ru-RU"/>
              </w:rPr>
              <w:t xml:space="preserve"> a energiei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a </w:t>
            </w:r>
            <w:proofErr w:type="spellStart"/>
            <w:r w:rsidRPr="00432504">
              <w:rPr>
                <w:rFonts w:ascii="Times New Roman" w:hAnsi="Times New Roman"/>
                <w:sz w:val="20"/>
                <w:szCs w:val="20"/>
                <w:lang w:val="fr-FR" w:eastAsia="ru-RU"/>
              </w:rPr>
              <w:t>realiza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traiectoriile</w:t>
            </w:r>
            <w:proofErr w:type="spellEnd"/>
            <w:r w:rsidRPr="00432504">
              <w:rPr>
                <w:rFonts w:ascii="Times New Roman" w:hAnsi="Times New Roman"/>
                <w:sz w:val="20"/>
                <w:szCs w:val="20"/>
                <w:lang w:val="fr-FR" w:eastAsia="ru-RU"/>
              </w:rPr>
              <w:t xml:space="preserve"> globale și </w:t>
            </w:r>
            <w:proofErr w:type="spellStart"/>
            <w:r w:rsidRPr="00432504">
              <w:rPr>
                <w:rFonts w:ascii="Times New Roman" w:hAnsi="Times New Roman"/>
                <w:sz w:val="20"/>
                <w:szCs w:val="20"/>
                <w:lang w:val="fr-FR" w:eastAsia="ru-RU"/>
              </w:rPr>
              <w:t>sectoriale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energia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în perioada 2021-2030, </w:t>
            </w:r>
            <w:proofErr w:type="spellStart"/>
            <w:r w:rsidRPr="00432504">
              <w:rPr>
                <w:rFonts w:ascii="Times New Roman" w:hAnsi="Times New Roman"/>
                <w:sz w:val="20"/>
                <w:szCs w:val="20"/>
                <w:lang w:val="fr-FR" w:eastAsia="ru-RU"/>
              </w:rPr>
              <w:t>inclusiv</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consumul</w:t>
            </w:r>
            <w:proofErr w:type="spellEnd"/>
            <w:r w:rsidRPr="00432504">
              <w:rPr>
                <w:rFonts w:ascii="Times New Roman" w:hAnsi="Times New Roman"/>
                <w:sz w:val="20"/>
                <w:szCs w:val="20"/>
                <w:lang w:val="fr-FR" w:eastAsia="ru-RU"/>
              </w:rPr>
              <w:t xml:space="preserve"> final brut </w:t>
            </w:r>
            <w:proofErr w:type="spellStart"/>
            <w:r w:rsidRPr="00432504">
              <w:rPr>
                <w:rFonts w:ascii="Times New Roman" w:hAnsi="Times New Roman"/>
                <w:sz w:val="20"/>
                <w:szCs w:val="20"/>
                <w:lang w:val="fr-FR" w:eastAsia="ru-RU"/>
              </w:rPr>
              <w:t>preconizat</w:t>
            </w:r>
            <w:proofErr w:type="spellEnd"/>
            <w:r w:rsidRPr="00432504">
              <w:rPr>
                <w:rFonts w:ascii="Times New Roman" w:hAnsi="Times New Roman"/>
                <w:sz w:val="20"/>
                <w:szCs w:val="20"/>
                <w:lang w:val="fr-FR" w:eastAsia="ru-RU"/>
              </w:rPr>
              <w:t xml:space="preserve"> total de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per </w:t>
            </w:r>
            <w:proofErr w:type="spellStart"/>
            <w:r w:rsidRPr="00432504">
              <w:rPr>
                <w:rFonts w:ascii="Times New Roman" w:hAnsi="Times New Roman"/>
                <w:sz w:val="20"/>
                <w:szCs w:val="20"/>
                <w:lang w:val="fr-FR" w:eastAsia="ru-RU"/>
              </w:rPr>
              <w:t>tehnologie</w:t>
            </w:r>
            <w:proofErr w:type="spellEnd"/>
            <w:r w:rsidRPr="00432504">
              <w:rPr>
                <w:rFonts w:ascii="Times New Roman" w:hAnsi="Times New Roman"/>
                <w:sz w:val="20"/>
                <w:szCs w:val="20"/>
                <w:lang w:val="fr-FR" w:eastAsia="ru-RU"/>
              </w:rPr>
              <w:t xml:space="preserve"> și per </w:t>
            </w:r>
            <w:proofErr w:type="spellStart"/>
            <w:r w:rsidRPr="00432504">
              <w:rPr>
                <w:rFonts w:ascii="Times New Roman" w:hAnsi="Times New Roman"/>
                <w:sz w:val="20"/>
                <w:szCs w:val="20"/>
                <w:lang w:val="fr-FR" w:eastAsia="ru-RU"/>
              </w:rPr>
              <w:t>sector</w:t>
            </w:r>
            <w:proofErr w:type="spellEnd"/>
            <w:r w:rsidRPr="00432504">
              <w:rPr>
                <w:rFonts w:ascii="Times New Roman" w:hAnsi="Times New Roman"/>
                <w:sz w:val="20"/>
                <w:szCs w:val="20"/>
                <w:lang w:val="fr-FR" w:eastAsia="ru-RU"/>
              </w:rPr>
              <w:t xml:space="preserve"> în Mtep și </w:t>
            </w:r>
            <w:proofErr w:type="spellStart"/>
            <w:r w:rsidRPr="00432504">
              <w:rPr>
                <w:rFonts w:ascii="Times New Roman" w:hAnsi="Times New Roman"/>
                <w:sz w:val="20"/>
                <w:szCs w:val="20"/>
                <w:lang w:val="fr-FR" w:eastAsia="ru-RU"/>
              </w:rPr>
              <w:t>puterea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totală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instalată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planificată</w:t>
            </w:r>
            <w:proofErr w:type="spellEnd"/>
            <w:r w:rsidRPr="00432504">
              <w:rPr>
                <w:rFonts w:ascii="Times New Roman" w:hAnsi="Times New Roman"/>
                <w:sz w:val="20"/>
                <w:szCs w:val="20"/>
                <w:lang w:val="fr-FR" w:eastAsia="ru-RU"/>
              </w:rPr>
              <w:t xml:space="preserve"> per </w:t>
            </w:r>
            <w:proofErr w:type="spellStart"/>
            <w:r w:rsidRPr="00432504">
              <w:rPr>
                <w:rFonts w:ascii="Times New Roman" w:hAnsi="Times New Roman"/>
                <w:sz w:val="20"/>
                <w:szCs w:val="20"/>
                <w:lang w:val="fr-FR" w:eastAsia="ru-RU"/>
              </w:rPr>
              <w:t>tehnologie</w:t>
            </w:r>
            <w:proofErr w:type="spellEnd"/>
            <w:r w:rsidRPr="00432504">
              <w:rPr>
                <w:rFonts w:ascii="Times New Roman" w:hAnsi="Times New Roman"/>
                <w:sz w:val="20"/>
                <w:szCs w:val="20"/>
                <w:lang w:val="fr-FR" w:eastAsia="ru-RU"/>
              </w:rPr>
              <w:t xml:space="preserve"> și per </w:t>
            </w:r>
            <w:proofErr w:type="spellStart"/>
            <w:r w:rsidRPr="00432504">
              <w:rPr>
                <w:rFonts w:ascii="Times New Roman" w:hAnsi="Times New Roman"/>
                <w:sz w:val="20"/>
                <w:szCs w:val="20"/>
                <w:lang w:val="fr-FR" w:eastAsia="ru-RU"/>
              </w:rPr>
              <w:t>sector</w:t>
            </w:r>
            <w:proofErr w:type="spellEnd"/>
            <w:r w:rsidRPr="00432504">
              <w:rPr>
                <w:rFonts w:ascii="Times New Roman" w:hAnsi="Times New Roman"/>
                <w:sz w:val="20"/>
                <w:szCs w:val="20"/>
                <w:lang w:val="fr-FR" w:eastAsia="ru-RU"/>
              </w:rPr>
              <w:t xml:space="preserve"> în MW;</w:t>
            </w:r>
          </w:p>
          <w:p w14:paraId="6872F8A9" w14:textId="16AFDE02" w:rsidR="008F5636" w:rsidRPr="00432504" w:rsidRDefault="008F5636" w:rsidP="000C5A3B">
            <w:pPr>
              <w:pStyle w:val="af3"/>
              <w:numPr>
                <w:ilvl w:val="0"/>
                <w:numId w:val="112"/>
              </w:numPr>
              <w:spacing w:after="0" w:line="240" w:lineRule="auto"/>
              <w:ind w:left="697" w:hanging="357"/>
              <w:jc w:val="both"/>
              <w:rPr>
                <w:rFonts w:ascii="Times New Roman" w:hAnsi="Times New Roman"/>
                <w:sz w:val="20"/>
                <w:szCs w:val="20"/>
                <w:lang w:val="fr-FR" w:eastAsia="ru-RU"/>
              </w:rPr>
            </w:pPr>
            <w:proofErr w:type="spellStart"/>
            <w:proofErr w:type="gramStart"/>
            <w:r w:rsidRPr="00432504">
              <w:rPr>
                <w:rFonts w:ascii="Times New Roman" w:hAnsi="Times New Roman"/>
                <w:sz w:val="20"/>
                <w:szCs w:val="20"/>
                <w:lang w:val="fr-FR" w:eastAsia="ru-RU"/>
              </w:rPr>
              <w:t>traiectoriile</w:t>
            </w:r>
            <w:proofErr w:type="spellEnd"/>
            <w:proofErr w:type="gram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privind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cererea</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bioenergie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defalcată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căldură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electrică</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transporturi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precum</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privind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oferta</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biomasă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materii</w:t>
            </w:r>
            <w:proofErr w:type="spellEnd"/>
            <w:r w:rsidRPr="00432504">
              <w:rPr>
                <w:rFonts w:ascii="Times New Roman" w:hAnsi="Times New Roman"/>
                <w:sz w:val="20"/>
                <w:szCs w:val="20"/>
                <w:lang w:val="fr-FR" w:eastAsia="ru-RU"/>
              </w:rPr>
              <w:t xml:space="preserve"> prime și </w:t>
            </w:r>
            <w:proofErr w:type="spellStart"/>
            <w:r w:rsidRPr="00432504">
              <w:rPr>
                <w:rFonts w:ascii="Times New Roman" w:hAnsi="Times New Roman"/>
                <w:sz w:val="20"/>
                <w:szCs w:val="20"/>
                <w:lang w:val="fr-FR" w:eastAsia="ru-RU"/>
              </w:rPr>
              <w:t>proveniență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făcând</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distincție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între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producția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internă</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importuri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pentru</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biomasa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forestieră</w:t>
            </w:r>
            <w:proofErr w:type="spellEnd"/>
            <w:r w:rsidRPr="00432504">
              <w:rPr>
                <w:rFonts w:ascii="Times New Roman" w:hAnsi="Times New Roman"/>
                <w:sz w:val="20"/>
                <w:szCs w:val="20"/>
                <w:lang w:val="fr-FR" w:eastAsia="ru-RU"/>
              </w:rPr>
              <w:t xml:space="preserve">, o </w:t>
            </w:r>
            <w:proofErr w:type="spellStart"/>
            <w:r w:rsidRPr="00432504">
              <w:rPr>
                <w:rFonts w:ascii="Times New Roman" w:hAnsi="Times New Roman"/>
                <w:sz w:val="20"/>
                <w:szCs w:val="20"/>
                <w:lang w:val="fr-FR" w:eastAsia="ru-RU"/>
              </w:rPr>
              <w:t>evaluare</w:t>
            </w:r>
            <w:proofErr w:type="spellEnd"/>
            <w:r w:rsidRPr="00432504">
              <w:rPr>
                <w:rFonts w:ascii="Times New Roman" w:hAnsi="Times New Roman"/>
                <w:sz w:val="20"/>
                <w:szCs w:val="20"/>
                <w:lang w:val="fr-FR" w:eastAsia="ru-RU"/>
              </w:rPr>
              <w:t xml:space="preserve"> a </w:t>
            </w:r>
            <w:proofErr w:type="spellStart"/>
            <w:r w:rsidRPr="00432504">
              <w:rPr>
                <w:rFonts w:ascii="Times New Roman" w:hAnsi="Times New Roman"/>
                <w:sz w:val="20"/>
                <w:szCs w:val="20"/>
                <w:lang w:val="fr-FR" w:eastAsia="ru-RU"/>
              </w:rPr>
              <w:t>sursei</w:t>
            </w:r>
            <w:proofErr w:type="spellEnd"/>
            <w:r w:rsidRPr="00432504">
              <w:rPr>
                <w:rFonts w:ascii="Times New Roman" w:hAnsi="Times New Roman"/>
                <w:sz w:val="20"/>
                <w:szCs w:val="20"/>
                <w:lang w:val="fr-FR" w:eastAsia="ru-RU"/>
              </w:rPr>
              <w:t xml:space="preserve"> și a </w:t>
            </w:r>
            <w:proofErr w:type="spellStart"/>
            <w:r w:rsidRPr="00432504">
              <w:rPr>
                <w:rFonts w:ascii="Times New Roman" w:hAnsi="Times New Roman"/>
                <w:sz w:val="20"/>
                <w:szCs w:val="20"/>
                <w:lang w:val="fr-FR" w:eastAsia="ru-RU"/>
              </w:rPr>
              <w:t>impactului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acesteia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asupra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absorbantului</w:t>
            </w:r>
            <w:proofErr w:type="spellEnd"/>
            <w:r w:rsidRPr="00432504">
              <w:rPr>
                <w:rFonts w:ascii="Times New Roman" w:hAnsi="Times New Roman"/>
                <w:sz w:val="20"/>
                <w:szCs w:val="20"/>
                <w:lang w:val="fr-FR" w:eastAsia="ru-RU"/>
              </w:rPr>
              <w:t xml:space="preserve"> LULUCF;</w:t>
            </w:r>
          </w:p>
          <w:p w14:paraId="73E4C0E0" w14:textId="29C83C86" w:rsidR="008F5636" w:rsidRPr="00432504" w:rsidRDefault="008F5636" w:rsidP="000C5A3B">
            <w:pPr>
              <w:pStyle w:val="af3"/>
              <w:numPr>
                <w:ilvl w:val="0"/>
                <w:numId w:val="112"/>
              </w:numPr>
              <w:spacing w:after="0" w:line="240" w:lineRule="auto"/>
              <w:ind w:left="697" w:hanging="357"/>
              <w:jc w:val="both"/>
              <w:rPr>
                <w:rFonts w:ascii="Times New Roman" w:hAnsi="Times New Roman"/>
                <w:sz w:val="20"/>
                <w:szCs w:val="20"/>
                <w:lang w:val="fr-FR" w:eastAsia="ru-RU"/>
              </w:rPr>
            </w:pPr>
            <w:proofErr w:type="spellStart"/>
            <w:r w:rsidRPr="00432504">
              <w:rPr>
                <w:rFonts w:ascii="Times New Roman" w:hAnsi="Times New Roman"/>
                <w:sz w:val="20"/>
                <w:szCs w:val="20"/>
                <w:lang w:val="fr-FR" w:eastAsia="ru-RU"/>
              </w:rPr>
              <w:t>dacă</w:t>
            </w:r>
            <w:proofErr w:type="spellEnd"/>
            <w:r w:rsidRPr="00432504">
              <w:rPr>
                <w:rFonts w:ascii="Times New Roman" w:hAnsi="Times New Roman"/>
                <w:sz w:val="20"/>
                <w:szCs w:val="20"/>
                <w:lang w:val="fr-FR" w:eastAsia="ru-RU"/>
              </w:rPr>
              <w:t xml:space="preserve"> este </w:t>
            </w:r>
            <w:proofErr w:type="spellStart"/>
            <w:r w:rsidRPr="00432504">
              <w:rPr>
                <w:rFonts w:ascii="Times New Roman" w:hAnsi="Times New Roman"/>
                <w:sz w:val="20"/>
                <w:szCs w:val="20"/>
                <w:lang w:val="fr-FR" w:eastAsia="ru-RU"/>
              </w:rPr>
              <w:t>cazul</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alte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traiectorii</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obiective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naționale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inclusiv</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cele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sectoriale</w:t>
            </w:r>
            <w:proofErr w:type="spellEnd"/>
            <w:r w:rsidRPr="00432504">
              <w:rPr>
                <w:rFonts w:ascii="Times New Roman" w:hAnsi="Times New Roman"/>
                <w:sz w:val="20"/>
                <w:szCs w:val="20"/>
                <w:lang w:val="fr-FR" w:eastAsia="ru-RU"/>
              </w:rPr>
              <w:t xml:space="preserve"> și </w:t>
            </w:r>
            <w:proofErr w:type="spellStart"/>
            <w:r w:rsidRPr="00432504">
              <w:rPr>
                <w:rFonts w:ascii="Times New Roman" w:hAnsi="Times New Roman"/>
                <w:sz w:val="20"/>
                <w:szCs w:val="20"/>
                <w:lang w:val="fr-FR" w:eastAsia="ru-RU"/>
              </w:rPr>
              <w:t>pe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termen</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lung</w:t>
            </w:r>
            <w:proofErr w:type="spellEnd"/>
            <w:r w:rsidRPr="00432504">
              <w:rPr>
                <w:rFonts w:ascii="Times New Roman" w:hAnsi="Times New Roman"/>
                <w:sz w:val="20"/>
                <w:szCs w:val="20"/>
                <w:lang w:val="fr-FR" w:eastAsia="ru-RU"/>
              </w:rPr>
              <w:t xml:space="preserve"> (cum </w:t>
            </w:r>
            <w:proofErr w:type="spellStart"/>
            <w:r w:rsidRPr="00432504">
              <w:rPr>
                <w:rFonts w:ascii="Times New Roman" w:hAnsi="Times New Roman"/>
                <w:sz w:val="20"/>
                <w:szCs w:val="20"/>
                <w:lang w:val="fr-FR" w:eastAsia="ru-RU"/>
              </w:rPr>
              <w:t>ar</w:t>
            </w:r>
            <w:proofErr w:type="spellEnd"/>
            <w:r w:rsidRPr="00432504">
              <w:rPr>
                <w:rFonts w:ascii="Times New Roman" w:hAnsi="Times New Roman"/>
                <w:sz w:val="20"/>
                <w:szCs w:val="20"/>
                <w:lang w:val="fr-FR" w:eastAsia="ru-RU"/>
              </w:rPr>
              <w:t xml:space="preserve"> fi </w:t>
            </w:r>
            <w:proofErr w:type="spellStart"/>
            <w:r w:rsidRPr="00432504">
              <w:rPr>
                <w:rFonts w:ascii="Times New Roman" w:hAnsi="Times New Roman"/>
                <w:sz w:val="20"/>
                <w:szCs w:val="20"/>
                <w:lang w:val="fr-FR" w:eastAsia="ru-RU"/>
              </w:rPr>
              <w:t>ponderea</w:t>
            </w:r>
            <w:proofErr w:type="spellEnd"/>
            <w:r w:rsidRPr="00432504">
              <w:rPr>
                <w:rFonts w:ascii="Times New Roman" w:hAnsi="Times New Roman"/>
                <w:sz w:val="20"/>
                <w:szCs w:val="20"/>
                <w:lang w:val="fr-FR" w:eastAsia="ru-RU"/>
              </w:rPr>
              <w:t xml:space="preserve"> energiei </w:t>
            </w:r>
            <w:proofErr w:type="spellStart"/>
            <w:r w:rsidRPr="00432504">
              <w:rPr>
                <w:rFonts w:ascii="Times New Roman" w:hAnsi="Times New Roman"/>
                <w:sz w:val="20"/>
                <w:szCs w:val="20"/>
                <w:lang w:val="fr-FR" w:eastAsia="ru-RU"/>
              </w:rPr>
              <w:t>electrice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produse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biomasă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fără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utilizarea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căldurii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ponderea</w:t>
            </w:r>
            <w:proofErr w:type="spellEnd"/>
            <w:r w:rsidRPr="00432504">
              <w:rPr>
                <w:rFonts w:ascii="Times New Roman" w:hAnsi="Times New Roman"/>
                <w:sz w:val="20"/>
                <w:szCs w:val="20"/>
                <w:lang w:val="fr-FR" w:eastAsia="ru-RU"/>
              </w:rPr>
              <w:t xml:space="preserve"> energiei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încălzirea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centralizată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utilizarea</w:t>
            </w:r>
            <w:proofErr w:type="spellEnd"/>
            <w:r w:rsidRPr="00432504">
              <w:rPr>
                <w:rFonts w:ascii="Times New Roman" w:hAnsi="Times New Roman"/>
                <w:sz w:val="20"/>
                <w:szCs w:val="20"/>
                <w:lang w:val="fr-FR" w:eastAsia="ru-RU"/>
              </w:rPr>
              <w:t xml:space="preserve"> energiei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clădiri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energia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produsă</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orașe</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comunitățile</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și de </w:t>
            </w:r>
            <w:proofErr w:type="spellStart"/>
            <w:r w:rsidRPr="00432504">
              <w:rPr>
                <w:rFonts w:ascii="Times New Roman" w:hAnsi="Times New Roman"/>
                <w:sz w:val="20"/>
                <w:szCs w:val="20"/>
                <w:lang w:val="fr-FR" w:eastAsia="ru-RU"/>
              </w:rPr>
              <w:t>autoconsumatorii</w:t>
            </w:r>
            <w:proofErr w:type="spellEnd"/>
            <w:r w:rsidRPr="00432504">
              <w:rPr>
                <w:rFonts w:ascii="Times New Roman" w:hAnsi="Times New Roman"/>
                <w:sz w:val="20"/>
                <w:szCs w:val="20"/>
                <w:lang w:val="fr-FR" w:eastAsia="ru-RU"/>
              </w:rPr>
              <w:t xml:space="preserve"> de </w:t>
            </w:r>
            <w:proofErr w:type="spellStart"/>
            <w:r w:rsidRPr="00432504">
              <w:rPr>
                <w:rFonts w:ascii="Times New Roman" w:hAnsi="Times New Roman"/>
                <w:sz w:val="20"/>
                <w:szCs w:val="20"/>
                <w:lang w:val="fr-FR" w:eastAsia="ru-RU"/>
              </w:rPr>
              <w:t>energie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surse </w:t>
            </w:r>
            <w:proofErr w:type="spellStart"/>
            <w:r w:rsidRPr="00432504">
              <w:rPr>
                <w:rFonts w:ascii="Times New Roman" w:hAnsi="Times New Roman"/>
                <w:sz w:val="20"/>
                <w:szCs w:val="20"/>
                <w:lang w:val="fr-FR" w:eastAsia="ru-RU"/>
              </w:rPr>
              <w:t>regenerabile</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energia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recuperată</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din</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nămolul</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obținut</w:t>
            </w:r>
            <w:proofErr w:type="spellEnd"/>
            <w:r w:rsidRPr="00432504">
              <w:rPr>
                <w:rFonts w:ascii="Times New Roman" w:hAnsi="Times New Roman"/>
                <w:sz w:val="20"/>
                <w:szCs w:val="20"/>
                <w:lang w:val="fr-FR" w:eastAsia="ru-RU"/>
              </w:rPr>
              <w:t xml:space="preserve"> în </w:t>
            </w:r>
            <w:proofErr w:type="spellStart"/>
            <w:r w:rsidRPr="00432504">
              <w:rPr>
                <w:rFonts w:ascii="Times New Roman" w:hAnsi="Times New Roman"/>
                <w:sz w:val="20"/>
                <w:szCs w:val="20"/>
                <w:lang w:val="fr-FR" w:eastAsia="ru-RU"/>
              </w:rPr>
              <w:t>urma</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epurării</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apelor</w:t>
            </w:r>
            <w:proofErr w:type="spellEnd"/>
            <w:r w:rsidRPr="00432504">
              <w:rPr>
                <w:rFonts w:ascii="Times New Roman" w:hAnsi="Times New Roman"/>
                <w:sz w:val="20"/>
                <w:szCs w:val="20"/>
                <w:lang w:val="fr-FR" w:eastAsia="ru-RU"/>
              </w:rPr>
              <w:t xml:space="preserve"> </w:t>
            </w:r>
            <w:proofErr w:type="spellStart"/>
            <w:r w:rsidRPr="00432504">
              <w:rPr>
                <w:rFonts w:ascii="Times New Roman" w:hAnsi="Times New Roman"/>
                <w:sz w:val="20"/>
                <w:szCs w:val="20"/>
                <w:lang w:val="fr-FR" w:eastAsia="ru-RU"/>
              </w:rPr>
              <w:t>uzate</w:t>
            </w:r>
            <w:proofErr w:type="spellEnd"/>
            <w:r w:rsidRPr="00432504">
              <w:rPr>
                <w:rFonts w:ascii="Times New Roman" w:hAnsi="Times New Roman"/>
                <w:sz w:val="20"/>
                <w:szCs w:val="20"/>
                <w:lang w:val="fr-FR" w:eastAsia="ru-RU"/>
              </w:rPr>
              <w:t>;</w:t>
            </w:r>
          </w:p>
          <w:p w14:paraId="7A106267" w14:textId="46DBF822" w:rsidR="008F5636" w:rsidRPr="00432504" w:rsidRDefault="008F5636" w:rsidP="000C5A3B">
            <w:pPr>
              <w:pStyle w:val="af3"/>
              <w:numPr>
                <w:ilvl w:val="0"/>
                <w:numId w:val="111"/>
              </w:numPr>
              <w:spacing w:after="0" w:line="240" w:lineRule="auto"/>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cu</w:t>
            </w:r>
            <w:proofErr w:type="spellEnd"/>
            <w:proofErr w:type="gram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privire</w:t>
            </w:r>
            <w:proofErr w:type="spellEnd"/>
            <w:r w:rsidRPr="00432504">
              <w:rPr>
                <w:rFonts w:ascii="Times New Roman" w:eastAsia="Times New Roman" w:hAnsi="Times New Roman"/>
                <w:sz w:val="20"/>
                <w:szCs w:val="20"/>
                <w:lang w:val="fr-FR" w:eastAsia="ru-RU"/>
              </w:rPr>
              <w:t xml:space="preserve"> la </w:t>
            </w:r>
            <w:proofErr w:type="spellStart"/>
            <w:r w:rsidRPr="00432504">
              <w:rPr>
                <w:rFonts w:ascii="Times New Roman" w:eastAsia="Times New Roman" w:hAnsi="Times New Roman"/>
                <w:sz w:val="20"/>
                <w:szCs w:val="20"/>
                <w:lang w:val="fr-FR" w:eastAsia="ru-RU"/>
              </w:rPr>
              <w:t>punerea</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aplicare</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următoarelor</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politici</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măsuri</w:t>
            </w:r>
            <w:proofErr w:type="spellEnd"/>
            <w:r w:rsidRPr="00432504">
              <w:rPr>
                <w:rFonts w:ascii="Times New Roman" w:eastAsia="Times New Roman" w:hAnsi="Times New Roman"/>
                <w:sz w:val="20"/>
                <w:szCs w:val="20"/>
                <w:lang w:val="fr-FR" w:eastAsia="ru-RU"/>
              </w:rPr>
              <w:t>:</w:t>
            </w:r>
          </w:p>
          <w:p w14:paraId="7FCB0D09" w14:textId="404C5101"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politici</w:t>
            </w:r>
            <w:proofErr w:type="spellEnd"/>
            <w:proofErr w:type="gram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măsuri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puse</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aplicare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adoptate</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planificate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realizarea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contribuției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naționale</w:t>
            </w:r>
            <w:proofErr w:type="spellEnd"/>
            <w:r w:rsidRPr="00432504">
              <w:rPr>
                <w:rFonts w:ascii="Times New Roman" w:eastAsia="Times New Roman" w:hAnsi="Times New Roman"/>
                <w:sz w:val="20"/>
                <w:szCs w:val="20"/>
                <w:lang w:val="fr-FR" w:eastAsia="ru-RU"/>
              </w:rPr>
              <w:t xml:space="preserve"> la </w:t>
            </w:r>
            <w:proofErr w:type="spellStart"/>
            <w:r w:rsidRPr="00432504">
              <w:rPr>
                <w:rFonts w:ascii="Times New Roman" w:eastAsia="Times New Roman" w:hAnsi="Times New Roman"/>
                <w:sz w:val="20"/>
                <w:szCs w:val="20"/>
                <w:lang w:val="fr-FR" w:eastAsia="ru-RU"/>
              </w:rPr>
              <w:t>obiectivul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obligatoriu</w:t>
            </w:r>
            <w:proofErr w:type="spellEnd"/>
            <w:r w:rsidRPr="00432504">
              <w:rPr>
                <w:rFonts w:ascii="Times New Roman" w:eastAsia="Times New Roman" w:hAnsi="Times New Roman"/>
                <w:sz w:val="20"/>
                <w:szCs w:val="20"/>
                <w:lang w:val="fr-FR" w:eastAsia="ru-RU"/>
              </w:rPr>
              <w:t xml:space="preserve"> al </w:t>
            </w:r>
            <w:proofErr w:type="spellStart"/>
            <w:r w:rsidRPr="00432504">
              <w:rPr>
                <w:rFonts w:ascii="Times New Roman" w:eastAsia="Times New Roman" w:hAnsi="Times New Roman"/>
                <w:sz w:val="20"/>
                <w:szCs w:val="20"/>
                <w:lang w:val="fr-FR" w:eastAsia="ru-RU"/>
              </w:rPr>
              <w:t>Uniunii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privind</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energia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2030, </w:t>
            </w:r>
            <w:proofErr w:type="spellStart"/>
            <w:r w:rsidRPr="00432504">
              <w:rPr>
                <w:rFonts w:ascii="Times New Roman" w:eastAsia="Times New Roman" w:hAnsi="Times New Roman"/>
                <w:sz w:val="20"/>
                <w:szCs w:val="20"/>
                <w:lang w:val="fr-FR" w:eastAsia="ru-RU"/>
              </w:rPr>
              <w:t>indicat</w:t>
            </w:r>
            <w:proofErr w:type="spellEnd"/>
            <w:r w:rsidRPr="00432504">
              <w:rPr>
                <w:rFonts w:ascii="Times New Roman" w:eastAsia="Times New Roman" w:hAnsi="Times New Roman"/>
                <w:sz w:val="20"/>
                <w:szCs w:val="20"/>
                <w:lang w:val="fr-FR" w:eastAsia="ru-RU"/>
              </w:rPr>
              <w:t xml:space="preserve"> la </w:t>
            </w:r>
            <w:proofErr w:type="spellStart"/>
            <w:r w:rsidRPr="00432504">
              <w:rPr>
                <w:rFonts w:ascii="Times New Roman" w:eastAsia="Times New Roman" w:hAnsi="Times New Roman"/>
                <w:sz w:val="20"/>
                <w:szCs w:val="20"/>
                <w:lang w:val="fr-FR" w:eastAsia="ru-RU"/>
              </w:rPr>
              <w:t>articolul</w:t>
            </w:r>
            <w:proofErr w:type="spellEnd"/>
            <w:r w:rsidRPr="00432504">
              <w:rPr>
                <w:rFonts w:ascii="Times New Roman" w:eastAsia="Times New Roman" w:hAnsi="Times New Roman"/>
                <w:sz w:val="20"/>
                <w:szCs w:val="20"/>
                <w:lang w:val="fr-FR" w:eastAsia="ru-RU"/>
              </w:rPr>
              <w:t xml:space="preserve"> 4 litera (a) </w:t>
            </w:r>
            <w:proofErr w:type="spellStart"/>
            <w:r w:rsidRPr="00432504">
              <w:rPr>
                <w:rFonts w:ascii="Times New Roman" w:eastAsia="Times New Roman" w:hAnsi="Times New Roman"/>
                <w:sz w:val="20"/>
                <w:szCs w:val="20"/>
                <w:lang w:val="fr-FR" w:eastAsia="ru-RU"/>
              </w:rPr>
              <w:t>punctul</w:t>
            </w:r>
            <w:proofErr w:type="spellEnd"/>
            <w:r w:rsidRPr="00432504">
              <w:rPr>
                <w:rFonts w:ascii="Times New Roman" w:eastAsia="Times New Roman" w:hAnsi="Times New Roman"/>
                <w:sz w:val="20"/>
                <w:szCs w:val="20"/>
                <w:lang w:val="fr-FR" w:eastAsia="ru-RU"/>
              </w:rPr>
              <w:t xml:space="preserve"> 2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prezentul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regulament</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inclusiv</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măsurile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specifice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sector</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pe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tehnologie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împreună</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cu</w:t>
            </w:r>
            <w:proofErr w:type="spellEnd"/>
            <w:r w:rsidRPr="00432504">
              <w:rPr>
                <w:rFonts w:ascii="Times New Roman" w:eastAsia="Times New Roman" w:hAnsi="Times New Roman"/>
                <w:sz w:val="20"/>
                <w:szCs w:val="20"/>
                <w:lang w:val="fr-FR" w:eastAsia="ru-RU"/>
              </w:rPr>
              <w:t xml:space="preserve"> o </w:t>
            </w:r>
            <w:proofErr w:type="spellStart"/>
            <w:r w:rsidRPr="00432504">
              <w:rPr>
                <w:rFonts w:ascii="Times New Roman" w:eastAsia="Times New Roman" w:hAnsi="Times New Roman"/>
                <w:sz w:val="20"/>
                <w:szCs w:val="20"/>
                <w:lang w:val="fr-FR" w:eastAsia="ru-RU"/>
              </w:rPr>
              <w:t>revizuire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specifică</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punerii</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aplicare</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măsurilor</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prevăzute</w:t>
            </w:r>
            <w:proofErr w:type="spellEnd"/>
            <w:r w:rsidRPr="00432504">
              <w:rPr>
                <w:rFonts w:ascii="Times New Roman" w:eastAsia="Times New Roman" w:hAnsi="Times New Roman"/>
                <w:sz w:val="20"/>
                <w:szCs w:val="20"/>
                <w:lang w:val="fr-FR" w:eastAsia="ru-RU"/>
              </w:rPr>
              <w:t xml:space="preserve"> la </w:t>
            </w:r>
            <w:proofErr w:type="spellStart"/>
            <w:r w:rsidRPr="00432504">
              <w:rPr>
                <w:rFonts w:ascii="Times New Roman" w:eastAsia="Times New Roman" w:hAnsi="Times New Roman"/>
                <w:sz w:val="20"/>
                <w:szCs w:val="20"/>
                <w:lang w:val="fr-FR" w:eastAsia="ru-RU"/>
              </w:rPr>
              <w:t>articolele</w:t>
            </w:r>
            <w:proofErr w:type="spellEnd"/>
            <w:r w:rsidRPr="00432504">
              <w:rPr>
                <w:rFonts w:ascii="Times New Roman" w:eastAsia="Times New Roman" w:hAnsi="Times New Roman"/>
                <w:sz w:val="20"/>
                <w:szCs w:val="20"/>
                <w:lang w:val="fr-FR" w:eastAsia="ru-RU"/>
              </w:rPr>
              <w:t xml:space="preserve"> 23-28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Directiva</w:t>
            </w:r>
            <w:proofErr w:type="spellEnd"/>
            <w:r w:rsidRPr="00432504">
              <w:rPr>
                <w:rFonts w:ascii="Times New Roman" w:eastAsia="Times New Roman" w:hAnsi="Times New Roman"/>
                <w:sz w:val="20"/>
                <w:szCs w:val="20"/>
                <w:lang w:val="fr-FR" w:eastAsia="ru-RU"/>
              </w:rPr>
              <w:t xml:space="preserve"> (UE) 2018/2001;</w:t>
            </w:r>
          </w:p>
          <w:p w14:paraId="2335DC11" w14:textId="0DBABF45"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r w:rsidRPr="00432504">
              <w:rPr>
                <w:rFonts w:ascii="Times New Roman" w:eastAsia="Times New Roman" w:hAnsi="Times New Roman"/>
                <w:sz w:val="20"/>
                <w:szCs w:val="20"/>
                <w:lang w:val="en-US" w:eastAsia="ru-RU"/>
              </w:rPr>
              <w:t>dacă</w:t>
            </w:r>
            <w:proofErr w:type="spellEnd"/>
            <w:r w:rsidRPr="00432504">
              <w:rPr>
                <w:rFonts w:ascii="Times New Roman" w:eastAsia="Times New Roman" w:hAnsi="Times New Roman"/>
                <w:sz w:val="20"/>
                <w:szCs w:val="20"/>
                <w:lang w:val="en-US" w:eastAsia="ru-RU"/>
              </w:rPr>
              <w:t xml:space="preserve"> sunt </w:t>
            </w:r>
            <w:proofErr w:type="spellStart"/>
            <w:r w:rsidRPr="00432504">
              <w:rPr>
                <w:rFonts w:ascii="Times New Roman" w:eastAsia="Times New Roman" w:hAnsi="Times New Roman"/>
                <w:sz w:val="20"/>
                <w:szCs w:val="20"/>
                <w:lang w:val="en-US" w:eastAsia="ru-RU"/>
              </w:rPr>
              <w:t>disponibile</w:t>
            </w:r>
            <w:proofErr w:type="spellEnd"/>
            <w:r w:rsidRPr="00432504">
              <w:rPr>
                <w:rFonts w:ascii="Times New Roman" w:eastAsia="Times New Roman" w:hAnsi="Times New Roman"/>
                <w:sz w:val="20"/>
                <w:szCs w:val="20"/>
                <w:lang w:val="en-US" w:eastAsia="ru-RU"/>
              </w:rPr>
              <w:t xml:space="preserve">, </w:t>
            </w:r>
            <w:proofErr w:type="spellStart"/>
            <w:r w:rsidRPr="00432504">
              <w:rPr>
                <w:rFonts w:ascii="Times New Roman" w:eastAsia="Times New Roman" w:hAnsi="Times New Roman"/>
                <w:sz w:val="20"/>
                <w:szCs w:val="20"/>
                <w:lang w:val="en-US" w:eastAsia="ru-RU"/>
              </w:rPr>
              <w:t>măsurile</w:t>
            </w:r>
            <w:proofErr w:type="spellEnd"/>
            <w:r w:rsidRPr="00432504">
              <w:rPr>
                <w:rFonts w:ascii="Times New Roman" w:eastAsia="Times New Roman" w:hAnsi="Times New Roman"/>
                <w:sz w:val="20"/>
                <w:szCs w:val="20"/>
                <w:lang w:val="en-US" w:eastAsia="ru-RU"/>
              </w:rPr>
              <w:t xml:space="preserve"> </w:t>
            </w:r>
            <w:proofErr w:type="spellStart"/>
            <w:r w:rsidRPr="00432504">
              <w:rPr>
                <w:rFonts w:ascii="Times New Roman" w:eastAsia="Times New Roman" w:hAnsi="Times New Roman"/>
                <w:sz w:val="20"/>
                <w:szCs w:val="20"/>
                <w:lang w:val="en-US" w:eastAsia="ru-RU"/>
              </w:rPr>
              <w:t>specifice</w:t>
            </w:r>
            <w:proofErr w:type="spellEnd"/>
            <w:r w:rsidRPr="00432504">
              <w:rPr>
                <w:rFonts w:ascii="Times New Roman" w:eastAsia="Times New Roman" w:hAnsi="Times New Roman"/>
                <w:sz w:val="20"/>
                <w:szCs w:val="20"/>
                <w:lang w:val="en-US" w:eastAsia="ru-RU"/>
              </w:rPr>
              <w:t xml:space="preserve"> de </w:t>
            </w:r>
            <w:proofErr w:type="spellStart"/>
            <w:r w:rsidRPr="00432504">
              <w:rPr>
                <w:rFonts w:ascii="Times New Roman" w:eastAsia="Times New Roman" w:hAnsi="Times New Roman"/>
                <w:sz w:val="20"/>
                <w:szCs w:val="20"/>
                <w:lang w:val="en-US" w:eastAsia="ru-RU"/>
              </w:rPr>
              <w:t>cooperare</w:t>
            </w:r>
            <w:proofErr w:type="spellEnd"/>
            <w:r w:rsidRPr="00432504">
              <w:rPr>
                <w:rFonts w:ascii="Times New Roman" w:eastAsia="Times New Roman" w:hAnsi="Times New Roman"/>
                <w:sz w:val="20"/>
                <w:szCs w:val="20"/>
                <w:lang w:val="en-US" w:eastAsia="ru-RU"/>
              </w:rPr>
              <w:t xml:space="preserve"> </w:t>
            </w:r>
            <w:proofErr w:type="spellStart"/>
            <w:r w:rsidRPr="00432504">
              <w:rPr>
                <w:rFonts w:ascii="Times New Roman" w:eastAsia="Times New Roman" w:hAnsi="Times New Roman"/>
                <w:sz w:val="20"/>
                <w:szCs w:val="20"/>
                <w:lang w:val="en-US" w:eastAsia="ru-RU"/>
              </w:rPr>
              <w:t>regională</w:t>
            </w:r>
            <w:proofErr w:type="spellEnd"/>
            <w:r w:rsidRPr="00432504">
              <w:rPr>
                <w:rFonts w:ascii="Times New Roman" w:eastAsia="Times New Roman" w:hAnsi="Times New Roman"/>
                <w:sz w:val="20"/>
                <w:szCs w:val="20"/>
                <w:lang w:val="en-US" w:eastAsia="ru-RU"/>
              </w:rPr>
              <w:t>;</w:t>
            </w:r>
          </w:p>
          <w:p w14:paraId="504861B4" w14:textId="4CA0EF5F"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fără</w:t>
            </w:r>
            <w:proofErr w:type="spellEnd"/>
            <w:proofErr w:type="gram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aduce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atingere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articolelor</w:t>
            </w:r>
            <w:proofErr w:type="spellEnd"/>
            <w:r w:rsidRPr="00432504">
              <w:rPr>
                <w:rFonts w:ascii="Times New Roman" w:eastAsia="Times New Roman" w:hAnsi="Times New Roman"/>
                <w:sz w:val="20"/>
                <w:szCs w:val="20"/>
                <w:lang w:val="fr-FR" w:eastAsia="ru-RU"/>
              </w:rPr>
              <w:t xml:space="preserve"> 107 și 108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TFUE, </w:t>
            </w:r>
            <w:proofErr w:type="spellStart"/>
            <w:r w:rsidRPr="00432504">
              <w:rPr>
                <w:rFonts w:ascii="Times New Roman" w:eastAsia="Times New Roman" w:hAnsi="Times New Roman"/>
                <w:sz w:val="20"/>
                <w:szCs w:val="20"/>
                <w:lang w:val="fr-FR" w:eastAsia="ru-RU"/>
              </w:rPr>
              <w:t>măsurile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specifice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privind</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sprijinul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financiar</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inclusiv</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sprijinul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acordat</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Uniune</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utilizarea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fondurilor</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lastRenderedPageBreak/>
              <w:t>Uniunii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promovarea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utilizării</w:t>
            </w:r>
            <w:proofErr w:type="spellEnd"/>
            <w:r w:rsidRPr="00432504">
              <w:rPr>
                <w:rFonts w:ascii="Times New Roman" w:eastAsia="Times New Roman" w:hAnsi="Times New Roman"/>
                <w:sz w:val="20"/>
                <w:szCs w:val="20"/>
                <w:lang w:val="fr-FR" w:eastAsia="ru-RU"/>
              </w:rPr>
              <w:t xml:space="preserve"> energiei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sectorul</w:t>
            </w:r>
            <w:proofErr w:type="spellEnd"/>
            <w:r w:rsidRPr="00432504">
              <w:rPr>
                <w:rFonts w:ascii="Times New Roman" w:eastAsia="Times New Roman" w:hAnsi="Times New Roman"/>
                <w:sz w:val="20"/>
                <w:szCs w:val="20"/>
                <w:lang w:val="fr-FR" w:eastAsia="ru-RU"/>
              </w:rPr>
              <w:t xml:space="preserve"> energiei </w:t>
            </w:r>
            <w:proofErr w:type="spellStart"/>
            <w:r w:rsidRPr="00432504">
              <w:rPr>
                <w:rFonts w:ascii="Times New Roman" w:eastAsia="Times New Roman" w:hAnsi="Times New Roman"/>
                <w:sz w:val="20"/>
                <w:szCs w:val="20"/>
                <w:lang w:val="fr-FR" w:eastAsia="ru-RU"/>
              </w:rPr>
              <w:t>electrice</w:t>
            </w:r>
            <w:proofErr w:type="spellEnd"/>
            <w:r w:rsidRPr="00432504">
              <w:rPr>
                <w:rFonts w:ascii="Times New Roman" w:eastAsia="Times New Roman" w:hAnsi="Times New Roman"/>
                <w:sz w:val="20"/>
                <w:szCs w:val="20"/>
                <w:lang w:val="fr-FR" w:eastAsia="ru-RU"/>
              </w:rPr>
              <w:t xml:space="preserve">, al </w:t>
            </w:r>
            <w:proofErr w:type="spellStart"/>
            <w:r w:rsidRPr="00432504">
              <w:rPr>
                <w:rFonts w:ascii="Times New Roman" w:eastAsia="Times New Roman" w:hAnsi="Times New Roman"/>
                <w:sz w:val="20"/>
                <w:szCs w:val="20"/>
                <w:lang w:val="fr-FR" w:eastAsia="ru-RU"/>
              </w:rPr>
              <w:t>încălzirii</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răcirii</w:t>
            </w:r>
            <w:proofErr w:type="spellEnd"/>
            <w:r w:rsidRPr="00432504">
              <w:rPr>
                <w:rFonts w:ascii="Times New Roman" w:eastAsia="Times New Roman" w:hAnsi="Times New Roman"/>
                <w:sz w:val="20"/>
                <w:szCs w:val="20"/>
                <w:lang w:val="fr-FR" w:eastAsia="ru-RU"/>
              </w:rPr>
              <w:t xml:space="preserve"> și al </w:t>
            </w:r>
            <w:proofErr w:type="spellStart"/>
            <w:r w:rsidRPr="00432504">
              <w:rPr>
                <w:rFonts w:ascii="Times New Roman" w:eastAsia="Times New Roman" w:hAnsi="Times New Roman"/>
                <w:sz w:val="20"/>
                <w:szCs w:val="20"/>
                <w:lang w:val="fr-FR" w:eastAsia="ru-RU"/>
              </w:rPr>
              <w:t>transporturilor</w:t>
            </w:r>
            <w:proofErr w:type="spellEnd"/>
            <w:r w:rsidRPr="00432504">
              <w:rPr>
                <w:rFonts w:ascii="Times New Roman" w:eastAsia="Times New Roman" w:hAnsi="Times New Roman"/>
                <w:sz w:val="20"/>
                <w:szCs w:val="20"/>
                <w:lang w:val="fr-FR" w:eastAsia="ru-RU"/>
              </w:rPr>
              <w:t>;</w:t>
            </w:r>
          </w:p>
          <w:p w14:paraId="550BE202" w14:textId="3CC8E2FC"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dacă</w:t>
            </w:r>
            <w:proofErr w:type="spellEnd"/>
            <w:proofErr w:type="gramEnd"/>
            <w:r w:rsidRPr="00432504">
              <w:rPr>
                <w:rFonts w:ascii="Times New Roman" w:eastAsia="Times New Roman" w:hAnsi="Times New Roman"/>
                <w:sz w:val="20"/>
                <w:szCs w:val="20"/>
                <w:lang w:val="fr-FR" w:eastAsia="ru-RU"/>
              </w:rPr>
              <w:t xml:space="preserve"> este </w:t>
            </w:r>
            <w:proofErr w:type="spellStart"/>
            <w:r w:rsidRPr="00432504">
              <w:rPr>
                <w:rFonts w:ascii="Times New Roman" w:eastAsia="Times New Roman" w:hAnsi="Times New Roman"/>
                <w:sz w:val="20"/>
                <w:szCs w:val="20"/>
                <w:lang w:val="fr-FR" w:eastAsia="ru-RU"/>
              </w:rPr>
              <w:t>cazul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evaluarea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sprijinului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energia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electrică</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w:t>
            </w:r>
            <w:proofErr w:type="spellEnd"/>
            <w:r w:rsidRPr="00432504">
              <w:rPr>
                <w:rFonts w:ascii="Times New Roman" w:eastAsia="Times New Roman" w:hAnsi="Times New Roman"/>
                <w:sz w:val="20"/>
                <w:szCs w:val="20"/>
                <w:lang w:val="fr-FR" w:eastAsia="ru-RU"/>
              </w:rPr>
              <w:t xml:space="preserve"> care </w:t>
            </w:r>
            <w:proofErr w:type="spellStart"/>
            <w:r w:rsidRPr="00432504">
              <w:rPr>
                <w:rFonts w:ascii="Times New Roman" w:eastAsia="Times New Roman" w:hAnsi="Times New Roman"/>
                <w:sz w:val="20"/>
                <w:szCs w:val="20"/>
                <w:lang w:val="fr-FR" w:eastAsia="ru-RU"/>
              </w:rPr>
              <w:t>statele</w:t>
            </w:r>
            <w:proofErr w:type="spellEnd"/>
            <w:r w:rsidRPr="00432504">
              <w:rPr>
                <w:rFonts w:ascii="Times New Roman" w:eastAsia="Times New Roman" w:hAnsi="Times New Roman"/>
                <w:sz w:val="20"/>
                <w:szCs w:val="20"/>
                <w:lang w:val="fr-FR" w:eastAsia="ru-RU"/>
              </w:rPr>
              <w:t xml:space="preserve"> membre </w:t>
            </w:r>
            <w:proofErr w:type="spellStart"/>
            <w:r w:rsidRPr="00432504">
              <w:rPr>
                <w:rFonts w:ascii="Times New Roman" w:eastAsia="Times New Roman" w:hAnsi="Times New Roman"/>
                <w:sz w:val="20"/>
                <w:szCs w:val="20"/>
                <w:lang w:val="fr-FR" w:eastAsia="ru-RU"/>
              </w:rPr>
              <w:t>trebuie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să</w:t>
            </w:r>
            <w:proofErr w:type="spellEnd"/>
            <w:r w:rsidRPr="00432504">
              <w:rPr>
                <w:rFonts w:ascii="Times New Roman" w:eastAsia="Times New Roman" w:hAnsi="Times New Roman"/>
                <w:sz w:val="20"/>
                <w:szCs w:val="20"/>
                <w:lang w:val="fr-FR" w:eastAsia="ru-RU"/>
              </w:rPr>
              <w:t xml:space="preserve"> o </w:t>
            </w:r>
            <w:proofErr w:type="spellStart"/>
            <w:r w:rsidRPr="00432504">
              <w:rPr>
                <w:rFonts w:ascii="Times New Roman" w:eastAsia="Times New Roman" w:hAnsi="Times New Roman"/>
                <w:sz w:val="20"/>
                <w:szCs w:val="20"/>
                <w:lang w:val="fr-FR" w:eastAsia="ru-RU"/>
              </w:rPr>
              <w:t>efectueze</w:t>
            </w:r>
            <w:proofErr w:type="spellEnd"/>
            <w:r w:rsidRPr="00432504">
              <w:rPr>
                <w:rFonts w:ascii="Times New Roman" w:eastAsia="Times New Roman" w:hAnsi="Times New Roman"/>
                <w:sz w:val="20"/>
                <w:szCs w:val="20"/>
                <w:lang w:val="fr-FR" w:eastAsia="ru-RU"/>
              </w:rPr>
              <w:t xml:space="preserve"> în conformitate </w:t>
            </w:r>
            <w:proofErr w:type="spellStart"/>
            <w:r w:rsidRPr="00432504">
              <w:rPr>
                <w:rFonts w:ascii="Times New Roman" w:eastAsia="Times New Roman" w:hAnsi="Times New Roman"/>
                <w:sz w:val="20"/>
                <w:szCs w:val="20"/>
                <w:lang w:val="fr-FR" w:eastAsia="ru-RU"/>
              </w:rPr>
              <w:t>cu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articolul</w:t>
            </w:r>
            <w:proofErr w:type="spellEnd"/>
            <w:r w:rsidRPr="00432504">
              <w:rPr>
                <w:rFonts w:ascii="Times New Roman" w:eastAsia="Times New Roman" w:hAnsi="Times New Roman"/>
                <w:sz w:val="20"/>
                <w:szCs w:val="20"/>
                <w:lang w:val="fr-FR" w:eastAsia="ru-RU"/>
              </w:rPr>
              <w:t xml:space="preserve"> 6 </w:t>
            </w:r>
            <w:proofErr w:type="spellStart"/>
            <w:r w:rsidRPr="00432504">
              <w:rPr>
                <w:rFonts w:ascii="Times New Roman" w:eastAsia="Times New Roman" w:hAnsi="Times New Roman"/>
                <w:sz w:val="20"/>
                <w:szCs w:val="20"/>
                <w:lang w:val="fr-FR" w:eastAsia="ru-RU"/>
              </w:rPr>
              <w:t>alineatul</w:t>
            </w:r>
            <w:proofErr w:type="spellEnd"/>
            <w:r w:rsidRPr="00432504">
              <w:rPr>
                <w:rFonts w:ascii="Times New Roman" w:eastAsia="Times New Roman" w:hAnsi="Times New Roman"/>
                <w:sz w:val="20"/>
                <w:szCs w:val="20"/>
                <w:lang w:val="fr-FR" w:eastAsia="ru-RU"/>
              </w:rPr>
              <w:t xml:space="preserve"> (4)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Directiva</w:t>
            </w:r>
            <w:proofErr w:type="spellEnd"/>
            <w:r w:rsidRPr="00432504">
              <w:rPr>
                <w:rFonts w:ascii="Times New Roman" w:eastAsia="Times New Roman" w:hAnsi="Times New Roman"/>
                <w:sz w:val="20"/>
                <w:szCs w:val="20"/>
                <w:lang w:val="fr-FR" w:eastAsia="ru-RU"/>
              </w:rPr>
              <w:t xml:space="preserve"> (UE) 2018/2001;</w:t>
            </w:r>
          </w:p>
          <w:p w14:paraId="01B8C45A" w14:textId="5570FF6C"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măsurile</w:t>
            </w:r>
            <w:proofErr w:type="spellEnd"/>
            <w:proofErr w:type="gram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specifice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îndeplinirea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cerințelor</w:t>
            </w:r>
            <w:proofErr w:type="spellEnd"/>
            <w:r w:rsidRPr="00432504">
              <w:rPr>
                <w:rFonts w:ascii="Times New Roman" w:eastAsia="Times New Roman" w:hAnsi="Times New Roman"/>
                <w:sz w:val="20"/>
                <w:szCs w:val="20"/>
                <w:lang w:val="fr-FR" w:eastAsia="ru-RU"/>
              </w:rPr>
              <w:t xml:space="preserve"> de la </w:t>
            </w:r>
            <w:proofErr w:type="spellStart"/>
            <w:r w:rsidRPr="00432504">
              <w:rPr>
                <w:rFonts w:ascii="Times New Roman" w:eastAsia="Times New Roman" w:hAnsi="Times New Roman"/>
                <w:sz w:val="20"/>
                <w:szCs w:val="20"/>
                <w:lang w:val="fr-FR" w:eastAsia="ru-RU"/>
              </w:rPr>
              <w:t>articolele</w:t>
            </w:r>
            <w:proofErr w:type="spellEnd"/>
            <w:r w:rsidRPr="00432504">
              <w:rPr>
                <w:rFonts w:ascii="Times New Roman" w:eastAsia="Times New Roman" w:hAnsi="Times New Roman"/>
                <w:sz w:val="20"/>
                <w:szCs w:val="20"/>
                <w:lang w:val="fr-FR" w:eastAsia="ru-RU"/>
              </w:rPr>
              <w:t xml:space="preserve"> 15-18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Directiva</w:t>
            </w:r>
            <w:proofErr w:type="spellEnd"/>
            <w:r w:rsidRPr="00432504">
              <w:rPr>
                <w:rFonts w:ascii="Times New Roman" w:eastAsia="Times New Roman" w:hAnsi="Times New Roman"/>
                <w:sz w:val="20"/>
                <w:szCs w:val="20"/>
                <w:lang w:val="fr-FR" w:eastAsia="ru-RU"/>
              </w:rPr>
              <w:t xml:space="preserve"> (UE) 2018/2001;</w:t>
            </w:r>
          </w:p>
          <w:p w14:paraId="6B03ADF2" w14:textId="0C70DE89"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dacă</w:t>
            </w:r>
            <w:proofErr w:type="spellEnd"/>
            <w:proofErr w:type="gramEnd"/>
            <w:r w:rsidRPr="00432504">
              <w:rPr>
                <w:rFonts w:ascii="Times New Roman" w:eastAsia="Times New Roman" w:hAnsi="Times New Roman"/>
                <w:sz w:val="20"/>
                <w:szCs w:val="20"/>
                <w:lang w:val="fr-FR" w:eastAsia="ru-RU"/>
              </w:rPr>
              <w:t xml:space="preserve"> este </w:t>
            </w:r>
            <w:proofErr w:type="spellStart"/>
            <w:r w:rsidRPr="00432504">
              <w:rPr>
                <w:rFonts w:ascii="Times New Roman" w:eastAsia="Times New Roman" w:hAnsi="Times New Roman"/>
                <w:sz w:val="20"/>
                <w:szCs w:val="20"/>
                <w:lang w:val="fr-FR" w:eastAsia="ru-RU"/>
              </w:rPr>
              <w:t>cazul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măsuri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specifice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evalua</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asigura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transparența</w:t>
            </w:r>
            <w:proofErr w:type="spellEnd"/>
            <w:r w:rsidRPr="00432504">
              <w:rPr>
                <w:rFonts w:ascii="Times New Roman" w:eastAsia="Times New Roman" w:hAnsi="Times New Roman"/>
                <w:sz w:val="20"/>
                <w:szCs w:val="20"/>
                <w:lang w:val="fr-FR" w:eastAsia="ru-RU"/>
              </w:rPr>
              <w:t xml:space="preserve"> și a </w:t>
            </w:r>
            <w:proofErr w:type="spellStart"/>
            <w:r w:rsidRPr="00432504">
              <w:rPr>
                <w:rFonts w:ascii="Times New Roman" w:eastAsia="Times New Roman" w:hAnsi="Times New Roman"/>
                <w:sz w:val="20"/>
                <w:szCs w:val="20"/>
                <w:lang w:val="fr-FR" w:eastAsia="ru-RU"/>
              </w:rPr>
              <w:t>reduce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nevoia</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capacitate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obligatorie</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funcționare</w:t>
            </w:r>
            <w:proofErr w:type="spellEnd"/>
            <w:r w:rsidRPr="00432504">
              <w:rPr>
                <w:rFonts w:ascii="Times New Roman" w:eastAsia="Times New Roman" w:hAnsi="Times New Roman"/>
                <w:sz w:val="20"/>
                <w:szCs w:val="20"/>
                <w:lang w:val="fr-FR" w:eastAsia="ru-RU"/>
              </w:rPr>
              <w:t xml:space="preserve"> („must-run”) care </w:t>
            </w:r>
            <w:proofErr w:type="spellStart"/>
            <w:r w:rsidRPr="00432504">
              <w:rPr>
                <w:rFonts w:ascii="Times New Roman" w:eastAsia="Times New Roman" w:hAnsi="Times New Roman"/>
                <w:sz w:val="20"/>
                <w:szCs w:val="20"/>
                <w:lang w:val="fr-FR" w:eastAsia="ru-RU"/>
              </w:rPr>
              <w:t>poate</w:t>
            </w:r>
            <w:proofErr w:type="spellEnd"/>
            <w:r w:rsidRPr="00432504">
              <w:rPr>
                <w:rFonts w:ascii="Times New Roman" w:eastAsia="Times New Roman" w:hAnsi="Times New Roman"/>
                <w:sz w:val="20"/>
                <w:szCs w:val="20"/>
                <w:lang w:val="fr-FR" w:eastAsia="ru-RU"/>
              </w:rPr>
              <w:t xml:space="preserve"> duce la </w:t>
            </w:r>
            <w:proofErr w:type="spellStart"/>
            <w:r w:rsidRPr="00432504">
              <w:rPr>
                <w:rFonts w:ascii="Times New Roman" w:eastAsia="Times New Roman" w:hAnsi="Times New Roman"/>
                <w:sz w:val="20"/>
                <w:szCs w:val="20"/>
                <w:lang w:val="fr-FR" w:eastAsia="ru-RU"/>
              </w:rPr>
              <w:t>reducerea</w:t>
            </w:r>
            <w:proofErr w:type="spellEnd"/>
            <w:r w:rsidRPr="00432504">
              <w:rPr>
                <w:rFonts w:ascii="Times New Roman" w:eastAsia="Times New Roman" w:hAnsi="Times New Roman"/>
                <w:sz w:val="20"/>
                <w:szCs w:val="20"/>
                <w:lang w:val="fr-FR" w:eastAsia="ru-RU"/>
              </w:rPr>
              <w:t xml:space="preserve"> energiei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w:t>
            </w:r>
          </w:p>
          <w:p w14:paraId="6115E058" w14:textId="5F36FE56"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gramStart"/>
            <w:r w:rsidRPr="00432504">
              <w:rPr>
                <w:rFonts w:ascii="Times New Roman" w:eastAsia="Times New Roman" w:hAnsi="Times New Roman"/>
                <w:sz w:val="20"/>
                <w:szCs w:val="20"/>
                <w:lang w:val="fr-FR" w:eastAsia="ru-RU"/>
              </w:rPr>
              <w:t>un</w:t>
            </w:r>
            <w:proofErr w:type="gram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rezumat</w:t>
            </w:r>
            <w:proofErr w:type="spellEnd"/>
            <w:r w:rsidRPr="00432504">
              <w:rPr>
                <w:rFonts w:ascii="Times New Roman" w:eastAsia="Times New Roman" w:hAnsi="Times New Roman"/>
                <w:sz w:val="20"/>
                <w:szCs w:val="20"/>
                <w:lang w:val="fr-FR" w:eastAsia="ru-RU"/>
              </w:rPr>
              <w:t xml:space="preserve"> al </w:t>
            </w:r>
            <w:proofErr w:type="spellStart"/>
            <w:r w:rsidRPr="00432504">
              <w:rPr>
                <w:rFonts w:ascii="Times New Roman" w:eastAsia="Times New Roman" w:hAnsi="Times New Roman"/>
                <w:sz w:val="20"/>
                <w:szCs w:val="20"/>
                <w:lang w:val="fr-FR" w:eastAsia="ru-RU"/>
              </w:rPr>
              <w:t>politicilor</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măsurilor</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prevăzute</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cadrul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favorabil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w:t>
            </w:r>
            <w:proofErr w:type="spellEnd"/>
            <w:r w:rsidRPr="00432504">
              <w:rPr>
                <w:rFonts w:ascii="Times New Roman" w:eastAsia="Times New Roman" w:hAnsi="Times New Roman"/>
                <w:sz w:val="20"/>
                <w:szCs w:val="20"/>
                <w:lang w:val="fr-FR" w:eastAsia="ru-RU"/>
              </w:rPr>
              <w:t xml:space="preserve"> care </w:t>
            </w:r>
            <w:proofErr w:type="spellStart"/>
            <w:r w:rsidRPr="00432504">
              <w:rPr>
                <w:rFonts w:ascii="Times New Roman" w:eastAsia="Times New Roman" w:hAnsi="Times New Roman"/>
                <w:sz w:val="20"/>
                <w:szCs w:val="20"/>
                <w:lang w:val="fr-FR" w:eastAsia="ru-RU"/>
              </w:rPr>
              <w:t>statele</w:t>
            </w:r>
            <w:proofErr w:type="spellEnd"/>
            <w:r w:rsidRPr="00432504">
              <w:rPr>
                <w:rFonts w:ascii="Times New Roman" w:eastAsia="Times New Roman" w:hAnsi="Times New Roman"/>
                <w:sz w:val="20"/>
                <w:szCs w:val="20"/>
                <w:lang w:val="fr-FR" w:eastAsia="ru-RU"/>
              </w:rPr>
              <w:t xml:space="preserve"> membre au </w:t>
            </w:r>
            <w:proofErr w:type="spellStart"/>
            <w:r w:rsidRPr="00432504">
              <w:rPr>
                <w:rFonts w:ascii="Times New Roman" w:eastAsia="Times New Roman" w:hAnsi="Times New Roman"/>
                <w:sz w:val="20"/>
                <w:szCs w:val="20"/>
                <w:lang w:val="fr-FR" w:eastAsia="ru-RU"/>
              </w:rPr>
              <w:t>obligația</w:t>
            </w:r>
            <w:proofErr w:type="spellEnd"/>
            <w:r w:rsidRPr="00432504">
              <w:rPr>
                <w:rFonts w:ascii="Times New Roman" w:eastAsia="Times New Roman" w:hAnsi="Times New Roman"/>
                <w:sz w:val="20"/>
                <w:szCs w:val="20"/>
                <w:lang w:val="fr-FR" w:eastAsia="ru-RU"/>
              </w:rPr>
              <w:t xml:space="preserve"> de a-l </w:t>
            </w:r>
            <w:proofErr w:type="spellStart"/>
            <w:r w:rsidRPr="00432504">
              <w:rPr>
                <w:rFonts w:ascii="Times New Roman" w:eastAsia="Times New Roman" w:hAnsi="Times New Roman"/>
                <w:sz w:val="20"/>
                <w:szCs w:val="20"/>
                <w:lang w:val="fr-FR" w:eastAsia="ru-RU"/>
              </w:rPr>
              <w:t>institui</w:t>
            </w:r>
            <w:proofErr w:type="spellEnd"/>
            <w:r w:rsidRPr="00432504">
              <w:rPr>
                <w:rFonts w:ascii="Times New Roman" w:eastAsia="Times New Roman" w:hAnsi="Times New Roman"/>
                <w:sz w:val="20"/>
                <w:szCs w:val="20"/>
                <w:lang w:val="fr-FR" w:eastAsia="ru-RU"/>
              </w:rPr>
              <w:t xml:space="preserve"> în conformitate </w:t>
            </w:r>
            <w:proofErr w:type="spellStart"/>
            <w:r w:rsidRPr="00432504">
              <w:rPr>
                <w:rFonts w:ascii="Times New Roman" w:eastAsia="Times New Roman" w:hAnsi="Times New Roman"/>
                <w:sz w:val="20"/>
                <w:szCs w:val="20"/>
                <w:lang w:val="fr-FR" w:eastAsia="ru-RU"/>
              </w:rPr>
              <w:t>cu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articolul</w:t>
            </w:r>
            <w:proofErr w:type="spellEnd"/>
            <w:r w:rsidRPr="00432504">
              <w:rPr>
                <w:rFonts w:ascii="Times New Roman" w:eastAsia="Times New Roman" w:hAnsi="Times New Roman"/>
                <w:sz w:val="20"/>
                <w:szCs w:val="20"/>
                <w:lang w:val="fr-FR" w:eastAsia="ru-RU"/>
              </w:rPr>
              <w:t xml:space="preserve"> 21 </w:t>
            </w:r>
            <w:proofErr w:type="spellStart"/>
            <w:r w:rsidRPr="00432504">
              <w:rPr>
                <w:rFonts w:ascii="Times New Roman" w:eastAsia="Times New Roman" w:hAnsi="Times New Roman"/>
                <w:sz w:val="20"/>
                <w:szCs w:val="20"/>
                <w:lang w:val="fr-FR" w:eastAsia="ru-RU"/>
              </w:rPr>
              <w:t>alineatul</w:t>
            </w:r>
            <w:proofErr w:type="spellEnd"/>
            <w:r w:rsidRPr="00432504">
              <w:rPr>
                <w:rFonts w:ascii="Times New Roman" w:eastAsia="Times New Roman" w:hAnsi="Times New Roman"/>
                <w:sz w:val="20"/>
                <w:szCs w:val="20"/>
                <w:lang w:val="fr-FR" w:eastAsia="ru-RU"/>
              </w:rPr>
              <w:t xml:space="preserve"> (6) și </w:t>
            </w:r>
            <w:proofErr w:type="spellStart"/>
            <w:r w:rsidRPr="00432504">
              <w:rPr>
                <w:rFonts w:ascii="Times New Roman" w:eastAsia="Times New Roman" w:hAnsi="Times New Roman"/>
                <w:sz w:val="20"/>
                <w:szCs w:val="20"/>
                <w:lang w:val="fr-FR" w:eastAsia="ru-RU"/>
              </w:rPr>
              <w:t>cu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articolul</w:t>
            </w:r>
            <w:proofErr w:type="spellEnd"/>
            <w:r w:rsidRPr="00432504">
              <w:rPr>
                <w:rFonts w:ascii="Times New Roman" w:eastAsia="Times New Roman" w:hAnsi="Times New Roman"/>
                <w:sz w:val="20"/>
                <w:szCs w:val="20"/>
                <w:lang w:val="fr-FR" w:eastAsia="ru-RU"/>
              </w:rPr>
              <w:t xml:space="preserve"> 22 </w:t>
            </w:r>
            <w:proofErr w:type="spellStart"/>
            <w:r w:rsidRPr="00432504">
              <w:rPr>
                <w:rFonts w:ascii="Times New Roman" w:eastAsia="Times New Roman" w:hAnsi="Times New Roman"/>
                <w:sz w:val="20"/>
                <w:szCs w:val="20"/>
                <w:lang w:val="fr-FR" w:eastAsia="ru-RU"/>
              </w:rPr>
              <w:t>alineatul</w:t>
            </w:r>
            <w:proofErr w:type="spellEnd"/>
            <w:r w:rsidRPr="00432504">
              <w:rPr>
                <w:rFonts w:ascii="Times New Roman" w:eastAsia="Times New Roman" w:hAnsi="Times New Roman"/>
                <w:sz w:val="20"/>
                <w:szCs w:val="20"/>
                <w:lang w:val="fr-FR" w:eastAsia="ru-RU"/>
              </w:rPr>
              <w:t xml:space="preserve"> (5)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Directiva</w:t>
            </w:r>
            <w:proofErr w:type="spellEnd"/>
            <w:r w:rsidRPr="00432504">
              <w:rPr>
                <w:rFonts w:ascii="Times New Roman" w:eastAsia="Times New Roman" w:hAnsi="Times New Roman"/>
                <w:sz w:val="20"/>
                <w:szCs w:val="20"/>
                <w:lang w:val="fr-FR" w:eastAsia="ru-RU"/>
              </w:rPr>
              <w:t xml:space="preserve"> (UE) 2018/2001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promova</w:t>
            </w:r>
            <w:proofErr w:type="spellEnd"/>
            <w:r w:rsidRPr="00432504">
              <w:rPr>
                <w:rFonts w:ascii="Times New Roman" w:eastAsia="Times New Roman" w:hAnsi="Times New Roman"/>
                <w:sz w:val="20"/>
                <w:szCs w:val="20"/>
                <w:lang w:val="fr-FR" w:eastAsia="ru-RU"/>
              </w:rPr>
              <w:t xml:space="preserve"> și a facilita </w:t>
            </w:r>
            <w:proofErr w:type="spellStart"/>
            <w:r w:rsidRPr="00432504">
              <w:rPr>
                <w:rFonts w:ascii="Times New Roman" w:eastAsia="Times New Roman" w:hAnsi="Times New Roman"/>
                <w:sz w:val="20"/>
                <w:szCs w:val="20"/>
                <w:lang w:val="fr-FR" w:eastAsia="ru-RU"/>
              </w:rPr>
              <w:t>dezvoltarea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autoconsumului</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energie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 xml:space="preserve"> și a </w:t>
            </w:r>
            <w:proofErr w:type="spellStart"/>
            <w:r w:rsidRPr="00432504">
              <w:rPr>
                <w:rFonts w:ascii="Times New Roman" w:eastAsia="Times New Roman" w:hAnsi="Times New Roman"/>
                <w:sz w:val="20"/>
                <w:szCs w:val="20"/>
                <w:lang w:val="fr-FR" w:eastAsia="ru-RU"/>
              </w:rPr>
              <w:t>comunităților</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energie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w:t>
            </w:r>
          </w:p>
          <w:p w14:paraId="5BC80314" w14:textId="1CEC9E41"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măsurile</w:t>
            </w:r>
            <w:proofErr w:type="spellEnd"/>
            <w:proofErr w:type="gramEnd"/>
            <w:r w:rsidRPr="00432504">
              <w:rPr>
                <w:rFonts w:ascii="Times New Roman" w:eastAsia="Times New Roman" w:hAnsi="Times New Roman"/>
                <w:sz w:val="20"/>
                <w:szCs w:val="20"/>
                <w:lang w:val="fr-FR" w:eastAsia="ru-RU"/>
              </w:rPr>
              <w:t xml:space="preserve"> care </w:t>
            </w:r>
            <w:proofErr w:type="spellStart"/>
            <w:r w:rsidRPr="00432504">
              <w:rPr>
                <w:rFonts w:ascii="Times New Roman" w:eastAsia="Times New Roman" w:hAnsi="Times New Roman"/>
                <w:sz w:val="20"/>
                <w:szCs w:val="20"/>
                <w:lang w:val="fr-FR" w:eastAsia="ru-RU"/>
              </w:rPr>
              <w:t>promovează</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utilizarea</w:t>
            </w:r>
            <w:proofErr w:type="spellEnd"/>
            <w:r w:rsidRPr="00432504">
              <w:rPr>
                <w:rFonts w:ascii="Times New Roman" w:eastAsia="Times New Roman" w:hAnsi="Times New Roman"/>
                <w:sz w:val="20"/>
                <w:szCs w:val="20"/>
                <w:lang w:val="fr-FR" w:eastAsia="ru-RU"/>
              </w:rPr>
              <w:t xml:space="preserve"> energiei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biomasă</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special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mobilizarea</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noi</w:t>
            </w:r>
            <w:proofErr w:type="spellEnd"/>
            <w:r w:rsidRPr="00432504">
              <w:rPr>
                <w:rFonts w:ascii="Times New Roman" w:eastAsia="Times New Roman" w:hAnsi="Times New Roman"/>
                <w:sz w:val="20"/>
                <w:szCs w:val="20"/>
                <w:lang w:val="fr-FR" w:eastAsia="ru-RU"/>
              </w:rPr>
              <w:t xml:space="preserve"> surse de </w:t>
            </w:r>
            <w:proofErr w:type="spellStart"/>
            <w:r w:rsidRPr="00432504">
              <w:rPr>
                <w:rFonts w:ascii="Times New Roman" w:eastAsia="Times New Roman" w:hAnsi="Times New Roman"/>
                <w:sz w:val="20"/>
                <w:szCs w:val="20"/>
                <w:lang w:val="fr-FR" w:eastAsia="ru-RU"/>
              </w:rPr>
              <w:t>biomasă</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ținând</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seama</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disponibilitatea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biomasei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inclusiv</w:t>
            </w:r>
            <w:proofErr w:type="spellEnd"/>
            <w:r w:rsidRPr="00432504">
              <w:rPr>
                <w:rFonts w:ascii="Times New Roman" w:eastAsia="Times New Roman" w:hAnsi="Times New Roman"/>
                <w:sz w:val="20"/>
                <w:szCs w:val="20"/>
                <w:lang w:val="fr-FR" w:eastAsia="ru-RU"/>
              </w:rPr>
              <w:t xml:space="preserve"> a </w:t>
            </w:r>
            <w:proofErr w:type="spellStart"/>
            <w:r w:rsidRPr="00432504">
              <w:rPr>
                <w:rFonts w:ascii="Times New Roman" w:eastAsia="Times New Roman" w:hAnsi="Times New Roman"/>
                <w:sz w:val="20"/>
                <w:szCs w:val="20"/>
                <w:lang w:val="fr-FR" w:eastAsia="ru-RU"/>
              </w:rPr>
              <w:t>biomasei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durabile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precum</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măsurile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asigurarea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durabilității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biomasei</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produse</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utilizate</w:t>
            </w:r>
            <w:proofErr w:type="spellEnd"/>
            <w:r w:rsidRPr="00432504">
              <w:rPr>
                <w:rFonts w:ascii="Times New Roman" w:eastAsia="Times New Roman" w:hAnsi="Times New Roman"/>
                <w:sz w:val="20"/>
                <w:szCs w:val="20"/>
                <w:lang w:val="fr-FR" w:eastAsia="ru-RU"/>
              </w:rPr>
              <w:t>;</w:t>
            </w:r>
          </w:p>
          <w:p w14:paraId="3C7FD61E" w14:textId="30BBF4F5"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măsurile</w:t>
            </w:r>
            <w:proofErr w:type="spellEnd"/>
            <w:proofErr w:type="gram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introduse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pentru</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creșterea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ponderii</w:t>
            </w:r>
            <w:proofErr w:type="spellEnd"/>
            <w:r w:rsidRPr="00432504">
              <w:rPr>
                <w:rFonts w:ascii="Times New Roman" w:eastAsia="Times New Roman" w:hAnsi="Times New Roman"/>
                <w:sz w:val="20"/>
                <w:szCs w:val="20"/>
                <w:lang w:val="fr-FR" w:eastAsia="ru-RU"/>
              </w:rPr>
              <w:t xml:space="preserve"> energiei </w:t>
            </w:r>
            <w:proofErr w:type="spellStart"/>
            <w:r w:rsidRPr="00432504">
              <w:rPr>
                <w:rFonts w:ascii="Times New Roman" w:eastAsia="Times New Roman" w:hAnsi="Times New Roman"/>
                <w:sz w:val="20"/>
                <w:szCs w:val="20"/>
                <w:lang w:val="fr-FR" w:eastAsia="ru-RU"/>
              </w:rPr>
              <w:t>din</w:t>
            </w:r>
            <w:proofErr w:type="spellEnd"/>
            <w:r w:rsidRPr="00432504">
              <w:rPr>
                <w:rFonts w:ascii="Times New Roman" w:eastAsia="Times New Roman" w:hAnsi="Times New Roman"/>
                <w:sz w:val="20"/>
                <w:szCs w:val="20"/>
                <w:lang w:val="fr-FR" w:eastAsia="ru-RU"/>
              </w:rPr>
              <w:t xml:space="preserve"> surse </w:t>
            </w:r>
            <w:proofErr w:type="spellStart"/>
            <w:r w:rsidRPr="00432504">
              <w:rPr>
                <w:rFonts w:ascii="Times New Roman" w:eastAsia="Times New Roman" w:hAnsi="Times New Roman"/>
                <w:sz w:val="20"/>
                <w:szCs w:val="20"/>
                <w:lang w:val="fr-FR" w:eastAsia="ru-RU"/>
              </w:rPr>
              <w:t>regenerabile</w:t>
            </w:r>
            <w:proofErr w:type="spellEnd"/>
            <w:r w:rsidRPr="00432504">
              <w:rPr>
                <w:rFonts w:ascii="Times New Roman" w:eastAsia="Times New Roman" w:hAnsi="Times New Roman"/>
                <w:sz w:val="20"/>
                <w:szCs w:val="20"/>
                <w:lang w:val="fr-FR" w:eastAsia="ru-RU"/>
              </w:rPr>
              <w:t xml:space="preserve"> în </w:t>
            </w:r>
            <w:proofErr w:type="spellStart"/>
            <w:r w:rsidRPr="00432504">
              <w:rPr>
                <w:rFonts w:ascii="Times New Roman" w:eastAsia="Times New Roman" w:hAnsi="Times New Roman"/>
                <w:sz w:val="20"/>
                <w:szCs w:val="20"/>
                <w:lang w:val="fr-FR" w:eastAsia="ru-RU"/>
              </w:rPr>
              <w:t>sectorul</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încălzirii</w:t>
            </w:r>
            <w:proofErr w:type="spell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răcirii</w:t>
            </w:r>
            <w:proofErr w:type="spellEnd"/>
            <w:r w:rsidRPr="00432504">
              <w:rPr>
                <w:rFonts w:ascii="Times New Roman" w:eastAsia="Times New Roman" w:hAnsi="Times New Roman"/>
                <w:sz w:val="20"/>
                <w:szCs w:val="20"/>
                <w:lang w:val="fr-FR" w:eastAsia="ru-RU"/>
              </w:rPr>
              <w:t xml:space="preserve"> și al </w:t>
            </w:r>
            <w:proofErr w:type="spellStart"/>
            <w:r w:rsidRPr="00432504">
              <w:rPr>
                <w:rFonts w:ascii="Times New Roman" w:eastAsia="Times New Roman" w:hAnsi="Times New Roman"/>
                <w:sz w:val="20"/>
                <w:szCs w:val="20"/>
                <w:lang w:val="fr-FR" w:eastAsia="ru-RU"/>
              </w:rPr>
              <w:t>transporturilor</w:t>
            </w:r>
            <w:proofErr w:type="spellEnd"/>
            <w:r w:rsidRPr="00432504">
              <w:rPr>
                <w:rFonts w:ascii="Times New Roman" w:eastAsia="Times New Roman" w:hAnsi="Times New Roman"/>
                <w:sz w:val="20"/>
                <w:szCs w:val="20"/>
                <w:lang w:val="fr-FR" w:eastAsia="ru-RU"/>
              </w:rPr>
              <w:t>;</w:t>
            </w:r>
          </w:p>
          <w:p w14:paraId="35B128B5" w14:textId="6BA942F8" w:rsidR="008F5636" w:rsidRPr="00432504" w:rsidRDefault="008F5636" w:rsidP="000C5A3B">
            <w:pPr>
              <w:pStyle w:val="af3"/>
              <w:numPr>
                <w:ilvl w:val="0"/>
                <w:numId w:val="113"/>
              </w:numPr>
              <w:spacing w:after="0" w:line="240" w:lineRule="auto"/>
              <w:ind w:left="470" w:hanging="357"/>
              <w:jc w:val="both"/>
              <w:rPr>
                <w:rFonts w:ascii="Times New Roman" w:hAnsi="Times New Roman"/>
                <w:sz w:val="20"/>
                <w:szCs w:val="20"/>
                <w:lang w:val="fr-FR" w:eastAsia="ru-RU"/>
              </w:rPr>
            </w:pPr>
            <w:proofErr w:type="spellStart"/>
            <w:proofErr w:type="gramStart"/>
            <w:r w:rsidRPr="00432504">
              <w:rPr>
                <w:rFonts w:ascii="Times New Roman" w:eastAsia="Times New Roman" w:hAnsi="Times New Roman"/>
                <w:sz w:val="20"/>
                <w:szCs w:val="20"/>
                <w:lang w:val="fr-FR" w:eastAsia="ru-RU"/>
              </w:rPr>
              <w:t>politicile</w:t>
            </w:r>
            <w:proofErr w:type="spellEnd"/>
            <w:proofErr w:type="gramEnd"/>
            <w:r w:rsidRPr="00432504">
              <w:rPr>
                <w:rFonts w:ascii="Times New Roman" w:eastAsia="Times New Roman" w:hAnsi="Times New Roman"/>
                <w:sz w:val="20"/>
                <w:szCs w:val="20"/>
                <w:lang w:val="fr-FR" w:eastAsia="ru-RU"/>
              </w:rPr>
              <w:t xml:space="preserve"> și </w:t>
            </w:r>
            <w:proofErr w:type="spellStart"/>
            <w:r w:rsidRPr="00432504">
              <w:rPr>
                <w:rFonts w:ascii="Times New Roman" w:eastAsia="Times New Roman" w:hAnsi="Times New Roman"/>
                <w:sz w:val="20"/>
                <w:szCs w:val="20"/>
                <w:lang w:val="fr-FR" w:eastAsia="ru-RU"/>
              </w:rPr>
              <w:t>măsurile</w:t>
            </w:r>
            <w:proofErr w:type="spellEnd"/>
            <w:r w:rsidRPr="00432504">
              <w:rPr>
                <w:rFonts w:ascii="Times New Roman" w:eastAsia="Times New Roman" w:hAnsi="Times New Roman"/>
                <w:sz w:val="20"/>
                <w:szCs w:val="20"/>
                <w:lang w:val="fr-FR" w:eastAsia="ru-RU"/>
              </w:rPr>
              <w:t xml:space="preserve"> care </w:t>
            </w:r>
            <w:proofErr w:type="spellStart"/>
            <w:r w:rsidRPr="00432504">
              <w:rPr>
                <w:rFonts w:ascii="Times New Roman" w:eastAsia="Times New Roman" w:hAnsi="Times New Roman"/>
                <w:sz w:val="20"/>
                <w:szCs w:val="20"/>
                <w:lang w:val="fr-FR" w:eastAsia="ru-RU"/>
              </w:rPr>
              <w:t>facilitează</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utilizarea</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contractelor</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achiziție</w:t>
            </w:r>
            <w:proofErr w:type="spellEnd"/>
            <w:r w:rsidRPr="00432504">
              <w:rPr>
                <w:rFonts w:ascii="Times New Roman" w:eastAsia="Times New Roman" w:hAnsi="Times New Roman"/>
                <w:sz w:val="20"/>
                <w:szCs w:val="20"/>
                <w:lang w:val="fr-FR" w:eastAsia="ru-RU"/>
              </w:rPr>
              <w:t xml:space="preserve"> de </w:t>
            </w:r>
            <w:proofErr w:type="spellStart"/>
            <w:r w:rsidRPr="00432504">
              <w:rPr>
                <w:rFonts w:ascii="Times New Roman" w:eastAsia="Times New Roman" w:hAnsi="Times New Roman"/>
                <w:sz w:val="20"/>
                <w:szCs w:val="20"/>
                <w:lang w:val="fr-FR" w:eastAsia="ru-RU"/>
              </w:rPr>
              <w:t>energie</w:t>
            </w:r>
            <w:proofErr w:type="spellEnd"/>
            <w:r w:rsidRPr="00432504">
              <w:rPr>
                <w:rFonts w:ascii="Times New Roman" w:eastAsia="Times New Roman" w:hAnsi="Times New Roman"/>
                <w:sz w:val="20"/>
                <w:szCs w:val="20"/>
                <w:lang w:val="fr-FR" w:eastAsia="ru-RU"/>
              </w:rPr>
              <w:t xml:space="preserve"> </w:t>
            </w:r>
            <w:proofErr w:type="spellStart"/>
            <w:r w:rsidRPr="00432504">
              <w:rPr>
                <w:rFonts w:ascii="Times New Roman" w:eastAsia="Times New Roman" w:hAnsi="Times New Roman"/>
                <w:sz w:val="20"/>
                <w:szCs w:val="20"/>
                <w:lang w:val="fr-FR" w:eastAsia="ru-RU"/>
              </w:rPr>
              <w:t>electrică</w:t>
            </w:r>
            <w:proofErr w:type="spellEnd"/>
            <w:r w:rsidRPr="00432504">
              <w:rPr>
                <w:rFonts w:ascii="Times New Roman" w:eastAsia="Times New Roman" w:hAnsi="Times New Roman"/>
                <w:sz w:val="20"/>
                <w:szCs w:val="20"/>
                <w:lang w:val="fr-FR" w:eastAsia="ru-RU"/>
              </w:rPr>
              <w:t>;</w:t>
            </w:r>
          </w:p>
          <w:p w14:paraId="24BD086E" w14:textId="1ACDDDA0" w:rsidR="008F5636" w:rsidRPr="00432504" w:rsidRDefault="004879D9" w:rsidP="004879D9">
            <w:pPr>
              <w:jc w:val="both"/>
              <w:rPr>
                <w:rFonts w:ascii="Times New Roman" w:hAnsi="Times New Roman"/>
                <w:sz w:val="20"/>
                <w:szCs w:val="20"/>
                <w:lang w:val="fr-FR" w:eastAsia="ru-RU"/>
              </w:rPr>
            </w:pPr>
            <w:r w:rsidRPr="00432504">
              <w:rPr>
                <w:rFonts w:ascii="Times New Roman" w:hAnsi="Times New Roman"/>
                <w:sz w:val="20"/>
                <w:szCs w:val="20"/>
                <w:lang w:val="en-US" w:eastAsia="ru-RU"/>
              </w:rPr>
              <w:t xml:space="preserve">c) </w:t>
            </w:r>
            <w:proofErr w:type="spellStart"/>
            <w:r w:rsidRPr="00432504">
              <w:rPr>
                <w:rFonts w:ascii="Times New Roman" w:hAnsi="Times New Roman"/>
                <w:sz w:val="20"/>
                <w:szCs w:val="20"/>
                <w:lang w:val="en-US" w:eastAsia="ru-RU"/>
              </w:rPr>
              <w:t>stabilite</w:t>
            </w:r>
            <w:proofErr w:type="spellEnd"/>
            <w:r w:rsidRPr="00432504">
              <w:rPr>
                <w:rFonts w:ascii="Times New Roman" w:hAnsi="Times New Roman"/>
                <w:sz w:val="20"/>
                <w:szCs w:val="20"/>
                <w:lang w:val="en-US" w:eastAsia="ru-RU"/>
              </w:rPr>
              <w:t xml:space="preserve"> în </w:t>
            </w:r>
            <w:proofErr w:type="spellStart"/>
            <w:r w:rsidRPr="00432504">
              <w:rPr>
                <w:rFonts w:ascii="Times New Roman" w:hAnsi="Times New Roman"/>
                <w:sz w:val="20"/>
                <w:szCs w:val="20"/>
                <w:lang w:val="en-US" w:eastAsia="ru-RU"/>
              </w:rPr>
              <w:t>partea</w:t>
            </w:r>
            <w:proofErr w:type="spellEnd"/>
            <w:r w:rsidRPr="00432504">
              <w:rPr>
                <w:rFonts w:ascii="Times New Roman" w:hAnsi="Times New Roman"/>
                <w:sz w:val="20"/>
                <w:szCs w:val="20"/>
                <w:lang w:val="en-US" w:eastAsia="ru-RU"/>
              </w:rPr>
              <w:t xml:space="preserve"> 1 din </w:t>
            </w:r>
            <w:proofErr w:type="spellStart"/>
            <w:r w:rsidRPr="00432504">
              <w:rPr>
                <w:rFonts w:ascii="Times New Roman" w:hAnsi="Times New Roman"/>
                <w:sz w:val="20"/>
                <w:szCs w:val="20"/>
                <w:lang w:val="en-US" w:eastAsia="ru-RU"/>
              </w:rPr>
              <w:t>anexa</w:t>
            </w:r>
            <w:proofErr w:type="spellEnd"/>
            <w:r w:rsidRPr="00432504">
              <w:rPr>
                <w:rFonts w:ascii="Times New Roman" w:hAnsi="Times New Roman"/>
                <w:sz w:val="20"/>
                <w:szCs w:val="20"/>
                <w:lang w:val="en-US" w:eastAsia="ru-RU"/>
              </w:rPr>
              <w:t xml:space="preserve"> IX.</w:t>
            </w:r>
          </w:p>
        </w:tc>
        <w:tc>
          <w:tcPr>
            <w:tcW w:w="4440" w:type="dxa"/>
          </w:tcPr>
          <w:p w14:paraId="02F939C2" w14:textId="2685D67B" w:rsidR="008F5636" w:rsidRPr="00077DF7" w:rsidRDefault="008F5636" w:rsidP="00077DF7">
            <w:pPr>
              <w:shd w:val="clear" w:color="auto" w:fill="FFFFFF"/>
              <w:suppressAutoHyphens w:val="0"/>
              <w:autoSpaceDN/>
              <w:spacing w:after="0" w:line="240" w:lineRule="auto"/>
              <w:jc w:val="both"/>
              <w:textAlignment w:val="auto"/>
              <w:rPr>
                <w:rFonts w:ascii="Times New Roman" w:eastAsia="Times New Roman" w:hAnsi="Times New Roman"/>
                <w:bCs/>
                <w:color w:val="000000" w:themeColor="text1"/>
                <w:sz w:val="24"/>
                <w:szCs w:val="24"/>
                <w:lang w:val="ro-MD" w:eastAsia="ru-RU"/>
              </w:rPr>
            </w:pPr>
          </w:p>
        </w:tc>
        <w:tc>
          <w:tcPr>
            <w:tcW w:w="1276" w:type="dxa"/>
          </w:tcPr>
          <w:p w14:paraId="2E297A21" w14:textId="0FA68702" w:rsidR="008F5636" w:rsidRPr="00745D9A" w:rsidRDefault="00DE5A2E" w:rsidP="008F5636">
            <w:pPr>
              <w:pStyle w:val="ColorfulList-Accent11"/>
              <w:spacing w:after="0" w:line="240" w:lineRule="auto"/>
              <w:ind w:left="0"/>
              <w:jc w:val="both"/>
              <w:rPr>
                <w:lang w:val="ru-RU"/>
              </w:rPr>
            </w:pPr>
            <w:r>
              <w:rPr>
                <w:rFonts w:ascii="Times New Roman" w:hAnsi="Times New Roman"/>
                <w:sz w:val="20"/>
                <w:szCs w:val="20"/>
                <w:lang w:val="ro-RO"/>
              </w:rPr>
              <w:t>C</w:t>
            </w:r>
            <w:r w:rsidR="004879D9" w:rsidRPr="00C951E7">
              <w:rPr>
                <w:rFonts w:ascii="Times New Roman" w:hAnsi="Times New Roman"/>
                <w:sz w:val="20"/>
                <w:szCs w:val="20"/>
                <w:lang w:val="ro-RO"/>
              </w:rPr>
              <w:t>ompatibil</w:t>
            </w:r>
          </w:p>
        </w:tc>
        <w:tc>
          <w:tcPr>
            <w:tcW w:w="1276" w:type="dxa"/>
          </w:tcPr>
          <w:p w14:paraId="083F15BE" w14:textId="77777777" w:rsidR="008F5636" w:rsidRPr="00745D9A" w:rsidRDefault="008F5636" w:rsidP="008F5636">
            <w:pPr>
              <w:pStyle w:val="ColorfulList-Accent11"/>
              <w:spacing w:after="0" w:line="240" w:lineRule="auto"/>
              <w:ind w:left="0"/>
              <w:jc w:val="both"/>
              <w:rPr>
                <w:lang w:val="ru-RU"/>
              </w:rPr>
            </w:pPr>
          </w:p>
        </w:tc>
        <w:tc>
          <w:tcPr>
            <w:tcW w:w="1701" w:type="dxa"/>
          </w:tcPr>
          <w:p w14:paraId="696602BF" w14:textId="3106FA39" w:rsidR="006D59A3" w:rsidRPr="00F13819" w:rsidRDefault="00DE5A2E" w:rsidP="006D59A3">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w:t>
            </w:r>
            <w:r w:rsidRPr="00F13819">
              <w:rPr>
                <w:rFonts w:ascii="Times New Roman" w:eastAsia="Times New Roman" w:hAnsi="Times New Roman"/>
                <w:sz w:val="20"/>
                <w:szCs w:val="20"/>
                <w:lang w:val="ro-RO"/>
              </w:rPr>
              <w:lastRenderedPageBreak/>
              <w:t>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Pr>
                <w:rFonts w:ascii="Times New Roman" w:eastAsia="Times New Roman" w:hAnsi="Times New Roman"/>
                <w:sz w:val="20"/>
                <w:szCs w:val="20"/>
                <w:lang w:val="ro-RO"/>
              </w:rPr>
              <w:t xml:space="preserve"> </w:t>
            </w:r>
            <w:r w:rsidR="006D59A3">
              <w:rPr>
                <w:rFonts w:ascii="Times New Roman" w:eastAsia="Times New Roman" w:hAnsi="Times New Roman"/>
                <w:sz w:val="20"/>
                <w:szCs w:val="20"/>
                <w:lang w:val="ro-RO"/>
              </w:rPr>
              <w:t xml:space="preserve">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090C1194" w14:textId="09843C39" w:rsidR="00DE5A2E" w:rsidRDefault="00DE5A2E" w:rsidP="00DE5A2E">
            <w:pPr>
              <w:autoSpaceDE w:val="0"/>
              <w:spacing w:after="0" w:line="240" w:lineRule="auto"/>
              <w:rPr>
                <w:rFonts w:ascii="Times New Roman" w:hAnsi="Times New Roman"/>
                <w:sz w:val="20"/>
                <w:szCs w:val="20"/>
                <w:shd w:val="clear" w:color="auto" w:fill="FFFFFF"/>
                <w:lang w:val="ro-RO"/>
              </w:rPr>
            </w:pPr>
          </w:p>
          <w:p w14:paraId="3F3E2D1B" w14:textId="4BBBD16A"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pct.54 din</w:t>
            </w:r>
            <w:r>
              <w:rPr>
                <w:rFonts w:ascii="Times New Roman" w:eastAsia="Times New Roman" w:hAnsi="Times New Roman"/>
                <w:sz w:val="20"/>
                <w:szCs w:val="20"/>
                <w:lang w:val="ro-RO" w:eastAsia="ru-RU"/>
              </w:rPr>
              <w:t xml:space="preserve"> </w:t>
            </w:r>
          </w:p>
          <w:p w14:paraId="4F5546ED"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012F039E" w14:textId="77777777" w:rsidR="00077DF7" w:rsidRPr="00F13819" w:rsidRDefault="00077DF7" w:rsidP="00DE5A2E">
            <w:pPr>
              <w:autoSpaceDE w:val="0"/>
              <w:spacing w:after="0" w:line="240" w:lineRule="auto"/>
              <w:rPr>
                <w:rFonts w:ascii="Times New Roman" w:hAnsi="Times New Roman"/>
                <w:sz w:val="20"/>
                <w:szCs w:val="20"/>
                <w:shd w:val="clear" w:color="auto" w:fill="FFFFFF"/>
                <w:lang w:val="ro-RO"/>
              </w:rPr>
            </w:pPr>
          </w:p>
          <w:p w14:paraId="7731C4A8" w14:textId="029621E9" w:rsidR="008F5636" w:rsidRPr="004879D9" w:rsidRDefault="008F5636" w:rsidP="004879D9">
            <w:pPr>
              <w:pStyle w:val="ColorfulList-Accent11"/>
              <w:spacing w:after="0" w:line="240" w:lineRule="auto"/>
              <w:ind w:left="0"/>
              <w:jc w:val="both"/>
              <w:rPr>
                <w:lang w:val="ro-RO"/>
              </w:rPr>
            </w:pPr>
          </w:p>
        </w:tc>
        <w:tc>
          <w:tcPr>
            <w:tcW w:w="1460" w:type="dxa"/>
          </w:tcPr>
          <w:p w14:paraId="3826E3BE" w14:textId="77777777" w:rsidR="001C1227" w:rsidRPr="003F755D" w:rsidRDefault="004879D9" w:rsidP="001C1227">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1C1227" w:rsidRPr="00A81801">
              <w:rPr>
                <w:rFonts w:ascii="Times New Roman" w:hAnsi="Times New Roman"/>
                <w:color w:val="000000" w:themeColor="text1"/>
                <w:sz w:val="20"/>
                <w:szCs w:val="20"/>
              </w:rPr>
              <w:t>Energiei</w:t>
            </w:r>
          </w:p>
          <w:p w14:paraId="4B52486F" w14:textId="108B0502" w:rsidR="008F5636" w:rsidRPr="004879D9" w:rsidRDefault="008F5636" w:rsidP="001C1227">
            <w:pPr>
              <w:autoSpaceDE w:val="0"/>
              <w:spacing w:after="0" w:line="240" w:lineRule="auto"/>
              <w:rPr>
                <w:lang w:val="ro-RO"/>
              </w:rPr>
            </w:pPr>
          </w:p>
        </w:tc>
      </w:tr>
      <w:tr w:rsidR="008F5636" w:rsidRPr="00DE5A2E" w14:paraId="3A88D0D4" w14:textId="77777777" w:rsidTr="00A90105">
        <w:tc>
          <w:tcPr>
            <w:tcW w:w="4945" w:type="dxa"/>
          </w:tcPr>
          <w:p w14:paraId="1E7B0B96" w14:textId="77777777" w:rsidR="008F5636" w:rsidRPr="001C1227" w:rsidRDefault="008F5636" w:rsidP="004879D9">
            <w:pPr>
              <w:spacing w:after="0" w:line="240" w:lineRule="auto"/>
              <w:jc w:val="center"/>
              <w:rPr>
                <w:rFonts w:ascii="Times New Roman" w:hAnsi="Times New Roman"/>
                <w:sz w:val="20"/>
                <w:szCs w:val="20"/>
                <w:lang w:val="en-US" w:eastAsia="ru-RU"/>
              </w:rPr>
            </w:pPr>
            <w:proofErr w:type="spellStart"/>
            <w:r w:rsidRPr="001C1227">
              <w:rPr>
                <w:rFonts w:ascii="Times New Roman" w:hAnsi="Times New Roman"/>
                <w:sz w:val="20"/>
                <w:szCs w:val="20"/>
                <w:lang w:val="en-US" w:eastAsia="ru-RU"/>
              </w:rPr>
              <w:lastRenderedPageBreak/>
              <w:t>Articolul</w:t>
            </w:r>
            <w:proofErr w:type="spellEnd"/>
            <w:r w:rsidRPr="001C1227">
              <w:rPr>
                <w:rFonts w:ascii="Times New Roman" w:hAnsi="Times New Roman"/>
                <w:sz w:val="20"/>
                <w:szCs w:val="20"/>
                <w:lang w:val="en-US" w:eastAsia="ru-RU"/>
              </w:rPr>
              <w:t xml:space="preserve"> 21</w:t>
            </w:r>
          </w:p>
          <w:p w14:paraId="7178477D" w14:textId="77777777" w:rsidR="008F5636" w:rsidRPr="001C1227" w:rsidRDefault="008F5636" w:rsidP="004879D9">
            <w:pPr>
              <w:spacing w:after="0" w:line="240" w:lineRule="auto"/>
              <w:jc w:val="center"/>
              <w:rPr>
                <w:rFonts w:ascii="Times New Roman" w:hAnsi="Times New Roman"/>
                <w:b/>
                <w:bCs/>
                <w:sz w:val="20"/>
                <w:szCs w:val="20"/>
                <w:lang w:val="en-US" w:eastAsia="ru-RU"/>
              </w:rPr>
            </w:pPr>
            <w:proofErr w:type="spellStart"/>
            <w:r w:rsidRPr="001C1227">
              <w:rPr>
                <w:rFonts w:ascii="Times New Roman" w:hAnsi="Times New Roman"/>
                <w:b/>
                <w:bCs/>
                <w:sz w:val="20"/>
                <w:szCs w:val="20"/>
                <w:lang w:val="en-US" w:eastAsia="ru-RU"/>
              </w:rPr>
              <w:t>Raportarea</w:t>
            </w:r>
            <w:proofErr w:type="spellEnd"/>
            <w:r w:rsidRPr="001C1227">
              <w:rPr>
                <w:rFonts w:ascii="Times New Roman" w:hAnsi="Times New Roman"/>
                <w:b/>
                <w:bCs/>
                <w:sz w:val="20"/>
                <w:szCs w:val="20"/>
                <w:lang w:val="en-US" w:eastAsia="ru-RU"/>
              </w:rPr>
              <w:t xml:space="preserve"> </w:t>
            </w:r>
            <w:proofErr w:type="spellStart"/>
            <w:r w:rsidRPr="001C1227">
              <w:rPr>
                <w:rFonts w:ascii="Times New Roman" w:hAnsi="Times New Roman"/>
                <w:b/>
                <w:bCs/>
                <w:sz w:val="20"/>
                <w:szCs w:val="20"/>
                <w:lang w:val="en-US" w:eastAsia="ru-RU"/>
              </w:rPr>
              <w:t>integrată</w:t>
            </w:r>
            <w:proofErr w:type="spellEnd"/>
            <w:r w:rsidRPr="001C1227">
              <w:rPr>
                <w:rFonts w:ascii="Times New Roman" w:hAnsi="Times New Roman"/>
                <w:b/>
                <w:bCs/>
                <w:sz w:val="20"/>
                <w:szCs w:val="20"/>
                <w:lang w:val="en-US" w:eastAsia="ru-RU"/>
              </w:rPr>
              <w:t xml:space="preserve"> cu </w:t>
            </w:r>
            <w:proofErr w:type="spellStart"/>
            <w:r w:rsidRPr="001C1227">
              <w:rPr>
                <w:rFonts w:ascii="Times New Roman" w:hAnsi="Times New Roman"/>
                <w:b/>
                <w:bCs/>
                <w:sz w:val="20"/>
                <w:szCs w:val="20"/>
                <w:lang w:val="en-US" w:eastAsia="ru-RU"/>
              </w:rPr>
              <w:t>privire</w:t>
            </w:r>
            <w:proofErr w:type="spellEnd"/>
            <w:r w:rsidRPr="001C1227">
              <w:rPr>
                <w:rFonts w:ascii="Times New Roman" w:hAnsi="Times New Roman"/>
                <w:b/>
                <w:bCs/>
                <w:sz w:val="20"/>
                <w:szCs w:val="20"/>
                <w:lang w:val="en-US" w:eastAsia="ru-RU"/>
              </w:rPr>
              <w:t xml:space="preserve"> la </w:t>
            </w:r>
            <w:proofErr w:type="spellStart"/>
            <w:r w:rsidRPr="001C1227">
              <w:rPr>
                <w:rFonts w:ascii="Times New Roman" w:hAnsi="Times New Roman"/>
                <w:b/>
                <w:bCs/>
                <w:sz w:val="20"/>
                <w:szCs w:val="20"/>
                <w:lang w:val="en-US" w:eastAsia="ru-RU"/>
              </w:rPr>
              <w:t>eficiența</w:t>
            </w:r>
            <w:proofErr w:type="spellEnd"/>
            <w:r w:rsidRPr="001C1227">
              <w:rPr>
                <w:rFonts w:ascii="Times New Roman" w:hAnsi="Times New Roman"/>
                <w:b/>
                <w:bCs/>
                <w:sz w:val="20"/>
                <w:szCs w:val="20"/>
                <w:lang w:val="en-US" w:eastAsia="ru-RU"/>
              </w:rPr>
              <w:t xml:space="preserve"> </w:t>
            </w:r>
            <w:proofErr w:type="spellStart"/>
            <w:r w:rsidRPr="001C1227">
              <w:rPr>
                <w:rFonts w:ascii="Times New Roman" w:hAnsi="Times New Roman"/>
                <w:b/>
                <w:bCs/>
                <w:sz w:val="20"/>
                <w:szCs w:val="20"/>
                <w:lang w:val="en-US" w:eastAsia="ru-RU"/>
              </w:rPr>
              <w:t>energetică</w:t>
            </w:r>
            <w:proofErr w:type="spellEnd"/>
          </w:p>
          <w:p w14:paraId="2E5B89FC" w14:textId="3AFBDD36" w:rsidR="008F5636" w:rsidRPr="001C1227" w:rsidRDefault="008F5636" w:rsidP="00A0751A">
            <w:pPr>
              <w:spacing w:after="0" w:line="240" w:lineRule="auto"/>
              <w:jc w:val="both"/>
              <w:rPr>
                <w:rFonts w:ascii="Times New Roman" w:hAnsi="Times New Roman"/>
                <w:sz w:val="20"/>
                <w:szCs w:val="20"/>
                <w:lang w:val="en-US" w:eastAsia="ru-RU"/>
              </w:rPr>
            </w:pPr>
            <w:proofErr w:type="spellStart"/>
            <w:r w:rsidRPr="001C1227">
              <w:rPr>
                <w:rFonts w:ascii="Times New Roman" w:hAnsi="Times New Roman"/>
                <w:sz w:val="20"/>
                <w:szCs w:val="20"/>
                <w:lang w:val="en-US" w:eastAsia="ru-RU"/>
              </w:rPr>
              <w:t>Statele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membre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includ</w:t>
            </w:r>
            <w:proofErr w:type="spellEnd"/>
            <w:r w:rsidRPr="001C1227">
              <w:rPr>
                <w:rFonts w:ascii="Times New Roman" w:hAnsi="Times New Roman"/>
                <w:sz w:val="20"/>
                <w:szCs w:val="20"/>
                <w:lang w:val="en-US" w:eastAsia="ru-RU"/>
              </w:rPr>
              <w:t xml:space="preserve"> în </w:t>
            </w:r>
            <w:proofErr w:type="spellStart"/>
            <w:r w:rsidRPr="001C1227">
              <w:rPr>
                <w:rFonts w:ascii="Times New Roman" w:hAnsi="Times New Roman"/>
                <w:sz w:val="20"/>
                <w:szCs w:val="20"/>
                <w:lang w:val="en-US" w:eastAsia="ru-RU"/>
              </w:rPr>
              <w:t>rapoartele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naționale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intermediare</w:t>
            </w:r>
            <w:proofErr w:type="spellEnd"/>
            <w:r w:rsidRPr="001C1227">
              <w:rPr>
                <w:rFonts w:ascii="Times New Roman" w:hAnsi="Times New Roman"/>
                <w:sz w:val="20"/>
                <w:szCs w:val="20"/>
                <w:lang w:val="en-US" w:eastAsia="ru-RU"/>
              </w:rPr>
              <w:t xml:space="preserve"> integrate </w:t>
            </w:r>
            <w:proofErr w:type="spellStart"/>
            <w:r w:rsidRPr="001C1227">
              <w:rPr>
                <w:rFonts w:ascii="Times New Roman" w:hAnsi="Times New Roman"/>
                <w:sz w:val="20"/>
                <w:szCs w:val="20"/>
                <w:lang w:val="en-US" w:eastAsia="ru-RU"/>
              </w:rPr>
              <w:t>privind</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energia</w:t>
            </w:r>
            <w:proofErr w:type="spellEnd"/>
            <w:r w:rsidRPr="001C1227">
              <w:rPr>
                <w:rFonts w:ascii="Times New Roman" w:hAnsi="Times New Roman"/>
                <w:sz w:val="20"/>
                <w:szCs w:val="20"/>
                <w:lang w:val="en-US" w:eastAsia="ru-RU"/>
              </w:rPr>
              <w:t xml:space="preserve"> și </w:t>
            </w:r>
            <w:proofErr w:type="spellStart"/>
            <w:r w:rsidRPr="001C1227">
              <w:rPr>
                <w:rFonts w:ascii="Times New Roman" w:hAnsi="Times New Roman"/>
                <w:sz w:val="20"/>
                <w:szCs w:val="20"/>
                <w:lang w:val="en-US" w:eastAsia="ru-RU"/>
              </w:rPr>
              <w:t>clima</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informații</w:t>
            </w:r>
            <w:proofErr w:type="spellEnd"/>
            <w:r w:rsidRPr="001C1227">
              <w:rPr>
                <w:rFonts w:ascii="Times New Roman" w:hAnsi="Times New Roman"/>
                <w:sz w:val="20"/>
                <w:szCs w:val="20"/>
                <w:lang w:val="en-US" w:eastAsia="ru-RU"/>
              </w:rPr>
              <w:t>:</w:t>
            </w:r>
          </w:p>
          <w:p w14:paraId="6B6244A5" w14:textId="0BCD08C5" w:rsidR="00A0751A" w:rsidRPr="001C1227" w:rsidRDefault="00A0751A" w:rsidP="00A0751A">
            <w:pPr>
              <w:spacing w:after="0" w:line="240" w:lineRule="auto"/>
              <w:jc w:val="both"/>
              <w:rPr>
                <w:rFonts w:ascii="Times New Roman" w:hAnsi="Times New Roman"/>
                <w:sz w:val="20"/>
                <w:szCs w:val="20"/>
                <w:lang w:val="fr-FR" w:eastAsia="ru-RU"/>
              </w:rPr>
            </w:pPr>
            <w:proofErr w:type="gramStart"/>
            <w:r w:rsidRPr="001C1227">
              <w:rPr>
                <w:rFonts w:ascii="Times New Roman" w:hAnsi="Times New Roman"/>
                <w:sz w:val="20"/>
                <w:szCs w:val="20"/>
                <w:lang w:val="fr-FR" w:eastAsia="ru-RU"/>
              </w:rPr>
              <w:t>a)</w:t>
            </w:r>
            <w:proofErr w:type="spellStart"/>
            <w:r w:rsidRPr="001C1227">
              <w:rPr>
                <w:rFonts w:ascii="Times New Roman" w:hAnsi="Times New Roman"/>
                <w:sz w:val="20"/>
                <w:szCs w:val="20"/>
                <w:lang w:val="fr-FR" w:eastAsia="ru-RU"/>
              </w:rPr>
              <w:t>cu</w:t>
            </w:r>
            <w:proofErr w:type="spellEnd"/>
            <w:proofErr w:type="gram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privire</w:t>
            </w:r>
            <w:proofErr w:type="spellEnd"/>
            <w:r w:rsidRPr="001C1227">
              <w:rPr>
                <w:rFonts w:ascii="Times New Roman" w:hAnsi="Times New Roman"/>
                <w:sz w:val="20"/>
                <w:szCs w:val="20"/>
                <w:lang w:val="fr-FR" w:eastAsia="ru-RU"/>
              </w:rPr>
              <w:t xml:space="preserve"> la </w:t>
            </w:r>
            <w:proofErr w:type="spellStart"/>
            <w:r w:rsidRPr="001C1227">
              <w:rPr>
                <w:rFonts w:ascii="Times New Roman" w:hAnsi="Times New Roman"/>
                <w:sz w:val="20"/>
                <w:szCs w:val="20"/>
                <w:lang w:val="fr-FR" w:eastAsia="ru-RU"/>
              </w:rPr>
              <w:t>punerea</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aplicare</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următoarelor</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traiectorii</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obiective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naționale</w:t>
            </w:r>
            <w:proofErr w:type="spellEnd"/>
            <w:r w:rsidRPr="001C1227">
              <w:rPr>
                <w:rFonts w:ascii="Times New Roman" w:hAnsi="Times New Roman"/>
                <w:sz w:val="20"/>
                <w:szCs w:val="20"/>
                <w:lang w:val="fr-FR" w:eastAsia="ru-RU"/>
              </w:rPr>
              <w:t>:</w:t>
            </w:r>
          </w:p>
          <w:p w14:paraId="53D6233E" w14:textId="424B8EE4" w:rsidR="00A0751A" w:rsidRPr="001C1227" w:rsidRDefault="00A0751A" w:rsidP="000C5A3B">
            <w:pPr>
              <w:pStyle w:val="af3"/>
              <w:numPr>
                <w:ilvl w:val="0"/>
                <w:numId w:val="114"/>
              </w:numPr>
              <w:spacing w:after="0" w:line="240" w:lineRule="auto"/>
              <w:jc w:val="both"/>
              <w:rPr>
                <w:rFonts w:ascii="Times New Roman" w:hAnsi="Times New Roman"/>
                <w:sz w:val="20"/>
                <w:szCs w:val="20"/>
                <w:lang w:val="fr-FR" w:eastAsia="ru-RU"/>
              </w:rPr>
            </w:pPr>
            <w:proofErr w:type="spellStart"/>
            <w:proofErr w:type="gramStart"/>
            <w:r w:rsidRPr="001C1227">
              <w:rPr>
                <w:rFonts w:ascii="Times New Roman" w:hAnsi="Times New Roman"/>
                <w:sz w:val="20"/>
                <w:szCs w:val="20"/>
                <w:lang w:val="fr-FR" w:eastAsia="ru-RU"/>
              </w:rPr>
              <w:t>traiectoria</w:t>
            </w:r>
            <w:proofErr w:type="spellEnd"/>
            <w:proofErr w:type="gram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orientativă</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consumului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anual</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energie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primară</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finală</w:t>
            </w:r>
            <w:proofErr w:type="spellEnd"/>
            <w:r w:rsidRPr="001C1227">
              <w:rPr>
                <w:rFonts w:ascii="Times New Roman" w:hAnsi="Times New Roman"/>
                <w:sz w:val="20"/>
                <w:szCs w:val="20"/>
                <w:lang w:val="fr-FR" w:eastAsia="ru-RU"/>
              </w:rPr>
              <w:t xml:space="preserve"> în perioada 2021-2030, </w:t>
            </w:r>
            <w:proofErr w:type="spellStart"/>
            <w:r w:rsidRPr="001C1227">
              <w:rPr>
                <w:rFonts w:ascii="Times New Roman" w:hAnsi="Times New Roman"/>
                <w:sz w:val="20"/>
                <w:szCs w:val="20"/>
                <w:lang w:val="fr-FR" w:eastAsia="ru-RU"/>
              </w:rPr>
              <w:t>drept</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contribuția</w:t>
            </w:r>
            <w:proofErr w:type="spellEnd"/>
            <w:r w:rsidRPr="001C1227">
              <w:rPr>
                <w:rFonts w:ascii="Times New Roman" w:hAnsi="Times New Roman"/>
                <w:sz w:val="20"/>
                <w:szCs w:val="20"/>
                <w:lang w:val="fr-FR" w:eastAsia="ru-RU"/>
              </w:rPr>
              <w:t xml:space="preserve"> națională în </w:t>
            </w:r>
            <w:proofErr w:type="spellStart"/>
            <w:r w:rsidRPr="001C1227">
              <w:rPr>
                <w:rFonts w:ascii="Times New Roman" w:hAnsi="Times New Roman"/>
                <w:sz w:val="20"/>
                <w:szCs w:val="20"/>
                <w:lang w:val="fr-FR" w:eastAsia="ru-RU"/>
              </w:rPr>
              <w:t>materie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economii</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energie</w:t>
            </w:r>
            <w:proofErr w:type="spellEnd"/>
            <w:r w:rsidRPr="001C1227">
              <w:rPr>
                <w:rFonts w:ascii="Times New Roman" w:hAnsi="Times New Roman"/>
                <w:sz w:val="20"/>
                <w:szCs w:val="20"/>
                <w:lang w:val="fr-FR" w:eastAsia="ru-RU"/>
              </w:rPr>
              <w:t xml:space="preserve"> la </w:t>
            </w:r>
            <w:proofErr w:type="spellStart"/>
            <w:r w:rsidRPr="001C1227">
              <w:rPr>
                <w:rFonts w:ascii="Times New Roman" w:hAnsi="Times New Roman"/>
                <w:sz w:val="20"/>
                <w:szCs w:val="20"/>
                <w:lang w:val="fr-FR" w:eastAsia="ru-RU"/>
              </w:rPr>
              <w:t>realizarea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obiectivului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Uniunii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2030, </w:t>
            </w:r>
            <w:proofErr w:type="spellStart"/>
            <w:r w:rsidRPr="001C1227">
              <w:rPr>
                <w:rFonts w:ascii="Times New Roman" w:hAnsi="Times New Roman"/>
                <w:sz w:val="20"/>
                <w:szCs w:val="20"/>
                <w:lang w:val="fr-FR" w:eastAsia="ru-RU"/>
              </w:rPr>
              <w:t>inclusiv</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metodologia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aferentă</w:t>
            </w:r>
            <w:proofErr w:type="spellEnd"/>
            <w:r w:rsidRPr="001C1227">
              <w:rPr>
                <w:rFonts w:ascii="Times New Roman" w:hAnsi="Times New Roman"/>
                <w:sz w:val="20"/>
                <w:szCs w:val="20"/>
                <w:lang w:val="fr-FR" w:eastAsia="ru-RU"/>
              </w:rPr>
              <w:t>;</w:t>
            </w:r>
          </w:p>
          <w:p w14:paraId="67B59977" w14:textId="44AE6657" w:rsidR="00A0751A" w:rsidRPr="001C1227" w:rsidRDefault="00A0751A" w:rsidP="000C5A3B">
            <w:pPr>
              <w:pStyle w:val="af3"/>
              <w:numPr>
                <w:ilvl w:val="0"/>
                <w:numId w:val="114"/>
              </w:numPr>
              <w:spacing w:after="0" w:line="240" w:lineRule="auto"/>
              <w:jc w:val="both"/>
              <w:rPr>
                <w:rFonts w:ascii="Times New Roman" w:hAnsi="Times New Roman"/>
                <w:sz w:val="20"/>
                <w:szCs w:val="20"/>
                <w:lang w:val="fr-FR" w:eastAsia="ru-RU"/>
              </w:rPr>
            </w:pPr>
            <w:proofErr w:type="spellStart"/>
            <w:proofErr w:type="gramStart"/>
            <w:r w:rsidRPr="001C1227">
              <w:rPr>
                <w:rFonts w:ascii="Times New Roman" w:hAnsi="Times New Roman"/>
                <w:sz w:val="20"/>
                <w:szCs w:val="20"/>
                <w:lang w:val="fr-FR" w:eastAsia="ru-RU"/>
              </w:rPr>
              <w:t>etapele</w:t>
            </w:r>
            <w:proofErr w:type="spellEnd"/>
            <w:proofErr w:type="gramEnd"/>
            <w:r w:rsidRPr="001C1227">
              <w:rPr>
                <w:rFonts w:ascii="Times New Roman" w:hAnsi="Times New Roman"/>
                <w:sz w:val="20"/>
                <w:szCs w:val="20"/>
                <w:lang w:val="fr-FR" w:eastAsia="ru-RU"/>
              </w:rPr>
              <w:t xml:space="preserve"> orientative ale </w:t>
            </w:r>
            <w:proofErr w:type="spellStart"/>
            <w:r w:rsidRPr="001C1227">
              <w:rPr>
                <w:rFonts w:ascii="Times New Roman" w:hAnsi="Times New Roman"/>
                <w:sz w:val="20"/>
                <w:szCs w:val="20"/>
                <w:lang w:val="fr-FR" w:eastAsia="ru-RU"/>
              </w:rPr>
              <w:t>strategiei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termen</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lung</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renovarea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parcului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național</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clădiri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rezidențiale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nerezidențiale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atât</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publice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cât</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lastRenderedPageBreak/>
              <w:t>private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contribuțiile</w:t>
            </w:r>
            <w:proofErr w:type="spellEnd"/>
            <w:r w:rsidRPr="001C1227">
              <w:rPr>
                <w:rFonts w:ascii="Times New Roman" w:hAnsi="Times New Roman"/>
                <w:sz w:val="20"/>
                <w:szCs w:val="20"/>
                <w:lang w:val="fr-FR" w:eastAsia="ru-RU"/>
              </w:rPr>
              <w:t xml:space="preserve"> la </w:t>
            </w:r>
            <w:proofErr w:type="spellStart"/>
            <w:r w:rsidRPr="001C1227">
              <w:rPr>
                <w:rFonts w:ascii="Times New Roman" w:hAnsi="Times New Roman"/>
                <w:sz w:val="20"/>
                <w:szCs w:val="20"/>
                <w:lang w:val="fr-FR" w:eastAsia="ru-RU"/>
              </w:rPr>
              <w:t>obiectivele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Uniunii</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materie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eficiență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temeiul</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Directivei</w:t>
            </w:r>
            <w:proofErr w:type="spellEnd"/>
            <w:r w:rsidRPr="001C1227">
              <w:rPr>
                <w:rFonts w:ascii="Times New Roman" w:hAnsi="Times New Roman"/>
                <w:sz w:val="20"/>
                <w:szCs w:val="20"/>
                <w:lang w:val="fr-FR" w:eastAsia="ru-RU"/>
              </w:rPr>
              <w:t xml:space="preserve"> 2012/27/UE în conformitate </w:t>
            </w:r>
            <w:proofErr w:type="spellStart"/>
            <w:r w:rsidRPr="001C1227">
              <w:rPr>
                <w:rFonts w:ascii="Times New Roman" w:hAnsi="Times New Roman"/>
                <w:sz w:val="20"/>
                <w:szCs w:val="20"/>
                <w:lang w:val="fr-FR" w:eastAsia="ru-RU"/>
              </w:rPr>
              <w:t>cu</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articolul</w:t>
            </w:r>
            <w:proofErr w:type="spellEnd"/>
            <w:r w:rsidRPr="001C1227">
              <w:rPr>
                <w:rFonts w:ascii="Times New Roman" w:hAnsi="Times New Roman"/>
                <w:sz w:val="20"/>
                <w:szCs w:val="20"/>
                <w:lang w:val="fr-FR" w:eastAsia="ru-RU"/>
              </w:rPr>
              <w:t xml:space="preserve"> 2a </w:t>
            </w:r>
            <w:proofErr w:type="spellStart"/>
            <w:r w:rsidRPr="001C1227">
              <w:rPr>
                <w:rFonts w:ascii="Times New Roman" w:hAnsi="Times New Roman"/>
                <w:sz w:val="20"/>
                <w:szCs w:val="20"/>
                <w:lang w:val="fr-FR" w:eastAsia="ru-RU"/>
              </w:rPr>
              <w:t>din</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Directiva</w:t>
            </w:r>
            <w:proofErr w:type="spellEnd"/>
            <w:r w:rsidRPr="001C1227">
              <w:rPr>
                <w:rFonts w:ascii="Times New Roman" w:hAnsi="Times New Roman"/>
                <w:sz w:val="20"/>
                <w:szCs w:val="20"/>
                <w:lang w:val="fr-FR" w:eastAsia="ru-RU"/>
              </w:rPr>
              <w:t xml:space="preserve"> 2010/31/UE;</w:t>
            </w:r>
          </w:p>
          <w:p w14:paraId="719901A0" w14:textId="2C2A6E5E" w:rsidR="00A0751A" w:rsidRPr="001C1227" w:rsidRDefault="00A0751A" w:rsidP="000C5A3B">
            <w:pPr>
              <w:pStyle w:val="af3"/>
              <w:numPr>
                <w:ilvl w:val="0"/>
                <w:numId w:val="114"/>
              </w:numPr>
              <w:spacing w:after="0" w:line="240" w:lineRule="auto"/>
              <w:jc w:val="both"/>
              <w:rPr>
                <w:rFonts w:ascii="Times New Roman" w:hAnsi="Times New Roman"/>
                <w:sz w:val="20"/>
                <w:szCs w:val="20"/>
                <w:lang w:val="fr-FR" w:eastAsia="ru-RU"/>
              </w:rPr>
            </w:pPr>
            <w:proofErr w:type="spellStart"/>
            <w:r w:rsidRPr="001C1227">
              <w:rPr>
                <w:rFonts w:ascii="Times New Roman" w:hAnsi="Times New Roman"/>
                <w:sz w:val="20"/>
                <w:szCs w:val="20"/>
                <w:lang w:val="en-US" w:eastAsia="ru-RU"/>
              </w:rPr>
              <w:t>după</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caz</w:t>
            </w:r>
            <w:proofErr w:type="spellEnd"/>
            <w:r w:rsidRPr="001C1227">
              <w:rPr>
                <w:rFonts w:ascii="Times New Roman" w:hAnsi="Times New Roman"/>
                <w:sz w:val="20"/>
                <w:szCs w:val="20"/>
                <w:lang w:val="en-US" w:eastAsia="ru-RU"/>
              </w:rPr>
              <w:t xml:space="preserve">, o </w:t>
            </w:r>
            <w:proofErr w:type="spellStart"/>
            <w:r w:rsidRPr="001C1227">
              <w:rPr>
                <w:rFonts w:ascii="Times New Roman" w:hAnsi="Times New Roman"/>
                <w:sz w:val="20"/>
                <w:szCs w:val="20"/>
                <w:lang w:val="en-US" w:eastAsia="ru-RU"/>
              </w:rPr>
              <w:t>actualizare</w:t>
            </w:r>
            <w:proofErr w:type="spellEnd"/>
            <w:r w:rsidRPr="001C1227">
              <w:rPr>
                <w:rFonts w:ascii="Times New Roman" w:hAnsi="Times New Roman"/>
                <w:sz w:val="20"/>
                <w:szCs w:val="20"/>
                <w:lang w:val="en-US" w:eastAsia="ru-RU"/>
              </w:rPr>
              <w:t xml:space="preserve"> </w:t>
            </w:r>
            <w:proofErr w:type="gramStart"/>
            <w:r w:rsidRPr="001C1227">
              <w:rPr>
                <w:rFonts w:ascii="Times New Roman" w:hAnsi="Times New Roman"/>
                <w:sz w:val="20"/>
                <w:szCs w:val="20"/>
                <w:lang w:val="en-US" w:eastAsia="ru-RU"/>
              </w:rPr>
              <w:t>a</w:t>
            </w:r>
            <w:proofErr w:type="gram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altor</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obiective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naționale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stabilite</w:t>
            </w:r>
            <w:proofErr w:type="spellEnd"/>
            <w:r w:rsidRPr="001C1227">
              <w:rPr>
                <w:rFonts w:ascii="Times New Roman" w:hAnsi="Times New Roman"/>
                <w:sz w:val="20"/>
                <w:szCs w:val="20"/>
                <w:lang w:val="en-US" w:eastAsia="ru-RU"/>
              </w:rPr>
              <w:t xml:space="preserve"> în </w:t>
            </w:r>
            <w:proofErr w:type="spellStart"/>
            <w:r w:rsidRPr="001C1227">
              <w:rPr>
                <w:rFonts w:ascii="Times New Roman" w:hAnsi="Times New Roman"/>
                <w:sz w:val="20"/>
                <w:szCs w:val="20"/>
                <w:lang w:val="en-US" w:eastAsia="ru-RU"/>
              </w:rPr>
              <w:t>planul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național</w:t>
            </w:r>
            <w:proofErr w:type="spellEnd"/>
            <w:r w:rsidRPr="001C1227">
              <w:rPr>
                <w:rFonts w:ascii="Times New Roman" w:hAnsi="Times New Roman"/>
                <w:sz w:val="20"/>
                <w:szCs w:val="20"/>
                <w:lang w:val="en-US" w:eastAsia="ru-RU"/>
              </w:rPr>
              <w:t>;</w:t>
            </w:r>
          </w:p>
          <w:p w14:paraId="442014EE" w14:textId="7196876A" w:rsidR="006A009E" w:rsidRPr="001C1227" w:rsidRDefault="006A009E" w:rsidP="006A009E">
            <w:pPr>
              <w:spacing w:after="0" w:line="240" w:lineRule="auto"/>
              <w:rPr>
                <w:rFonts w:ascii="Times New Roman" w:hAnsi="Times New Roman"/>
                <w:sz w:val="20"/>
                <w:szCs w:val="20"/>
                <w:lang w:val="fr-FR" w:eastAsia="ru-RU"/>
              </w:rPr>
            </w:pPr>
            <w:r w:rsidRPr="001C1227">
              <w:rPr>
                <w:rFonts w:ascii="Times New Roman" w:hAnsi="Times New Roman"/>
                <w:sz w:val="20"/>
                <w:szCs w:val="20"/>
                <w:lang w:val="fr-FR"/>
              </w:rPr>
              <w:t>b)</w:t>
            </w:r>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cu</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privire</w:t>
            </w:r>
            <w:proofErr w:type="spellEnd"/>
            <w:r w:rsidRPr="001C1227">
              <w:rPr>
                <w:rFonts w:ascii="Times New Roman" w:hAnsi="Times New Roman"/>
                <w:sz w:val="20"/>
                <w:szCs w:val="20"/>
                <w:lang w:val="fr-FR" w:eastAsia="ru-RU"/>
              </w:rPr>
              <w:t xml:space="preserve"> la </w:t>
            </w:r>
            <w:proofErr w:type="spellStart"/>
            <w:r w:rsidRPr="001C1227">
              <w:rPr>
                <w:rFonts w:ascii="Times New Roman" w:hAnsi="Times New Roman"/>
                <w:sz w:val="20"/>
                <w:szCs w:val="20"/>
                <w:lang w:val="fr-FR" w:eastAsia="ru-RU"/>
              </w:rPr>
              <w:t>punerea</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aplicare</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următoarelor</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politici</w:t>
            </w:r>
            <w:proofErr w:type="spellEnd"/>
            <w:r w:rsidRPr="001C1227">
              <w:rPr>
                <w:rFonts w:ascii="Times New Roman" w:hAnsi="Times New Roman"/>
                <w:sz w:val="20"/>
                <w:szCs w:val="20"/>
                <w:lang w:val="fr-FR" w:eastAsia="ru-RU"/>
              </w:rPr>
              <w:t xml:space="preserve"> și </w:t>
            </w:r>
            <w:proofErr w:type="spellStart"/>
            <w:proofErr w:type="gramStart"/>
            <w:r w:rsidRPr="001C1227">
              <w:rPr>
                <w:rFonts w:ascii="Times New Roman" w:hAnsi="Times New Roman"/>
                <w:sz w:val="20"/>
                <w:szCs w:val="20"/>
                <w:lang w:val="fr-FR" w:eastAsia="ru-RU"/>
              </w:rPr>
              <w:t>măsuri</w:t>
            </w:r>
            <w:proofErr w:type="spellEnd"/>
            <w:r w:rsidRPr="001C1227">
              <w:rPr>
                <w:rFonts w:ascii="Times New Roman" w:hAnsi="Times New Roman"/>
                <w:sz w:val="20"/>
                <w:szCs w:val="20"/>
                <w:lang w:val="fr-FR" w:eastAsia="ru-RU"/>
              </w:rPr>
              <w:t>:</w:t>
            </w:r>
            <w:proofErr w:type="gramEnd"/>
          </w:p>
          <w:p w14:paraId="36D5F2E2" w14:textId="0A0C604F" w:rsidR="006A009E" w:rsidRPr="001C1227" w:rsidRDefault="006A009E" w:rsidP="000C5A3B">
            <w:pPr>
              <w:pStyle w:val="af3"/>
              <w:numPr>
                <w:ilvl w:val="0"/>
                <w:numId w:val="115"/>
              </w:numPr>
              <w:spacing w:after="0" w:line="240" w:lineRule="auto"/>
              <w:jc w:val="both"/>
              <w:rPr>
                <w:rFonts w:ascii="Times New Roman" w:hAnsi="Times New Roman"/>
                <w:sz w:val="20"/>
                <w:szCs w:val="20"/>
                <w:lang w:val="fr-FR" w:eastAsia="ru-RU"/>
              </w:rPr>
            </w:pPr>
            <w:proofErr w:type="spellStart"/>
            <w:r w:rsidRPr="001C1227">
              <w:rPr>
                <w:rFonts w:ascii="Times New Roman" w:hAnsi="Times New Roman"/>
                <w:sz w:val="20"/>
                <w:szCs w:val="20"/>
                <w:lang w:val="fr-FR" w:eastAsia="ru-RU"/>
              </w:rPr>
              <w:t>politicile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programele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puse</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aplicare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adoptate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planificate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realiza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contribuția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orientativă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privind</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eficiența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w:t>
            </w:r>
            <w:proofErr w:type="spellEnd"/>
            <w:r w:rsidRPr="001C1227">
              <w:rPr>
                <w:rFonts w:ascii="Times New Roman" w:hAnsi="Times New Roman"/>
                <w:sz w:val="20"/>
                <w:szCs w:val="20"/>
                <w:lang w:val="fr-FR" w:eastAsia="ru-RU"/>
              </w:rPr>
              <w:t xml:space="preserve"> plan </w:t>
            </w:r>
            <w:proofErr w:type="spellStart"/>
            <w:r w:rsidRPr="001C1227">
              <w:rPr>
                <w:rFonts w:ascii="Times New Roman" w:hAnsi="Times New Roman"/>
                <w:sz w:val="20"/>
                <w:szCs w:val="20"/>
                <w:lang w:val="fr-FR" w:eastAsia="ru-RU"/>
              </w:rPr>
              <w:t>național</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2030, </w:t>
            </w:r>
            <w:proofErr w:type="spellStart"/>
            <w:r w:rsidRPr="001C1227">
              <w:rPr>
                <w:rFonts w:ascii="Times New Roman" w:hAnsi="Times New Roman"/>
                <w:sz w:val="20"/>
                <w:szCs w:val="20"/>
                <w:lang w:val="fr-FR" w:eastAsia="ru-RU"/>
              </w:rPr>
              <w:t>precum</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alte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obiective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menționate</w:t>
            </w:r>
            <w:proofErr w:type="spellEnd"/>
            <w:r w:rsidRPr="001C1227">
              <w:rPr>
                <w:rFonts w:ascii="Times New Roman" w:hAnsi="Times New Roman"/>
                <w:sz w:val="20"/>
                <w:szCs w:val="20"/>
                <w:lang w:val="fr-FR" w:eastAsia="ru-RU"/>
              </w:rPr>
              <w:t xml:space="preserve"> la </w:t>
            </w:r>
            <w:proofErr w:type="spellStart"/>
            <w:r w:rsidRPr="001C1227">
              <w:rPr>
                <w:rFonts w:ascii="Times New Roman" w:hAnsi="Times New Roman"/>
                <w:sz w:val="20"/>
                <w:szCs w:val="20"/>
                <w:lang w:val="fr-FR" w:eastAsia="ru-RU"/>
              </w:rPr>
              <w:t>articolul</w:t>
            </w:r>
            <w:proofErr w:type="spellEnd"/>
            <w:r w:rsidRPr="001C1227">
              <w:rPr>
                <w:rFonts w:ascii="Times New Roman" w:hAnsi="Times New Roman"/>
                <w:sz w:val="20"/>
                <w:szCs w:val="20"/>
                <w:lang w:val="fr-FR" w:eastAsia="ru-RU"/>
              </w:rPr>
              <w:t xml:space="preserve"> 6, </w:t>
            </w:r>
            <w:proofErr w:type="spellStart"/>
            <w:r w:rsidRPr="001C1227">
              <w:rPr>
                <w:rFonts w:ascii="Times New Roman" w:hAnsi="Times New Roman"/>
                <w:sz w:val="20"/>
                <w:szCs w:val="20"/>
                <w:lang w:val="fr-FR" w:eastAsia="ru-RU"/>
              </w:rPr>
              <w:t>inclusiv</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instrumentele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planificate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inclusiv</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natură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financiară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promova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performanța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clădirilor</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utilizare</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potențialului</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eficiență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al </w:t>
            </w:r>
            <w:proofErr w:type="spellStart"/>
            <w:r w:rsidRPr="001C1227">
              <w:rPr>
                <w:rFonts w:ascii="Times New Roman" w:hAnsi="Times New Roman"/>
                <w:sz w:val="20"/>
                <w:szCs w:val="20"/>
                <w:lang w:val="fr-FR" w:eastAsia="ru-RU"/>
              </w:rPr>
              <w:t>infrastructurii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pentru</w:t>
            </w:r>
            <w:proofErr w:type="spellEnd"/>
            <w:r w:rsidRPr="001C1227">
              <w:rPr>
                <w:rFonts w:ascii="Times New Roman" w:hAnsi="Times New Roman"/>
                <w:sz w:val="20"/>
                <w:szCs w:val="20"/>
                <w:lang w:val="fr-FR" w:eastAsia="ru-RU"/>
              </w:rPr>
              <w:t xml:space="preserve"> gaz și </w:t>
            </w:r>
            <w:proofErr w:type="spellStart"/>
            <w:r w:rsidRPr="001C1227">
              <w:rPr>
                <w:rFonts w:ascii="Times New Roman" w:hAnsi="Times New Roman"/>
                <w:sz w:val="20"/>
                <w:szCs w:val="20"/>
                <w:lang w:val="fr-FR" w:eastAsia="ru-RU"/>
              </w:rPr>
              <w:t>energie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electrică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precum</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alte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măsuri</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promovare</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eficienței</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energetice</w:t>
            </w:r>
            <w:proofErr w:type="spellEnd"/>
            <w:r w:rsidRPr="001C1227">
              <w:rPr>
                <w:rFonts w:ascii="Times New Roman" w:hAnsi="Times New Roman"/>
                <w:sz w:val="20"/>
                <w:szCs w:val="20"/>
                <w:lang w:val="fr-FR" w:eastAsia="ru-RU"/>
              </w:rPr>
              <w:t>;</w:t>
            </w:r>
          </w:p>
          <w:p w14:paraId="17D7659B" w14:textId="0BC15935" w:rsidR="006A009E" w:rsidRPr="001C1227" w:rsidRDefault="006A009E" w:rsidP="000C5A3B">
            <w:pPr>
              <w:pStyle w:val="af3"/>
              <w:numPr>
                <w:ilvl w:val="0"/>
                <w:numId w:val="115"/>
              </w:numPr>
              <w:spacing w:after="0" w:line="240" w:lineRule="auto"/>
              <w:jc w:val="both"/>
              <w:rPr>
                <w:rFonts w:ascii="Times New Roman" w:hAnsi="Times New Roman"/>
                <w:sz w:val="20"/>
                <w:szCs w:val="20"/>
                <w:lang w:val="fr-FR" w:eastAsia="ru-RU"/>
              </w:rPr>
            </w:pPr>
            <w:proofErr w:type="spellStart"/>
            <w:proofErr w:type="gramStart"/>
            <w:r w:rsidRPr="001C1227">
              <w:rPr>
                <w:rFonts w:ascii="Times New Roman" w:hAnsi="Times New Roman"/>
                <w:sz w:val="20"/>
                <w:szCs w:val="20"/>
                <w:lang w:val="fr-FR" w:eastAsia="ru-RU"/>
              </w:rPr>
              <w:t>dacă</w:t>
            </w:r>
            <w:proofErr w:type="spellEnd"/>
            <w:proofErr w:type="gramEnd"/>
            <w:r w:rsidRPr="001C1227">
              <w:rPr>
                <w:rFonts w:ascii="Times New Roman" w:hAnsi="Times New Roman"/>
                <w:sz w:val="20"/>
                <w:szCs w:val="20"/>
                <w:lang w:val="fr-FR" w:eastAsia="ru-RU"/>
              </w:rPr>
              <w:t xml:space="preserve"> este </w:t>
            </w:r>
            <w:proofErr w:type="spellStart"/>
            <w:r w:rsidRPr="001C1227">
              <w:rPr>
                <w:rFonts w:ascii="Times New Roman" w:hAnsi="Times New Roman"/>
                <w:sz w:val="20"/>
                <w:szCs w:val="20"/>
                <w:lang w:val="fr-FR" w:eastAsia="ru-RU"/>
              </w:rPr>
              <w:t>cazul</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instrumentele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bazate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condițiile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piață</w:t>
            </w:r>
            <w:proofErr w:type="spellEnd"/>
            <w:r w:rsidRPr="001C1227">
              <w:rPr>
                <w:rFonts w:ascii="Times New Roman" w:hAnsi="Times New Roman"/>
                <w:sz w:val="20"/>
                <w:szCs w:val="20"/>
                <w:lang w:val="fr-FR" w:eastAsia="ru-RU"/>
              </w:rPr>
              <w:t xml:space="preserve"> care </w:t>
            </w:r>
            <w:proofErr w:type="spellStart"/>
            <w:r w:rsidRPr="001C1227">
              <w:rPr>
                <w:rFonts w:ascii="Times New Roman" w:hAnsi="Times New Roman"/>
                <w:sz w:val="20"/>
                <w:szCs w:val="20"/>
                <w:lang w:val="fr-FR" w:eastAsia="ru-RU"/>
              </w:rPr>
              <w:t>stimulează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creșterile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eficiență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inclusiv</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taxele</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certificatele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legate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energie</w:t>
            </w:r>
            <w:proofErr w:type="spellEnd"/>
            <w:r w:rsidRPr="001C1227">
              <w:rPr>
                <w:rFonts w:ascii="Times New Roman" w:hAnsi="Times New Roman"/>
                <w:sz w:val="20"/>
                <w:szCs w:val="20"/>
                <w:lang w:val="fr-FR" w:eastAsia="ru-RU"/>
              </w:rPr>
              <w:t xml:space="preserve">, dar </w:t>
            </w:r>
            <w:proofErr w:type="spellStart"/>
            <w:r w:rsidRPr="001C1227">
              <w:rPr>
                <w:rFonts w:ascii="Times New Roman" w:hAnsi="Times New Roman"/>
                <w:sz w:val="20"/>
                <w:szCs w:val="20"/>
                <w:lang w:val="fr-FR" w:eastAsia="ru-RU"/>
              </w:rPr>
              <w:t>fără</w:t>
            </w:r>
            <w:proofErr w:type="spellEnd"/>
            <w:r w:rsidRPr="001C1227">
              <w:rPr>
                <w:rFonts w:ascii="Times New Roman" w:hAnsi="Times New Roman"/>
                <w:sz w:val="20"/>
                <w:szCs w:val="20"/>
                <w:lang w:val="fr-FR" w:eastAsia="ru-RU"/>
              </w:rPr>
              <w:t xml:space="preserve"> a se limita la </w:t>
            </w:r>
            <w:proofErr w:type="spellStart"/>
            <w:r w:rsidRPr="001C1227">
              <w:rPr>
                <w:rFonts w:ascii="Times New Roman" w:hAnsi="Times New Roman"/>
                <w:sz w:val="20"/>
                <w:szCs w:val="20"/>
                <w:lang w:val="fr-FR" w:eastAsia="ru-RU"/>
              </w:rPr>
              <w:t>acestea</w:t>
            </w:r>
            <w:proofErr w:type="spellEnd"/>
            <w:r w:rsidRPr="001C1227">
              <w:rPr>
                <w:rFonts w:ascii="Times New Roman" w:hAnsi="Times New Roman"/>
                <w:sz w:val="20"/>
                <w:szCs w:val="20"/>
                <w:lang w:val="fr-FR" w:eastAsia="ru-RU"/>
              </w:rPr>
              <w:t>;</w:t>
            </w:r>
          </w:p>
          <w:p w14:paraId="13880259" w14:textId="227CCDC2" w:rsidR="006A009E" w:rsidRPr="001C1227" w:rsidRDefault="006A009E" w:rsidP="000C5A3B">
            <w:pPr>
              <w:pStyle w:val="af3"/>
              <w:numPr>
                <w:ilvl w:val="0"/>
                <w:numId w:val="115"/>
              </w:numPr>
              <w:spacing w:after="0" w:line="240" w:lineRule="auto"/>
              <w:jc w:val="both"/>
              <w:rPr>
                <w:rFonts w:ascii="Times New Roman" w:hAnsi="Times New Roman"/>
                <w:sz w:val="20"/>
                <w:szCs w:val="20"/>
                <w:lang w:val="fr-FR" w:eastAsia="ru-RU"/>
              </w:rPr>
            </w:pPr>
            <w:proofErr w:type="spellStart"/>
            <w:proofErr w:type="gramStart"/>
            <w:r w:rsidRPr="001C1227">
              <w:rPr>
                <w:rFonts w:ascii="Times New Roman" w:hAnsi="Times New Roman"/>
                <w:sz w:val="20"/>
                <w:szCs w:val="20"/>
                <w:lang w:val="fr-FR" w:eastAsia="ru-RU"/>
              </w:rPr>
              <w:t>schema</w:t>
            </w:r>
            <w:proofErr w:type="spellEnd"/>
            <w:proofErr w:type="gramEnd"/>
            <w:r w:rsidRPr="001C1227">
              <w:rPr>
                <w:rFonts w:ascii="Times New Roman" w:hAnsi="Times New Roman"/>
                <w:sz w:val="20"/>
                <w:szCs w:val="20"/>
                <w:lang w:val="fr-FR" w:eastAsia="ru-RU"/>
              </w:rPr>
              <w:t xml:space="preserve"> națională de </w:t>
            </w:r>
            <w:proofErr w:type="spellStart"/>
            <w:r w:rsidRPr="001C1227">
              <w:rPr>
                <w:rFonts w:ascii="Times New Roman" w:hAnsi="Times New Roman"/>
                <w:sz w:val="20"/>
                <w:szCs w:val="20"/>
                <w:lang w:val="fr-FR" w:eastAsia="ru-RU"/>
              </w:rPr>
              <w:t>obligații</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ceea</w:t>
            </w:r>
            <w:proofErr w:type="spellEnd"/>
            <w:r w:rsidRPr="001C1227">
              <w:rPr>
                <w:rFonts w:ascii="Times New Roman" w:hAnsi="Times New Roman"/>
                <w:sz w:val="20"/>
                <w:szCs w:val="20"/>
                <w:lang w:val="fr-FR" w:eastAsia="ru-RU"/>
              </w:rPr>
              <w:t xml:space="preserve"> ce </w:t>
            </w:r>
            <w:proofErr w:type="spellStart"/>
            <w:r w:rsidRPr="001C1227">
              <w:rPr>
                <w:rFonts w:ascii="Times New Roman" w:hAnsi="Times New Roman"/>
                <w:sz w:val="20"/>
                <w:szCs w:val="20"/>
                <w:lang w:val="fr-FR" w:eastAsia="ru-RU"/>
              </w:rPr>
              <w:t>privește</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eficiența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alternative în </w:t>
            </w:r>
            <w:proofErr w:type="spellStart"/>
            <w:r w:rsidRPr="001C1227">
              <w:rPr>
                <w:rFonts w:ascii="Times New Roman" w:hAnsi="Times New Roman"/>
                <w:sz w:val="20"/>
                <w:szCs w:val="20"/>
                <w:lang w:val="fr-FR" w:eastAsia="ru-RU"/>
              </w:rPr>
              <w:t>temeiul</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articolelor</w:t>
            </w:r>
            <w:proofErr w:type="spellEnd"/>
            <w:r w:rsidRPr="001C1227">
              <w:rPr>
                <w:rFonts w:ascii="Times New Roman" w:hAnsi="Times New Roman"/>
                <w:sz w:val="20"/>
                <w:szCs w:val="20"/>
                <w:lang w:val="fr-FR" w:eastAsia="ru-RU"/>
              </w:rPr>
              <w:t xml:space="preserve"> 7a și 7b </w:t>
            </w:r>
            <w:proofErr w:type="spellStart"/>
            <w:r w:rsidRPr="001C1227">
              <w:rPr>
                <w:rFonts w:ascii="Times New Roman" w:hAnsi="Times New Roman"/>
                <w:sz w:val="20"/>
                <w:szCs w:val="20"/>
                <w:lang w:val="fr-FR" w:eastAsia="ru-RU"/>
              </w:rPr>
              <w:t>din</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Directiva</w:t>
            </w:r>
            <w:proofErr w:type="spellEnd"/>
            <w:r w:rsidRPr="001C1227">
              <w:rPr>
                <w:rFonts w:ascii="Times New Roman" w:hAnsi="Times New Roman"/>
                <w:sz w:val="20"/>
                <w:szCs w:val="20"/>
                <w:lang w:val="fr-FR" w:eastAsia="ru-RU"/>
              </w:rPr>
              <w:t xml:space="preserve"> 2012/27/UE și în conformitate </w:t>
            </w:r>
            <w:proofErr w:type="spellStart"/>
            <w:r w:rsidRPr="001C1227">
              <w:rPr>
                <w:rFonts w:ascii="Times New Roman" w:hAnsi="Times New Roman"/>
                <w:sz w:val="20"/>
                <w:szCs w:val="20"/>
                <w:lang w:val="fr-FR" w:eastAsia="ru-RU"/>
              </w:rPr>
              <w:t>cu</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anexa</w:t>
            </w:r>
            <w:proofErr w:type="spellEnd"/>
            <w:r w:rsidRPr="001C1227">
              <w:rPr>
                <w:rFonts w:ascii="Times New Roman" w:hAnsi="Times New Roman"/>
                <w:sz w:val="20"/>
                <w:szCs w:val="20"/>
                <w:lang w:val="fr-FR" w:eastAsia="ru-RU"/>
              </w:rPr>
              <w:t xml:space="preserve"> III la </w:t>
            </w:r>
            <w:proofErr w:type="spellStart"/>
            <w:r w:rsidRPr="001C1227">
              <w:rPr>
                <w:rFonts w:ascii="Times New Roman" w:hAnsi="Times New Roman"/>
                <w:sz w:val="20"/>
                <w:szCs w:val="20"/>
                <w:lang w:val="fr-FR" w:eastAsia="ru-RU"/>
              </w:rPr>
              <w:t>prezentul</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regulament</w:t>
            </w:r>
            <w:proofErr w:type="spellEnd"/>
            <w:r w:rsidRPr="001C1227">
              <w:rPr>
                <w:rFonts w:ascii="Times New Roman" w:hAnsi="Times New Roman"/>
                <w:sz w:val="20"/>
                <w:szCs w:val="20"/>
                <w:lang w:val="fr-FR" w:eastAsia="ru-RU"/>
              </w:rPr>
              <w:t>;</w:t>
            </w:r>
          </w:p>
          <w:p w14:paraId="28EE58BB" w14:textId="7E2949A9" w:rsidR="006A009E" w:rsidRPr="001C1227" w:rsidRDefault="006A009E" w:rsidP="000C5A3B">
            <w:pPr>
              <w:pStyle w:val="af3"/>
              <w:numPr>
                <w:ilvl w:val="0"/>
                <w:numId w:val="115"/>
              </w:numPr>
              <w:spacing w:after="0" w:line="240" w:lineRule="auto"/>
              <w:jc w:val="both"/>
              <w:rPr>
                <w:rFonts w:ascii="Times New Roman" w:hAnsi="Times New Roman"/>
                <w:sz w:val="20"/>
                <w:szCs w:val="20"/>
                <w:lang w:val="fr-FR" w:eastAsia="ru-RU"/>
              </w:rPr>
            </w:pPr>
            <w:proofErr w:type="spellStart"/>
            <w:r w:rsidRPr="001C1227">
              <w:rPr>
                <w:rFonts w:ascii="Times New Roman" w:hAnsi="Times New Roman"/>
                <w:sz w:val="20"/>
                <w:szCs w:val="20"/>
                <w:lang w:val="en-US" w:eastAsia="ru-RU"/>
              </w:rPr>
              <w:t>strategiile</w:t>
            </w:r>
            <w:proofErr w:type="spellEnd"/>
            <w:r w:rsidRPr="001C1227">
              <w:rPr>
                <w:rFonts w:ascii="Times New Roman" w:hAnsi="Times New Roman"/>
                <w:sz w:val="20"/>
                <w:szCs w:val="20"/>
                <w:lang w:val="en-US" w:eastAsia="ru-RU"/>
              </w:rPr>
              <w:t xml:space="preserve"> de </w:t>
            </w:r>
            <w:proofErr w:type="spellStart"/>
            <w:r w:rsidRPr="001C1227">
              <w:rPr>
                <w:rFonts w:ascii="Times New Roman" w:hAnsi="Times New Roman"/>
                <w:sz w:val="20"/>
                <w:szCs w:val="20"/>
                <w:lang w:val="en-US" w:eastAsia="ru-RU"/>
              </w:rPr>
              <w:t>renovare</w:t>
            </w:r>
            <w:proofErr w:type="spellEnd"/>
            <w:r w:rsidRPr="001C1227">
              <w:rPr>
                <w:rFonts w:ascii="Times New Roman" w:hAnsi="Times New Roman"/>
                <w:sz w:val="20"/>
                <w:szCs w:val="20"/>
                <w:lang w:val="en-US" w:eastAsia="ru-RU"/>
              </w:rPr>
              <w:t xml:space="preserve"> pe termen lung în conformitate cu </w:t>
            </w:r>
            <w:proofErr w:type="spellStart"/>
            <w:r w:rsidRPr="001C1227">
              <w:rPr>
                <w:rFonts w:ascii="Times New Roman" w:hAnsi="Times New Roman"/>
                <w:sz w:val="20"/>
                <w:szCs w:val="20"/>
                <w:lang w:val="en-US" w:eastAsia="ru-RU"/>
              </w:rPr>
              <w:t>articolul</w:t>
            </w:r>
            <w:proofErr w:type="spellEnd"/>
            <w:r w:rsidRPr="001C1227">
              <w:rPr>
                <w:rFonts w:ascii="Times New Roman" w:hAnsi="Times New Roman"/>
                <w:sz w:val="20"/>
                <w:szCs w:val="20"/>
                <w:lang w:val="en-US" w:eastAsia="ru-RU"/>
              </w:rPr>
              <w:t xml:space="preserve"> 2a din </w:t>
            </w:r>
            <w:proofErr w:type="spellStart"/>
            <w:r w:rsidRPr="001C1227">
              <w:rPr>
                <w:rFonts w:ascii="Times New Roman" w:hAnsi="Times New Roman"/>
                <w:sz w:val="20"/>
                <w:szCs w:val="20"/>
                <w:lang w:val="en-US" w:eastAsia="ru-RU"/>
              </w:rPr>
              <w:t>Directiva</w:t>
            </w:r>
            <w:proofErr w:type="spellEnd"/>
            <w:r w:rsidRPr="001C1227">
              <w:rPr>
                <w:rFonts w:ascii="Times New Roman" w:hAnsi="Times New Roman"/>
                <w:sz w:val="20"/>
                <w:szCs w:val="20"/>
                <w:lang w:val="en-US" w:eastAsia="ru-RU"/>
              </w:rPr>
              <w:t xml:space="preserve"> 2010/31/UE;</w:t>
            </w:r>
          </w:p>
          <w:p w14:paraId="10FBC365" w14:textId="15C2023E" w:rsidR="006A009E" w:rsidRPr="001C1227" w:rsidRDefault="006A009E" w:rsidP="000C5A3B">
            <w:pPr>
              <w:pStyle w:val="af3"/>
              <w:numPr>
                <w:ilvl w:val="0"/>
                <w:numId w:val="115"/>
              </w:numPr>
              <w:spacing w:after="0" w:line="240" w:lineRule="auto"/>
              <w:jc w:val="both"/>
              <w:rPr>
                <w:rFonts w:ascii="Times New Roman" w:hAnsi="Times New Roman"/>
                <w:sz w:val="20"/>
                <w:szCs w:val="20"/>
                <w:lang w:val="fr-FR" w:eastAsia="ru-RU"/>
              </w:rPr>
            </w:pPr>
            <w:proofErr w:type="spellStart"/>
            <w:proofErr w:type="gramStart"/>
            <w:r w:rsidRPr="001C1227">
              <w:rPr>
                <w:rFonts w:ascii="Times New Roman" w:hAnsi="Times New Roman"/>
                <w:sz w:val="20"/>
                <w:szCs w:val="20"/>
                <w:lang w:val="fr-FR" w:eastAsia="ru-RU"/>
              </w:rPr>
              <w:t>politicile</w:t>
            </w:r>
            <w:proofErr w:type="spellEnd"/>
            <w:proofErr w:type="gramEnd"/>
            <w:r w:rsidRPr="001C1227">
              <w:rPr>
                <w:rFonts w:ascii="Times New Roman" w:hAnsi="Times New Roman"/>
                <w:sz w:val="20"/>
                <w:szCs w:val="20"/>
                <w:lang w:val="fr-FR" w:eastAsia="ru-RU"/>
              </w:rPr>
              <w:t xml:space="preserve"> și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promovarea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serviciilor</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energetice</w:t>
            </w:r>
            <w:proofErr w:type="spellEnd"/>
            <w:r w:rsidRPr="001C1227">
              <w:rPr>
                <w:rFonts w:ascii="Times New Roman" w:hAnsi="Times New Roman"/>
                <w:sz w:val="20"/>
                <w:szCs w:val="20"/>
                <w:lang w:val="fr-FR" w:eastAsia="ru-RU"/>
              </w:rPr>
              <w:t xml:space="preserve"> în </w:t>
            </w:r>
            <w:proofErr w:type="spellStart"/>
            <w:r w:rsidRPr="001C1227">
              <w:rPr>
                <w:rFonts w:ascii="Times New Roman" w:hAnsi="Times New Roman"/>
                <w:sz w:val="20"/>
                <w:szCs w:val="20"/>
                <w:lang w:val="fr-FR" w:eastAsia="ru-RU"/>
              </w:rPr>
              <w:t>sectorul</w:t>
            </w:r>
            <w:proofErr w:type="spellEnd"/>
            <w:r w:rsidRPr="001C1227">
              <w:rPr>
                <w:rFonts w:ascii="Times New Roman" w:hAnsi="Times New Roman"/>
                <w:sz w:val="20"/>
                <w:szCs w:val="20"/>
                <w:lang w:val="fr-FR" w:eastAsia="ru-RU"/>
              </w:rPr>
              <w:t xml:space="preserve"> public și </w:t>
            </w:r>
            <w:proofErr w:type="spellStart"/>
            <w:r w:rsidRPr="001C1227">
              <w:rPr>
                <w:rFonts w:ascii="Times New Roman" w:hAnsi="Times New Roman"/>
                <w:sz w:val="20"/>
                <w:szCs w:val="20"/>
                <w:lang w:val="fr-FR" w:eastAsia="ru-RU"/>
              </w:rPr>
              <w:t>măsurile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eliminare</w:t>
            </w:r>
            <w:proofErr w:type="spellEnd"/>
            <w:r w:rsidRPr="001C1227">
              <w:rPr>
                <w:rFonts w:ascii="Times New Roman" w:hAnsi="Times New Roman"/>
                <w:sz w:val="20"/>
                <w:szCs w:val="20"/>
                <w:lang w:val="fr-FR" w:eastAsia="ru-RU"/>
              </w:rPr>
              <w:t xml:space="preserve"> a </w:t>
            </w:r>
            <w:proofErr w:type="spellStart"/>
            <w:r w:rsidRPr="001C1227">
              <w:rPr>
                <w:rFonts w:ascii="Times New Roman" w:hAnsi="Times New Roman"/>
                <w:sz w:val="20"/>
                <w:szCs w:val="20"/>
                <w:lang w:val="fr-FR" w:eastAsia="ru-RU"/>
              </w:rPr>
              <w:t>barierelor</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reglementare</w:t>
            </w:r>
            <w:proofErr w:type="spellEnd"/>
            <w:r w:rsidRPr="001C1227">
              <w:rPr>
                <w:rFonts w:ascii="Times New Roman" w:hAnsi="Times New Roman"/>
                <w:sz w:val="20"/>
                <w:szCs w:val="20"/>
                <w:lang w:val="fr-FR" w:eastAsia="ru-RU"/>
              </w:rPr>
              <w:t xml:space="preserve"> și de </w:t>
            </w:r>
            <w:proofErr w:type="spellStart"/>
            <w:r w:rsidRPr="001C1227">
              <w:rPr>
                <w:rFonts w:ascii="Times New Roman" w:hAnsi="Times New Roman"/>
                <w:sz w:val="20"/>
                <w:szCs w:val="20"/>
                <w:lang w:val="fr-FR" w:eastAsia="ru-RU"/>
              </w:rPr>
              <w:t>altă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natură</w:t>
            </w:r>
            <w:proofErr w:type="spellEnd"/>
            <w:r w:rsidRPr="001C1227">
              <w:rPr>
                <w:rFonts w:ascii="Times New Roman" w:hAnsi="Times New Roman"/>
                <w:sz w:val="20"/>
                <w:szCs w:val="20"/>
                <w:lang w:val="fr-FR" w:eastAsia="ru-RU"/>
              </w:rPr>
              <w:t xml:space="preserve"> care </w:t>
            </w:r>
            <w:proofErr w:type="spellStart"/>
            <w:r w:rsidRPr="001C1227">
              <w:rPr>
                <w:rFonts w:ascii="Times New Roman" w:hAnsi="Times New Roman"/>
                <w:sz w:val="20"/>
                <w:szCs w:val="20"/>
                <w:lang w:val="fr-FR" w:eastAsia="ru-RU"/>
              </w:rPr>
              <w:t>împiedică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adoptarea</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practicii</w:t>
            </w:r>
            <w:proofErr w:type="spellEnd"/>
            <w:r w:rsidRPr="001C1227">
              <w:rPr>
                <w:rFonts w:ascii="Times New Roman" w:hAnsi="Times New Roman"/>
                <w:sz w:val="20"/>
                <w:szCs w:val="20"/>
                <w:lang w:val="fr-FR" w:eastAsia="ru-RU"/>
              </w:rPr>
              <w:t xml:space="preserve"> de a </w:t>
            </w:r>
            <w:proofErr w:type="spellStart"/>
            <w:r w:rsidRPr="001C1227">
              <w:rPr>
                <w:rFonts w:ascii="Times New Roman" w:hAnsi="Times New Roman"/>
                <w:sz w:val="20"/>
                <w:szCs w:val="20"/>
                <w:lang w:val="fr-FR" w:eastAsia="ru-RU"/>
              </w:rPr>
              <w:t>încheia</w:t>
            </w:r>
            <w:proofErr w:type="spellEnd"/>
            <w:r w:rsidRPr="001C1227">
              <w:rPr>
                <w:rFonts w:ascii="Times New Roman" w:hAnsi="Times New Roman"/>
                <w:sz w:val="20"/>
                <w:szCs w:val="20"/>
                <w:lang w:val="fr-FR" w:eastAsia="ru-RU"/>
              </w:rPr>
              <w:t xml:space="preserve"> contracte de </w:t>
            </w:r>
            <w:proofErr w:type="spellStart"/>
            <w:r w:rsidRPr="001C1227">
              <w:rPr>
                <w:rFonts w:ascii="Times New Roman" w:hAnsi="Times New Roman"/>
                <w:sz w:val="20"/>
                <w:szCs w:val="20"/>
                <w:lang w:val="fr-FR" w:eastAsia="ru-RU"/>
              </w:rPr>
              <w:t>performanță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 xml:space="preserve"> și a </w:t>
            </w:r>
            <w:proofErr w:type="spellStart"/>
            <w:r w:rsidRPr="001C1227">
              <w:rPr>
                <w:rFonts w:ascii="Times New Roman" w:hAnsi="Times New Roman"/>
                <w:sz w:val="20"/>
                <w:szCs w:val="20"/>
                <w:lang w:val="fr-FR" w:eastAsia="ru-RU"/>
              </w:rPr>
              <w:t>altor</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modele</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servicii</w:t>
            </w:r>
            <w:proofErr w:type="spellEnd"/>
            <w:r w:rsidRPr="001C1227">
              <w:rPr>
                <w:rFonts w:ascii="Times New Roman" w:hAnsi="Times New Roman"/>
                <w:sz w:val="20"/>
                <w:szCs w:val="20"/>
                <w:lang w:val="fr-FR" w:eastAsia="ru-RU"/>
              </w:rPr>
              <w:t xml:space="preserve"> de </w:t>
            </w:r>
            <w:proofErr w:type="spellStart"/>
            <w:r w:rsidRPr="001C1227">
              <w:rPr>
                <w:rFonts w:ascii="Times New Roman" w:hAnsi="Times New Roman"/>
                <w:sz w:val="20"/>
                <w:szCs w:val="20"/>
                <w:lang w:val="fr-FR" w:eastAsia="ru-RU"/>
              </w:rPr>
              <w:t>eficiență</w:t>
            </w:r>
            <w:proofErr w:type="spellEnd"/>
            <w:r w:rsidRPr="001C1227">
              <w:rPr>
                <w:rFonts w:ascii="Times New Roman" w:hAnsi="Times New Roman"/>
                <w:sz w:val="20"/>
                <w:szCs w:val="20"/>
                <w:lang w:val="fr-FR" w:eastAsia="ru-RU"/>
              </w:rPr>
              <w:t xml:space="preserve"> </w:t>
            </w:r>
            <w:proofErr w:type="spellStart"/>
            <w:r w:rsidRPr="001C1227">
              <w:rPr>
                <w:rFonts w:ascii="Times New Roman" w:hAnsi="Times New Roman"/>
                <w:sz w:val="20"/>
                <w:szCs w:val="20"/>
                <w:lang w:val="fr-FR" w:eastAsia="ru-RU"/>
              </w:rPr>
              <w:t>energetică</w:t>
            </w:r>
            <w:proofErr w:type="spellEnd"/>
            <w:r w:rsidRPr="001C1227">
              <w:rPr>
                <w:rFonts w:ascii="Times New Roman" w:hAnsi="Times New Roman"/>
                <w:sz w:val="20"/>
                <w:szCs w:val="20"/>
                <w:lang w:val="fr-FR" w:eastAsia="ru-RU"/>
              </w:rPr>
              <w:t>;</w:t>
            </w:r>
          </w:p>
          <w:p w14:paraId="4EDCC722" w14:textId="3C0849EF" w:rsidR="006A009E" w:rsidRPr="001C1227" w:rsidRDefault="006A009E" w:rsidP="000C5A3B">
            <w:pPr>
              <w:pStyle w:val="af3"/>
              <w:numPr>
                <w:ilvl w:val="0"/>
                <w:numId w:val="115"/>
              </w:numPr>
              <w:spacing w:after="0" w:line="240" w:lineRule="auto"/>
              <w:jc w:val="both"/>
              <w:rPr>
                <w:rFonts w:ascii="Times New Roman" w:hAnsi="Times New Roman"/>
                <w:sz w:val="20"/>
                <w:szCs w:val="20"/>
                <w:lang w:val="en-US" w:eastAsia="ru-RU"/>
              </w:rPr>
            </w:pPr>
            <w:proofErr w:type="spellStart"/>
            <w:r w:rsidRPr="001C1227">
              <w:rPr>
                <w:rFonts w:ascii="Times New Roman" w:hAnsi="Times New Roman"/>
                <w:sz w:val="20"/>
                <w:szCs w:val="20"/>
                <w:lang w:val="en-US" w:eastAsia="ru-RU"/>
              </w:rPr>
              <w:t>cooperarea</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regională</w:t>
            </w:r>
            <w:proofErr w:type="spellEnd"/>
            <w:r w:rsidRPr="001C1227">
              <w:rPr>
                <w:rFonts w:ascii="Times New Roman" w:hAnsi="Times New Roman"/>
                <w:sz w:val="20"/>
                <w:szCs w:val="20"/>
                <w:lang w:val="en-US" w:eastAsia="ru-RU"/>
              </w:rPr>
              <w:t xml:space="preserve"> în </w:t>
            </w:r>
            <w:proofErr w:type="spellStart"/>
            <w:r w:rsidRPr="001C1227">
              <w:rPr>
                <w:rFonts w:ascii="Times New Roman" w:hAnsi="Times New Roman"/>
                <w:sz w:val="20"/>
                <w:szCs w:val="20"/>
                <w:lang w:val="en-US" w:eastAsia="ru-RU"/>
              </w:rPr>
              <w:t>domeniul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eficienței</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energetice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dacă</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este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cazul</w:t>
            </w:r>
            <w:proofErr w:type="spellEnd"/>
            <w:r w:rsidRPr="001C1227">
              <w:rPr>
                <w:rFonts w:ascii="Times New Roman" w:hAnsi="Times New Roman"/>
                <w:sz w:val="20"/>
                <w:szCs w:val="20"/>
                <w:lang w:val="en-US" w:eastAsia="ru-RU"/>
              </w:rPr>
              <w:t>;</w:t>
            </w:r>
          </w:p>
          <w:p w14:paraId="25093609" w14:textId="41DF856C" w:rsidR="006A009E" w:rsidRPr="001C1227" w:rsidRDefault="006A009E" w:rsidP="000C5A3B">
            <w:pPr>
              <w:pStyle w:val="af3"/>
              <w:numPr>
                <w:ilvl w:val="0"/>
                <w:numId w:val="115"/>
              </w:numPr>
              <w:spacing w:after="0" w:line="240" w:lineRule="auto"/>
              <w:jc w:val="both"/>
              <w:rPr>
                <w:rFonts w:ascii="Times New Roman" w:hAnsi="Times New Roman"/>
                <w:sz w:val="20"/>
                <w:szCs w:val="20"/>
                <w:lang w:val="en-US" w:eastAsia="ru-RU"/>
              </w:rPr>
            </w:pPr>
            <w:proofErr w:type="spellStart"/>
            <w:r w:rsidRPr="001C1227">
              <w:rPr>
                <w:rFonts w:ascii="Times New Roman" w:hAnsi="Times New Roman"/>
                <w:sz w:val="20"/>
                <w:szCs w:val="20"/>
                <w:lang w:val="en-US" w:eastAsia="ru-RU"/>
              </w:rPr>
              <w:t>fără</w:t>
            </w:r>
            <w:proofErr w:type="spellEnd"/>
            <w:r w:rsidRPr="001C1227">
              <w:rPr>
                <w:rFonts w:ascii="Times New Roman" w:hAnsi="Times New Roman"/>
                <w:sz w:val="20"/>
                <w:szCs w:val="20"/>
                <w:lang w:val="en-US" w:eastAsia="ru-RU"/>
              </w:rPr>
              <w:t xml:space="preserve"> </w:t>
            </w:r>
            <w:proofErr w:type="gramStart"/>
            <w:r w:rsidRPr="001C1227">
              <w:rPr>
                <w:rFonts w:ascii="Times New Roman" w:hAnsi="Times New Roman"/>
                <w:sz w:val="20"/>
                <w:szCs w:val="20"/>
                <w:lang w:val="en-US" w:eastAsia="ru-RU"/>
              </w:rPr>
              <w:t>a</w:t>
            </w:r>
            <w:proofErr w:type="gram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aduce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atingere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articolelor</w:t>
            </w:r>
            <w:proofErr w:type="spellEnd"/>
            <w:r w:rsidRPr="001C1227">
              <w:rPr>
                <w:rFonts w:ascii="Times New Roman" w:hAnsi="Times New Roman"/>
                <w:sz w:val="20"/>
                <w:szCs w:val="20"/>
                <w:lang w:val="en-US" w:eastAsia="ru-RU"/>
              </w:rPr>
              <w:t xml:space="preserve"> 107 și 108 din TFUE, </w:t>
            </w:r>
            <w:proofErr w:type="spellStart"/>
            <w:r w:rsidRPr="001C1227">
              <w:rPr>
                <w:rFonts w:ascii="Times New Roman" w:hAnsi="Times New Roman"/>
                <w:sz w:val="20"/>
                <w:szCs w:val="20"/>
                <w:lang w:val="en-US" w:eastAsia="ru-RU"/>
              </w:rPr>
              <w:t>măsurile</w:t>
            </w:r>
            <w:proofErr w:type="spellEnd"/>
            <w:r w:rsidRPr="001C1227">
              <w:rPr>
                <w:rFonts w:ascii="Times New Roman" w:hAnsi="Times New Roman"/>
                <w:sz w:val="20"/>
                <w:szCs w:val="20"/>
                <w:lang w:val="en-US" w:eastAsia="ru-RU"/>
              </w:rPr>
              <w:t xml:space="preserve"> de </w:t>
            </w:r>
            <w:proofErr w:type="spellStart"/>
            <w:r w:rsidRPr="001C1227">
              <w:rPr>
                <w:rFonts w:ascii="Times New Roman" w:hAnsi="Times New Roman"/>
                <w:sz w:val="20"/>
                <w:szCs w:val="20"/>
                <w:lang w:val="en-US" w:eastAsia="ru-RU"/>
              </w:rPr>
              <w:t>finanțare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inclusiv</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sprijinul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acordat</w:t>
            </w:r>
            <w:proofErr w:type="spellEnd"/>
            <w:r w:rsidRPr="001C1227">
              <w:rPr>
                <w:rFonts w:ascii="Times New Roman" w:hAnsi="Times New Roman"/>
                <w:sz w:val="20"/>
                <w:szCs w:val="20"/>
                <w:lang w:val="en-US" w:eastAsia="ru-RU"/>
              </w:rPr>
              <w:t xml:space="preserve"> de </w:t>
            </w:r>
            <w:proofErr w:type="spellStart"/>
            <w:r w:rsidRPr="001C1227">
              <w:rPr>
                <w:rFonts w:ascii="Times New Roman" w:hAnsi="Times New Roman"/>
                <w:sz w:val="20"/>
                <w:szCs w:val="20"/>
                <w:lang w:val="en-US" w:eastAsia="ru-RU"/>
              </w:rPr>
              <w:t>Uniune</w:t>
            </w:r>
            <w:proofErr w:type="spellEnd"/>
            <w:r w:rsidRPr="001C1227">
              <w:rPr>
                <w:rFonts w:ascii="Times New Roman" w:hAnsi="Times New Roman"/>
                <w:sz w:val="20"/>
                <w:szCs w:val="20"/>
                <w:lang w:val="en-US" w:eastAsia="ru-RU"/>
              </w:rPr>
              <w:t xml:space="preserve"> și </w:t>
            </w:r>
            <w:proofErr w:type="spellStart"/>
            <w:r w:rsidRPr="001C1227">
              <w:rPr>
                <w:rFonts w:ascii="Times New Roman" w:hAnsi="Times New Roman"/>
                <w:sz w:val="20"/>
                <w:szCs w:val="20"/>
                <w:lang w:val="en-US" w:eastAsia="ru-RU"/>
              </w:rPr>
              <w:t>utilizarea</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fondurilor</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Uniunii</w:t>
            </w:r>
            <w:proofErr w:type="spellEnd"/>
            <w:r w:rsidRPr="001C1227">
              <w:rPr>
                <w:rFonts w:ascii="Times New Roman" w:hAnsi="Times New Roman"/>
                <w:sz w:val="20"/>
                <w:szCs w:val="20"/>
                <w:lang w:val="en-US" w:eastAsia="ru-RU"/>
              </w:rPr>
              <w:t xml:space="preserve"> în </w:t>
            </w:r>
            <w:proofErr w:type="spellStart"/>
            <w:r w:rsidRPr="001C1227">
              <w:rPr>
                <w:rFonts w:ascii="Times New Roman" w:hAnsi="Times New Roman"/>
                <w:sz w:val="20"/>
                <w:szCs w:val="20"/>
                <w:lang w:val="en-US" w:eastAsia="ru-RU"/>
              </w:rPr>
              <w:t>domeniul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eficienței</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energetice</w:t>
            </w:r>
            <w:proofErr w:type="spellEnd"/>
            <w:r w:rsidRPr="001C1227">
              <w:rPr>
                <w:rFonts w:ascii="Times New Roman" w:hAnsi="Times New Roman"/>
                <w:sz w:val="20"/>
                <w:szCs w:val="20"/>
                <w:lang w:val="en-US" w:eastAsia="ru-RU"/>
              </w:rPr>
              <w:t xml:space="preserve"> la </w:t>
            </w:r>
            <w:proofErr w:type="spellStart"/>
            <w:r w:rsidRPr="001C1227">
              <w:rPr>
                <w:rFonts w:ascii="Times New Roman" w:hAnsi="Times New Roman"/>
                <w:sz w:val="20"/>
                <w:szCs w:val="20"/>
                <w:lang w:val="en-US" w:eastAsia="ru-RU"/>
              </w:rPr>
              <w:t>nivel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național</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dacă</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este</w:t>
            </w:r>
            <w:proofErr w:type="spellEnd"/>
            <w:r w:rsidRPr="001C1227">
              <w:rPr>
                <w:rFonts w:ascii="Times New Roman" w:hAnsi="Times New Roman"/>
                <w:sz w:val="20"/>
                <w:szCs w:val="20"/>
                <w:lang w:val="en-US" w:eastAsia="ru-RU"/>
              </w:rPr>
              <w:t xml:space="preserve"> </w:t>
            </w:r>
            <w:proofErr w:type="spellStart"/>
            <w:r w:rsidRPr="001C1227">
              <w:rPr>
                <w:rFonts w:ascii="Times New Roman" w:hAnsi="Times New Roman"/>
                <w:sz w:val="20"/>
                <w:szCs w:val="20"/>
                <w:lang w:val="en-US" w:eastAsia="ru-RU"/>
              </w:rPr>
              <w:t>cazul</w:t>
            </w:r>
            <w:proofErr w:type="spellEnd"/>
            <w:r w:rsidRPr="001C1227">
              <w:rPr>
                <w:rFonts w:ascii="Times New Roman" w:hAnsi="Times New Roman"/>
                <w:sz w:val="20"/>
                <w:szCs w:val="20"/>
                <w:lang w:val="en-US" w:eastAsia="ru-RU"/>
              </w:rPr>
              <w:t>;</w:t>
            </w:r>
          </w:p>
          <w:p w14:paraId="5A938A34" w14:textId="6B41DC23" w:rsidR="008F5636" w:rsidRPr="006A009E" w:rsidRDefault="006A009E" w:rsidP="008F5636">
            <w:pPr>
              <w:pStyle w:val="ColorfulList-Accent11"/>
              <w:spacing w:after="0" w:line="240" w:lineRule="auto"/>
              <w:ind w:left="0"/>
              <w:jc w:val="both"/>
              <w:rPr>
                <w:lang w:val="en-US"/>
              </w:rPr>
            </w:pPr>
            <w:r w:rsidRPr="001C1227">
              <w:rPr>
                <w:rFonts w:ascii="Times New Roman" w:hAnsi="Times New Roman"/>
                <w:sz w:val="20"/>
                <w:szCs w:val="20"/>
                <w:lang w:val="en-US" w:eastAsia="ru-RU"/>
              </w:rPr>
              <w:t xml:space="preserve">c) </w:t>
            </w:r>
            <w:proofErr w:type="spellStart"/>
            <w:r w:rsidRPr="001C1227">
              <w:rPr>
                <w:rFonts w:ascii="Times New Roman" w:hAnsi="Times New Roman"/>
                <w:sz w:val="20"/>
                <w:szCs w:val="20"/>
                <w:lang w:val="en-US" w:eastAsia="ru-RU"/>
              </w:rPr>
              <w:t>stabilite</w:t>
            </w:r>
            <w:proofErr w:type="spellEnd"/>
            <w:r w:rsidRPr="001C1227">
              <w:rPr>
                <w:rFonts w:ascii="Times New Roman" w:hAnsi="Times New Roman"/>
                <w:sz w:val="20"/>
                <w:szCs w:val="20"/>
                <w:lang w:val="en-US" w:eastAsia="ru-RU"/>
              </w:rPr>
              <w:t xml:space="preserve"> în </w:t>
            </w:r>
            <w:proofErr w:type="spellStart"/>
            <w:r w:rsidRPr="001C1227">
              <w:rPr>
                <w:rFonts w:ascii="Times New Roman" w:hAnsi="Times New Roman"/>
                <w:sz w:val="20"/>
                <w:szCs w:val="20"/>
                <w:lang w:val="en-US" w:eastAsia="ru-RU"/>
              </w:rPr>
              <w:t>partea</w:t>
            </w:r>
            <w:proofErr w:type="spellEnd"/>
            <w:r w:rsidRPr="001C1227">
              <w:rPr>
                <w:rFonts w:ascii="Times New Roman" w:hAnsi="Times New Roman"/>
                <w:sz w:val="20"/>
                <w:szCs w:val="20"/>
                <w:lang w:val="en-US" w:eastAsia="ru-RU"/>
              </w:rPr>
              <w:t xml:space="preserve"> 2 din </w:t>
            </w:r>
            <w:proofErr w:type="spellStart"/>
            <w:r w:rsidRPr="001C1227">
              <w:rPr>
                <w:rFonts w:ascii="Times New Roman" w:hAnsi="Times New Roman"/>
                <w:sz w:val="20"/>
                <w:szCs w:val="20"/>
                <w:lang w:val="en-US" w:eastAsia="ru-RU"/>
              </w:rPr>
              <w:t>anexa</w:t>
            </w:r>
            <w:proofErr w:type="spellEnd"/>
            <w:r w:rsidRPr="001C1227">
              <w:rPr>
                <w:rFonts w:ascii="Times New Roman" w:hAnsi="Times New Roman"/>
                <w:sz w:val="20"/>
                <w:szCs w:val="20"/>
                <w:lang w:val="en-US" w:eastAsia="ru-RU"/>
              </w:rPr>
              <w:t xml:space="preserve"> IX.</w:t>
            </w:r>
          </w:p>
        </w:tc>
        <w:tc>
          <w:tcPr>
            <w:tcW w:w="4440" w:type="dxa"/>
          </w:tcPr>
          <w:p w14:paraId="6929C59B" w14:textId="77C727D0" w:rsidR="008F5636" w:rsidRPr="00077DF7" w:rsidRDefault="008F5636" w:rsidP="00077DF7">
            <w:pPr>
              <w:shd w:val="clear" w:color="auto" w:fill="FFFFFF"/>
              <w:suppressAutoHyphens w:val="0"/>
              <w:autoSpaceDN/>
              <w:spacing w:after="0" w:line="240" w:lineRule="auto"/>
              <w:jc w:val="both"/>
              <w:textAlignment w:val="auto"/>
              <w:rPr>
                <w:rFonts w:ascii="Times New Roman" w:eastAsia="Times New Roman" w:hAnsi="Times New Roman"/>
                <w:b/>
                <w:color w:val="000000" w:themeColor="text1"/>
                <w:sz w:val="24"/>
                <w:szCs w:val="24"/>
                <w:lang w:val="ro-MD" w:eastAsia="ru-RU"/>
              </w:rPr>
            </w:pPr>
          </w:p>
        </w:tc>
        <w:tc>
          <w:tcPr>
            <w:tcW w:w="1276" w:type="dxa"/>
          </w:tcPr>
          <w:p w14:paraId="028EA78D" w14:textId="31B91215" w:rsidR="008F5636" w:rsidRDefault="00DE5A2E" w:rsidP="008F5636">
            <w:pPr>
              <w:pStyle w:val="ColorfulList-Accent11"/>
              <w:spacing w:after="0" w:line="240" w:lineRule="auto"/>
              <w:ind w:left="0"/>
              <w:jc w:val="both"/>
              <w:rPr>
                <w:lang w:val="en-US"/>
              </w:rPr>
            </w:pPr>
            <w:r>
              <w:rPr>
                <w:rFonts w:ascii="Times New Roman" w:hAnsi="Times New Roman"/>
                <w:sz w:val="20"/>
                <w:szCs w:val="20"/>
                <w:lang w:val="ro-RO"/>
              </w:rPr>
              <w:t>C</w:t>
            </w:r>
            <w:r w:rsidR="00A0751A" w:rsidRPr="00C951E7">
              <w:rPr>
                <w:rFonts w:ascii="Times New Roman" w:hAnsi="Times New Roman"/>
                <w:sz w:val="20"/>
                <w:szCs w:val="20"/>
                <w:lang w:val="ro-RO"/>
              </w:rPr>
              <w:t>ompatibil</w:t>
            </w:r>
          </w:p>
        </w:tc>
        <w:tc>
          <w:tcPr>
            <w:tcW w:w="1276" w:type="dxa"/>
          </w:tcPr>
          <w:p w14:paraId="35BE7057" w14:textId="77777777" w:rsidR="008F5636" w:rsidRDefault="008F5636" w:rsidP="008F5636">
            <w:pPr>
              <w:pStyle w:val="ColorfulList-Accent11"/>
              <w:spacing w:after="0" w:line="240" w:lineRule="auto"/>
              <w:ind w:left="0"/>
              <w:jc w:val="both"/>
              <w:rPr>
                <w:lang w:val="en-US"/>
              </w:rPr>
            </w:pPr>
          </w:p>
        </w:tc>
        <w:tc>
          <w:tcPr>
            <w:tcW w:w="1701" w:type="dxa"/>
          </w:tcPr>
          <w:p w14:paraId="3DB95679" w14:textId="77777777" w:rsidR="006D59A3" w:rsidRPr="00F13819" w:rsidRDefault="00DE5A2E" w:rsidP="006D59A3">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sidRPr="00F13819">
              <w:rPr>
                <w:rFonts w:ascii="Times New Roman" w:eastAsia="Times New Roman" w:hAnsi="Times New Roman"/>
                <w:sz w:val="20"/>
                <w:szCs w:val="20"/>
                <w:lang w:val="ro-RO"/>
              </w:rPr>
              <w:lastRenderedPageBreak/>
              <w:t>30.11.2021</w:t>
            </w:r>
            <w:r w:rsidR="006D59A3">
              <w:rPr>
                <w:rFonts w:ascii="Times New Roman" w:eastAsia="Times New Roman" w:hAnsi="Times New Roman"/>
                <w:sz w:val="20"/>
                <w:szCs w:val="20"/>
                <w:lang w:val="ro-RO"/>
              </w:rPr>
              <w:t xml:space="preserve"> 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2F2311DC" w14:textId="0A373B73" w:rsidR="00DE5A2E" w:rsidRDefault="00DE5A2E" w:rsidP="00DE5A2E">
            <w:pPr>
              <w:autoSpaceDE w:val="0"/>
              <w:spacing w:after="0" w:line="240" w:lineRule="auto"/>
              <w:rPr>
                <w:rFonts w:ascii="Times New Roman" w:hAnsi="Times New Roman"/>
                <w:sz w:val="20"/>
                <w:szCs w:val="20"/>
                <w:shd w:val="clear" w:color="auto" w:fill="FFFFFF"/>
                <w:lang w:val="ro-RO"/>
              </w:rPr>
            </w:pPr>
          </w:p>
          <w:p w14:paraId="759B89BE" w14:textId="77777777" w:rsidR="00077DF7" w:rsidRDefault="00077DF7" w:rsidP="00DE5A2E">
            <w:pPr>
              <w:autoSpaceDE w:val="0"/>
              <w:spacing w:after="0" w:line="240" w:lineRule="auto"/>
              <w:rPr>
                <w:rFonts w:ascii="Times New Roman" w:hAnsi="Times New Roman"/>
                <w:sz w:val="20"/>
                <w:szCs w:val="20"/>
                <w:shd w:val="clear" w:color="auto" w:fill="FFFFFF"/>
                <w:lang w:val="ro-RO"/>
              </w:rPr>
            </w:pPr>
          </w:p>
          <w:p w14:paraId="0A1D5268" w14:textId="25BDEC9F"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pct.55 din</w:t>
            </w:r>
            <w:r>
              <w:rPr>
                <w:rFonts w:ascii="Times New Roman" w:eastAsia="Times New Roman" w:hAnsi="Times New Roman"/>
                <w:sz w:val="20"/>
                <w:szCs w:val="20"/>
                <w:lang w:val="ro-RO" w:eastAsia="ru-RU"/>
              </w:rPr>
              <w:t xml:space="preserve"> </w:t>
            </w:r>
          </w:p>
          <w:p w14:paraId="21EF0BD7"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FD0D1BC" w14:textId="77777777" w:rsidR="00077DF7" w:rsidRPr="00F13819" w:rsidRDefault="00077DF7" w:rsidP="00DE5A2E">
            <w:pPr>
              <w:autoSpaceDE w:val="0"/>
              <w:spacing w:after="0" w:line="240" w:lineRule="auto"/>
              <w:rPr>
                <w:rFonts w:ascii="Times New Roman" w:hAnsi="Times New Roman"/>
                <w:sz w:val="20"/>
                <w:szCs w:val="20"/>
                <w:shd w:val="clear" w:color="auto" w:fill="FFFFFF"/>
                <w:lang w:val="ro-RO"/>
              </w:rPr>
            </w:pPr>
          </w:p>
          <w:p w14:paraId="65E88236" w14:textId="23F76CD9" w:rsidR="008F5636" w:rsidRPr="00A0751A" w:rsidRDefault="008F5636" w:rsidP="00A0751A">
            <w:pPr>
              <w:pStyle w:val="ColorfulList-Accent11"/>
              <w:spacing w:after="0" w:line="240" w:lineRule="auto"/>
              <w:ind w:left="0"/>
              <w:jc w:val="both"/>
              <w:rPr>
                <w:lang w:val="ro-RO"/>
              </w:rPr>
            </w:pPr>
          </w:p>
        </w:tc>
        <w:tc>
          <w:tcPr>
            <w:tcW w:w="1460" w:type="dxa"/>
          </w:tcPr>
          <w:p w14:paraId="67307875" w14:textId="1E7FA291" w:rsidR="00A0751A" w:rsidRPr="003F755D" w:rsidRDefault="00A0751A" w:rsidP="00A0751A">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1C1227" w:rsidRPr="00A81801">
              <w:rPr>
                <w:rFonts w:ascii="Times New Roman" w:hAnsi="Times New Roman"/>
                <w:color w:val="000000" w:themeColor="text1"/>
                <w:sz w:val="20"/>
                <w:szCs w:val="20"/>
              </w:rPr>
              <w:t>Energiei</w:t>
            </w:r>
          </w:p>
          <w:p w14:paraId="23D842D6" w14:textId="77777777" w:rsidR="008F5636" w:rsidRPr="00A0751A" w:rsidRDefault="008F5636" w:rsidP="008F5636">
            <w:pPr>
              <w:pStyle w:val="ColorfulList-Accent11"/>
              <w:spacing w:after="0" w:line="240" w:lineRule="auto"/>
              <w:ind w:left="0"/>
              <w:jc w:val="both"/>
              <w:rPr>
                <w:lang w:val="ro-RO"/>
              </w:rPr>
            </w:pPr>
          </w:p>
        </w:tc>
      </w:tr>
      <w:tr w:rsidR="008F5636" w:rsidRPr="00BC5E3B" w14:paraId="03F4BE1C" w14:textId="77777777" w:rsidTr="00A90105">
        <w:tc>
          <w:tcPr>
            <w:tcW w:w="4945" w:type="dxa"/>
          </w:tcPr>
          <w:p w14:paraId="61F0F6D6" w14:textId="77777777" w:rsidR="008F5636" w:rsidRPr="0004558D" w:rsidRDefault="008F5636" w:rsidP="006A009E">
            <w:pPr>
              <w:spacing w:after="0" w:line="240" w:lineRule="auto"/>
              <w:jc w:val="center"/>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Articolul</w:t>
            </w:r>
            <w:proofErr w:type="spellEnd"/>
            <w:r w:rsidRPr="0004558D">
              <w:rPr>
                <w:rFonts w:ascii="Times New Roman" w:hAnsi="Times New Roman"/>
                <w:sz w:val="20"/>
                <w:szCs w:val="20"/>
                <w:lang w:val="en-US" w:eastAsia="ru-RU"/>
              </w:rPr>
              <w:t xml:space="preserve"> 22</w:t>
            </w:r>
          </w:p>
          <w:p w14:paraId="743A660D" w14:textId="77777777" w:rsidR="008F5636" w:rsidRPr="0004558D" w:rsidRDefault="008F5636" w:rsidP="006A009E">
            <w:pPr>
              <w:spacing w:after="0" w:line="240" w:lineRule="auto"/>
              <w:jc w:val="center"/>
              <w:rPr>
                <w:rFonts w:ascii="Times New Roman" w:hAnsi="Times New Roman"/>
                <w:b/>
                <w:bCs/>
                <w:sz w:val="20"/>
                <w:szCs w:val="20"/>
                <w:lang w:val="en-US" w:eastAsia="ru-RU"/>
              </w:rPr>
            </w:pPr>
            <w:proofErr w:type="spellStart"/>
            <w:r w:rsidRPr="0004558D">
              <w:rPr>
                <w:rFonts w:ascii="Times New Roman" w:hAnsi="Times New Roman"/>
                <w:b/>
                <w:bCs/>
                <w:sz w:val="20"/>
                <w:szCs w:val="20"/>
                <w:lang w:val="en-US" w:eastAsia="ru-RU"/>
              </w:rPr>
              <w:lastRenderedPageBreak/>
              <w:t>Raportarea</w:t>
            </w:r>
            <w:proofErr w:type="spellEnd"/>
            <w:r w:rsidRPr="0004558D">
              <w:rPr>
                <w:rFonts w:ascii="Times New Roman" w:hAnsi="Times New Roman"/>
                <w:b/>
                <w:bCs/>
                <w:sz w:val="20"/>
                <w:szCs w:val="20"/>
                <w:lang w:val="en-US" w:eastAsia="ru-RU"/>
              </w:rPr>
              <w:t xml:space="preserve"> </w:t>
            </w:r>
            <w:proofErr w:type="spellStart"/>
            <w:r w:rsidRPr="0004558D">
              <w:rPr>
                <w:rFonts w:ascii="Times New Roman" w:hAnsi="Times New Roman"/>
                <w:b/>
                <w:bCs/>
                <w:sz w:val="20"/>
                <w:szCs w:val="20"/>
                <w:lang w:val="en-US" w:eastAsia="ru-RU"/>
              </w:rPr>
              <w:t>integrată</w:t>
            </w:r>
            <w:proofErr w:type="spellEnd"/>
            <w:r w:rsidRPr="0004558D">
              <w:rPr>
                <w:rFonts w:ascii="Times New Roman" w:hAnsi="Times New Roman"/>
                <w:b/>
                <w:bCs/>
                <w:sz w:val="20"/>
                <w:szCs w:val="20"/>
                <w:lang w:val="en-US" w:eastAsia="ru-RU"/>
              </w:rPr>
              <w:t xml:space="preserve"> cu </w:t>
            </w:r>
            <w:proofErr w:type="spellStart"/>
            <w:r w:rsidRPr="0004558D">
              <w:rPr>
                <w:rFonts w:ascii="Times New Roman" w:hAnsi="Times New Roman"/>
                <w:b/>
                <w:bCs/>
                <w:sz w:val="20"/>
                <w:szCs w:val="20"/>
                <w:lang w:val="en-US" w:eastAsia="ru-RU"/>
              </w:rPr>
              <w:t>privire</w:t>
            </w:r>
            <w:proofErr w:type="spellEnd"/>
            <w:r w:rsidRPr="0004558D">
              <w:rPr>
                <w:rFonts w:ascii="Times New Roman" w:hAnsi="Times New Roman"/>
                <w:b/>
                <w:bCs/>
                <w:sz w:val="20"/>
                <w:szCs w:val="20"/>
                <w:lang w:val="en-US" w:eastAsia="ru-RU"/>
              </w:rPr>
              <w:t xml:space="preserve"> la </w:t>
            </w:r>
            <w:proofErr w:type="spellStart"/>
            <w:r w:rsidRPr="0004558D">
              <w:rPr>
                <w:rFonts w:ascii="Times New Roman" w:hAnsi="Times New Roman"/>
                <w:b/>
                <w:bCs/>
                <w:sz w:val="20"/>
                <w:szCs w:val="20"/>
                <w:lang w:val="en-US" w:eastAsia="ru-RU"/>
              </w:rPr>
              <w:t>securitatea</w:t>
            </w:r>
            <w:proofErr w:type="spellEnd"/>
            <w:r w:rsidRPr="0004558D">
              <w:rPr>
                <w:rFonts w:ascii="Times New Roman" w:hAnsi="Times New Roman"/>
                <w:b/>
                <w:bCs/>
                <w:sz w:val="20"/>
                <w:szCs w:val="20"/>
                <w:lang w:val="en-US" w:eastAsia="ru-RU"/>
              </w:rPr>
              <w:t xml:space="preserve"> </w:t>
            </w:r>
            <w:proofErr w:type="spellStart"/>
            <w:r w:rsidRPr="0004558D">
              <w:rPr>
                <w:rFonts w:ascii="Times New Roman" w:hAnsi="Times New Roman"/>
                <w:b/>
                <w:bCs/>
                <w:sz w:val="20"/>
                <w:szCs w:val="20"/>
                <w:lang w:val="en-US" w:eastAsia="ru-RU"/>
              </w:rPr>
              <w:t>energetică</w:t>
            </w:r>
            <w:proofErr w:type="spellEnd"/>
          </w:p>
          <w:p w14:paraId="7F69F9A7" w14:textId="1570745D" w:rsidR="008F5636" w:rsidRPr="0004558D" w:rsidRDefault="008F5636" w:rsidP="006A009E">
            <w:p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Statele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membre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includ</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rapoartele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naționale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intermediare</w:t>
            </w:r>
            <w:proofErr w:type="spellEnd"/>
            <w:r w:rsidRPr="0004558D">
              <w:rPr>
                <w:rFonts w:ascii="Times New Roman" w:hAnsi="Times New Roman"/>
                <w:sz w:val="20"/>
                <w:szCs w:val="20"/>
                <w:lang w:val="en-US" w:eastAsia="ru-RU"/>
              </w:rPr>
              <w:t xml:space="preserve"> integrate </w:t>
            </w:r>
            <w:proofErr w:type="spellStart"/>
            <w:r w:rsidRPr="0004558D">
              <w:rPr>
                <w:rFonts w:ascii="Times New Roman" w:hAnsi="Times New Roman"/>
                <w:sz w:val="20"/>
                <w:szCs w:val="20"/>
                <w:lang w:val="en-US" w:eastAsia="ru-RU"/>
              </w:rPr>
              <w:t>privind</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energia</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clima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informații</w:t>
            </w:r>
            <w:proofErr w:type="spellEnd"/>
            <w:r w:rsidRPr="0004558D">
              <w:rPr>
                <w:rFonts w:ascii="Times New Roman" w:hAnsi="Times New Roman"/>
                <w:sz w:val="20"/>
                <w:szCs w:val="20"/>
                <w:lang w:val="en-US" w:eastAsia="ru-RU"/>
              </w:rPr>
              <w:t xml:space="preserve"> cu </w:t>
            </w:r>
            <w:proofErr w:type="spellStart"/>
            <w:r w:rsidRPr="0004558D">
              <w:rPr>
                <w:rFonts w:ascii="Times New Roman" w:hAnsi="Times New Roman"/>
                <w:sz w:val="20"/>
                <w:szCs w:val="20"/>
                <w:lang w:val="en-US" w:eastAsia="ru-RU"/>
              </w:rPr>
              <w:t>privire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punerea</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aplicare</w:t>
            </w:r>
            <w:proofErr w:type="spellEnd"/>
            <w:r w:rsidRPr="0004558D">
              <w:rPr>
                <w:rFonts w:ascii="Times New Roman" w:hAnsi="Times New Roman"/>
                <w:sz w:val="20"/>
                <w:szCs w:val="20"/>
                <w:lang w:val="en-US" w:eastAsia="ru-RU"/>
              </w:rPr>
              <w:t>:</w:t>
            </w:r>
          </w:p>
          <w:p w14:paraId="162CD93F" w14:textId="6F5080C7" w:rsidR="006A009E"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obiectivelor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naționale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privind</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diversificarea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surselor</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energie</w:t>
            </w:r>
            <w:proofErr w:type="spellEnd"/>
            <w:r w:rsidRPr="0004558D">
              <w:rPr>
                <w:rFonts w:ascii="Times New Roman" w:hAnsi="Times New Roman"/>
                <w:sz w:val="20"/>
                <w:szCs w:val="20"/>
                <w:lang w:val="en-US" w:eastAsia="ru-RU"/>
              </w:rPr>
              <w:t xml:space="preserve"> și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aprovizionării</w:t>
            </w:r>
            <w:proofErr w:type="spellEnd"/>
            <w:r w:rsidRPr="0004558D">
              <w:rPr>
                <w:rFonts w:ascii="Times New Roman" w:hAnsi="Times New Roman"/>
                <w:sz w:val="20"/>
                <w:szCs w:val="20"/>
                <w:lang w:val="en-US" w:eastAsia="ru-RU"/>
              </w:rPr>
              <w:t xml:space="preserve"> cu </w:t>
            </w:r>
            <w:proofErr w:type="spellStart"/>
            <w:r w:rsidRPr="0004558D">
              <w:rPr>
                <w:rFonts w:ascii="Times New Roman" w:hAnsi="Times New Roman"/>
                <w:sz w:val="20"/>
                <w:szCs w:val="20"/>
                <w:lang w:val="en-US" w:eastAsia="ru-RU"/>
              </w:rPr>
              <w:t>energie</w:t>
            </w:r>
            <w:proofErr w:type="spellEnd"/>
            <w:r w:rsidRPr="0004558D">
              <w:rPr>
                <w:rFonts w:ascii="Times New Roman" w:hAnsi="Times New Roman"/>
                <w:sz w:val="20"/>
                <w:szCs w:val="20"/>
                <w:lang w:val="en-US" w:eastAsia="ru-RU"/>
              </w:rPr>
              <w:t>;</w:t>
            </w:r>
          </w:p>
          <w:p w14:paraId="6FA11BFE" w14:textId="77777777" w:rsidR="00AD7CB2"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proofErr w:type="spellStart"/>
            <w:proofErr w:type="gramStart"/>
            <w:r w:rsidRPr="0004558D">
              <w:rPr>
                <w:rFonts w:ascii="Times New Roman" w:hAnsi="Times New Roman"/>
                <w:sz w:val="20"/>
                <w:szCs w:val="20"/>
                <w:lang w:val="fr-FR" w:eastAsia="ru-RU"/>
              </w:rPr>
              <w:t>dacă</w:t>
            </w:r>
            <w:proofErr w:type="spellEnd"/>
            <w:proofErr w:type="gramEnd"/>
            <w:r w:rsidRPr="0004558D">
              <w:rPr>
                <w:rFonts w:ascii="Times New Roman" w:hAnsi="Times New Roman"/>
                <w:sz w:val="20"/>
                <w:szCs w:val="20"/>
                <w:lang w:val="fr-FR" w:eastAsia="ru-RU"/>
              </w:rPr>
              <w:t xml:space="preserve"> este </w:t>
            </w:r>
            <w:proofErr w:type="spellStart"/>
            <w:r w:rsidRPr="0004558D">
              <w:rPr>
                <w:rFonts w:ascii="Times New Roman" w:hAnsi="Times New Roman"/>
                <w:sz w:val="20"/>
                <w:szCs w:val="20"/>
                <w:lang w:val="fr-FR" w:eastAsia="ru-RU"/>
              </w:rPr>
              <w:t>cazul</w:t>
            </w:r>
            <w:proofErr w:type="spellEnd"/>
            <w:r w:rsidRPr="0004558D">
              <w:rPr>
                <w:rFonts w:ascii="Times New Roman" w:hAnsi="Times New Roman"/>
                <w:sz w:val="20"/>
                <w:szCs w:val="20"/>
                <w:lang w:val="fr-FR" w:eastAsia="ru-RU"/>
              </w:rPr>
              <w:t xml:space="preserve">, a </w:t>
            </w:r>
            <w:proofErr w:type="spellStart"/>
            <w:r w:rsidRPr="0004558D">
              <w:rPr>
                <w:rFonts w:ascii="Times New Roman" w:hAnsi="Times New Roman"/>
                <w:sz w:val="20"/>
                <w:szCs w:val="20"/>
                <w:lang w:val="fr-FR" w:eastAsia="ru-RU"/>
              </w:rPr>
              <w:t>obiectivelor</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naționale</w:t>
            </w:r>
            <w:proofErr w:type="spellEnd"/>
            <w:r w:rsidRPr="0004558D">
              <w:rPr>
                <w:rFonts w:ascii="Times New Roman" w:hAnsi="Times New Roman"/>
                <w:sz w:val="20"/>
                <w:szCs w:val="20"/>
                <w:lang w:val="fr-FR" w:eastAsia="ru-RU"/>
              </w:rPr>
              <w:t xml:space="preserve"> în </w:t>
            </w:r>
            <w:proofErr w:type="spellStart"/>
            <w:r w:rsidRPr="0004558D">
              <w:rPr>
                <w:rFonts w:ascii="Times New Roman" w:hAnsi="Times New Roman"/>
                <w:sz w:val="20"/>
                <w:szCs w:val="20"/>
                <w:lang w:val="fr-FR" w:eastAsia="ru-RU"/>
              </w:rPr>
              <w:t>ceea</w:t>
            </w:r>
            <w:proofErr w:type="spellEnd"/>
            <w:r w:rsidRPr="0004558D">
              <w:rPr>
                <w:rFonts w:ascii="Times New Roman" w:hAnsi="Times New Roman"/>
                <w:sz w:val="20"/>
                <w:szCs w:val="20"/>
                <w:lang w:val="fr-FR" w:eastAsia="ru-RU"/>
              </w:rPr>
              <w:t xml:space="preserve"> ce </w:t>
            </w:r>
            <w:proofErr w:type="spellStart"/>
            <w:r w:rsidRPr="0004558D">
              <w:rPr>
                <w:rFonts w:ascii="Times New Roman" w:hAnsi="Times New Roman"/>
                <w:sz w:val="20"/>
                <w:szCs w:val="20"/>
                <w:lang w:val="fr-FR" w:eastAsia="ru-RU"/>
              </w:rPr>
              <w:t>privește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reducerea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dependenței</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importurile</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energie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din</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țări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terțe</w:t>
            </w:r>
            <w:proofErr w:type="spellEnd"/>
            <w:r w:rsidRPr="0004558D">
              <w:rPr>
                <w:rFonts w:ascii="Times New Roman" w:hAnsi="Times New Roman"/>
                <w:sz w:val="20"/>
                <w:szCs w:val="20"/>
                <w:lang w:val="fr-FR" w:eastAsia="ru-RU"/>
              </w:rPr>
              <w:t>;</w:t>
            </w:r>
          </w:p>
          <w:p w14:paraId="02A4EBB6" w14:textId="5F5233FB" w:rsidR="00AD7CB2"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proofErr w:type="spellStart"/>
            <w:proofErr w:type="gramStart"/>
            <w:r w:rsidRPr="0004558D">
              <w:rPr>
                <w:rFonts w:ascii="Times New Roman" w:hAnsi="Times New Roman"/>
                <w:sz w:val="20"/>
                <w:szCs w:val="20"/>
                <w:lang w:val="fr-FR" w:eastAsia="ru-RU"/>
              </w:rPr>
              <w:t>a</w:t>
            </w:r>
            <w:proofErr w:type="spellEnd"/>
            <w:proofErr w:type="gram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obiectivelor</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naționale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privind</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dezvoltarea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capacității</w:t>
            </w:r>
            <w:proofErr w:type="spellEnd"/>
            <w:r w:rsidRPr="0004558D">
              <w:rPr>
                <w:rFonts w:ascii="Times New Roman" w:hAnsi="Times New Roman"/>
                <w:sz w:val="20"/>
                <w:szCs w:val="20"/>
                <w:lang w:val="fr-FR" w:eastAsia="ru-RU"/>
              </w:rPr>
              <w:t xml:space="preserve"> de a face </w:t>
            </w:r>
            <w:proofErr w:type="spellStart"/>
            <w:r w:rsidRPr="0004558D">
              <w:rPr>
                <w:rFonts w:ascii="Times New Roman" w:hAnsi="Times New Roman"/>
                <w:sz w:val="20"/>
                <w:szCs w:val="20"/>
                <w:lang w:val="fr-FR" w:eastAsia="ru-RU"/>
              </w:rPr>
              <w:t>față</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diminuării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sau</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întreruperii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aprovizionării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cu</w:t>
            </w:r>
            <w:proofErr w:type="spellEnd"/>
            <w:r w:rsidRPr="0004558D">
              <w:rPr>
                <w:rFonts w:ascii="Times New Roman" w:hAnsi="Times New Roman"/>
                <w:sz w:val="20"/>
                <w:szCs w:val="20"/>
                <w:lang w:val="fr-FR" w:eastAsia="ru-RU"/>
              </w:rPr>
              <w:t xml:space="preserve"> o </w:t>
            </w:r>
            <w:proofErr w:type="spellStart"/>
            <w:r w:rsidRPr="0004558D">
              <w:rPr>
                <w:rFonts w:ascii="Times New Roman" w:hAnsi="Times New Roman"/>
                <w:sz w:val="20"/>
                <w:szCs w:val="20"/>
                <w:lang w:val="fr-FR" w:eastAsia="ru-RU"/>
              </w:rPr>
              <w:t>sursă</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energie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inclusiv</w:t>
            </w:r>
            <w:proofErr w:type="spellEnd"/>
            <w:r w:rsidRPr="0004558D">
              <w:rPr>
                <w:rFonts w:ascii="Times New Roman" w:hAnsi="Times New Roman"/>
                <w:sz w:val="20"/>
                <w:szCs w:val="20"/>
                <w:lang w:val="fr-FR" w:eastAsia="ru-RU"/>
              </w:rPr>
              <w:t xml:space="preserve"> gaz și </w:t>
            </w:r>
            <w:proofErr w:type="spellStart"/>
            <w:r w:rsidRPr="0004558D">
              <w:rPr>
                <w:rFonts w:ascii="Times New Roman" w:hAnsi="Times New Roman"/>
                <w:sz w:val="20"/>
                <w:szCs w:val="20"/>
                <w:lang w:val="fr-FR" w:eastAsia="ru-RU"/>
              </w:rPr>
              <w:t>energie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electrică</w:t>
            </w:r>
            <w:proofErr w:type="spellEnd"/>
            <w:r w:rsidRPr="0004558D">
              <w:rPr>
                <w:rFonts w:ascii="Times New Roman" w:hAnsi="Times New Roman"/>
                <w:sz w:val="20"/>
                <w:szCs w:val="20"/>
                <w:lang w:val="fr-FR" w:eastAsia="ru-RU"/>
              </w:rPr>
              <w:t>;</w:t>
            </w:r>
          </w:p>
          <w:p w14:paraId="2BBCD8A3" w14:textId="7335FF90" w:rsidR="00AD7CB2"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proofErr w:type="spellStart"/>
            <w:proofErr w:type="gramStart"/>
            <w:r w:rsidRPr="0004558D">
              <w:rPr>
                <w:rFonts w:ascii="Times New Roman" w:hAnsi="Times New Roman"/>
                <w:sz w:val="20"/>
                <w:szCs w:val="20"/>
                <w:lang w:val="fr-FR" w:eastAsia="ru-RU"/>
              </w:rPr>
              <w:t>a</w:t>
            </w:r>
            <w:proofErr w:type="spellEnd"/>
            <w:proofErr w:type="gram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obiectivelor</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naționale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privind</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creșterea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flexibilității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sistemului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energetic</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național</w:t>
            </w:r>
            <w:proofErr w:type="spellEnd"/>
            <w:r w:rsidRPr="0004558D">
              <w:rPr>
                <w:rFonts w:ascii="Times New Roman" w:hAnsi="Times New Roman"/>
                <w:sz w:val="20"/>
                <w:szCs w:val="20"/>
                <w:lang w:val="fr-FR" w:eastAsia="ru-RU"/>
              </w:rPr>
              <w:t xml:space="preserve">, în </w:t>
            </w:r>
            <w:proofErr w:type="spellStart"/>
            <w:r w:rsidRPr="0004558D">
              <w:rPr>
                <w:rFonts w:ascii="Times New Roman" w:hAnsi="Times New Roman"/>
                <w:sz w:val="20"/>
                <w:szCs w:val="20"/>
                <w:lang w:val="fr-FR" w:eastAsia="ru-RU"/>
              </w:rPr>
              <w:t>special</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prin</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utilizarea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surselor</w:t>
            </w:r>
            <w:proofErr w:type="spellEnd"/>
            <w:r w:rsidRPr="0004558D">
              <w:rPr>
                <w:rFonts w:ascii="Times New Roman" w:hAnsi="Times New Roman"/>
                <w:sz w:val="20"/>
                <w:szCs w:val="20"/>
                <w:lang w:val="fr-FR" w:eastAsia="ru-RU"/>
              </w:rPr>
              <w:t xml:space="preserve"> interne de </w:t>
            </w:r>
            <w:proofErr w:type="spellStart"/>
            <w:r w:rsidRPr="0004558D">
              <w:rPr>
                <w:rFonts w:ascii="Times New Roman" w:hAnsi="Times New Roman"/>
                <w:sz w:val="20"/>
                <w:szCs w:val="20"/>
                <w:lang w:val="fr-FR" w:eastAsia="ru-RU"/>
              </w:rPr>
              <w:t>energie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participarea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activă</w:t>
            </w:r>
            <w:proofErr w:type="spellEnd"/>
            <w:r w:rsidRPr="0004558D">
              <w:rPr>
                <w:rFonts w:ascii="Times New Roman" w:hAnsi="Times New Roman"/>
                <w:sz w:val="20"/>
                <w:szCs w:val="20"/>
                <w:lang w:val="fr-FR" w:eastAsia="ru-RU"/>
              </w:rPr>
              <w:t xml:space="preserve"> a </w:t>
            </w:r>
            <w:proofErr w:type="spellStart"/>
            <w:r w:rsidRPr="0004558D">
              <w:rPr>
                <w:rFonts w:ascii="Times New Roman" w:hAnsi="Times New Roman"/>
                <w:sz w:val="20"/>
                <w:szCs w:val="20"/>
                <w:lang w:val="fr-FR" w:eastAsia="ru-RU"/>
              </w:rPr>
              <w:t>cererii</w:t>
            </w:r>
            <w:proofErr w:type="spellEnd"/>
            <w:r w:rsidRPr="0004558D">
              <w:rPr>
                <w:rFonts w:ascii="Times New Roman" w:hAnsi="Times New Roman"/>
                <w:sz w:val="20"/>
                <w:szCs w:val="20"/>
                <w:lang w:val="fr-FR" w:eastAsia="ru-RU"/>
              </w:rPr>
              <w:t xml:space="preserve"> și </w:t>
            </w:r>
            <w:proofErr w:type="spellStart"/>
            <w:r w:rsidRPr="0004558D">
              <w:rPr>
                <w:rFonts w:ascii="Times New Roman" w:hAnsi="Times New Roman"/>
                <w:sz w:val="20"/>
                <w:szCs w:val="20"/>
                <w:lang w:val="fr-FR" w:eastAsia="ru-RU"/>
              </w:rPr>
              <w:t>stocarea</w:t>
            </w:r>
            <w:proofErr w:type="spellEnd"/>
            <w:r w:rsidRPr="0004558D">
              <w:rPr>
                <w:rFonts w:ascii="Times New Roman" w:hAnsi="Times New Roman"/>
                <w:sz w:val="20"/>
                <w:szCs w:val="20"/>
                <w:lang w:val="fr-FR" w:eastAsia="ru-RU"/>
              </w:rPr>
              <w:t xml:space="preserve"> energiei;</w:t>
            </w:r>
          </w:p>
          <w:p w14:paraId="799A3ABC" w14:textId="1DC04B75" w:rsidR="00AD7CB2"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r w:rsidRPr="0004558D">
              <w:rPr>
                <w:rFonts w:ascii="Times New Roman" w:hAnsi="Times New Roman"/>
                <w:sz w:val="20"/>
                <w:szCs w:val="20"/>
                <w:lang w:val="en-US" w:eastAsia="ru-RU"/>
              </w:rPr>
              <w:t xml:space="preserve">a </w:t>
            </w:r>
            <w:proofErr w:type="spellStart"/>
            <w:r w:rsidRPr="0004558D">
              <w:rPr>
                <w:rFonts w:ascii="Times New Roman" w:hAnsi="Times New Roman"/>
                <w:sz w:val="20"/>
                <w:szCs w:val="20"/>
                <w:lang w:val="en-US" w:eastAsia="ru-RU"/>
              </w:rPr>
              <w:t>politicilor</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măsurilor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puse</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aplicare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adoptate</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planificate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pentru</w:t>
            </w:r>
            <w:proofErr w:type="spellEnd"/>
            <w:r w:rsidRPr="0004558D">
              <w:rPr>
                <w:rFonts w:ascii="Times New Roman" w:hAnsi="Times New Roman"/>
                <w:sz w:val="20"/>
                <w:szCs w:val="20"/>
                <w:lang w:val="en-US" w:eastAsia="ru-RU"/>
              </w:rPr>
              <w:t xml:space="preserve">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atinge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obiectivele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menționate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literele</w:t>
            </w:r>
            <w:proofErr w:type="spellEnd"/>
            <w:r w:rsidRPr="0004558D">
              <w:rPr>
                <w:rFonts w:ascii="Times New Roman" w:hAnsi="Times New Roman"/>
                <w:sz w:val="20"/>
                <w:szCs w:val="20"/>
                <w:lang w:val="en-US" w:eastAsia="ru-RU"/>
              </w:rPr>
              <w:t xml:space="preserve"> (a)-(d);</w:t>
            </w:r>
          </w:p>
          <w:p w14:paraId="751B9BB8" w14:textId="09513F7B" w:rsidR="00AD7CB2" w:rsidRPr="0004558D"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r w:rsidRPr="0004558D">
              <w:rPr>
                <w:rFonts w:ascii="Times New Roman" w:hAnsi="Times New Roman"/>
                <w:sz w:val="20"/>
                <w:szCs w:val="20"/>
                <w:lang w:val="en-US" w:eastAsia="ru-RU"/>
              </w:rPr>
              <w:t xml:space="preserve">a </w:t>
            </w:r>
            <w:proofErr w:type="spellStart"/>
            <w:r w:rsidRPr="0004558D">
              <w:rPr>
                <w:rFonts w:ascii="Times New Roman" w:hAnsi="Times New Roman"/>
                <w:sz w:val="20"/>
                <w:szCs w:val="20"/>
                <w:lang w:val="en-US" w:eastAsia="ru-RU"/>
              </w:rPr>
              <w:t>cooperării</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regionale</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vederea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punerii</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aplicare</w:t>
            </w:r>
            <w:proofErr w:type="spellEnd"/>
            <w:r w:rsidRPr="0004558D">
              <w:rPr>
                <w:rFonts w:ascii="Times New Roman" w:hAnsi="Times New Roman"/>
                <w:sz w:val="20"/>
                <w:szCs w:val="20"/>
                <w:lang w:val="en-US" w:eastAsia="ru-RU"/>
              </w:rPr>
              <w:t xml:space="preserve">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obiectivelor</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politicilor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menționate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literele</w:t>
            </w:r>
            <w:proofErr w:type="spellEnd"/>
            <w:r w:rsidRPr="0004558D">
              <w:rPr>
                <w:rFonts w:ascii="Times New Roman" w:hAnsi="Times New Roman"/>
                <w:sz w:val="20"/>
                <w:szCs w:val="20"/>
                <w:lang w:val="en-US" w:eastAsia="ru-RU"/>
              </w:rPr>
              <w:t xml:space="preserve"> (a)-(d);</w:t>
            </w:r>
          </w:p>
          <w:p w14:paraId="22552F66" w14:textId="3FA91A51" w:rsidR="008F5636" w:rsidRPr="00AD7CB2" w:rsidRDefault="00AD7CB2" w:rsidP="000C5A3B">
            <w:pPr>
              <w:pStyle w:val="af3"/>
              <w:numPr>
                <w:ilvl w:val="0"/>
                <w:numId w:val="116"/>
              </w:numPr>
              <w:spacing w:after="0" w:line="240" w:lineRule="auto"/>
              <w:ind w:left="641" w:hanging="357"/>
              <w:jc w:val="both"/>
              <w:rPr>
                <w:rFonts w:ascii="Times New Roman" w:hAnsi="Times New Roman"/>
                <w:sz w:val="20"/>
                <w:szCs w:val="20"/>
                <w:lang w:val="fr-FR" w:eastAsia="ru-RU"/>
              </w:rPr>
            </w:pPr>
            <w:proofErr w:type="spellStart"/>
            <w:proofErr w:type="gramStart"/>
            <w:r w:rsidRPr="0004558D">
              <w:rPr>
                <w:rFonts w:ascii="Times New Roman" w:hAnsi="Times New Roman"/>
                <w:lang w:val="fr-FR" w:eastAsia="ru-RU"/>
              </w:rPr>
              <w:t>fără</w:t>
            </w:r>
            <w:proofErr w:type="spellEnd"/>
            <w:proofErr w:type="gramEnd"/>
            <w:r w:rsidRPr="0004558D">
              <w:rPr>
                <w:rFonts w:ascii="Times New Roman" w:hAnsi="Times New Roman"/>
                <w:lang w:val="fr-FR" w:eastAsia="ru-RU"/>
              </w:rPr>
              <w:t xml:space="preserve"> a </w:t>
            </w:r>
            <w:proofErr w:type="spellStart"/>
            <w:r w:rsidRPr="0004558D">
              <w:rPr>
                <w:rFonts w:ascii="Times New Roman" w:hAnsi="Times New Roman"/>
                <w:lang w:val="fr-FR" w:eastAsia="ru-RU"/>
              </w:rPr>
              <w:t>aduce</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atingere</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articolelor</w:t>
            </w:r>
            <w:proofErr w:type="spellEnd"/>
            <w:r w:rsidRPr="0004558D">
              <w:rPr>
                <w:rFonts w:ascii="Times New Roman" w:hAnsi="Times New Roman"/>
                <w:lang w:val="fr-FR" w:eastAsia="ru-RU"/>
              </w:rPr>
              <w:t xml:space="preserve"> 107 și 108 </w:t>
            </w:r>
            <w:proofErr w:type="spellStart"/>
            <w:r w:rsidRPr="0004558D">
              <w:rPr>
                <w:rFonts w:ascii="Times New Roman" w:hAnsi="Times New Roman"/>
                <w:lang w:val="fr-FR" w:eastAsia="ru-RU"/>
              </w:rPr>
              <w:t>din</w:t>
            </w:r>
            <w:proofErr w:type="spellEnd"/>
            <w:r w:rsidRPr="0004558D">
              <w:rPr>
                <w:rFonts w:ascii="Times New Roman" w:hAnsi="Times New Roman"/>
                <w:lang w:val="fr-FR" w:eastAsia="ru-RU"/>
              </w:rPr>
              <w:t xml:space="preserve"> TFUE, a </w:t>
            </w:r>
            <w:proofErr w:type="spellStart"/>
            <w:r w:rsidRPr="0004558D">
              <w:rPr>
                <w:rFonts w:ascii="Times New Roman" w:hAnsi="Times New Roman"/>
                <w:lang w:val="fr-FR" w:eastAsia="ru-RU"/>
              </w:rPr>
              <w:t>măsurilor</w:t>
            </w:r>
            <w:proofErr w:type="spellEnd"/>
            <w:r w:rsidRPr="0004558D">
              <w:rPr>
                <w:rFonts w:ascii="Times New Roman" w:hAnsi="Times New Roman"/>
                <w:lang w:val="fr-FR" w:eastAsia="ru-RU"/>
              </w:rPr>
              <w:t xml:space="preserve"> de </w:t>
            </w:r>
            <w:proofErr w:type="spellStart"/>
            <w:r w:rsidRPr="0004558D">
              <w:rPr>
                <w:rFonts w:ascii="Times New Roman" w:hAnsi="Times New Roman"/>
                <w:lang w:val="fr-FR" w:eastAsia="ru-RU"/>
              </w:rPr>
              <w:t>finanțare</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inclusiv</w:t>
            </w:r>
            <w:proofErr w:type="spellEnd"/>
            <w:r w:rsidRPr="0004558D">
              <w:rPr>
                <w:rFonts w:ascii="Times New Roman" w:hAnsi="Times New Roman"/>
                <w:lang w:val="fr-FR" w:eastAsia="ru-RU"/>
              </w:rPr>
              <w:t xml:space="preserve"> a </w:t>
            </w:r>
            <w:proofErr w:type="spellStart"/>
            <w:r w:rsidRPr="0004558D">
              <w:rPr>
                <w:rFonts w:ascii="Times New Roman" w:hAnsi="Times New Roman"/>
                <w:lang w:val="fr-FR" w:eastAsia="ru-RU"/>
              </w:rPr>
              <w:t>sprijinului</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acordat</w:t>
            </w:r>
            <w:proofErr w:type="spellEnd"/>
            <w:r w:rsidRPr="0004558D">
              <w:rPr>
                <w:rFonts w:ascii="Times New Roman" w:hAnsi="Times New Roman"/>
                <w:lang w:val="fr-FR" w:eastAsia="ru-RU"/>
              </w:rPr>
              <w:t xml:space="preserve"> de </w:t>
            </w:r>
            <w:proofErr w:type="spellStart"/>
            <w:r w:rsidRPr="0004558D">
              <w:rPr>
                <w:rFonts w:ascii="Times New Roman" w:hAnsi="Times New Roman"/>
                <w:lang w:val="fr-FR" w:eastAsia="ru-RU"/>
              </w:rPr>
              <w:t>Uniune</w:t>
            </w:r>
            <w:proofErr w:type="spellEnd"/>
            <w:r w:rsidRPr="0004558D">
              <w:rPr>
                <w:rFonts w:ascii="Times New Roman" w:hAnsi="Times New Roman"/>
                <w:lang w:val="fr-FR" w:eastAsia="ru-RU"/>
              </w:rPr>
              <w:t xml:space="preserve"> și a </w:t>
            </w:r>
            <w:proofErr w:type="spellStart"/>
            <w:r w:rsidRPr="0004558D">
              <w:rPr>
                <w:rFonts w:ascii="Times New Roman" w:hAnsi="Times New Roman"/>
                <w:lang w:val="fr-FR" w:eastAsia="ru-RU"/>
              </w:rPr>
              <w:t>utilizării</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fondurilor</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Uniunii</w:t>
            </w:r>
            <w:proofErr w:type="spellEnd"/>
            <w:r w:rsidRPr="0004558D">
              <w:rPr>
                <w:rFonts w:ascii="Times New Roman" w:hAnsi="Times New Roman"/>
                <w:lang w:val="fr-FR" w:eastAsia="ru-RU"/>
              </w:rPr>
              <w:t xml:space="preserve"> în </w:t>
            </w:r>
            <w:proofErr w:type="spellStart"/>
            <w:r w:rsidRPr="0004558D">
              <w:rPr>
                <w:rFonts w:ascii="Times New Roman" w:hAnsi="Times New Roman"/>
                <w:lang w:val="fr-FR" w:eastAsia="ru-RU"/>
              </w:rPr>
              <w:t>acest</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domeniu</w:t>
            </w:r>
            <w:proofErr w:type="spellEnd"/>
            <w:r w:rsidRPr="0004558D">
              <w:rPr>
                <w:rFonts w:ascii="Times New Roman" w:hAnsi="Times New Roman"/>
                <w:lang w:val="fr-FR" w:eastAsia="ru-RU"/>
              </w:rPr>
              <w:t xml:space="preserve"> la </w:t>
            </w:r>
            <w:proofErr w:type="spellStart"/>
            <w:r w:rsidRPr="0004558D">
              <w:rPr>
                <w:rFonts w:ascii="Times New Roman" w:hAnsi="Times New Roman"/>
                <w:lang w:val="fr-FR" w:eastAsia="ru-RU"/>
              </w:rPr>
              <w:t>nivel</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național</w:t>
            </w:r>
            <w:proofErr w:type="spellEnd"/>
            <w:r w:rsidRPr="0004558D">
              <w:rPr>
                <w:rFonts w:ascii="Times New Roman" w:hAnsi="Times New Roman"/>
                <w:lang w:val="fr-FR" w:eastAsia="ru-RU"/>
              </w:rPr>
              <w:t xml:space="preserve">, </w:t>
            </w:r>
            <w:proofErr w:type="spellStart"/>
            <w:r w:rsidRPr="0004558D">
              <w:rPr>
                <w:rFonts w:ascii="Times New Roman" w:hAnsi="Times New Roman"/>
                <w:lang w:val="fr-FR" w:eastAsia="ru-RU"/>
              </w:rPr>
              <w:t>dacă</w:t>
            </w:r>
            <w:proofErr w:type="spellEnd"/>
            <w:r w:rsidRPr="0004558D">
              <w:rPr>
                <w:rFonts w:ascii="Times New Roman" w:hAnsi="Times New Roman"/>
                <w:lang w:val="fr-FR" w:eastAsia="ru-RU"/>
              </w:rPr>
              <w:t xml:space="preserve"> este </w:t>
            </w:r>
            <w:proofErr w:type="spellStart"/>
            <w:r w:rsidRPr="0004558D">
              <w:rPr>
                <w:rFonts w:ascii="Times New Roman" w:hAnsi="Times New Roman"/>
                <w:lang w:val="fr-FR" w:eastAsia="ru-RU"/>
              </w:rPr>
              <w:t>cazul</w:t>
            </w:r>
            <w:proofErr w:type="spellEnd"/>
            <w:r w:rsidRPr="0004558D">
              <w:rPr>
                <w:rFonts w:ascii="Times New Roman" w:hAnsi="Times New Roman"/>
                <w:lang w:val="fr-FR" w:eastAsia="ru-RU"/>
              </w:rPr>
              <w:t>.</w:t>
            </w:r>
          </w:p>
        </w:tc>
        <w:tc>
          <w:tcPr>
            <w:tcW w:w="4440" w:type="dxa"/>
          </w:tcPr>
          <w:p w14:paraId="39081E97" w14:textId="49448831" w:rsidR="008F5636" w:rsidRPr="0039511F" w:rsidRDefault="008F5636" w:rsidP="00077DF7">
            <w:pPr>
              <w:pStyle w:val="af3"/>
              <w:shd w:val="clear" w:color="auto" w:fill="FFFFFF"/>
              <w:suppressAutoHyphens w:val="0"/>
              <w:autoSpaceDN/>
              <w:spacing w:after="0" w:line="240" w:lineRule="auto"/>
              <w:ind w:left="284"/>
              <w:jc w:val="both"/>
              <w:textAlignment w:val="auto"/>
              <w:rPr>
                <w:rFonts w:ascii="Times New Roman" w:hAnsi="Times New Roman"/>
                <w:sz w:val="20"/>
                <w:szCs w:val="20"/>
                <w:shd w:val="clear" w:color="auto" w:fill="FFFFFF"/>
                <w:lang w:val="ro-MD"/>
              </w:rPr>
            </w:pPr>
          </w:p>
        </w:tc>
        <w:tc>
          <w:tcPr>
            <w:tcW w:w="1276" w:type="dxa"/>
          </w:tcPr>
          <w:p w14:paraId="078A6C16" w14:textId="06043035" w:rsidR="008F5636" w:rsidRPr="00745D9A" w:rsidRDefault="00BC5E3B" w:rsidP="008F5636">
            <w:pPr>
              <w:pStyle w:val="ColorfulList-Accent11"/>
              <w:spacing w:after="0" w:line="240" w:lineRule="auto"/>
              <w:ind w:left="0"/>
              <w:jc w:val="both"/>
              <w:rPr>
                <w:lang w:val="ru-RU"/>
              </w:rPr>
            </w:pPr>
            <w:r>
              <w:rPr>
                <w:rFonts w:ascii="Times New Roman" w:hAnsi="Times New Roman"/>
                <w:sz w:val="20"/>
                <w:szCs w:val="20"/>
                <w:lang w:val="ro-RO"/>
              </w:rPr>
              <w:t>C</w:t>
            </w:r>
            <w:r w:rsidR="00AD7CB2" w:rsidRPr="00C951E7">
              <w:rPr>
                <w:rFonts w:ascii="Times New Roman" w:hAnsi="Times New Roman"/>
                <w:sz w:val="20"/>
                <w:szCs w:val="20"/>
                <w:lang w:val="ro-RO"/>
              </w:rPr>
              <w:t>ompatibil</w:t>
            </w:r>
          </w:p>
        </w:tc>
        <w:tc>
          <w:tcPr>
            <w:tcW w:w="1276" w:type="dxa"/>
          </w:tcPr>
          <w:p w14:paraId="64614AAD" w14:textId="77777777" w:rsidR="008F5636" w:rsidRPr="00745D9A" w:rsidRDefault="008F5636" w:rsidP="008F5636">
            <w:pPr>
              <w:pStyle w:val="ColorfulList-Accent11"/>
              <w:spacing w:after="0" w:line="240" w:lineRule="auto"/>
              <w:ind w:left="0"/>
              <w:jc w:val="both"/>
              <w:rPr>
                <w:lang w:val="ru-RU"/>
              </w:rPr>
            </w:pPr>
          </w:p>
        </w:tc>
        <w:tc>
          <w:tcPr>
            <w:tcW w:w="1701" w:type="dxa"/>
          </w:tcPr>
          <w:p w14:paraId="048B4DD1" w14:textId="04125B69" w:rsidR="00BC5E3B" w:rsidRDefault="00BC5E3B" w:rsidP="00BC5E3B">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w:t>
            </w:r>
            <w:r>
              <w:rPr>
                <w:rFonts w:ascii="Times New Roman" w:hAnsi="Times New Roman"/>
                <w:sz w:val="20"/>
                <w:szCs w:val="20"/>
                <w:lang w:val="ro-RO"/>
              </w:rPr>
              <w:lastRenderedPageBreak/>
              <w:t xml:space="preserve">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6D59A3">
              <w:rPr>
                <w:rFonts w:ascii="Times New Roman" w:eastAsia="Times New Roman" w:hAnsi="Times New Roman"/>
                <w:sz w:val="20"/>
                <w:szCs w:val="20"/>
                <w:lang w:val="ro-RO"/>
              </w:rPr>
              <w:t xml:space="preserve"> 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4EB14C48" w14:textId="77777777" w:rsidR="00077DF7" w:rsidRDefault="00077DF7" w:rsidP="00BC5E3B">
            <w:pPr>
              <w:autoSpaceDE w:val="0"/>
              <w:spacing w:after="0" w:line="240" w:lineRule="auto"/>
              <w:rPr>
                <w:rFonts w:ascii="Times New Roman" w:hAnsi="Times New Roman"/>
                <w:sz w:val="20"/>
                <w:szCs w:val="20"/>
                <w:shd w:val="clear" w:color="auto" w:fill="FFFFFF"/>
                <w:lang w:val="ro-RO"/>
              </w:rPr>
            </w:pPr>
          </w:p>
          <w:p w14:paraId="6510F7C8" w14:textId="0C2A7CC6"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pct.56 din</w:t>
            </w:r>
            <w:r>
              <w:rPr>
                <w:rFonts w:ascii="Times New Roman" w:eastAsia="Times New Roman" w:hAnsi="Times New Roman"/>
                <w:sz w:val="20"/>
                <w:szCs w:val="20"/>
                <w:lang w:val="ro-RO" w:eastAsia="ru-RU"/>
              </w:rPr>
              <w:t xml:space="preserve"> </w:t>
            </w:r>
          </w:p>
          <w:p w14:paraId="56FEA6F8"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58DE5934" w14:textId="77777777" w:rsidR="00077DF7" w:rsidRPr="00F13819" w:rsidRDefault="00077DF7" w:rsidP="00BC5E3B">
            <w:pPr>
              <w:autoSpaceDE w:val="0"/>
              <w:spacing w:after="0" w:line="240" w:lineRule="auto"/>
              <w:rPr>
                <w:rFonts w:ascii="Times New Roman" w:hAnsi="Times New Roman"/>
                <w:sz w:val="20"/>
                <w:szCs w:val="20"/>
                <w:shd w:val="clear" w:color="auto" w:fill="FFFFFF"/>
                <w:lang w:val="ro-RO"/>
              </w:rPr>
            </w:pPr>
          </w:p>
          <w:p w14:paraId="037AC204" w14:textId="1FF13BAE" w:rsidR="008F5636" w:rsidRPr="00AD7CB2" w:rsidRDefault="008F5636" w:rsidP="00AD7CB2">
            <w:pPr>
              <w:pStyle w:val="ColorfulList-Accent11"/>
              <w:spacing w:after="0" w:line="240" w:lineRule="auto"/>
              <w:ind w:left="0"/>
              <w:jc w:val="both"/>
              <w:rPr>
                <w:lang w:val="ro-RO"/>
              </w:rPr>
            </w:pPr>
          </w:p>
        </w:tc>
        <w:tc>
          <w:tcPr>
            <w:tcW w:w="1460" w:type="dxa"/>
          </w:tcPr>
          <w:p w14:paraId="302AE977" w14:textId="77777777" w:rsidR="00E01949" w:rsidRPr="003F755D" w:rsidRDefault="00AD7CB2" w:rsidP="00E01949">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E01949" w:rsidRPr="00A81801">
              <w:rPr>
                <w:rFonts w:ascii="Times New Roman" w:hAnsi="Times New Roman"/>
                <w:color w:val="000000" w:themeColor="text1"/>
                <w:sz w:val="20"/>
                <w:szCs w:val="20"/>
              </w:rPr>
              <w:t>Energiei</w:t>
            </w:r>
          </w:p>
          <w:p w14:paraId="6EE2BCDE" w14:textId="5FD2AC5A" w:rsidR="00AD7CB2" w:rsidRPr="003F755D" w:rsidRDefault="00AD7CB2" w:rsidP="00AD7CB2">
            <w:pPr>
              <w:autoSpaceDE w:val="0"/>
              <w:spacing w:after="0" w:line="240" w:lineRule="auto"/>
              <w:rPr>
                <w:rFonts w:ascii="Times New Roman" w:hAnsi="Times New Roman"/>
                <w:sz w:val="20"/>
                <w:szCs w:val="20"/>
                <w:shd w:val="clear" w:color="auto" w:fill="FFFFFF"/>
                <w:lang w:val="ro-RO"/>
              </w:rPr>
            </w:pPr>
          </w:p>
          <w:p w14:paraId="1771CDE6" w14:textId="77777777" w:rsidR="008F5636" w:rsidRPr="00AD7CB2" w:rsidRDefault="008F5636" w:rsidP="008F5636">
            <w:pPr>
              <w:pStyle w:val="ColorfulList-Accent11"/>
              <w:spacing w:after="0" w:line="240" w:lineRule="auto"/>
              <w:ind w:left="0"/>
              <w:jc w:val="both"/>
              <w:rPr>
                <w:lang w:val="ro-RO"/>
              </w:rPr>
            </w:pPr>
          </w:p>
        </w:tc>
      </w:tr>
      <w:tr w:rsidR="0004558D" w:rsidRPr="00BC5E3B" w14:paraId="419C4730" w14:textId="77777777" w:rsidTr="00A90105">
        <w:tc>
          <w:tcPr>
            <w:tcW w:w="4945" w:type="dxa"/>
          </w:tcPr>
          <w:p w14:paraId="22E1201F" w14:textId="77777777" w:rsidR="0004558D" w:rsidRPr="0004558D" w:rsidRDefault="0004558D" w:rsidP="0004558D">
            <w:pPr>
              <w:spacing w:after="0" w:line="240" w:lineRule="auto"/>
              <w:jc w:val="center"/>
              <w:rPr>
                <w:rFonts w:ascii="Times New Roman" w:hAnsi="Times New Roman"/>
                <w:sz w:val="20"/>
                <w:szCs w:val="20"/>
                <w:lang w:eastAsia="ru-RU"/>
              </w:rPr>
            </w:pPr>
            <w:proofErr w:type="spellStart"/>
            <w:r w:rsidRPr="0004558D">
              <w:rPr>
                <w:rFonts w:ascii="Times New Roman" w:hAnsi="Times New Roman"/>
                <w:sz w:val="20"/>
                <w:szCs w:val="20"/>
                <w:lang w:val="en-US" w:eastAsia="ru-RU"/>
              </w:rPr>
              <w:t>Articolul</w:t>
            </w:r>
            <w:proofErr w:type="spellEnd"/>
            <w:r w:rsidRPr="0004558D">
              <w:rPr>
                <w:rFonts w:ascii="Times New Roman" w:hAnsi="Times New Roman"/>
                <w:sz w:val="20"/>
                <w:szCs w:val="20"/>
                <w:lang w:eastAsia="ru-RU"/>
              </w:rPr>
              <w:t xml:space="preserve"> 23</w:t>
            </w:r>
          </w:p>
          <w:p w14:paraId="319A0254" w14:textId="77777777" w:rsidR="0004558D" w:rsidRPr="00263A32" w:rsidRDefault="0004558D" w:rsidP="0004558D">
            <w:pPr>
              <w:spacing w:after="0" w:line="240" w:lineRule="auto"/>
              <w:jc w:val="center"/>
              <w:rPr>
                <w:rFonts w:ascii="Times New Roman" w:hAnsi="Times New Roman"/>
                <w:b/>
                <w:bCs/>
                <w:sz w:val="20"/>
                <w:szCs w:val="20"/>
                <w:lang w:eastAsia="ru-RU"/>
              </w:rPr>
            </w:pPr>
            <w:proofErr w:type="spellStart"/>
            <w:r w:rsidRPr="00263A32">
              <w:rPr>
                <w:rFonts w:ascii="Times New Roman" w:hAnsi="Times New Roman"/>
                <w:b/>
                <w:bCs/>
                <w:sz w:val="20"/>
                <w:szCs w:val="20"/>
                <w:lang w:eastAsia="ru-RU"/>
              </w:rPr>
              <w:t>Raportarea</w:t>
            </w:r>
            <w:proofErr w:type="spellEnd"/>
            <w:r w:rsidRPr="00263A32">
              <w:rPr>
                <w:rFonts w:ascii="Times New Roman" w:hAnsi="Times New Roman"/>
                <w:b/>
                <w:bCs/>
                <w:sz w:val="20"/>
                <w:szCs w:val="20"/>
                <w:lang w:eastAsia="ru-RU"/>
              </w:rPr>
              <w:t xml:space="preserve"> </w:t>
            </w:r>
            <w:proofErr w:type="spellStart"/>
            <w:r w:rsidRPr="00263A32">
              <w:rPr>
                <w:rFonts w:ascii="Times New Roman" w:hAnsi="Times New Roman"/>
                <w:b/>
                <w:bCs/>
                <w:sz w:val="20"/>
                <w:szCs w:val="20"/>
                <w:lang w:eastAsia="ru-RU"/>
              </w:rPr>
              <w:t>integrată</w:t>
            </w:r>
            <w:proofErr w:type="spellEnd"/>
            <w:r w:rsidRPr="00263A32">
              <w:rPr>
                <w:rFonts w:ascii="Times New Roman" w:hAnsi="Times New Roman"/>
                <w:b/>
                <w:bCs/>
                <w:sz w:val="20"/>
                <w:szCs w:val="20"/>
                <w:lang w:eastAsia="ru-RU"/>
              </w:rPr>
              <w:t xml:space="preserve"> cu </w:t>
            </w:r>
            <w:proofErr w:type="spellStart"/>
            <w:r w:rsidRPr="00263A32">
              <w:rPr>
                <w:rFonts w:ascii="Times New Roman" w:hAnsi="Times New Roman"/>
                <w:b/>
                <w:bCs/>
                <w:sz w:val="20"/>
                <w:szCs w:val="20"/>
                <w:lang w:eastAsia="ru-RU"/>
              </w:rPr>
              <w:t>privire</w:t>
            </w:r>
            <w:proofErr w:type="spellEnd"/>
            <w:r w:rsidRPr="00263A32">
              <w:rPr>
                <w:rFonts w:ascii="Times New Roman" w:hAnsi="Times New Roman"/>
                <w:b/>
                <w:bCs/>
                <w:sz w:val="20"/>
                <w:szCs w:val="20"/>
                <w:lang w:eastAsia="ru-RU"/>
              </w:rPr>
              <w:t xml:space="preserve"> la </w:t>
            </w:r>
            <w:proofErr w:type="spellStart"/>
            <w:r w:rsidRPr="00263A32">
              <w:rPr>
                <w:rFonts w:ascii="Times New Roman" w:hAnsi="Times New Roman"/>
                <w:b/>
                <w:bCs/>
                <w:sz w:val="20"/>
                <w:szCs w:val="20"/>
                <w:lang w:eastAsia="ru-RU"/>
              </w:rPr>
              <w:t>piața</w:t>
            </w:r>
            <w:proofErr w:type="spellEnd"/>
            <w:r w:rsidRPr="00263A32">
              <w:rPr>
                <w:rFonts w:ascii="Times New Roman" w:hAnsi="Times New Roman"/>
                <w:b/>
                <w:bCs/>
                <w:sz w:val="20"/>
                <w:szCs w:val="20"/>
                <w:lang w:eastAsia="ru-RU"/>
              </w:rPr>
              <w:t xml:space="preserve"> </w:t>
            </w:r>
            <w:proofErr w:type="spellStart"/>
            <w:r w:rsidRPr="00263A32">
              <w:rPr>
                <w:rFonts w:ascii="Times New Roman" w:hAnsi="Times New Roman"/>
                <w:b/>
                <w:bCs/>
                <w:sz w:val="20"/>
                <w:szCs w:val="20"/>
                <w:lang w:eastAsia="ru-RU"/>
              </w:rPr>
              <w:t>internă</w:t>
            </w:r>
            <w:proofErr w:type="spellEnd"/>
            <w:r w:rsidRPr="00263A32">
              <w:rPr>
                <w:rFonts w:ascii="Times New Roman" w:hAnsi="Times New Roman"/>
                <w:b/>
                <w:bCs/>
                <w:sz w:val="20"/>
                <w:szCs w:val="20"/>
                <w:lang w:eastAsia="ru-RU"/>
              </w:rPr>
              <w:t xml:space="preserve"> </w:t>
            </w:r>
            <w:proofErr w:type="gramStart"/>
            <w:r w:rsidRPr="00263A32">
              <w:rPr>
                <w:rFonts w:ascii="Times New Roman" w:hAnsi="Times New Roman"/>
                <w:b/>
                <w:bCs/>
                <w:sz w:val="20"/>
                <w:szCs w:val="20"/>
                <w:lang w:eastAsia="ru-RU"/>
              </w:rPr>
              <w:t>a</w:t>
            </w:r>
            <w:proofErr w:type="gramEnd"/>
            <w:r w:rsidRPr="00263A32">
              <w:rPr>
                <w:rFonts w:ascii="Times New Roman" w:hAnsi="Times New Roman"/>
                <w:b/>
                <w:bCs/>
                <w:sz w:val="20"/>
                <w:szCs w:val="20"/>
                <w:lang w:eastAsia="ru-RU"/>
              </w:rPr>
              <w:t xml:space="preserve"> energiei</w:t>
            </w:r>
          </w:p>
          <w:p w14:paraId="7C582BC6" w14:textId="77777777" w:rsidR="0004558D" w:rsidRPr="00263A32" w:rsidRDefault="0004558D" w:rsidP="0004558D">
            <w:pPr>
              <w:spacing w:after="0" w:line="240" w:lineRule="auto"/>
              <w:jc w:val="both"/>
              <w:rPr>
                <w:rFonts w:ascii="Times New Roman" w:hAnsi="Times New Roman"/>
                <w:sz w:val="20"/>
                <w:szCs w:val="20"/>
                <w:lang w:eastAsia="ru-RU"/>
              </w:rPr>
            </w:pPr>
            <w:r w:rsidRPr="00263A32">
              <w:rPr>
                <w:rFonts w:ascii="Times New Roman" w:hAnsi="Times New Roman"/>
                <w:sz w:val="20"/>
                <w:szCs w:val="20"/>
                <w:lang w:eastAsia="ru-RU"/>
              </w:rPr>
              <w:t>(</w:t>
            </w:r>
            <w:proofErr w:type="gramStart"/>
            <w:r w:rsidRPr="00263A32">
              <w:rPr>
                <w:rFonts w:ascii="Times New Roman" w:hAnsi="Times New Roman"/>
                <w:sz w:val="20"/>
                <w:szCs w:val="20"/>
                <w:lang w:eastAsia="ru-RU"/>
              </w:rPr>
              <w:t>1)</w:t>
            </w:r>
            <w:proofErr w:type="spellStart"/>
            <w:r w:rsidRPr="00263A32">
              <w:rPr>
                <w:rFonts w:ascii="Times New Roman" w:hAnsi="Times New Roman"/>
                <w:sz w:val="20"/>
                <w:szCs w:val="20"/>
                <w:lang w:eastAsia="ru-RU"/>
              </w:rPr>
              <w:t>Statele</w:t>
            </w:r>
            <w:proofErr w:type="spellEnd"/>
            <w:proofErr w:type="gram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membre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includ</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rapoartele</w:t>
            </w:r>
            <w:proofErr w:type="spellEnd"/>
            <w:r w:rsidRPr="00263A32">
              <w:rPr>
                <w:rFonts w:ascii="Times New Roman" w:hAnsi="Times New Roman"/>
                <w:sz w:val="20"/>
                <w:szCs w:val="20"/>
                <w:lang w:eastAsia="ru-RU"/>
              </w:rPr>
              <w:t xml:space="preserve"> lor </w:t>
            </w:r>
            <w:proofErr w:type="spellStart"/>
            <w:r w:rsidRPr="00263A32">
              <w:rPr>
                <w:rFonts w:ascii="Times New Roman" w:hAnsi="Times New Roman"/>
                <w:sz w:val="20"/>
                <w:szCs w:val="20"/>
                <w:lang w:eastAsia="ru-RU"/>
              </w:rPr>
              <w:t>naționale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intermediare</w:t>
            </w:r>
            <w:proofErr w:type="spellEnd"/>
            <w:r w:rsidRPr="00263A32">
              <w:rPr>
                <w:rFonts w:ascii="Times New Roman" w:hAnsi="Times New Roman"/>
                <w:sz w:val="20"/>
                <w:szCs w:val="20"/>
                <w:lang w:eastAsia="ru-RU"/>
              </w:rPr>
              <w:t xml:space="preserve"> integrate </w:t>
            </w:r>
            <w:proofErr w:type="spellStart"/>
            <w:r w:rsidRPr="00263A32">
              <w:rPr>
                <w:rFonts w:ascii="Times New Roman" w:hAnsi="Times New Roman"/>
                <w:sz w:val="20"/>
                <w:szCs w:val="20"/>
                <w:lang w:eastAsia="ru-RU"/>
              </w:rPr>
              <w:t>privind</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energia</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clima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informații</w:t>
            </w:r>
            <w:proofErr w:type="spellEnd"/>
            <w:r w:rsidRPr="00263A32">
              <w:rPr>
                <w:rFonts w:ascii="Times New Roman" w:hAnsi="Times New Roman"/>
                <w:sz w:val="20"/>
                <w:szCs w:val="20"/>
                <w:lang w:eastAsia="ru-RU"/>
              </w:rPr>
              <w:t xml:space="preserve"> cu </w:t>
            </w:r>
            <w:proofErr w:type="spellStart"/>
            <w:r w:rsidRPr="00263A32">
              <w:rPr>
                <w:rFonts w:ascii="Times New Roman" w:hAnsi="Times New Roman"/>
                <w:sz w:val="20"/>
                <w:szCs w:val="20"/>
                <w:lang w:eastAsia="ru-RU"/>
              </w:rPr>
              <w:t>privire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punerea</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aplicare</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următoarelor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obiective</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măsuri</w:t>
            </w:r>
            <w:proofErr w:type="spellEnd"/>
            <w:r w:rsidRPr="00263A32">
              <w:rPr>
                <w:rFonts w:ascii="Times New Roman" w:hAnsi="Times New Roman"/>
                <w:sz w:val="20"/>
                <w:szCs w:val="20"/>
                <w:lang w:eastAsia="ru-RU"/>
              </w:rPr>
              <w:t>:</w:t>
            </w:r>
          </w:p>
          <w:p w14:paraId="5D945446"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nivelul</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interconectivitate</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rețelelor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electrice</w:t>
            </w:r>
            <w:proofErr w:type="spellEnd"/>
            <w:r w:rsidRPr="00263A32">
              <w:rPr>
                <w:rFonts w:ascii="Times New Roman" w:hAnsi="Times New Roman"/>
                <w:sz w:val="20"/>
                <w:szCs w:val="20"/>
                <w:lang w:eastAsia="ru-RU"/>
              </w:rPr>
              <w:t xml:space="preserve"> la care </w:t>
            </w:r>
            <w:proofErr w:type="spellStart"/>
            <w:r w:rsidRPr="00263A32">
              <w:rPr>
                <w:rFonts w:ascii="Times New Roman" w:hAnsi="Times New Roman"/>
                <w:sz w:val="20"/>
                <w:szCs w:val="20"/>
                <w:lang w:eastAsia="ru-RU"/>
              </w:rPr>
              <w:t>aspiră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statul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membru</w:t>
            </w:r>
            <w:proofErr w:type="spellEnd"/>
            <w:r w:rsidRPr="00263A32">
              <w:rPr>
                <w:rFonts w:ascii="Times New Roman" w:hAnsi="Times New Roman"/>
                <w:sz w:val="20"/>
                <w:szCs w:val="20"/>
                <w:lang w:eastAsia="ru-RU"/>
              </w:rPr>
              <w:t xml:space="preserve"> în 2030, </w:t>
            </w:r>
            <w:proofErr w:type="spellStart"/>
            <w:r w:rsidRPr="00263A32">
              <w:rPr>
                <w:rFonts w:ascii="Times New Roman" w:hAnsi="Times New Roman"/>
                <w:sz w:val="20"/>
                <w:szCs w:val="20"/>
                <w:lang w:eastAsia="ru-RU"/>
              </w:rPr>
              <w:t>având</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vedere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obiectivul</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interconectare</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rețelelor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electrice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2030 de </w:t>
            </w:r>
            <w:proofErr w:type="spellStart"/>
            <w:r w:rsidRPr="00263A32">
              <w:rPr>
                <w:rFonts w:ascii="Times New Roman" w:hAnsi="Times New Roman"/>
                <w:sz w:val="20"/>
                <w:szCs w:val="20"/>
                <w:lang w:eastAsia="ru-RU"/>
              </w:rPr>
              <w:t>cel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puțin</w:t>
            </w:r>
            <w:proofErr w:type="spellEnd"/>
            <w:r w:rsidRPr="00263A32">
              <w:rPr>
                <w:rFonts w:ascii="Times New Roman" w:hAnsi="Times New Roman"/>
                <w:sz w:val="20"/>
                <w:szCs w:val="20"/>
                <w:lang w:eastAsia="ru-RU"/>
              </w:rPr>
              <w:t xml:space="preserve"> 15 % și </w:t>
            </w:r>
            <w:proofErr w:type="spellStart"/>
            <w:r w:rsidRPr="00263A32">
              <w:rPr>
                <w:rFonts w:ascii="Times New Roman" w:hAnsi="Times New Roman"/>
                <w:sz w:val="20"/>
                <w:szCs w:val="20"/>
                <w:lang w:eastAsia="ru-RU"/>
              </w:rPr>
              <w:t>indicatorii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prevăzuți</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partea</w:t>
            </w:r>
            <w:proofErr w:type="spellEnd"/>
            <w:r w:rsidRPr="00263A32">
              <w:rPr>
                <w:rFonts w:ascii="Times New Roman" w:hAnsi="Times New Roman"/>
                <w:sz w:val="20"/>
                <w:szCs w:val="20"/>
                <w:lang w:eastAsia="ru-RU"/>
              </w:rPr>
              <w:t xml:space="preserve"> 1 </w:t>
            </w:r>
            <w:proofErr w:type="spellStart"/>
            <w:r w:rsidRPr="00263A32">
              <w:rPr>
                <w:rFonts w:ascii="Times New Roman" w:hAnsi="Times New Roman"/>
                <w:sz w:val="20"/>
                <w:szCs w:val="20"/>
                <w:lang w:eastAsia="ru-RU"/>
              </w:rPr>
              <w:t>secțiunea</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punctul</w:t>
            </w:r>
            <w:proofErr w:type="spellEnd"/>
            <w:r w:rsidRPr="00263A32">
              <w:rPr>
                <w:rFonts w:ascii="Times New Roman" w:hAnsi="Times New Roman"/>
                <w:sz w:val="20"/>
                <w:szCs w:val="20"/>
                <w:lang w:eastAsia="ru-RU"/>
              </w:rPr>
              <w:t xml:space="preserve"> 2.4.1 din </w:t>
            </w:r>
            <w:proofErr w:type="spellStart"/>
            <w:r w:rsidRPr="00263A32">
              <w:rPr>
                <w:rFonts w:ascii="Times New Roman" w:hAnsi="Times New Roman"/>
                <w:sz w:val="20"/>
                <w:szCs w:val="20"/>
                <w:lang w:eastAsia="ru-RU"/>
              </w:rPr>
              <w:t>anexa</w:t>
            </w:r>
            <w:proofErr w:type="spellEnd"/>
            <w:r w:rsidRPr="00263A32">
              <w:rPr>
                <w:rFonts w:ascii="Times New Roman" w:hAnsi="Times New Roman"/>
                <w:sz w:val="20"/>
                <w:szCs w:val="20"/>
                <w:lang w:eastAsia="ru-RU"/>
              </w:rPr>
              <w:t xml:space="preserve"> I, precum și </w:t>
            </w:r>
            <w:proofErr w:type="spellStart"/>
            <w:r w:rsidRPr="00263A32">
              <w:rPr>
                <w:rFonts w:ascii="Times New Roman" w:hAnsi="Times New Roman"/>
                <w:sz w:val="20"/>
                <w:szCs w:val="20"/>
                <w:lang w:eastAsia="ru-RU"/>
              </w:rPr>
              <w:t>măsurile</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punere</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aplicare</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strategiei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atingerea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acestui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nivel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inclusiv</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cele</w:t>
            </w:r>
            <w:proofErr w:type="spellEnd"/>
            <w:r w:rsidRPr="00263A32">
              <w:rPr>
                <w:rFonts w:ascii="Times New Roman" w:hAnsi="Times New Roman"/>
                <w:sz w:val="20"/>
                <w:szCs w:val="20"/>
                <w:lang w:eastAsia="ru-RU"/>
              </w:rPr>
              <w:t xml:space="preserve"> legate de </w:t>
            </w:r>
            <w:proofErr w:type="spellStart"/>
            <w:r w:rsidRPr="00263A32">
              <w:rPr>
                <w:rFonts w:ascii="Times New Roman" w:hAnsi="Times New Roman"/>
                <w:sz w:val="20"/>
                <w:szCs w:val="20"/>
                <w:lang w:eastAsia="ru-RU"/>
              </w:rPr>
              <w:t>acordarea</w:t>
            </w:r>
            <w:proofErr w:type="spellEnd"/>
            <w:r w:rsidRPr="00263A32">
              <w:rPr>
                <w:rFonts w:ascii="Times New Roman" w:hAnsi="Times New Roman"/>
                <w:sz w:val="20"/>
                <w:szCs w:val="20"/>
                <w:lang w:eastAsia="ru-RU"/>
              </w:rPr>
              <w:t xml:space="preserve"> </w:t>
            </w:r>
            <w:proofErr w:type="spellStart"/>
            <w:proofErr w:type="gramStart"/>
            <w:r w:rsidRPr="00263A32">
              <w:rPr>
                <w:rFonts w:ascii="Times New Roman" w:hAnsi="Times New Roman"/>
                <w:sz w:val="20"/>
                <w:szCs w:val="20"/>
                <w:lang w:eastAsia="ru-RU"/>
              </w:rPr>
              <w:t>autorizațiilor</w:t>
            </w:r>
            <w:proofErr w:type="spellEnd"/>
            <w:r w:rsidRPr="00263A32">
              <w:rPr>
                <w:rFonts w:ascii="Times New Roman" w:hAnsi="Times New Roman"/>
                <w:sz w:val="20"/>
                <w:szCs w:val="20"/>
                <w:lang w:eastAsia="ru-RU"/>
              </w:rPr>
              <w:t>;</w:t>
            </w:r>
            <w:proofErr w:type="gramEnd"/>
          </w:p>
          <w:p w14:paraId="1E71D953"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proiectele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esențiale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privind</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infrastructura</w:t>
            </w:r>
            <w:proofErr w:type="spellEnd"/>
            <w:r w:rsidRPr="00263A32">
              <w:rPr>
                <w:rFonts w:ascii="Times New Roman" w:hAnsi="Times New Roman"/>
                <w:sz w:val="20"/>
                <w:szCs w:val="20"/>
                <w:lang w:eastAsia="ru-RU"/>
              </w:rPr>
              <w:t xml:space="preserve"> de transport al energiei </w:t>
            </w:r>
            <w:proofErr w:type="spellStart"/>
            <w:r w:rsidRPr="00263A32">
              <w:rPr>
                <w:rFonts w:ascii="Times New Roman" w:hAnsi="Times New Roman"/>
                <w:sz w:val="20"/>
                <w:szCs w:val="20"/>
                <w:lang w:eastAsia="ru-RU"/>
              </w:rPr>
              <w:t>electrice</w:t>
            </w:r>
            <w:proofErr w:type="spellEnd"/>
            <w:r w:rsidRPr="00263A32">
              <w:rPr>
                <w:rFonts w:ascii="Times New Roman" w:hAnsi="Times New Roman"/>
                <w:sz w:val="20"/>
                <w:szCs w:val="20"/>
                <w:lang w:eastAsia="ru-RU"/>
              </w:rPr>
              <w:t xml:space="preserve"> și al </w:t>
            </w:r>
            <w:proofErr w:type="spellStart"/>
            <w:r w:rsidRPr="00263A32">
              <w:rPr>
                <w:rFonts w:ascii="Times New Roman" w:hAnsi="Times New Roman"/>
                <w:sz w:val="20"/>
                <w:szCs w:val="20"/>
                <w:lang w:eastAsia="ru-RU"/>
              </w:rPr>
              <w:t>gazului</w:t>
            </w:r>
            <w:proofErr w:type="spellEnd"/>
            <w:r w:rsidRPr="00263A32">
              <w:rPr>
                <w:rFonts w:ascii="Times New Roman" w:hAnsi="Times New Roman"/>
                <w:sz w:val="20"/>
                <w:szCs w:val="20"/>
                <w:lang w:eastAsia="ru-RU"/>
              </w:rPr>
              <w:t xml:space="preserve"> care </w:t>
            </w:r>
            <w:r w:rsidRPr="00263A32">
              <w:rPr>
                <w:rFonts w:ascii="Times New Roman" w:hAnsi="Times New Roman"/>
                <w:sz w:val="20"/>
                <w:szCs w:val="20"/>
                <w:lang w:eastAsia="ru-RU"/>
              </w:rPr>
              <w:lastRenderedPageBreak/>
              <w:t xml:space="preserve">sunt </w:t>
            </w:r>
            <w:proofErr w:type="spellStart"/>
            <w:r w:rsidRPr="00263A32">
              <w:rPr>
                <w:rFonts w:ascii="Times New Roman" w:hAnsi="Times New Roman"/>
                <w:sz w:val="20"/>
                <w:szCs w:val="20"/>
                <w:lang w:eastAsia="ru-RU"/>
              </w:rPr>
              <w:t>necesare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atingerea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obiectivelor</w:t>
            </w:r>
            <w:proofErr w:type="spellEnd"/>
            <w:r w:rsidRPr="00263A32">
              <w:rPr>
                <w:rFonts w:ascii="Times New Roman" w:hAnsi="Times New Roman"/>
                <w:sz w:val="20"/>
                <w:szCs w:val="20"/>
                <w:lang w:eastAsia="ru-RU"/>
              </w:rPr>
              <w:t xml:space="preserve"> din </w:t>
            </w:r>
            <w:proofErr w:type="spellStart"/>
            <w:r w:rsidRPr="00263A32">
              <w:rPr>
                <w:rFonts w:ascii="Times New Roman" w:hAnsi="Times New Roman"/>
                <w:sz w:val="20"/>
                <w:szCs w:val="20"/>
                <w:lang w:eastAsia="ru-RU"/>
              </w:rPr>
              <w:t>cadrul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celor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cinci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dimensiuni</w:t>
            </w:r>
            <w:proofErr w:type="spellEnd"/>
            <w:r w:rsidRPr="00263A32">
              <w:rPr>
                <w:rFonts w:ascii="Times New Roman" w:hAnsi="Times New Roman"/>
                <w:sz w:val="20"/>
                <w:szCs w:val="20"/>
                <w:lang w:eastAsia="ru-RU"/>
              </w:rPr>
              <w:t xml:space="preserve"> ale </w:t>
            </w:r>
            <w:proofErr w:type="spellStart"/>
            <w:r w:rsidRPr="00263A32">
              <w:rPr>
                <w:rFonts w:ascii="Times New Roman" w:hAnsi="Times New Roman"/>
                <w:sz w:val="20"/>
                <w:szCs w:val="20"/>
                <w:lang w:eastAsia="ru-RU"/>
              </w:rPr>
              <w:t>uniunii</w:t>
            </w:r>
            <w:proofErr w:type="spellEnd"/>
            <w:r w:rsidRPr="00263A32">
              <w:rPr>
                <w:rFonts w:ascii="Times New Roman" w:hAnsi="Times New Roman"/>
                <w:sz w:val="20"/>
                <w:szCs w:val="20"/>
                <w:lang w:eastAsia="ru-RU"/>
              </w:rPr>
              <w:t xml:space="preserve"> </w:t>
            </w:r>
            <w:proofErr w:type="spellStart"/>
            <w:proofErr w:type="gramStart"/>
            <w:r w:rsidRPr="00263A32">
              <w:rPr>
                <w:rFonts w:ascii="Times New Roman" w:hAnsi="Times New Roman"/>
                <w:sz w:val="20"/>
                <w:szCs w:val="20"/>
                <w:lang w:eastAsia="ru-RU"/>
              </w:rPr>
              <w:t>energetice</w:t>
            </w:r>
            <w:proofErr w:type="spellEnd"/>
            <w:r w:rsidRPr="00263A32">
              <w:rPr>
                <w:rFonts w:ascii="Times New Roman" w:hAnsi="Times New Roman"/>
                <w:sz w:val="20"/>
                <w:szCs w:val="20"/>
                <w:lang w:eastAsia="ru-RU"/>
              </w:rPr>
              <w:t>;</w:t>
            </w:r>
            <w:proofErr w:type="gramEnd"/>
          </w:p>
          <w:p w14:paraId="10AAFB1B"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dacă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este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cazul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principalele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proiecte</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infrastructură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preconizate</w:t>
            </w:r>
            <w:proofErr w:type="spellEnd"/>
            <w:r w:rsidRPr="00263A32">
              <w:rPr>
                <w:rFonts w:ascii="Times New Roman" w:hAnsi="Times New Roman"/>
                <w:sz w:val="20"/>
                <w:szCs w:val="20"/>
                <w:lang w:eastAsia="ru-RU"/>
              </w:rPr>
              <w:t xml:space="preserve">, în afara </w:t>
            </w:r>
            <w:proofErr w:type="spellStart"/>
            <w:r w:rsidRPr="00263A32">
              <w:rPr>
                <w:rFonts w:ascii="Times New Roman" w:hAnsi="Times New Roman"/>
                <w:sz w:val="20"/>
                <w:szCs w:val="20"/>
                <w:lang w:eastAsia="ru-RU"/>
              </w:rPr>
              <w:t>proiectelor</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interes</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comun</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inclusiv</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proiectele</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infrastructură</w:t>
            </w:r>
            <w:proofErr w:type="spellEnd"/>
            <w:r w:rsidRPr="00263A32">
              <w:rPr>
                <w:rFonts w:ascii="Times New Roman" w:hAnsi="Times New Roman"/>
                <w:sz w:val="20"/>
                <w:szCs w:val="20"/>
                <w:lang w:eastAsia="ru-RU"/>
              </w:rPr>
              <w:t xml:space="preserve"> care </w:t>
            </w:r>
            <w:proofErr w:type="spellStart"/>
            <w:r w:rsidRPr="00263A32">
              <w:rPr>
                <w:rFonts w:ascii="Times New Roman" w:hAnsi="Times New Roman"/>
                <w:sz w:val="20"/>
                <w:szCs w:val="20"/>
                <w:lang w:eastAsia="ru-RU"/>
              </w:rPr>
              <w:t>implică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țări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terțe</w:t>
            </w:r>
            <w:proofErr w:type="spellEnd"/>
            <w:r w:rsidRPr="00263A32">
              <w:rPr>
                <w:rFonts w:ascii="Times New Roman" w:hAnsi="Times New Roman"/>
                <w:sz w:val="20"/>
                <w:szCs w:val="20"/>
                <w:lang w:eastAsia="ru-RU"/>
              </w:rPr>
              <w:t xml:space="preserve"> și, în </w:t>
            </w:r>
            <w:proofErr w:type="spellStart"/>
            <w:r w:rsidRPr="00263A32">
              <w:rPr>
                <w:rFonts w:ascii="Times New Roman" w:hAnsi="Times New Roman"/>
                <w:sz w:val="20"/>
                <w:szCs w:val="20"/>
                <w:lang w:eastAsia="ru-RU"/>
              </w:rPr>
              <w:t>măsura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posibilului</w:t>
            </w:r>
            <w:proofErr w:type="spellEnd"/>
            <w:r w:rsidRPr="00263A32">
              <w:rPr>
                <w:rFonts w:ascii="Times New Roman" w:hAnsi="Times New Roman"/>
                <w:sz w:val="20"/>
                <w:szCs w:val="20"/>
                <w:lang w:eastAsia="ru-RU"/>
              </w:rPr>
              <w:t xml:space="preserve">, o </w:t>
            </w:r>
            <w:proofErr w:type="spellStart"/>
            <w:r w:rsidRPr="00263A32">
              <w:rPr>
                <w:rFonts w:ascii="Times New Roman" w:hAnsi="Times New Roman"/>
                <w:sz w:val="20"/>
                <w:szCs w:val="20"/>
                <w:lang w:eastAsia="ru-RU"/>
              </w:rPr>
              <w:t>evaluare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generală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compatibilității</w:t>
            </w:r>
            <w:proofErr w:type="spellEnd"/>
            <w:r w:rsidRPr="00263A32">
              <w:rPr>
                <w:rFonts w:ascii="Times New Roman" w:hAnsi="Times New Roman"/>
                <w:sz w:val="20"/>
                <w:szCs w:val="20"/>
                <w:lang w:eastAsia="ru-RU"/>
              </w:rPr>
              <w:t xml:space="preserve"> lor cu </w:t>
            </w:r>
            <w:proofErr w:type="spellStart"/>
            <w:r w:rsidRPr="00263A32">
              <w:rPr>
                <w:rFonts w:ascii="Times New Roman" w:hAnsi="Times New Roman"/>
                <w:sz w:val="20"/>
                <w:szCs w:val="20"/>
                <w:lang w:eastAsia="ru-RU"/>
              </w:rPr>
              <w:t>obiectivele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uniunii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energetice</w:t>
            </w:r>
            <w:proofErr w:type="spellEnd"/>
            <w:r w:rsidRPr="00263A32">
              <w:rPr>
                <w:rFonts w:ascii="Times New Roman" w:hAnsi="Times New Roman"/>
                <w:sz w:val="20"/>
                <w:szCs w:val="20"/>
                <w:lang w:eastAsia="ru-RU"/>
              </w:rPr>
              <w:t xml:space="preserve">, precum și </w:t>
            </w:r>
            <w:proofErr w:type="spellStart"/>
            <w:r w:rsidRPr="00263A32">
              <w:rPr>
                <w:rFonts w:ascii="Times New Roman" w:hAnsi="Times New Roman"/>
                <w:sz w:val="20"/>
                <w:szCs w:val="20"/>
                <w:lang w:eastAsia="ru-RU"/>
              </w:rPr>
              <w:t>contribuția</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aceste</w:t>
            </w:r>
            <w:proofErr w:type="spellEnd"/>
            <w:r w:rsidRPr="00263A32">
              <w:rPr>
                <w:rFonts w:ascii="Times New Roman" w:hAnsi="Times New Roman"/>
                <w:sz w:val="20"/>
                <w:szCs w:val="20"/>
                <w:lang w:eastAsia="ru-RU"/>
              </w:rPr>
              <w:t xml:space="preserve"> </w:t>
            </w:r>
            <w:proofErr w:type="spellStart"/>
            <w:proofErr w:type="gramStart"/>
            <w:r w:rsidRPr="00263A32">
              <w:rPr>
                <w:rFonts w:ascii="Times New Roman" w:hAnsi="Times New Roman"/>
                <w:sz w:val="20"/>
                <w:szCs w:val="20"/>
                <w:lang w:eastAsia="ru-RU"/>
              </w:rPr>
              <w:t>obiective</w:t>
            </w:r>
            <w:proofErr w:type="spellEnd"/>
            <w:r w:rsidRPr="00263A32">
              <w:rPr>
                <w:rFonts w:ascii="Times New Roman" w:hAnsi="Times New Roman"/>
                <w:sz w:val="20"/>
                <w:szCs w:val="20"/>
                <w:lang w:eastAsia="ru-RU"/>
              </w:rPr>
              <w:t>;</w:t>
            </w:r>
            <w:proofErr w:type="gramEnd"/>
          </w:p>
          <w:p w14:paraId="0A6FE5E5"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obiectivele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naționale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referitoare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alte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aspecte</w:t>
            </w:r>
            <w:proofErr w:type="spellEnd"/>
            <w:r w:rsidRPr="00263A32">
              <w:rPr>
                <w:rFonts w:ascii="Times New Roman" w:hAnsi="Times New Roman"/>
                <w:sz w:val="20"/>
                <w:szCs w:val="20"/>
                <w:lang w:eastAsia="ru-RU"/>
              </w:rPr>
              <w:t xml:space="preserve"> ale </w:t>
            </w:r>
            <w:proofErr w:type="spellStart"/>
            <w:r w:rsidRPr="00263A32">
              <w:rPr>
                <w:rFonts w:ascii="Times New Roman" w:hAnsi="Times New Roman"/>
                <w:sz w:val="20"/>
                <w:szCs w:val="20"/>
                <w:lang w:eastAsia="ru-RU"/>
              </w:rPr>
              <w:t>pieței</w:t>
            </w:r>
            <w:proofErr w:type="spellEnd"/>
            <w:r w:rsidRPr="00263A32">
              <w:rPr>
                <w:rFonts w:ascii="Times New Roman" w:hAnsi="Times New Roman"/>
                <w:sz w:val="20"/>
                <w:szCs w:val="20"/>
                <w:lang w:eastAsia="ru-RU"/>
              </w:rPr>
              <w:t xml:space="preserve"> interne </w:t>
            </w:r>
            <w:proofErr w:type="gramStart"/>
            <w:r w:rsidRPr="00263A32">
              <w:rPr>
                <w:rFonts w:ascii="Times New Roman" w:hAnsi="Times New Roman"/>
                <w:sz w:val="20"/>
                <w:szCs w:val="20"/>
                <w:lang w:eastAsia="ru-RU"/>
              </w:rPr>
              <w:t>a</w:t>
            </w:r>
            <w:proofErr w:type="gramEnd"/>
            <w:r w:rsidRPr="00263A32">
              <w:rPr>
                <w:rFonts w:ascii="Times New Roman" w:hAnsi="Times New Roman"/>
                <w:sz w:val="20"/>
                <w:szCs w:val="20"/>
                <w:lang w:eastAsia="ru-RU"/>
              </w:rPr>
              <w:t xml:space="preserve"> energiei, precum </w:t>
            </w:r>
            <w:proofErr w:type="spellStart"/>
            <w:r w:rsidRPr="00263A32">
              <w:rPr>
                <w:rFonts w:ascii="Times New Roman" w:hAnsi="Times New Roman"/>
                <w:sz w:val="20"/>
                <w:szCs w:val="20"/>
                <w:lang w:eastAsia="ru-RU"/>
              </w:rPr>
              <w:t>creșterea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gradului</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flexibilitate</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sistemului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integrarea</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cuplarea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piețelor</w:t>
            </w:r>
            <w:proofErr w:type="spellEnd"/>
            <w:r w:rsidRPr="00263A32">
              <w:rPr>
                <w:rFonts w:ascii="Times New Roman" w:hAnsi="Times New Roman"/>
                <w:sz w:val="20"/>
                <w:szCs w:val="20"/>
                <w:lang w:eastAsia="ru-RU"/>
              </w:rPr>
              <w:t xml:space="preserve">, cu </w:t>
            </w:r>
            <w:proofErr w:type="spellStart"/>
            <w:r w:rsidRPr="00263A32">
              <w:rPr>
                <w:rFonts w:ascii="Times New Roman" w:hAnsi="Times New Roman"/>
                <w:sz w:val="20"/>
                <w:szCs w:val="20"/>
                <w:lang w:eastAsia="ru-RU"/>
              </w:rPr>
              <w:t>scopul</w:t>
            </w:r>
            <w:proofErr w:type="spellEnd"/>
            <w:r w:rsidRPr="00263A32">
              <w:rPr>
                <w:rFonts w:ascii="Times New Roman" w:hAnsi="Times New Roman"/>
                <w:sz w:val="20"/>
                <w:szCs w:val="20"/>
                <w:lang w:eastAsia="ru-RU"/>
              </w:rPr>
              <w:t xml:space="preserve"> de a </w:t>
            </w:r>
            <w:proofErr w:type="spellStart"/>
            <w:r w:rsidRPr="00263A32">
              <w:rPr>
                <w:rFonts w:ascii="Times New Roman" w:hAnsi="Times New Roman"/>
                <w:sz w:val="20"/>
                <w:szCs w:val="20"/>
                <w:lang w:eastAsia="ru-RU"/>
              </w:rPr>
              <w:t>spori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capacitatea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comercializabilă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interconexiunilor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existente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rețelele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inteligente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agregarea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participarea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activă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cererii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stocarea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producerea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distribuită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mecanismele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dispecerizare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redispecerizare</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limitare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semnalele</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preț</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timp</w:t>
            </w:r>
            <w:proofErr w:type="spellEnd"/>
            <w:r w:rsidRPr="00263A32">
              <w:rPr>
                <w:rFonts w:ascii="Times New Roman" w:hAnsi="Times New Roman"/>
                <w:sz w:val="20"/>
                <w:szCs w:val="20"/>
                <w:lang w:eastAsia="ru-RU"/>
              </w:rPr>
              <w:t xml:space="preserve"> real;</w:t>
            </w:r>
          </w:p>
          <w:p w14:paraId="01D346AE"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dacă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este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cazul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obiectivele</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măsurile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naționale</w:t>
            </w:r>
            <w:proofErr w:type="spellEnd"/>
            <w:r w:rsidRPr="00263A32">
              <w:rPr>
                <w:rFonts w:ascii="Times New Roman" w:hAnsi="Times New Roman"/>
                <w:sz w:val="20"/>
                <w:szCs w:val="20"/>
                <w:lang w:eastAsia="ru-RU"/>
              </w:rPr>
              <w:t xml:space="preserve"> legate de </w:t>
            </w:r>
            <w:proofErr w:type="spellStart"/>
            <w:r w:rsidRPr="00263A32">
              <w:rPr>
                <w:rFonts w:ascii="Times New Roman" w:hAnsi="Times New Roman"/>
                <w:sz w:val="20"/>
                <w:szCs w:val="20"/>
                <w:lang w:eastAsia="ru-RU"/>
              </w:rPr>
              <w:t>participarea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nediscriminatorie</w:t>
            </w:r>
            <w:proofErr w:type="spellEnd"/>
            <w:r w:rsidRPr="00263A32">
              <w:rPr>
                <w:rFonts w:ascii="Times New Roman" w:hAnsi="Times New Roman"/>
                <w:sz w:val="20"/>
                <w:szCs w:val="20"/>
                <w:lang w:eastAsia="ru-RU"/>
              </w:rPr>
              <w:t xml:space="preserve"> </w:t>
            </w:r>
            <w:proofErr w:type="gramStart"/>
            <w:r w:rsidRPr="00263A32">
              <w:rPr>
                <w:rFonts w:ascii="Times New Roman" w:hAnsi="Times New Roman"/>
                <w:sz w:val="20"/>
                <w:szCs w:val="20"/>
                <w:lang w:eastAsia="ru-RU"/>
              </w:rPr>
              <w:t>a</w:t>
            </w:r>
            <w:proofErr w:type="gramEnd"/>
            <w:r w:rsidRPr="00263A32">
              <w:rPr>
                <w:rFonts w:ascii="Times New Roman" w:hAnsi="Times New Roman"/>
                <w:sz w:val="20"/>
                <w:szCs w:val="20"/>
                <w:lang w:eastAsia="ru-RU"/>
              </w:rPr>
              <w:t xml:space="preserve"> energiei din surse </w:t>
            </w:r>
            <w:proofErr w:type="spellStart"/>
            <w:r w:rsidRPr="00263A32">
              <w:rPr>
                <w:rFonts w:ascii="Times New Roman" w:hAnsi="Times New Roman"/>
                <w:sz w:val="20"/>
                <w:szCs w:val="20"/>
                <w:lang w:eastAsia="ru-RU"/>
              </w:rPr>
              <w:t>regenerabile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participare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activă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cererii</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stocarea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inclusiv</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prin</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agregare</w:t>
            </w:r>
            <w:proofErr w:type="spellEnd"/>
            <w:r w:rsidRPr="00263A32">
              <w:rPr>
                <w:rFonts w:ascii="Times New Roman" w:hAnsi="Times New Roman"/>
                <w:sz w:val="20"/>
                <w:szCs w:val="20"/>
                <w:lang w:eastAsia="ru-RU"/>
              </w:rPr>
              <w:t xml:space="preserve">, pe </w:t>
            </w:r>
            <w:proofErr w:type="spellStart"/>
            <w:r w:rsidRPr="00263A32">
              <w:rPr>
                <w:rFonts w:ascii="Times New Roman" w:hAnsi="Times New Roman"/>
                <w:sz w:val="20"/>
                <w:szCs w:val="20"/>
                <w:lang w:eastAsia="ru-RU"/>
              </w:rPr>
              <w:t>toate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piețele</w:t>
            </w:r>
            <w:proofErr w:type="spellEnd"/>
            <w:r w:rsidRPr="00263A32">
              <w:rPr>
                <w:rFonts w:ascii="Times New Roman" w:hAnsi="Times New Roman"/>
                <w:sz w:val="20"/>
                <w:szCs w:val="20"/>
                <w:lang w:eastAsia="ru-RU"/>
              </w:rPr>
              <w:t xml:space="preserve"> energiei;</w:t>
            </w:r>
          </w:p>
          <w:p w14:paraId="214B3570" w14:textId="77777777" w:rsidR="0004558D" w:rsidRPr="00263A32" w:rsidRDefault="0004558D" w:rsidP="000C5A3B">
            <w:pPr>
              <w:pStyle w:val="af3"/>
              <w:numPr>
                <w:ilvl w:val="0"/>
                <w:numId w:val="117"/>
              </w:numPr>
              <w:spacing w:after="0" w:line="240" w:lineRule="auto"/>
              <w:jc w:val="both"/>
              <w:rPr>
                <w:rFonts w:ascii="Times New Roman" w:hAnsi="Times New Roman"/>
                <w:sz w:val="20"/>
                <w:szCs w:val="20"/>
                <w:lang w:eastAsia="ru-RU"/>
              </w:rPr>
            </w:pPr>
            <w:proofErr w:type="spellStart"/>
            <w:r w:rsidRPr="00263A32">
              <w:rPr>
                <w:rFonts w:ascii="Times New Roman" w:hAnsi="Times New Roman"/>
                <w:sz w:val="20"/>
                <w:szCs w:val="20"/>
                <w:lang w:eastAsia="ru-RU"/>
              </w:rPr>
              <w:t>dacă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este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cazul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obiectivele</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măsurile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naționale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privind</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asigurarea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participării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consumatorilor</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sistemul</w:t>
            </w:r>
            <w:proofErr w:type="spellEnd"/>
            <w:r w:rsidRPr="00263A32">
              <w:rPr>
                <w:rFonts w:ascii="Times New Roman" w:hAnsi="Times New Roman"/>
                <w:sz w:val="20"/>
                <w:szCs w:val="20"/>
                <w:lang w:eastAsia="ru-RU"/>
              </w:rPr>
              <w:t xml:space="preserve"> energetic și </w:t>
            </w:r>
            <w:proofErr w:type="spellStart"/>
            <w:r w:rsidRPr="00263A32">
              <w:rPr>
                <w:rFonts w:ascii="Times New Roman" w:hAnsi="Times New Roman"/>
                <w:sz w:val="20"/>
                <w:szCs w:val="20"/>
                <w:lang w:eastAsia="ru-RU"/>
              </w:rPr>
              <w:t>beneficiile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obținute</w:t>
            </w:r>
            <w:proofErr w:type="spellEnd"/>
            <w:r w:rsidRPr="00263A32">
              <w:rPr>
                <w:rFonts w:ascii="Times New Roman" w:hAnsi="Times New Roman"/>
                <w:sz w:val="20"/>
                <w:szCs w:val="20"/>
                <w:lang w:eastAsia="ru-RU"/>
              </w:rPr>
              <w:t xml:space="preserve"> de pe </w:t>
            </w:r>
            <w:proofErr w:type="spellStart"/>
            <w:r w:rsidRPr="00263A32">
              <w:rPr>
                <w:rFonts w:ascii="Times New Roman" w:hAnsi="Times New Roman"/>
                <w:sz w:val="20"/>
                <w:szCs w:val="20"/>
                <w:lang w:eastAsia="ru-RU"/>
              </w:rPr>
              <w:t>urma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autogenerării</w:t>
            </w:r>
            <w:proofErr w:type="spellEnd"/>
            <w:r w:rsidRPr="00263A32">
              <w:rPr>
                <w:rFonts w:ascii="Times New Roman" w:hAnsi="Times New Roman"/>
                <w:sz w:val="20"/>
                <w:szCs w:val="20"/>
                <w:lang w:eastAsia="ru-RU"/>
              </w:rPr>
              <w:t xml:space="preserve"> și a </w:t>
            </w:r>
            <w:proofErr w:type="spellStart"/>
            <w:r w:rsidRPr="00263A32">
              <w:rPr>
                <w:rFonts w:ascii="Times New Roman" w:hAnsi="Times New Roman"/>
                <w:sz w:val="20"/>
                <w:szCs w:val="20"/>
                <w:lang w:eastAsia="ru-RU"/>
              </w:rPr>
              <w:t>noilor</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tehnologii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inclusiv</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contoarelor</w:t>
            </w:r>
            <w:proofErr w:type="spellEnd"/>
            <w:r w:rsidRPr="00263A32">
              <w:rPr>
                <w:rFonts w:ascii="Times New Roman" w:hAnsi="Times New Roman"/>
                <w:sz w:val="20"/>
                <w:szCs w:val="20"/>
                <w:lang w:eastAsia="ru-RU"/>
              </w:rPr>
              <w:t xml:space="preserve"> </w:t>
            </w:r>
            <w:proofErr w:type="spellStart"/>
            <w:proofErr w:type="gramStart"/>
            <w:r w:rsidRPr="00263A32">
              <w:rPr>
                <w:rFonts w:ascii="Times New Roman" w:hAnsi="Times New Roman"/>
                <w:sz w:val="20"/>
                <w:szCs w:val="20"/>
                <w:lang w:eastAsia="ru-RU"/>
              </w:rPr>
              <w:t>inteligente</w:t>
            </w:r>
            <w:proofErr w:type="spellEnd"/>
            <w:r w:rsidRPr="00263A32">
              <w:rPr>
                <w:rFonts w:ascii="Times New Roman" w:hAnsi="Times New Roman"/>
                <w:sz w:val="20"/>
                <w:szCs w:val="20"/>
                <w:lang w:eastAsia="ru-RU"/>
              </w:rPr>
              <w:t>;</w:t>
            </w:r>
            <w:proofErr w:type="gramEnd"/>
          </w:p>
          <w:p w14:paraId="5D4DD451" w14:textId="77777777" w:rsidR="0004558D" w:rsidRPr="0004558D" w:rsidRDefault="0004558D" w:rsidP="000C5A3B">
            <w:pPr>
              <w:pStyle w:val="af3"/>
              <w:numPr>
                <w:ilvl w:val="0"/>
                <w:numId w:val="117"/>
              </w:num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măsurile</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ceea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ce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privește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asigurarea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caracterului</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adecvat</w:t>
            </w:r>
            <w:proofErr w:type="spellEnd"/>
            <w:r w:rsidRPr="0004558D">
              <w:rPr>
                <w:rFonts w:ascii="Times New Roman" w:hAnsi="Times New Roman"/>
                <w:sz w:val="20"/>
                <w:szCs w:val="20"/>
                <w:lang w:val="en-US" w:eastAsia="ru-RU"/>
              </w:rPr>
              <w:t xml:space="preserve"> al </w:t>
            </w:r>
            <w:proofErr w:type="spellStart"/>
            <w:r w:rsidRPr="0004558D">
              <w:rPr>
                <w:rFonts w:ascii="Times New Roman" w:hAnsi="Times New Roman"/>
                <w:sz w:val="20"/>
                <w:szCs w:val="20"/>
                <w:lang w:val="en-US" w:eastAsia="ru-RU"/>
              </w:rPr>
              <w:t>sistemului</w:t>
            </w:r>
            <w:proofErr w:type="spellEnd"/>
            <w:r w:rsidRPr="0004558D">
              <w:rPr>
                <w:rFonts w:ascii="Times New Roman" w:hAnsi="Times New Roman"/>
                <w:sz w:val="20"/>
                <w:szCs w:val="20"/>
                <w:lang w:val="en-US" w:eastAsia="ru-RU"/>
              </w:rPr>
              <w:t xml:space="preserve"> energetic;</w:t>
            </w:r>
          </w:p>
          <w:p w14:paraId="0DD714F9" w14:textId="77777777" w:rsidR="0004558D" w:rsidRPr="0004558D" w:rsidRDefault="0004558D" w:rsidP="000C5A3B">
            <w:pPr>
              <w:pStyle w:val="af3"/>
              <w:numPr>
                <w:ilvl w:val="0"/>
                <w:numId w:val="117"/>
              </w:num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politicile</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măsurile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puse</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aplicare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adoptate</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planificate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pentru</w:t>
            </w:r>
            <w:proofErr w:type="spellEnd"/>
            <w:r w:rsidRPr="0004558D">
              <w:rPr>
                <w:rFonts w:ascii="Times New Roman" w:hAnsi="Times New Roman"/>
                <w:sz w:val="20"/>
                <w:szCs w:val="20"/>
                <w:lang w:val="en-US" w:eastAsia="ru-RU"/>
              </w:rPr>
              <w:t xml:space="preserve">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atinge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obiectivele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menționate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literele</w:t>
            </w:r>
            <w:proofErr w:type="spellEnd"/>
            <w:r w:rsidRPr="0004558D">
              <w:rPr>
                <w:rFonts w:ascii="Times New Roman" w:hAnsi="Times New Roman"/>
                <w:sz w:val="20"/>
                <w:szCs w:val="20"/>
                <w:lang w:val="en-US" w:eastAsia="ru-RU"/>
              </w:rPr>
              <w:t xml:space="preserve"> (a)-(g);</w:t>
            </w:r>
          </w:p>
          <w:p w14:paraId="0F4C5D5E" w14:textId="77777777" w:rsidR="0004558D" w:rsidRPr="0004558D" w:rsidRDefault="0004558D" w:rsidP="000C5A3B">
            <w:pPr>
              <w:pStyle w:val="af3"/>
              <w:numPr>
                <w:ilvl w:val="0"/>
                <w:numId w:val="117"/>
              </w:num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cooperarea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regională</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vederea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punerii</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aplicare</w:t>
            </w:r>
            <w:proofErr w:type="spellEnd"/>
            <w:r w:rsidRPr="0004558D">
              <w:rPr>
                <w:rFonts w:ascii="Times New Roman" w:hAnsi="Times New Roman"/>
                <w:sz w:val="20"/>
                <w:szCs w:val="20"/>
                <w:lang w:val="en-US" w:eastAsia="ru-RU"/>
              </w:rPr>
              <w:t xml:space="preserve">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obiectivelor</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politicilor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menționate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literele</w:t>
            </w:r>
            <w:proofErr w:type="spellEnd"/>
            <w:r w:rsidRPr="0004558D">
              <w:rPr>
                <w:rFonts w:ascii="Times New Roman" w:hAnsi="Times New Roman"/>
                <w:sz w:val="20"/>
                <w:szCs w:val="20"/>
                <w:lang w:val="en-US" w:eastAsia="ru-RU"/>
              </w:rPr>
              <w:t xml:space="preserve"> (a)-(h);</w:t>
            </w:r>
          </w:p>
          <w:p w14:paraId="7FA68881" w14:textId="77777777" w:rsidR="0004558D" w:rsidRPr="0004558D" w:rsidRDefault="0004558D" w:rsidP="000C5A3B">
            <w:pPr>
              <w:pStyle w:val="af3"/>
              <w:numPr>
                <w:ilvl w:val="0"/>
                <w:numId w:val="117"/>
              </w:num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fără</w:t>
            </w:r>
            <w:proofErr w:type="spellEnd"/>
            <w:r w:rsidRPr="0004558D">
              <w:rPr>
                <w:rFonts w:ascii="Times New Roman" w:hAnsi="Times New Roman"/>
                <w:sz w:val="20"/>
                <w:szCs w:val="20"/>
                <w:lang w:val="en-US" w:eastAsia="ru-RU"/>
              </w:rPr>
              <w:t xml:space="preserve"> </w:t>
            </w:r>
            <w:proofErr w:type="gramStart"/>
            <w:r w:rsidRPr="0004558D">
              <w:rPr>
                <w:rFonts w:ascii="Times New Roman" w:hAnsi="Times New Roman"/>
                <w:sz w:val="20"/>
                <w:szCs w:val="20"/>
                <w:lang w:val="en-US" w:eastAsia="ru-RU"/>
              </w:rPr>
              <w:t>a</w:t>
            </w:r>
            <w:proofErr w:type="gram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aduce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atingere</w:t>
            </w:r>
            <w:proofErr w:type="spellEnd"/>
            <w:r w:rsidRPr="0004558D">
              <w:rPr>
                <w:rFonts w:ascii="Times New Roman" w:hAnsi="Times New Roman"/>
                <w:sz w:val="20"/>
                <w:szCs w:val="20"/>
                <w:lang w:val="en-US" w:eastAsia="ru-RU"/>
              </w:rPr>
              <w:t xml:space="preserve"> articolelor107 și 108 din TFUE, </w:t>
            </w:r>
            <w:proofErr w:type="spellStart"/>
            <w:r w:rsidRPr="0004558D">
              <w:rPr>
                <w:rFonts w:ascii="Times New Roman" w:hAnsi="Times New Roman"/>
                <w:sz w:val="20"/>
                <w:szCs w:val="20"/>
                <w:lang w:val="en-US" w:eastAsia="ru-RU"/>
              </w:rPr>
              <w:t>măsurile</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finanțare</w:t>
            </w:r>
            <w:proofErr w:type="spellEnd"/>
            <w:r w:rsidRPr="0004558D">
              <w:rPr>
                <w:rFonts w:ascii="Times New Roman" w:hAnsi="Times New Roman"/>
                <w:sz w:val="20"/>
                <w:szCs w:val="20"/>
                <w:lang w:val="en-US" w:eastAsia="ru-RU"/>
              </w:rPr>
              <w:t xml:space="preserve"> la </w:t>
            </w:r>
            <w:proofErr w:type="spellStart"/>
            <w:r w:rsidRPr="0004558D">
              <w:rPr>
                <w:rFonts w:ascii="Times New Roman" w:hAnsi="Times New Roman"/>
                <w:sz w:val="20"/>
                <w:szCs w:val="20"/>
                <w:lang w:val="en-US" w:eastAsia="ru-RU"/>
              </w:rPr>
              <w:t>nivel</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național</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inclusiv</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sprijinul</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acordat</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Uniune</w:t>
            </w:r>
            <w:proofErr w:type="spellEnd"/>
            <w:r w:rsidRPr="0004558D">
              <w:rPr>
                <w:rFonts w:ascii="Times New Roman" w:hAnsi="Times New Roman"/>
                <w:sz w:val="20"/>
                <w:szCs w:val="20"/>
                <w:lang w:val="en-US" w:eastAsia="ru-RU"/>
              </w:rPr>
              <w:t xml:space="preserve"> și </w:t>
            </w:r>
            <w:proofErr w:type="spellStart"/>
            <w:r w:rsidRPr="0004558D">
              <w:rPr>
                <w:rFonts w:ascii="Times New Roman" w:hAnsi="Times New Roman"/>
                <w:sz w:val="20"/>
                <w:szCs w:val="20"/>
                <w:lang w:val="en-US" w:eastAsia="ru-RU"/>
              </w:rPr>
              <w:t>utilizarea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fondurilor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Uniunii</w:t>
            </w:r>
            <w:proofErr w:type="spellEnd"/>
            <w:r w:rsidRPr="0004558D">
              <w:rPr>
                <w:rFonts w:ascii="Times New Roman" w:hAnsi="Times New Roman"/>
                <w:sz w:val="20"/>
                <w:szCs w:val="20"/>
                <w:lang w:val="en-US" w:eastAsia="ru-RU"/>
              </w:rPr>
              <w:t xml:space="preserve"> în </w:t>
            </w:r>
            <w:proofErr w:type="spellStart"/>
            <w:r w:rsidRPr="0004558D">
              <w:rPr>
                <w:rFonts w:ascii="Times New Roman" w:hAnsi="Times New Roman"/>
                <w:sz w:val="20"/>
                <w:szCs w:val="20"/>
                <w:lang w:val="en-US" w:eastAsia="ru-RU"/>
              </w:rPr>
              <w:t>domeniul</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pieței</w:t>
            </w:r>
            <w:proofErr w:type="spellEnd"/>
            <w:r w:rsidRPr="0004558D">
              <w:rPr>
                <w:rFonts w:ascii="Times New Roman" w:hAnsi="Times New Roman"/>
                <w:sz w:val="20"/>
                <w:szCs w:val="20"/>
                <w:lang w:val="en-US" w:eastAsia="ru-RU"/>
              </w:rPr>
              <w:t xml:space="preserve"> interne a energiei, </w:t>
            </w:r>
            <w:proofErr w:type="spellStart"/>
            <w:r w:rsidRPr="0004558D">
              <w:rPr>
                <w:rFonts w:ascii="Times New Roman" w:hAnsi="Times New Roman"/>
                <w:sz w:val="20"/>
                <w:szCs w:val="20"/>
                <w:lang w:val="en-US" w:eastAsia="ru-RU"/>
              </w:rPr>
              <w:t>inclusiv</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pentru</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obiectivul</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interconectare</w:t>
            </w:r>
            <w:proofErr w:type="spellEnd"/>
            <w:r w:rsidRPr="0004558D">
              <w:rPr>
                <w:rFonts w:ascii="Times New Roman" w:hAnsi="Times New Roman"/>
                <w:sz w:val="20"/>
                <w:szCs w:val="20"/>
                <w:lang w:val="en-US" w:eastAsia="ru-RU"/>
              </w:rPr>
              <w:t xml:space="preserve"> a </w:t>
            </w:r>
            <w:proofErr w:type="spellStart"/>
            <w:r w:rsidRPr="0004558D">
              <w:rPr>
                <w:rFonts w:ascii="Times New Roman" w:hAnsi="Times New Roman"/>
                <w:sz w:val="20"/>
                <w:szCs w:val="20"/>
                <w:lang w:val="en-US" w:eastAsia="ru-RU"/>
              </w:rPr>
              <w:t>rețelelor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electrice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dacă</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este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cazul</w:t>
            </w:r>
            <w:proofErr w:type="spellEnd"/>
            <w:r w:rsidRPr="0004558D">
              <w:rPr>
                <w:rFonts w:ascii="Times New Roman" w:hAnsi="Times New Roman"/>
                <w:sz w:val="20"/>
                <w:szCs w:val="20"/>
                <w:lang w:val="en-US" w:eastAsia="ru-RU"/>
              </w:rPr>
              <w:t>;</w:t>
            </w:r>
          </w:p>
          <w:p w14:paraId="32CFC742" w14:textId="77777777" w:rsidR="0004558D" w:rsidRPr="0004558D" w:rsidRDefault="0004558D" w:rsidP="000C5A3B">
            <w:pPr>
              <w:pStyle w:val="af3"/>
              <w:numPr>
                <w:ilvl w:val="0"/>
                <w:numId w:val="117"/>
              </w:numPr>
              <w:spacing w:after="0" w:line="240" w:lineRule="auto"/>
              <w:jc w:val="both"/>
              <w:rPr>
                <w:rFonts w:ascii="Times New Roman" w:hAnsi="Times New Roman"/>
                <w:sz w:val="20"/>
                <w:szCs w:val="20"/>
                <w:lang w:val="en-US" w:eastAsia="ru-RU"/>
              </w:rPr>
            </w:pPr>
            <w:proofErr w:type="spellStart"/>
            <w:r w:rsidRPr="0004558D">
              <w:rPr>
                <w:rFonts w:ascii="Times New Roman" w:hAnsi="Times New Roman"/>
                <w:sz w:val="20"/>
                <w:szCs w:val="20"/>
                <w:lang w:val="en-US" w:eastAsia="ru-RU"/>
              </w:rPr>
              <w:t>măsurile</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sporire</w:t>
            </w:r>
            <w:proofErr w:type="spellEnd"/>
            <w:r w:rsidRPr="0004558D">
              <w:rPr>
                <w:rFonts w:ascii="Times New Roman" w:hAnsi="Times New Roman"/>
                <w:sz w:val="20"/>
                <w:szCs w:val="20"/>
                <w:lang w:val="en-US" w:eastAsia="ru-RU"/>
              </w:rPr>
              <w:t xml:space="preserve"> a </w:t>
            </w:r>
            <w:proofErr w:type="spellStart"/>
            <w:r w:rsidRPr="0004558D">
              <w:rPr>
                <w:rFonts w:ascii="Times New Roman" w:hAnsi="Times New Roman"/>
                <w:sz w:val="20"/>
                <w:szCs w:val="20"/>
                <w:lang w:val="en-US" w:eastAsia="ru-RU"/>
              </w:rPr>
              <w:t>flexibilității</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sistemului</w:t>
            </w:r>
            <w:proofErr w:type="spellEnd"/>
            <w:r w:rsidRPr="0004558D">
              <w:rPr>
                <w:rFonts w:ascii="Times New Roman" w:hAnsi="Times New Roman"/>
                <w:sz w:val="20"/>
                <w:szCs w:val="20"/>
                <w:lang w:val="en-US" w:eastAsia="ru-RU"/>
              </w:rPr>
              <w:t xml:space="preserve"> energetic în </w:t>
            </w:r>
            <w:proofErr w:type="spellStart"/>
            <w:r w:rsidRPr="0004558D">
              <w:rPr>
                <w:rFonts w:ascii="Times New Roman" w:hAnsi="Times New Roman"/>
                <w:sz w:val="20"/>
                <w:szCs w:val="20"/>
                <w:lang w:val="en-US" w:eastAsia="ru-RU"/>
              </w:rPr>
              <w:t>ceea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ce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privește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producția</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energie</w:t>
            </w:r>
            <w:proofErr w:type="spellEnd"/>
            <w:r w:rsidRPr="0004558D">
              <w:rPr>
                <w:rFonts w:ascii="Times New Roman" w:hAnsi="Times New Roman"/>
                <w:sz w:val="20"/>
                <w:szCs w:val="20"/>
                <w:lang w:val="en-US" w:eastAsia="ru-RU"/>
              </w:rPr>
              <w:t xml:space="preserve"> din surse </w:t>
            </w:r>
            <w:proofErr w:type="spellStart"/>
            <w:r w:rsidRPr="0004558D">
              <w:rPr>
                <w:rFonts w:ascii="Times New Roman" w:hAnsi="Times New Roman"/>
                <w:sz w:val="20"/>
                <w:szCs w:val="20"/>
                <w:lang w:val="en-US" w:eastAsia="ru-RU"/>
              </w:rPr>
              <w:t>regenerabile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inclusiv</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introducerea</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cuplării</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piețelor</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intrazilnice</w:t>
            </w:r>
            <w:proofErr w:type="spellEnd"/>
            <w:r w:rsidRPr="0004558D">
              <w:rPr>
                <w:rFonts w:ascii="Times New Roman" w:hAnsi="Times New Roman"/>
                <w:sz w:val="20"/>
                <w:szCs w:val="20"/>
                <w:lang w:val="en-US" w:eastAsia="ru-RU"/>
              </w:rPr>
              <w:t xml:space="preserve"> și a </w:t>
            </w:r>
            <w:proofErr w:type="spellStart"/>
            <w:r w:rsidRPr="0004558D">
              <w:rPr>
                <w:rFonts w:ascii="Times New Roman" w:hAnsi="Times New Roman"/>
                <w:sz w:val="20"/>
                <w:szCs w:val="20"/>
                <w:lang w:val="en-US" w:eastAsia="ru-RU"/>
              </w:rPr>
              <w:t>piețelor</w:t>
            </w:r>
            <w:proofErr w:type="spellEnd"/>
            <w:r w:rsidRPr="0004558D">
              <w:rPr>
                <w:rFonts w:ascii="Times New Roman" w:hAnsi="Times New Roman"/>
                <w:sz w:val="20"/>
                <w:szCs w:val="20"/>
                <w:lang w:val="en-US" w:eastAsia="ru-RU"/>
              </w:rPr>
              <w:t xml:space="preserve"> de </w:t>
            </w:r>
            <w:proofErr w:type="spellStart"/>
            <w:r w:rsidRPr="0004558D">
              <w:rPr>
                <w:rFonts w:ascii="Times New Roman" w:hAnsi="Times New Roman"/>
                <w:sz w:val="20"/>
                <w:szCs w:val="20"/>
                <w:lang w:val="en-US" w:eastAsia="ru-RU"/>
              </w:rPr>
              <w:t>echilibrare</w:t>
            </w:r>
            <w:proofErr w:type="spellEnd"/>
            <w:r w:rsidRPr="0004558D">
              <w:rPr>
                <w:rFonts w:ascii="Times New Roman" w:hAnsi="Times New Roman"/>
                <w:sz w:val="20"/>
                <w:szCs w:val="20"/>
                <w:lang w:val="en-US" w:eastAsia="ru-RU"/>
              </w:rPr>
              <w:t xml:space="preserve"> </w:t>
            </w:r>
            <w:proofErr w:type="spellStart"/>
            <w:r w:rsidRPr="0004558D">
              <w:rPr>
                <w:rFonts w:ascii="Times New Roman" w:hAnsi="Times New Roman"/>
                <w:sz w:val="20"/>
                <w:szCs w:val="20"/>
                <w:lang w:val="en-US" w:eastAsia="ru-RU"/>
              </w:rPr>
              <w:t>transfrontaliere</w:t>
            </w:r>
            <w:proofErr w:type="spellEnd"/>
            <w:r w:rsidRPr="0004558D">
              <w:rPr>
                <w:rFonts w:ascii="Times New Roman" w:hAnsi="Times New Roman"/>
                <w:sz w:val="20"/>
                <w:szCs w:val="20"/>
                <w:lang w:val="en-US" w:eastAsia="ru-RU"/>
              </w:rPr>
              <w:t>.</w:t>
            </w:r>
          </w:p>
          <w:p w14:paraId="159AE110" w14:textId="681BF555" w:rsidR="0004558D" w:rsidRPr="003D20CB" w:rsidRDefault="0004558D" w:rsidP="0004558D">
            <w:pPr>
              <w:spacing w:after="0" w:line="240" w:lineRule="auto"/>
              <w:jc w:val="both"/>
              <w:rPr>
                <w:rFonts w:ascii="Times New Roman" w:hAnsi="Times New Roman"/>
                <w:sz w:val="20"/>
                <w:szCs w:val="20"/>
                <w:lang w:val="fr-FR" w:eastAsia="ru-RU"/>
              </w:rPr>
            </w:pPr>
            <w:r w:rsidRPr="0004558D">
              <w:rPr>
                <w:rFonts w:ascii="Times New Roman" w:hAnsi="Times New Roman"/>
                <w:sz w:val="20"/>
                <w:szCs w:val="20"/>
                <w:lang w:val="fr-FR" w:eastAsia="ru-RU"/>
              </w:rPr>
              <w:lastRenderedPageBreak/>
              <w:t>(2)</w:t>
            </w:r>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Informațiile</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furnizate</w:t>
            </w:r>
            <w:proofErr w:type="spellEnd"/>
            <w:r w:rsidRPr="0004558D">
              <w:rPr>
                <w:rFonts w:ascii="Times New Roman" w:hAnsi="Times New Roman"/>
                <w:sz w:val="20"/>
                <w:szCs w:val="20"/>
                <w:shd w:val="clear" w:color="auto" w:fill="FFFFFF"/>
                <w:lang w:val="fr-FR"/>
              </w:rPr>
              <w:t xml:space="preserve"> de </w:t>
            </w:r>
            <w:proofErr w:type="spellStart"/>
            <w:r w:rsidRPr="0004558D">
              <w:rPr>
                <w:rFonts w:ascii="Times New Roman" w:hAnsi="Times New Roman"/>
                <w:sz w:val="20"/>
                <w:szCs w:val="20"/>
                <w:shd w:val="clear" w:color="auto" w:fill="FFFFFF"/>
                <w:lang w:val="fr-FR"/>
              </w:rPr>
              <w:t>statele</w:t>
            </w:r>
            <w:proofErr w:type="spellEnd"/>
            <w:r w:rsidRPr="0004558D">
              <w:rPr>
                <w:rFonts w:ascii="Times New Roman" w:hAnsi="Times New Roman"/>
                <w:sz w:val="20"/>
                <w:szCs w:val="20"/>
                <w:shd w:val="clear" w:color="auto" w:fill="FFFFFF"/>
                <w:lang w:val="fr-FR"/>
              </w:rPr>
              <w:t xml:space="preserve"> membre în </w:t>
            </w:r>
            <w:proofErr w:type="spellStart"/>
            <w:r w:rsidRPr="0004558D">
              <w:rPr>
                <w:rFonts w:ascii="Times New Roman" w:hAnsi="Times New Roman"/>
                <w:sz w:val="20"/>
                <w:szCs w:val="20"/>
                <w:shd w:val="clear" w:color="auto" w:fill="FFFFFF"/>
                <w:lang w:val="fr-FR"/>
              </w:rPr>
              <w:t>temeiul</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alineatului</w:t>
            </w:r>
            <w:proofErr w:type="spellEnd"/>
            <w:r w:rsidRPr="0004558D">
              <w:rPr>
                <w:rFonts w:ascii="Times New Roman" w:hAnsi="Times New Roman"/>
                <w:sz w:val="20"/>
                <w:szCs w:val="20"/>
                <w:shd w:val="clear" w:color="auto" w:fill="FFFFFF"/>
                <w:lang w:val="fr-FR"/>
              </w:rPr>
              <w:t xml:space="preserve"> (1) </w:t>
            </w:r>
            <w:proofErr w:type="spellStart"/>
            <w:r w:rsidRPr="0004558D">
              <w:rPr>
                <w:rFonts w:ascii="Times New Roman" w:hAnsi="Times New Roman"/>
                <w:sz w:val="20"/>
                <w:szCs w:val="20"/>
                <w:shd w:val="clear" w:color="auto" w:fill="FFFFFF"/>
                <w:lang w:val="fr-FR"/>
              </w:rPr>
              <w:t>sunt</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consecvente</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cu</w:t>
            </w:r>
            <w:proofErr w:type="spellEnd"/>
            <w:r w:rsidRPr="0004558D">
              <w:rPr>
                <w:rFonts w:ascii="Times New Roman" w:hAnsi="Times New Roman"/>
                <w:sz w:val="20"/>
                <w:szCs w:val="20"/>
                <w:shd w:val="clear" w:color="auto" w:fill="FFFFFF"/>
                <w:lang w:val="fr-FR"/>
              </w:rPr>
              <w:t xml:space="preserve"> și, </w:t>
            </w:r>
            <w:proofErr w:type="spellStart"/>
            <w:r w:rsidRPr="0004558D">
              <w:rPr>
                <w:rFonts w:ascii="Times New Roman" w:hAnsi="Times New Roman"/>
                <w:sz w:val="20"/>
                <w:szCs w:val="20"/>
                <w:shd w:val="clear" w:color="auto" w:fill="FFFFFF"/>
                <w:lang w:val="fr-FR"/>
              </w:rPr>
              <w:t>după</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caz</w:t>
            </w:r>
            <w:proofErr w:type="spellEnd"/>
            <w:r w:rsidRPr="0004558D">
              <w:rPr>
                <w:rFonts w:ascii="Times New Roman" w:hAnsi="Times New Roman"/>
                <w:sz w:val="20"/>
                <w:szCs w:val="20"/>
                <w:shd w:val="clear" w:color="auto" w:fill="FFFFFF"/>
                <w:lang w:val="fr-FR"/>
              </w:rPr>
              <w:t xml:space="preserve">, se </w:t>
            </w:r>
            <w:proofErr w:type="spellStart"/>
            <w:r w:rsidRPr="0004558D">
              <w:rPr>
                <w:rFonts w:ascii="Times New Roman" w:hAnsi="Times New Roman"/>
                <w:sz w:val="20"/>
                <w:szCs w:val="20"/>
                <w:shd w:val="clear" w:color="auto" w:fill="FFFFFF"/>
                <w:lang w:val="fr-FR"/>
              </w:rPr>
              <w:t>bazează</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pe</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raportul</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autorităților</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naționale</w:t>
            </w:r>
            <w:proofErr w:type="spellEnd"/>
            <w:r w:rsidRPr="0004558D">
              <w:rPr>
                <w:rFonts w:ascii="Times New Roman" w:hAnsi="Times New Roman"/>
                <w:sz w:val="20"/>
                <w:szCs w:val="20"/>
                <w:shd w:val="clear" w:color="auto" w:fill="FFFFFF"/>
                <w:lang w:val="fr-FR"/>
              </w:rPr>
              <w:t xml:space="preserve"> de </w:t>
            </w:r>
            <w:proofErr w:type="spellStart"/>
            <w:r w:rsidRPr="0004558D">
              <w:rPr>
                <w:rFonts w:ascii="Times New Roman" w:hAnsi="Times New Roman"/>
                <w:sz w:val="20"/>
                <w:szCs w:val="20"/>
                <w:shd w:val="clear" w:color="auto" w:fill="FFFFFF"/>
                <w:lang w:val="fr-FR"/>
              </w:rPr>
              <w:t>reglementare</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menționat</w:t>
            </w:r>
            <w:proofErr w:type="spellEnd"/>
            <w:r w:rsidRPr="0004558D">
              <w:rPr>
                <w:rFonts w:ascii="Times New Roman" w:hAnsi="Times New Roman"/>
                <w:sz w:val="20"/>
                <w:szCs w:val="20"/>
                <w:shd w:val="clear" w:color="auto" w:fill="FFFFFF"/>
                <w:lang w:val="fr-FR"/>
              </w:rPr>
              <w:t xml:space="preserve"> la </w:t>
            </w:r>
            <w:proofErr w:type="spellStart"/>
            <w:r w:rsidRPr="0004558D">
              <w:rPr>
                <w:rFonts w:ascii="Times New Roman" w:hAnsi="Times New Roman"/>
                <w:sz w:val="20"/>
                <w:szCs w:val="20"/>
                <w:shd w:val="clear" w:color="auto" w:fill="FFFFFF"/>
                <w:lang w:val="fr-FR"/>
              </w:rPr>
              <w:t>articolul</w:t>
            </w:r>
            <w:proofErr w:type="spellEnd"/>
            <w:r w:rsidRPr="0004558D">
              <w:rPr>
                <w:rFonts w:ascii="Times New Roman" w:hAnsi="Times New Roman"/>
                <w:sz w:val="20"/>
                <w:szCs w:val="20"/>
                <w:shd w:val="clear" w:color="auto" w:fill="FFFFFF"/>
                <w:lang w:val="fr-FR"/>
              </w:rPr>
              <w:t xml:space="preserve"> 37 </w:t>
            </w:r>
            <w:proofErr w:type="spellStart"/>
            <w:r w:rsidRPr="0004558D">
              <w:rPr>
                <w:rFonts w:ascii="Times New Roman" w:hAnsi="Times New Roman"/>
                <w:sz w:val="20"/>
                <w:szCs w:val="20"/>
                <w:shd w:val="clear" w:color="auto" w:fill="FFFFFF"/>
                <w:lang w:val="fr-FR"/>
              </w:rPr>
              <w:t>alineatul</w:t>
            </w:r>
            <w:proofErr w:type="spellEnd"/>
            <w:r w:rsidRPr="0004558D">
              <w:rPr>
                <w:rFonts w:ascii="Times New Roman" w:hAnsi="Times New Roman"/>
                <w:sz w:val="20"/>
                <w:szCs w:val="20"/>
                <w:shd w:val="clear" w:color="auto" w:fill="FFFFFF"/>
                <w:lang w:val="fr-FR"/>
              </w:rPr>
              <w:t xml:space="preserve"> (1) litera (e) </w:t>
            </w:r>
            <w:proofErr w:type="spellStart"/>
            <w:r w:rsidRPr="0004558D">
              <w:rPr>
                <w:rFonts w:ascii="Times New Roman" w:hAnsi="Times New Roman"/>
                <w:sz w:val="20"/>
                <w:szCs w:val="20"/>
                <w:shd w:val="clear" w:color="auto" w:fill="FFFFFF"/>
                <w:lang w:val="fr-FR"/>
              </w:rPr>
              <w:t>din</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Directiva</w:t>
            </w:r>
            <w:proofErr w:type="spellEnd"/>
            <w:r w:rsidRPr="0004558D">
              <w:rPr>
                <w:rFonts w:ascii="Times New Roman" w:hAnsi="Times New Roman"/>
                <w:sz w:val="20"/>
                <w:szCs w:val="20"/>
                <w:shd w:val="clear" w:color="auto" w:fill="FFFFFF"/>
                <w:lang w:val="fr-FR"/>
              </w:rPr>
              <w:t xml:space="preserve"> 2009/72/CE și la </w:t>
            </w:r>
            <w:proofErr w:type="spellStart"/>
            <w:r w:rsidRPr="0004558D">
              <w:rPr>
                <w:rFonts w:ascii="Times New Roman" w:hAnsi="Times New Roman"/>
                <w:sz w:val="20"/>
                <w:szCs w:val="20"/>
                <w:shd w:val="clear" w:color="auto" w:fill="FFFFFF"/>
                <w:lang w:val="fr-FR"/>
              </w:rPr>
              <w:t>articolul</w:t>
            </w:r>
            <w:proofErr w:type="spellEnd"/>
            <w:r w:rsidRPr="0004558D">
              <w:rPr>
                <w:rFonts w:ascii="Times New Roman" w:hAnsi="Times New Roman"/>
                <w:sz w:val="20"/>
                <w:szCs w:val="20"/>
                <w:shd w:val="clear" w:color="auto" w:fill="FFFFFF"/>
                <w:lang w:val="fr-FR"/>
              </w:rPr>
              <w:t xml:space="preserve"> 41 </w:t>
            </w:r>
            <w:proofErr w:type="spellStart"/>
            <w:r w:rsidRPr="0004558D">
              <w:rPr>
                <w:rFonts w:ascii="Times New Roman" w:hAnsi="Times New Roman"/>
                <w:sz w:val="20"/>
                <w:szCs w:val="20"/>
                <w:shd w:val="clear" w:color="auto" w:fill="FFFFFF"/>
                <w:lang w:val="fr-FR"/>
              </w:rPr>
              <w:t>alineatul</w:t>
            </w:r>
            <w:proofErr w:type="spellEnd"/>
            <w:r w:rsidRPr="0004558D">
              <w:rPr>
                <w:rFonts w:ascii="Times New Roman" w:hAnsi="Times New Roman"/>
                <w:sz w:val="20"/>
                <w:szCs w:val="20"/>
                <w:shd w:val="clear" w:color="auto" w:fill="FFFFFF"/>
                <w:lang w:val="fr-FR"/>
              </w:rPr>
              <w:t xml:space="preserve"> (1) litera (e) </w:t>
            </w:r>
            <w:proofErr w:type="spellStart"/>
            <w:r w:rsidRPr="0004558D">
              <w:rPr>
                <w:rFonts w:ascii="Times New Roman" w:hAnsi="Times New Roman"/>
                <w:sz w:val="20"/>
                <w:szCs w:val="20"/>
                <w:shd w:val="clear" w:color="auto" w:fill="FFFFFF"/>
                <w:lang w:val="fr-FR"/>
              </w:rPr>
              <w:t>din</w:t>
            </w:r>
            <w:proofErr w:type="spellEnd"/>
            <w:r w:rsidRPr="0004558D">
              <w:rPr>
                <w:rFonts w:ascii="Times New Roman" w:hAnsi="Times New Roman"/>
                <w:sz w:val="20"/>
                <w:szCs w:val="20"/>
                <w:shd w:val="clear" w:color="auto" w:fill="FFFFFF"/>
                <w:lang w:val="fr-FR"/>
              </w:rPr>
              <w:t xml:space="preserve"> </w:t>
            </w:r>
            <w:proofErr w:type="spellStart"/>
            <w:r w:rsidRPr="0004558D">
              <w:rPr>
                <w:rFonts w:ascii="Times New Roman" w:hAnsi="Times New Roman"/>
                <w:sz w:val="20"/>
                <w:szCs w:val="20"/>
                <w:shd w:val="clear" w:color="auto" w:fill="FFFFFF"/>
                <w:lang w:val="fr-FR"/>
              </w:rPr>
              <w:t>Directiva</w:t>
            </w:r>
            <w:proofErr w:type="spellEnd"/>
            <w:r w:rsidRPr="0004558D">
              <w:rPr>
                <w:rFonts w:ascii="Times New Roman" w:hAnsi="Times New Roman"/>
                <w:sz w:val="20"/>
                <w:szCs w:val="20"/>
                <w:shd w:val="clear" w:color="auto" w:fill="FFFFFF"/>
                <w:lang w:val="fr-FR"/>
              </w:rPr>
              <w:t xml:space="preserve"> 2009/73/CE.</w:t>
            </w:r>
          </w:p>
        </w:tc>
        <w:tc>
          <w:tcPr>
            <w:tcW w:w="4440" w:type="dxa"/>
          </w:tcPr>
          <w:p w14:paraId="71B8CCFF" w14:textId="1BBC5213" w:rsidR="0004558D" w:rsidRPr="0004558D" w:rsidRDefault="0004558D" w:rsidP="00077DF7">
            <w:pPr>
              <w:shd w:val="clear" w:color="auto" w:fill="FFFFFF"/>
              <w:suppressAutoHyphens w:val="0"/>
              <w:autoSpaceDN/>
              <w:spacing w:after="0" w:line="240" w:lineRule="auto"/>
              <w:jc w:val="both"/>
              <w:textAlignment w:val="auto"/>
              <w:rPr>
                <w:rFonts w:ascii="Times New Roman" w:hAnsi="Times New Roman"/>
                <w:sz w:val="20"/>
                <w:szCs w:val="20"/>
                <w:shd w:val="clear" w:color="auto" w:fill="FFFFFF"/>
                <w:lang w:val="ro-MD"/>
              </w:rPr>
            </w:pPr>
          </w:p>
        </w:tc>
        <w:tc>
          <w:tcPr>
            <w:tcW w:w="1276" w:type="dxa"/>
          </w:tcPr>
          <w:p w14:paraId="599D3697" w14:textId="04D16AAD" w:rsidR="0004558D" w:rsidRDefault="0004558D" w:rsidP="008F5636">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7F442488" w14:textId="77777777" w:rsidR="0004558D" w:rsidRPr="0004558D" w:rsidRDefault="0004558D" w:rsidP="008F5636">
            <w:pPr>
              <w:pStyle w:val="ColorfulList-Accent11"/>
              <w:spacing w:after="0" w:line="240" w:lineRule="auto"/>
              <w:ind w:left="0"/>
              <w:jc w:val="both"/>
              <w:rPr>
                <w:lang w:val="en-US"/>
              </w:rPr>
            </w:pPr>
          </w:p>
        </w:tc>
        <w:tc>
          <w:tcPr>
            <w:tcW w:w="1701" w:type="dxa"/>
          </w:tcPr>
          <w:p w14:paraId="61CC67A2" w14:textId="516CB8A9" w:rsidR="0004558D" w:rsidRPr="00F13819" w:rsidRDefault="0004558D" w:rsidP="0004558D">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6D59A3">
              <w:rPr>
                <w:rFonts w:ascii="Times New Roman" w:eastAsia="Times New Roman" w:hAnsi="Times New Roman"/>
                <w:sz w:val="20"/>
                <w:szCs w:val="20"/>
                <w:lang w:val="ro-RO"/>
              </w:rPr>
              <w:t xml:space="preserve"> și </w:t>
            </w:r>
            <w:r w:rsidR="006D59A3" w:rsidRPr="00F13819">
              <w:rPr>
                <w:rFonts w:ascii="Times New Roman" w:eastAsia="Times New Roman" w:hAnsi="Times New Roman"/>
                <w:sz w:val="20"/>
                <w:szCs w:val="20"/>
                <w:lang w:val="ro-RO"/>
              </w:rPr>
              <w:t>D/202</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w:t>
            </w:r>
            <w:r w:rsidR="006D59A3">
              <w:rPr>
                <w:rFonts w:ascii="Times New Roman" w:eastAsia="Times New Roman" w:hAnsi="Times New Roman"/>
                <w:sz w:val="20"/>
                <w:szCs w:val="20"/>
                <w:lang w:val="ro-RO"/>
              </w:rPr>
              <w:t>02</w:t>
            </w:r>
            <w:r w:rsidR="006D59A3" w:rsidRPr="00F13819">
              <w:rPr>
                <w:rFonts w:ascii="Times New Roman" w:eastAsia="Times New Roman" w:hAnsi="Times New Roman"/>
                <w:sz w:val="20"/>
                <w:szCs w:val="20"/>
                <w:lang w:val="ro-RO"/>
              </w:rPr>
              <w:t>/MC-</w:t>
            </w:r>
            <w:proofErr w:type="spellStart"/>
            <w:r w:rsidR="006D59A3" w:rsidRPr="00F13819">
              <w:rPr>
                <w:rFonts w:ascii="Times New Roman" w:eastAsia="Times New Roman" w:hAnsi="Times New Roman"/>
                <w:sz w:val="20"/>
                <w:szCs w:val="20"/>
                <w:lang w:val="ro-RO"/>
              </w:rPr>
              <w:lastRenderedPageBreak/>
              <w:t>EnC</w:t>
            </w:r>
            <w:proofErr w:type="spellEnd"/>
            <w:r w:rsidR="006D59A3" w:rsidRPr="00F13819">
              <w:rPr>
                <w:rFonts w:ascii="Times New Roman" w:eastAsia="Times New Roman" w:hAnsi="Times New Roman"/>
                <w:sz w:val="20"/>
                <w:szCs w:val="20"/>
                <w:lang w:val="ro-RO"/>
              </w:rPr>
              <w:t xml:space="preserve"> din </w:t>
            </w:r>
            <w:r w:rsidR="006D59A3">
              <w:rPr>
                <w:rFonts w:ascii="Times New Roman" w:eastAsia="Times New Roman" w:hAnsi="Times New Roman"/>
                <w:sz w:val="20"/>
                <w:szCs w:val="20"/>
                <w:lang w:val="ro-RO"/>
              </w:rPr>
              <w:t>15</w:t>
            </w:r>
            <w:r w:rsidR="006D59A3" w:rsidRPr="00F13819">
              <w:rPr>
                <w:rFonts w:ascii="Times New Roman" w:eastAsia="Times New Roman" w:hAnsi="Times New Roman"/>
                <w:sz w:val="20"/>
                <w:szCs w:val="20"/>
                <w:lang w:val="ro-RO"/>
              </w:rPr>
              <w:t>.1</w:t>
            </w:r>
            <w:r w:rsidR="006D59A3">
              <w:rPr>
                <w:rFonts w:ascii="Times New Roman" w:eastAsia="Times New Roman" w:hAnsi="Times New Roman"/>
                <w:sz w:val="20"/>
                <w:szCs w:val="20"/>
                <w:lang w:val="ro-RO"/>
              </w:rPr>
              <w:t>2</w:t>
            </w:r>
            <w:r w:rsidR="006D59A3" w:rsidRPr="00F13819">
              <w:rPr>
                <w:rFonts w:ascii="Times New Roman" w:eastAsia="Times New Roman" w:hAnsi="Times New Roman"/>
                <w:sz w:val="20"/>
                <w:szCs w:val="20"/>
                <w:lang w:val="ro-RO"/>
              </w:rPr>
              <w:t>.202</w:t>
            </w:r>
            <w:r w:rsidR="006D59A3">
              <w:rPr>
                <w:rFonts w:ascii="Times New Roman" w:eastAsia="Times New Roman" w:hAnsi="Times New Roman"/>
                <w:sz w:val="20"/>
                <w:szCs w:val="20"/>
                <w:lang w:val="ro-RO"/>
              </w:rPr>
              <w:t>2.</w:t>
            </w:r>
          </w:p>
          <w:p w14:paraId="3EACEC0A" w14:textId="77777777" w:rsidR="0004558D" w:rsidRDefault="0004558D" w:rsidP="00BC5E3B">
            <w:pPr>
              <w:autoSpaceDE w:val="0"/>
              <w:spacing w:after="0" w:line="240" w:lineRule="auto"/>
              <w:rPr>
                <w:rFonts w:ascii="Times New Roman" w:hAnsi="Times New Roman"/>
                <w:sz w:val="20"/>
                <w:szCs w:val="20"/>
                <w:lang w:val="ro-RO"/>
              </w:rPr>
            </w:pPr>
          </w:p>
          <w:p w14:paraId="0AE80D3C" w14:textId="066B1D5E"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67546">
              <w:rPr>
                <w:rFonts w:ascii="Times New Roman" w:eastAsia="Times New Roman" w:hAnsi="Times New Roman"/>
                <w:sz w:val="20"/>
                <w:szCs w:val="20"/>
                <w:lang w:val="ro-RO" w:eastAsia="ru-RU"/>
              </w:rPr>
              <w:t>la pct.57 și pct.58 din</w:t>
            </w:r>
            <w:r>
              <w:rPr>
                <w:rFonts w:ascii="Times New Roman" w:eastAsia="Times New Roman" w:hAnsi="Times New Roman"/>
                <w:sz w:val="20"/>
                <w:szCs w:val="20"/>
                <w:lang w:val="ro-RO" w:eastAsia="ru-RU"/>
              </w:rPr>
              <w:t xml:space="preserve"> </w:t>
            </w:r>
          </w:p>
          <w:p w14:paraId="035062DC"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43A61E6" w14:textId="77777777" w:rsidR="00077DF7" w:rsidRDefault="00077DF7" w:rsidP="00BC5E3B">
            <w:pPr>
              <w:autoSpaceDE w:val="0"/>
              <w:spacing w:after="0" w:line="240" w:lineRule="auto"/>
              <w:rPr>
                <w:rFonts w:ascii="Times New Roman" w:hAnsi="Times New Roman"/>
                <w:sz w:val="20"/>
                <w:szCs w:val="20"/>
                <w:lang w:val="ro-RO"/>
              </w:rPr>
            </w:pPr>
          </w:p>
        </w:tc>
        <w:tc>
          <w:tcPr>
            <w:tcW w:w="1460" w:type="dxa"/>
          </w:tcPr>
          <w:p w14:paraId="069263F7" w14:textId="77777777" w:rsidR="0004558D" w:rsidRPr="003F755D" w:rsidRDefault="0004558D" w:rsidP="0004558D">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7ECAB55A" w14:textId="77777777" w:rsidR="0004558D" w:rsidRPr="003F755D" w:rsidRDefault="0004558D" w:rsidP="00E01949">
            <w:pPr>
              <w:autoSpaceDE w:val="0"/>
              <w:spacing w:after="0" w:line="240" w:lineRule="auto"/>
              <w:rPr>
                <w:rFonts w:ascii="Times New Roman" w:hAnsi="Times New Roman"/>
                <w:sz w:val="20"/>
                <w:szCs w:val="20"/>
                <w:lang w:val="fr-FR"/>
              </w:rPr>
            </w:pPr>
          </w:p>
        </w:tc>
      </w:tr>
      <w:tr w:rsidR="008F5636" w:rsidRPr="00BC5E3B" w14:paraId="69259B7B" w14:textId="77777777" w:rsidTr="00A90105">
        <w:tc>
          <w:tcPr>
            <w:tcW w:w="4945" w:type="dxa"/>
          </w:tcPr>
          <w:p w14:paraId="2F283256" w14:textId="77777777" w:rsidR="008F5636" w:rsidRPr="0004558D" w:rsidRDefault="008F5636" w:rsidP="001D6208">
            <w:pPr>
              <w:spacing w:after="0" w:line="240" w:lineRule="auto"/>
              <w:jc w:val="center"/>
              <w:rPr>
                <w:rFonts w:ascii="Times New Roman" w:hAnsi="Times New Roman"/>
                <w:sz w:val="20"/>
                <w:szCs w:val="20"/>
                <w:lang w:eastAsia="ru-RU"/>
              </w:rPr>
            </w:pPr>
            <w:proofErr w:type="spellStart"/>
            <w:r w:rsidRPr="0004558D">
              <w:rPr>
                <w:rFonts w:ascii="Times New Roman" w:hAnsi="Times New Roman"/>
                <w:sz w:val="20"/>
                <w:szCs w:val="20"/>
                <w:lang w:eastAsia="ru-RU"/>
              </w:rPr>
              <w:lastRenderedPageBreak/>
              <w:t>Articolul</w:t>
            </w:r>
            <w:proofErr w:type="spellEnd"/>
            <w:r w:rsidRPr="0004558D">
              <w:rPr>
                <w:rFonts w:ascii="Times New Roman" w:hAnsi="Times New Roman"/>
                <w:sz w:val="20"/>
                <w:szCs w:val="20"/>
                <w:lang w:eastAsia="ru-RU"/>
              </w:rPr>
              <w:t xml:space="preserve"> 24</w:t>
            </w:r>
          </w:p>
          <w:p w14:paraId="341FD3E7" w14:textId="77777777" w:rsidR="008F5636" w:rsidRPr="0004558D" w:rsidRDefault="008F5636" w:rsidP="001D6208">
            <w:pPr>
              <w:spacing w:after="0" w:line="240" w:lineRule="auto"/>
              <w:jc w:val="center"/>
              <w:rPr>
                <w:rFonts w:ascii="Times New Roman" w:hAnsi="Times New Roman"/>
                <w:b/>
                <w:bCs/>
                <w:sz w:val="20"/>
                <w:szCs w:val="20"/>
                <w:lang w:eastAsia="ru-RU"/>
              </w:rPr>
            </w:pPr>
            <w:proofErr w:type="spellStart"/>
            <w:r w:rsidRPr="0004558D">
              <w:rPr>
                <w:rFonts w:ascii="Times New Roman" w:hAnsi="Times New Roman"/>
                <w:b/>
                <w:bCs/>
                <w:sz w:val="20"/>
                <w:szCs w:val="20"/>
                <w:lang w:eastAsia="ru-RU"/>
              </w:rPr>
              <w:t>Raportarea</w:t>
            </w:r>
            <w:proofErr w:type="spellEnd"/>
            <w:r w:rsidRPr="0004558D">
              <w:rPr>
                <w:rFonts w:ascii="Times New Roman" w:hAnsi="Times New Roman"/>
                <w:b/>
                <w:bCs/>
                <w:sz w:val="20"/>
                <w:szCs w:val="20"/>
                <w:lang w:eastAsia="ru-RU"/>
              </w:rPr>
              <w:t xml:space="preserve"> </w:t>
            </w:r>
            <w:proofErr w:type="spellStart"/>
            <w:r w:rsidRPr="0004558D">
              <w:rPr>
                <w:rFonts w:ascii="Times New Roman" w:hAnsi="Times New Roman"/>
                <w:b/>
                <w:bCs/>
                <w:sz w:val="20"/>
                <w:szCs w:val="20"/>
                <w:lang w:eastAsia="ru-RU"/>
              </w:rPr>
              <w:t>integrată</w:t>
            </w:r>
            <w:proofErr w:type="spellEnd"/>
            <w:r w:rsidRPr="0004558D">
              <w:rPr>
                <w:rFonts w:ascii="Times New Roman" w:hAnsi="Times New Roman"/>
                <w:b/>
                <w:bCs/>
                <w:sz w:val="20"/>
                <w:szCs w:val="20"/>
                <w:lang w:eastAsia="ru-RU"/>
              </w:rPr>
              <w:t xml:space="preserve"> cu </w:t>
            </w:r>
            <w:proofErr w:type="spellStart"/>
            <w:r w:rsidRPr="0004558D">
              <w:rPr>
                <w:rFonts w:ascii="Times New Roman" w:hAnsi="Times New Roman"/>
                <w:b/>
                <w:bCs/>
                <w:sz w:val="20"/>
                <w:szCs w:val="20"/>
                <w:lang w:eastAsia="ru-RU"/>
              </w:rPr>
              <w:t>privire</w:t>
            </w:r>
            <w:proofErr w:type="spellEnd"/>
            <w:r w:rsidRPr="0004558D">
              <w:rPr>
                <w:rFonts w:ascii="Times New Roman" w:hAnsi="Times New Roman"/>
                <w:b/>
                <w:bCs/>
                <w:sz w:val="20"/>
                <w:szCs w:val="20"/>
                <w:lang w:eastAsia="ru-RU"/>
              </w:rPr>
              <w:t xml:space="preserve"> la </w:t>
            </w:r>
            <w:proofErr w:type="spellStart"/>
            <w:r w:rsidRPr="0004558D">
              <w:rPr>
                <w:rFonts w:ascii="Times New Roman" w:hAnsi="Times New Roman"/>
                <w:b/>
                <w:bCs/>
                <w:sz w:val="20"/>
                <w:szCs w:val="20"/>
                <w:lang w:eastAsia="ru-RU"/>
              </w:rPr>
              <w:t>sărăcia</w:t>
            </w:r>
            <w:proofErr w:type="spellEnd"/>
            <w:r w:rsidRPr="0004558D">
              <w:rPr>
                <w:rFonts w:ascii="Times New Roman" w:hAnsi="Times New Roman"/>
                <w:b/>
                <w:bCs/>
                <w:sz w:val="20"/>
                <w:szCs w:val="20"/>
                <w:lang w:eastAsia="ru-RU"/>
              </w:rPr>
              <w:t xml:space="preserve"> </w:t>
            </w:r>
            <w:proofErr w:type="spellStart"/>
            <w:r w:rsidRPr="0004558D">
              <w:rPr>
                <w:rFonts w:ascii="Times New Roman" w:hAnsi="Times New Roman"/>
                <w:b/>
                <w:bCs/>
                <w:sz w:val="20"/>
                <w:szCs w:val="20"/>
                <w:lang w:eastAsia="ru-RU"/>
              </w:rPr>
              <w:t>energetică</w:t>
            </w:r>
            <w:proofErr w:type="spellEnd"/>
          </w:p>
          <w:p w14:paraId="44110369" w14:textId="6AB667CD" w:rsidR="008F5636" w:rsidRPr="0004558D" w:rsidRDefault="008F5636" w:rsidP="001D6208">
            <w:pPr>
              <w:spacing w:after="0" w:line="240" w:lineRule="auto"/>
              <w:jc w:val="both"/>
              <w:rPr>
                <w:rFonts w:ascii="Times New Roman" w:hAnsi="Times New Roman"/>
                <w:sz w:val="20"/>
                <w:szCs w:val="20"/>
                <w:lang w:eastAsia="ru-RU"/>
              </w:rPr>
            </w:pPr>
            <w:r w:rsidRPr="0004558D">
              <w:rPr>
                <w:rFonts w:ascii="Times New Roman" w:hAnsi="Times New Roman"/>
                <w:sz w:val="20"/>
                <w:szCs w:val="20"/>
                <w:lang w:eastAsia="ru-RU"/>
              </w:rPr>
              <w:t xml:space="preserve">În </w:t>
            </w:r>
            <w:proofErr w:type="spellStart"/>
            <w:r w:rsidRPr="0004558D">
              <w:rPr>
                <w:rFonts w:ascii="Times New Roman" w:hAnsi="Times New Roman"/>
                <w:sz w:val="20"/>
                <w:szCs w:val="20"/>
                <w:lang w:eastAsia="ru-RU"/>
              </w:rPr>
              <w:t>cazul</w:t>
            </w:r>
            <w:proofErr w:type="spellEnd"/>
            <w:r w:rsidRPr="0004558D">
              <w:rPr>
                <w:rFonts w:ascii="Times New Roman" w:hAnsi="Times New Roman"/>
                <w:sz w:val="20"/>
                <w:szCs w:val="20"/>
                <w:lang w:eastAsia="ru-RU"/>
              </w:rPr>
              <w:t xml:space="preserve"> în care se </w:t>
            </w:r>
            <w:proofErr w:type="spellStart"/>
            <w:r w:rsidRPr="0004558D">
              <w:rPr>
                <w:rFonts w:ascii="Times New Roman" w:hAnsi="Times New Roman"/>
                <w:sz w:val="20"/>
                <w:szCs w:val="20"/>
                <w:lang w:eastAsia="ru-RU"/>
              </w:rPr>
              <w:t>aplică</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articolul</w:t>
            </w:r>
            <w:proofErr w:type="spellEnd"/>
            <w:r w:rsidR="001D6208" w:rsidRPr="0004558D">
              <w:rPr>
                <w:rFonts w:ascii="Times New Roman" w:hAnsi="Times New Roman"/>
                <w:sz w:val="20"/>
                <w:szCs w:val="20"/>
                <w:lang w:eastAsia="ru-RU"/>
              </w:rPr>
              <w:t xml:space="preserve"> </w:t>
            </w:r>
            <w:r w:rsidRPr="0004558D">
              <w:rPr>
                <w:rFonts w:ascii="Times New Roman" w:hAnsi="Times New Roman"/>
                <w:sz w:val="20"/>
                <w:szCs w:val="20"/>
                <w:lang w:eastAsia="ru-RU"/>
              </w:rPr>
              <w:t xml:space="preserve">3 </w:t>
            </w:r>
            <w:proofErr w:type="spellStart"/>
            <w:r w:rsidRPr="0004558D">
              <w:rPr>
                <w:rFonts w:ascii="Times New Roman" w:hAnsi="Times New Roman"/>
                <w:sz w:val="20"/>
                <w:szCs w:val="20"/>
                <w:lang w:eastAsia="ru-RU"/>
              </w:rPr>
              <w:t>alineatul</w:t>
            </w:r>
            <w:proofErr w:type="spellEnd"/>
            <w:r w:rsidR="001D6208" w:rsidRPr="0004558D">
              <w:rPr>
                <w:rFonts w:ascii="Times New Roman" w:hAnsi="Times New Roman"/>
                <w:sz w:val="20"/>
                <w:szCs w:val="20"/>
                <w:lang w:eastAsia="ru-RU"/>
              </w:rPr>
              <w:t xml:space="preserve"> </w:t>
            </w:r>
            <w:r w:rsidRPr="0004558D">
              <w:rPr>
                <w:rFonts w:ascii="Times New Roman" w:hAnsi="Times New Roman"/>
                <w:sz w:val="20"/>
                <w:szCs w:val="20"/>
                <w:lang w:eastAsia="ru-RU"/>
              </w:rPr>
              <w:t xml:space="preserve">(3) </w:t>
            </w:r>
            <w:proofErr w:type="spellStart"/>
            <w:r w:rsidRPr="0004558D">
              <w:rPr>
                <w:rFonts w:ascii="Times New Roman" w:hAnsi="Times New Roman"/>
                <w:sz w:val="20"/>
                <w:szCs w:val="20"/>
                <w:lang w:eastAsia="ru-RU"/>
              </w:rPr>
              <w:t>litera</w:t>
            </w:r>
            <w:proofErr w:type="spellEnd"/>
            <w:r w:rsidR="001D6208" w:rsidRPr="0004558D">
              <w:rPr>
                <w:rFonts w:ascii="Times New Roman" w:hAnsi="Times New Roman"/>
                <w:sz w:val="20"/>
                <w:szCs w:val="20"/>
                <w:lang w:eastAsia="ru-RU"/>
              </w:rPr>
              <w:t xml:space="preserve"> </w:t>
            </w:r>
            <w:r w:rsidRPr="0004558D">
              <w:rPr>
                <w:rFonts w:ascii="Times New Roman" w:hAnsi="Times New Roman"/>
                <w:sz w:val="20"/>
                <w:szCs w:val="20"/>
                <w:lang w:eastAsia="ru-RU"/>
              </w:rPr>
              <w:t xml:space="preserve">(d) al </w:t>
            </w:r>
            <w:proofErr w:type="spellStart"/>
            <w:r w:rsidRPr="0004558D">
              <w:rPr>
                <w:rFonts w:ascii="Times New Roman" w:hAnsi="Times New Roman"/>
                <w:sz w:val="20"/>
                <w:szCs w:val="20"/>
                <w:lang w:eastAsia="ru-RU"/>
              </w:rPr>
              <w:t>doilea</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paragraf</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statul</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membru</w:t>
            </w:r>
            <w:proofErr w:type="spellEnd"/>
            <w:r w:rsidRPr="0004558D">
              <w:rPr>
                <w:rFonts w:ascii="Times New Roman" w:hAnsi="Times New Roman"/>
                <w:sz w:val="20"/>
                <w:szCs w:val="20"/>
                <w:lang w:eastAsia="ru-RU"/>
              </w:rPr>
              <w:t xml:space="preserve"> în </w:t>
            </w:r>
            <w:proofErr w:type="spellStart"/>
            <w:r w:rsidRPr="0004558D">
              <w:rPr>
                <w:rFonts w:ascii="Times New Roman" w:hAnsi="Times New Roman"/>
                <w:sz w:val="20"/>
                <w:szCs w:val="20"/>
                <w:lang w:eastAsia="ru-RU"/>
              </w:rPr>
              <w:t>cauză</w:t>
            </w:r>
            <w:proofErr w:type="spellEnd"/>
            <w:r w:rsidRPr="0004558D">
              <w:rPr>
                <w:rFonts w:ascii="Times New Roman" w:hAnsi="Times New Roman"/>
                <w:sz w:val="20"/>
                <w:szCs w:val="20"/>
                <w:lang w:eastAsia="ru-RU"/>
              </w:rPr>
              <w:t xml:space="preserve"> include în </w:t>
            </w:r>
            <w:proofErr w:type="spellStart"/>
            <w:r w:rsidRPr="0004558D">
              <w:rPr>
                <w:rFonts w:ascii="Times New Roman" w:hAnsi="Times New Roman"/>
                <w:sz w:val="20"/>
                <w:szCs w:val="20"/>
                <w:lang w:eastAsia="ru-RU"/>
              </w:rPr>
              <w:t>raportul</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său</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național</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intermediar</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integrat</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privind</w:t>
            </w:r>
            <w:proofErr w:type="spellEnd"/>
            <w:r w:rsidRPr="0004558D">
              <w:rPr>
                <w:rFonts w:ascii="Times New Roman" w:hAnsi="Times New Roman"/>
                <w:sz w:val="20"/>
                <w:szCs w:val="20"/>
                <w:lang w:eastAsia="ru-RU"/>
              </w:rPr>
              <w:t xml:space="preserve"> </w:t>
            </w:r>
            <w:proofErr w:type="spellStart"/>
            <w:r w:rsidRPr="0004558D">
              <w:rPr>
                <w:rFonts w:ascii="Times New Roman" w:hAnsi="Times New Roman"/>
                <w:sz w:val="20"/>
                <w:szCs w:val="20"/>
                <w:lang w:eastAsia="ru-RU"/>
              </w:rPr>
              <w:t>energia</w:t>
            </w:r>
            <w:proofErr w:type="spellEnd"/>
            <w:r w:rsidRPr="0004558D">
              <w:rPr>
                <w:rFonts w:ascii="Times New Roman" w:hAnsi="Times New Roman"/>
                <w:sz w:val="20"/>
                <w:szCs w:val="20"/>
                <w:lang w:eastAsia="ru-RU"/>
              </w:rPr>
              <w:t xml:space="preserve"> și </w:t>
            </w:r>
            <w:proofErr w:type="spellStart"/>
            <w:r w:rsidRPr="0004558D">
              <w:rPr>
                <w:rFonts w:ascii="Times New Roman" w:hAnsi="Times New Roman"/>
                <w:sz w:val="20"/>
                <w:szCs w:val="20"/>
                <w:lang w:eastAsia="ru-RU"/>
              </w:rPr>
              <w:t>clima</w:t>
            </w:r>
            <w:proofErr w:type="spellEnd"/>
            <w:r w:rsidRPr="0004558D">
              <w:rPr>
                <w:rFonts w:ascii="Times New Roman" w:hAnsi="Times New Roman"/>
                <w:sz w:val="20"/>
                <w:szCs w:val="20"/>
                <w:lang w:eastAsia="ru-RU"/>
              </w:rPr>
              <w:t>:</w:t>
            </w:r>
          </w:p>
          <w:p w14:paraId="72B91BCE" w14:textId="68B5FFD1" w:rsidR="001D6208" w:rsidRPr="0004558D" w:rsidRDefault="001D6208" w:rsidP="000C5A3B">
            <w:pPr>
              <w:pStyle w:val="af3"/>
              <w:numPr>
                <w:ilvl w:val="0"/>
                <w:numId w:val="118"/>
              </w:numPr>
              <w:spacing w:after="0" w:line="240" w:lineRule="auto"/>
              <w:jc w:val="both"/>
              <w:rPr>
                <w:rFonts w:ascii="Times New Roman" w:hAnsi="Times New Roman"/>
                <w:sz w:val="20"/>
                <w:szCs w:val="20"/>
                <w:lang w:val="fr-FR" w:eastAsia="ru-RU"/>
              </w:rPr>
            </w:pPr>
            <w:proofErr w:type="spellStart"/>
            <w:proofErr w:type="gramStart"/>
            <w:r w:rsidRPr="0004558D">
              <w:rPr>
                <w:rFonts w:ascii="Times New Roman" w:hAnsi="Times New Roman"/>
                <w:sz w:val="20"/>
                <w:szCs w:val="20"/>
                <w:lang w:val="fr-FR" w:eastAsia="ru-RU"/>
              </w:rPr>
              <w:t>informații</w:t>
            </w:r>
            <w:proofErr w:type="spellEnd"/>
            <w:proofErr w:type="gram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cu</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privire</w:t>
            </w:r>
            <w:proofErr w:type="spellEnd"/>
            <w:r w:rsidRPr="0004558D">
              <w:rPr>
                <w:rFonts w:ascii="Times New Roman" w:hAnsi="Times New Roman"/>
                <w:sz w:val="20"/>
                <w:szCs w:val="20"/>
                <w:lang w:val="fr-FR" w:eastAsia="ru-RU"/>
              </w:rPr>
              <w:t xml:space="preserve"> la </w:t>
            </w:r>
            <w:proofErr w:type="spellStart"/>
            <w:r w:rsidRPr="0004558D">
              <w:rPr>
                <w:rFonts w:ascii="Times New Roman" w:hAnsi="Times New Roman"/>
                <w:sz w:val="20"/>
                <w:szCs w:val="20"/>
                <w:lang w:val="fr-FR" w:eastAsia="ru-RU"/>
              </w:rPr>
              <w:t>progresele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înregistrate</w:t>
            </w:r>
            <w:proofErr w:type="spellEnd"/>
            <w:r w:rsidRPr="0004558D">
              <w:rPr>
                <w:rFonts w:ascii="Times New Roman" w:hAnsi="Times New Roman"/>
                <w:sz w:val="20"/>
                <w:szCs w:val="20"/>
                <w:lang w:val="fr-FR" w:eastAsia="ru-RU"/>
              </w:rPr>
              <w:t xml:space="preserve"> în </w:t>
            </w:r>
            <w:proofErr w:type="spellStart"/>
            <w:r w:rsidRPr="0004558D">
              <w:rPr>
                <w:rFonts w:ascii="Times New Roman" w:hAnsi="Times New Roman"/>
                <w:sz w:val="20"/>
                <w:szCs w:val="20"/>
                <w:lang w:val="fr-FR" w:eastAsia="ru-RU"/>
              </w:rPr>
              <w:t>direcția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atingerii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obiectivului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național</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orientativ</w:t>
            </w:r>
            <w:proofErr w:type="spellEnd"/>
            <w:r w:rsidRPr="0004558D">
              <w:rPr>
                <w:rFonts w:ascii="Times New Roman" w:hAnsi="Times New Roman"/>
                <w:sz w:val="20"/>
                <w:szCs w:val="20"/>
                <w:lang w:val="fr-FR" w:eastAsia="ru-RU"/>
              </w:rPr>
              <w:t xml:space="preserve"> de a </w:t>
            </w:r>
            <w:proofErr w:type="spellStart"/>
            <w:r w:rsidRPr="0004558D">
              <w:rPr>
                <w:rFonts w:ascii="Times New Roman" w:hAnsi="Times New Roman"/>
                <w:sz w:val="20"/>
                <w:szCs w:val="20"/>
                <w:lang w:val="fr-FR" w:eastAsia="ru-RU"/>
              </w:rPr>
              <w:t>reduce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numărul</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gospodării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afectate</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sărăcia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energetică</w:t>
            </w:r>
            <w:proofErr w:type="spellEnd"/>
            <w:r w:rsidRPr="0004558D">
              <w:rPr>
                <w:rFonts w:ascii="Times New Roman" w:hAnsi="Times New Roman"/>
                <w:sz w:val="20"/>
                <w:szCs w:val="20"/>
                <w:lang w:val="fr-FR" w:eastAsia="ru-RU"/>
              </w:rPr>
              <w:t>; și</w:t>
            </w:r>
          </w:p>
          <w:p w14:paraId="2923D18A" w14:textId="3638EDCA" w:rsidR="001D6208" w:rsidRPr="0004558D" w:rsidRDefault="001D6208" w:rsidP="000C5A3B">
            <w:pPr>
              <w:pStyle w:val="af3"/>
              <w:numPr>
                <w:ilvl w:val="0"/>
                <w:numId w:val="118"/>
              </w:numPr>
              <w:spacing w:after="0" w:line="240" w:lineRule="auto"/>
              <w:jc w:val="both"/>
              <w:rPr>
                <w:rFonts w:ascii="Times New Roman" w:hAnsi="Times New Roman"/>
                <w:sz w:val="20"/>
                <w:szCs w:val="20"/>
                <w:lang w:val="fr-FR" w:eastAsia="ru-RU"/>
              </w:rPr>
            </w:pPr>
            <w:proofErr w:type="spellStart"/>
            <w:proofErr w:type="gramStart"/>
            <w:r w:rsidRPr="0004558D">
              <w:rPr>
                <w:rFonts w:ascii="Times New Roman" w:hAnsi="Times New Roman"/>
                <w:sz w:val="20"/>
                <w:szCs w:val="20"/>
                <w:lang w:val="fr-FR" w:eastAsia="ru-RU"/>
              </w:rPr>
              <w:t>informații</w:t>
            </w:r>
            <w:proofErr w:type="spellEnd"/>
            <w:proofErr w:type="gram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cantitative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privind</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numărul</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gospodării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afectate</w:t>
            </w:r>
            <w:proofErr w:type="spellEnd"/>
            <w:r w:rsidRPr="0004558D">
              <w:rPr>
                <w:rFonts w:ascii="Times New Roman" w:hAnsi="Times New Roman"/>
                <w:sz w:val="20"/>
                <w:szCs w:val="20"/>
                <w:lang w:val="fr-FR" w:eastAsia="ru-RU"/>
              </w:rPr>
              <w:t xml:space="preserve"> de </w:t>
            </w:r>
            <w:proofErr w:type="spellStart"/>
            <w:r w:rsidRPr="0004558D">
              <w:rPr>
                <w:rFonts w:ascii="Times New Roman" w:hAnsi="Times New Roman"/>
                <w:sz w:val="20"/>
                <w:szCs w:val="20"/>
                <w:lang w:val="fr-FR" w:eastAsia="ru-RU"/>
              </w:rPr>
              <w:t>sărăcia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energetică</w:t>
            </w:r>
            <w:proofErr w:type="spellEnd"/>
            <w:r w:rsidRPr="0004558D">
              <w:rPr>
                <w:rFonts w:ascii="Times New Roman" w:hAnsi="Times New Roman"/>
                <w:sz w:val="20"/>
                <w:szCs w:val="20"/>
                <w:lang w:val="fr-FR" w:eastAsia="ru-RU"/>
              </w:rPr>
              <w:t xml:space="preserve"> și, </w:t>
            </w:r>
            <w:proofErr w:type="spellStart"/>
            <w:r w:rsidRPr="0004558D">
              <w:rPr>
                <w:rFonts w:ascii="Times New Roman" w:hAnsi="Times New Roman"/>
                <w:sz w:val="20"/>
                <w:szCs w:val="20"/>
                <w:lang w:val="fr-FR" w:eastAsia="ru-RU"/>
              </w:rPr>
              <w:t>dacă</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sunt</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disponibile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informații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privind</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politicile</w:t>
            </w:r>
            <w:proofErr w:type="spellEnd"/>
            <w:r w:rsidRPr="0004558D">
              <w:rPr>
                <w:rFonts w:ascii="Times New Roman" w:hAnsi="Times New Roman"/>
                <w:sz w:val="20"/>
                <w:szCs w:val="20"/>
                <w:lang w:val="fr-FR" w:eastAsia="ru-RU"/>
              </w:rPr>
              <w:t xml:space="preserve"> și </w:t>
            </w:r>
            <w:proofErr w:type="spellStart"/>
            <w:r w:rsidRPr="0004558D">
              <w:rPr>
                <w:rFonts w:ascii="Times New Roman" w:hAnsi="Times New Roman"/>
                <w:sz w:val="20"/>
                <w:szCs w:val="20"/>
                <w:lang w:val="fr-FR" w:eastAsia="ru-RU"/>
              </w:rPr>
              <w:t>măsurile</w:t>
            </w:r>
            <w:proofErr w:type="spellEnd"/>
            <w:r w:rsidRPr="0004558D">
              <w:rPr>
                <w:rFonts w:ascii="Times New Roman" w:hAnsi="Times New Roman"/>
                <w:sz w:val="20"/>
                <w:szCs w:val="20"/>
                <w:lang w:val="fr-FR" w:eastAsia="ru-RU"/>
              </w:rPr>
              <w:t xml:space="preserve"> care </w:t>
            </w:r>
            <w:proofErr w:type="spellStart"/>
            <w:r w:rsidRPr="0004558D">
              <w:rPr>
                <w:rFonts w:ascii="Times New Roman" w:hAnsi="Times New Roman"/>
                <w:sz w:val="20"/>
                <w:szCs w:val="20"/>
                <w:lang w:val="fr-FR" w:eastAsia="ru-RU"/>
              </w:rPr>
              <w:t>abordează</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sărăcia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energetică</w:t>
            </w:r>
            <w:proofErr w:type="spellEnd"/>
            <w:r w:rsidRPr="0004558D">
              <w:rPr>
                <w:rFonts w:ascii="Times New Roman" w:hAnsi="Times New Roman"/>
                <w:sz w:val="20"/>
                <w:szCs w:val="20"/>
                <w:lang w:val="fr-FR" w:eastAsia="ru-RU"/>
              </w:rPr>
              <w:t>.</w:t>
            </w:r>
          </w:p>
          <w:p w14:paraId="2E2C4A9A" w14:textId="410721BE" w:rsidR="008F5636" w:rsidRPr="001D6208" w:rsidRDefault="008F5636" w:rsidP="001D6208">
            <w:pPr>
              <w:jc w:val="both"/>
              <w:rPr>
                <w:rFonts w:ascii="Times New Roman" w:hAnsi="Times New Roman"/>
                <w:sz w:val="20"/>
                <w:szCs w:val="20"/>
                <w:lang w:val="fr-FR" w:eastAsia="ru-RU"/>
              </w:rPr>
            </w:pPr>
            <w:proofErr w:type="spellStart"/>
            <w:r w:rsidRPr="0004558D">
              <w:rPr>
                <w:rFonts w:ascii="Times New Roman" w:hAnsi="Times New Roman"/>
                <w:sz w:val="20"/>
                <w:szCs w:val="20"/>
                <w:lang w:val="fr-FR" w:eastAsia="ru-RU"/>
              </w:rPr>
              <w:t>Comisia</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comunică</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informațiile</w:t>
            </w:r>
            <w:proofErr w:type="spellEnd"/>
            <w:r w:rsidRPr="0004558D">
              <w:rPr>
                <w:rFonts w:ascii="Times New Roman" w:hAnsi="Times New Roman"/>
                <w:sz w:val="20"/>
                <w:szCs w:val="20"/>
                <w:lang w:val="fr-FR" w:eastAsia="ru-RU"/>
              </w:rPr>
              <w:t xml:space="preserve"> transmise de </w:t>
            </w:r>
            <w:proofErr w:type="spellStart"/>
            <w:r w:rsidRPr="0004558D">
              <w:rPr>
                <w:rFonts w:ascii="Times New Roman" w:hAnsi="Times New Roman"/>
                <w:sz w:val="20"/>
                <w:szCs w:val="20"/>
                <w:lang w:val="fr-FR" w:eastAsia="ru-RU"/>
              </w:rPr>
              <w:t>către</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statele</w:t>
            </w:r>
            <w:proofErr w:type="spellEnd"/>
            <w:r w:rsidRPr="0004558D">
              <w:rPr>
                <w:rFonts w:ascii="Times New Roman" w:hAnsi="Times New Roman"/>
                <w:sz w:val="20"/>
                <w:szCs w:val="20"/>
                <w:lang w:val="fr-FR" w:eastAsia="ru-RU"/>
              </w:rPr>
              <w:t xml:space="preserve"> membre în </w:t>
            </w:r>
            <w:proofErr w:type="spellStart"/>
            <w:r w:rsidRPr="0004558D">
              <w:rPr>
                <w:rFonts w:ascii="Times New Roman" w:hAnsi="Times New Roman"/>
                <w:sz w:val="20"/>
                <w:szCs w:val="20"/>
                <w:lang w:val="fr-FR" w:eastAsia="ru-RU"/>
              </w:rPr>
              <w:t>temeiul</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prezentului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articol</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Observatorului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european</w:t>
            </w:r>
            <w:proofErr w:type="spellEnd"/>
            <w:r w:rsidRPr="0004558D">
              <w:rPr>
                <w:rFonts w:ascii="Times New Roman" w:hAnsi="Times New Roman"/>
                <w:sz w:val="20"/>
                <w:szCs w:val="20"/>
                <w:lang w:val="fr-FR" w:eastAsia="ru-RU"/>
              </w:rPr>
              <w:t xml:space="preserve"> al </w:t>
            </w:r>
            <w:proofErr w:type="spellStart"/>
            <w:r w:rsidRPr="0004558D">
              <w:rPr>
                <w:rFonts w:ascii="Times New Roman" w:hAnsi="Times New Roman"/>
                <w:sz w:val="20"/>
                <w:szCs w:val="20"/>
                <w:lang w:val="fr-FR" w:eastAsia="ru-RU"/>
              </w:rPr>
              <w:t>sărăciei</w:t>
            </w:r>
            <w:proofErr w:type="spellEnd"/>
            <w:r w:rsidRPr="0004558D">
              <w:rPr>
                <w:rFonts w:ascii="Times New Roman" w:hAnsi="Times New Roman"/>
                <w:sz w:val="20"/>
                <w:szCs w:val="20"/>
                <w:lang w:val="fr-FR" w:eastAsia="ru-RU"/>
              </w:rPr>
              <w:t xml:space="preserve"> </w:t>
            </w:r>
            <w:proofErr w:type="spellStart"/>
            <w:r w:rsidRPr="0004558D">
              <w:rPr>
                <w:rFonts w:ascii="Times New Roman" w:hAnsi="Times New Roman"/>
                <w:sz w:val="20"/>
                <w:szCs w:val="20"/>
                <w:lang w:val="fr-FR" w:eastAsia="ru-RU"/>
              </w:rPr>
              <w:t>energetice</w:t>
            </w:r>
            <w:proofErr w:type="spellEnd"/>
            <w:r w:rsidRPr="0004558D">
              <w:rPr>
                <w:rFonts w:ascii="Times New Roman" w:hAnsi="Times New Roman"/>
                <w:sz w:val="20"/>
                <w:szCs w:val="20"/>
                <w:lang w:val="fr-FR" w:eastAsia="ru-RU"/>
              </w:rPr>
              <w:t>.</w:t>
            </w:r>
          </w:p>
        </w:tc>
        <w:tc>
          <w:tcPr>
            <w:tcW w:w="4440" w:type="dxa"/>
          </w:tcPr>
          <w:p w14:paraId="7436BB40" w14:textId="2281759A" w:rsidR="008F5636" w:rsidRPr="00077DF7" w:rsidRDefault="008F5636" w:rsidP="00077DF7">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p>
        </w:tc>
        <w:tc>
          <w:tcPr>
            <w:tcW w:w="1276" w:type="dxa"/>
          </w:tcPr>
          <w:p w14:paraId="72BA8720" w14:textId="031FF5B7" w:rsidR="008F5636" w:rsidRPr="00745D9A" w:rsidRDefault="00BC5E3B" w:rsidP="008F5636">
            <w:pPr>
              <w:pStyle w:val="ColorfulList-Accent11"/>
              <w:spacing w:after="0" w:line="240" w:lineRule="auto"/>
              <w:ind w:left="0"/>
              <w:jc w:val="both"/>
              <w:rPr>
                <w:lang w:val="fr-FR"/>
              </w:rPr>
            </w:pPr>
            <w:r>
              <w:rPr>
                <w:rFonts w:ascii="Times New Roman" w:hAnsi="Times New Roman"/>
                <w:sz w:val="20"/>
                <w:szCs w:val="20"/>
                <w:lang w:val="ro-RO"/>
              </w:rPr>
              <w:t>C</w:t>
            </w:r>
            <w:r w:rsidR="001D6208" w:rsidRPr="00C951E7">
              <w:rPr>
                <w:rFonts w:ascii="Times New Roman" w:hAnsi="Times New Roman"/>
                <w:sz w:val="20"/>
                <w:szCs w:val="20"/>
                <w:lang w:val="ro-RO"/>
              </w:rPr>
              <w:t>ompatibil</w:t>
            </w:r>
          </w:p>
        </w:tc>
        <w:tc>
          <w:tcPr>
            <w:tcW w:w="1276" w:type="dxa"/>
          </w:tcPr>
          <w:p w14:paraId="78DEC0A5" w14:textId="77777777" w:rsidR="008F5636" w:rsidRPr="00745D9A" w:rsidRDefault="008F5636" w:rsidP="008F5636">
            <w:pPr>
              <w:pStyle w:val="ColorfulList-Accent11"/>
              <w:spacing w:after="0" w:line="240" w:lineRule="auto"/>
              <w:ind w:left="0"/>
              <w:jc w:val="both"/>
              <w:rPr>
                <w:lang w:val="fr-FR"/>
              </w:rPr>
            </w:pPr>
          </w:p>
        </w:tc>
        <w:tc>
          <w:tcPr>
            <w:tcW w:w="1701" w:type="dxa"/>
          </w:tcPr>
          <w:p w14:paraId="1E964030" w14:textId="77777777" w:rsidR="00905298" w:rsidRDefault="00905298" w:rsidP="00905298">
            <w:pPr>
              <w:autoSpaceDE w:val="0"/>
              <w:spacing w:after="0" w:line="240" w:lineRule="auto"/>
              <w:rPr>
                <w:rFonts w:ascii="Times New Roman" w:hAnsi="Times New Roman"/>
                <w:sz w:val="20"/>
                <w:szCs w:val="20"/>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19C2DF76" w14:textId="77777777" w:rsidR="008F5636" w:rsidRDefault="008F5636" w:rsidP="00BC5E3B">
            <w:pPr>
              <w:autoSpaceDE w:val="0"/>
              <w:spacing w:after="0" w:line="240" w:lineRule="auto"/>
              <w:rPr>
                <w:lang w:val="ro-RO"/>
              </w:rPr>
            </w:pPr>
          </w:p>
          <w:p w14:paraId="640382A3" w14:textId="7DFAFF4E"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pct.59 din</w:t>
            </w:r>
            <w:r>
              <w:rPr>
                <w:rFonts w:ascii="Times New Roman" w:eastAsia="Times New Roman" w:hAnsi="Times New Roman"/>
                <w:sz w:val="20"/>
                <w:szCs w:val="20"/>
                <w:lang w:val="ro-RO" w:eastAsia="ru-RU"/>
              </w:rPr>
              <w:t xml:space="preserve"> </w:t>
            </w:r>
          </w:p>
          <w:p w14:paraId="14917B0C" w14:textId="2084D238" w:rsidR="00077DF7" w:rsidRPr="001D6208"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40858438" w14:textId="4B4C9BC4" w:rsidR="001D6208" w:rsidRPr="003F755D" w:rsidRDefault="001D6208" w:rsidP="001D620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p>
          <w:p w14:paraId="10811EE5" w14:textId="77777777" w:rsidR="0004558D" w:rsidRPr="003F755D" w:rsidRDefault="0004558D" w:rsidP="0004558D">
            <w:pPr>
              <w:autoSpaceDE w:val="0"/>
              <w:spacing w:after="0" w:line="240" w:lineRule="auto"/>
              <w:rPr>
                <w:rFonts w:ascii="Times New Roman" w:hAnsi="Times New Roman"/>
                <w:sz w:val="20"/>
                <w:szCs w:val="20"/>
                <w:shd w:val="clear" w:color="auto" w:fill="FFFFFF"/>
                <w:lang w:val="ro-RO"/>
              </w:rPr>
            </w:pPr>
            <w:r w:rsidRPr="00A81801">
              <w:rPr>
                <w:rFonts w:ascii="Times New Roman" w:hAnsi="Times New Roman"/>
                <w:color w:val="000000" w:themeColor="text1"/>
                <w:sz w:val="20"/>
                <w:szCs w:val="20"/>
              </w:rPr>
              <w:t>Energiei</w:t>
            </w:r>
          </w:p>
          <w:p w14:paraId="2C2A2DA3" w14:textId="77777777" w:rsidR="008F5636" w:rsidRPr="001D6208" w:rsidRDefault="008F5636" w:rsidP="008F5636">
            <w:pPr>
              <w:pStyle w:val="ColorfulList-Accent11"/>
              <w:spacing w:after="0" w:line="240" w:lineRule="auto"/>
              <w:ind w:left="0"/>
              <w:jc w:val="both"/>
              <w:rPr>
                <w:lang w:val="ro-RO"/>
              </w:rPr>
            </w:pPr>
          </w:p>
        </w:tc>
      </w:tr>
      <w:tr w:rsidR="008F5636" w:rsidRPr="00D92A4F" w14:paraId="78AE6C3E" w14:textId="77777777" w:rsidTr="00A90105">
        <w:tc>
          <w:tcPr>
            <w:tcW w:w="4945" w:type="dxa"/>
          </w:tcPr>
          <w:p w14:paraId="5BAEFC9D" w14:textId="77777777" w:rsidR="008F5636" w:rsidRPr="00905298" w:rsidRDefault="008F5636" w:rsidP="001D6208">
            <w:pPr>
              <w:spacing w:after="0" w:line="240" w:lineRule="auto"/>
              <w:jc w:val="center"/>
              <w:rPr>
                <w:rFonts w:ascii="Times New Roman" w:hAnsi="Times New Roman"/>
                <w:sz w:val="20"/>
                <w:szCs w:val="20"/>
                <w:lang w:eastAsia="ru-RU"/>
              </w:rPr>
            </w:pPr>
            <w:proofErr w:type="spellStart"/>
            <w:r w:rsidRPr="00905298">
              <w:rPr>
                <w:rFonts w:ascii="Times New Roman" w:hAnsi="Times New Roman"/>
                <w:sz w:val="20"/>
                <w:szCs w:val="20"/>
                <w:lang w:eastAsia="ru-RU"/>
              </w:rPr>
              <w:t>Articolul</w:t>
            </w:r>
            <w:proofErr w:type="spellEnd"/>
            <w:r w:rsidRPr="00905298">
              <w:rPr>
                <w:rFonts w:ascii="Times New Roman" w:hAnsi="Times New Roman"/>
                <w:sz w:val="20"/>
                <w:szCs w:val="20"/>
                <w:lang w:eastAsia="ru-RU"/>
              </w:rPr>
              <w:t xml:space="preserve"> 25</w:t>
            </w:r>
          </w:p>
          <w:p w14:paraId="631DE814" w14:textId="77777777" w:rsidR="008F5636" w:rsidRPr="00905298" w:rsidRDefault="008F5636" w:rsidP="001D6208">
            <w:pPr>
              <w:spacing w:after="0" w:line="240" w:lineRule="auto"/>
              <w:jc w:val="center"/>
              <w:rPr>
                <w:rFonts w:ascii="Times New Roman" w:hAnsi="Times New Roman"/>
                <w:b/>
                <w:bCs/>
                <w:sz w:val="20"/>
                <w:szCs w:val="20"/>
                <w:lang w:eastAsia="ru-RU"/>
              </w:rPr>
            </w:pPr>
            <w:proofErr w:type="spellStart"/>
            <w:r w:rsidRPr="00905298">
              <w:rPr>
                <w:rFonts w:ascii="Times New Roman" w:hAnsi="Times New Roman"/>
                <w:b/>
                <w:bCs/>
                <w:sz w:val="20"/>
                <w:szCs w:val="20"/>
                <w:lang w:eastAsia="ru-RU"/>
              </w:rPr>
              <w:t>Raportarea</w:t>
            </w:r>
            <w:proofErr w:type="spellEnd"/>
            <w:r w:rsidRPr="00905298">
              <w:rPr>
                <w:rFonts w:ascii="Times New Roman" w:hAnsi="Times New Roman"/>
                <w:b/>
                <w:bCs/>
                <w:sz w:val="20"/>
                <w:szCs w:val="20"/>
                <w:lang w:eastAsia="ru-RU"/>
              </w:rPr>
              <w:t xml:space="preserve"> </w:t>
            </w:r>
            <w:proofErr w:type="spellStart"/>
            <w:r w:rsidRPr="00905298">
              <w:rPr>
                <w:rFonts w:ascii="Times New Roman" w:hAnsi="Times New Roman"/>
                <w:b/>
                <w:bCs/>
                <w:sz w:val="20"/>
                <w:szCs w:val="20"/>
                <w:lang w:eastAsia="ru-RU"/>
              </w:rPr>
              <w:t>integrată</w:t>
            </w:r>
            <w:proofErr w:type="spellEnd"/>
            <w:r w:rsidRPr="00905298">
              <w:rPr>
                <w:rFonts w:ascii="Times New Roman" w:hAnsi="Times New Roman"/>
                <w:b/>
                <w:bCs/>
                <w:sz w:val="20"/>
                <w:szCs w:val="20"/>
                <w:lang w:eastAsia="ru-RU"/>
              </w:rPr>
              <w:t xml:space="preserve"> cu </w:t>
            </w:r>
            <w:proofErr w:type="spellStart"/>
            <w:r w:rsidRPr="00905298">
              <w:rPr>
                <w:rFonts w:ascii="Times New Roman" w:hAnsi="Times New Roman"/>
                <w:b/>
                <w:bCs/>
                <w:sz w:val="20"/>
                <w:szCs w:val="20"/>
                <w:lang w:eastAsia="ru-RU"/>
              </w:rPr>
              <w:t>privire</w:t>
            </w:r>
            <w:proofErr w:type="spellEnd"/>
            <w:r w:rsidRPr="00905298">
              <w:rPr>
                <w:rFonts w:ascii="Times New Roman" w:hAnsi="Times New Roman"/>
                <w:b/>
                <w:bCs/>
                <w:sz w:val="20"/>
                <w:szCs w:val="20"/>
                <w:lang w:eastAsia="ru-RU"/>
              </w:rPr>
              <w:t xml:space="preserve"> la </w:t>
            </w:r>
            <w:proofErr w:type="spellStart"/>
            <w:r w:rsidRPr="00905298">
              <w:rPr>
                <w:rFonts w:ascii="Times New Roman" w:hAnsi="Times New Roman"/>
                <w:b/>
                <w:bCs/>
                <w:sz w:val="20"/>
                <w:szCs w:val="20"/>
                <w:lang w:eastAsia="ru-RU"/>
              </w:rPr>
              <w:t>cercetare</w:t>
            </w:r>
            <w:proofErr w:type="spellEnd"/>
            <w:r w:rsidRPr="00905298">
              <w:rPr>
                <w:rFonts w:ascii="Times New Roman" w:hAnsi="Times New Roman"/>
                <w:b/>
                <w:bCs/>
                <w:sz w:val="20"/>
                <w:szCs w:val="20"/>
                <w:lang w:eastAsia="ru-RU"/>
              </w:rPr>
              <w:t xml:space="preserve">, </w:t>
            </w:r>
            <w:proofErr w:type="spellStart"/>
            <w:r w:rsidRPr="00905298">
              <w:rPr>
                <w:rFonts w:ascii="Times New Roman" w:hAnsi="Times New Roman"/>
                <w:b/>
                <w:bCs/>
                <w:sz w:val="20"/>
                <w:szCs w:val="20"/>
                <w:lang w:eastAsia="ru-RU"/>
              </w:rPr>
              <w:t>inovare</w:t>
            </w:r>
            <w:proofErr w:type="spellEnd"/>
            <w:r w:rsidRPr="00905298">
              <w:rPr>
                <w:rFonts w:ascii="Times New Roman" w:hAnsi="Times New Roman"/>
                <w:b/>
                <w:bCs/>
                <w:sz w:val="20"/>
                <w:szCs w:val="20"/>
                <w:lang w:eastAsia="ru-RU"/>
              </w:rPr>
              <w:t xml:space="preserve"> și </w:t>
            </w:r>
            <w:proofErr w:type="spellStart"/>
            <w:r w:rsidRPr="00905298">
              <w:rPr>
                <w:rFonts w:ascii="Times New Roman" w:hAnsi="Times New Roman"/>
                <w:b/>
                <w:bCs/>
                <w:sz w:val="20"/>
                <w:szCs w:val="20"/>
                <w:lang w:eastAsia="ru-RU"/>
              </w:rPr>
              <w:t>competitivitate</w:t>
            </w:r>
            <w:proofErr w:type="spellEnd"/>
          </w:p>
          <w:p w14:paraId="0D5D2754" w14:textId="60C58ADD" w:rsidR="008F5636" w:rsidRPr="00905298" w:rsidRDefault="008F5636" w:rsidP="001D6208">
            <w:pPr>
              <w:spacing w:after="0" w:line="240" w:lineRule="auto"/>
              <w:jc w:val="both"/>
              <w:rPr>
                <w:rFonts w:ascii="Times New Roman" w:hAnsi="Times New Roman"/>
                <w:sz w:val="20"/>
                <w:szCs w:val="20"/>
                <w:lang w:eastAsia="ru-RU"/>
              </w:rPr>
            </w:pPr>
            <w:proofErr w:type="spellStart"/>
            <w:r w:rsidRPr="00905298">
              <w:rPr>
                <w:rFonts w:ascii="Times New Roman" w:hAnsi="Times New Roman"/>
                <w:sz w:val="20"/>
                <w:szCs w:val="20"/>
                <w:lang w:eastAsia="ru-RU"/>
              </w:rPr>
              <w:t>Statele</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membre</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includ</w:t>
            </w:r>
            <w:proofErr w:type="spellEnd"/>
            <w:r w:rsidRPr="00905298">
              <w:rPr>
                <w:rFonts w:ascii="Times New Roman" w:hAnsi="Times New Roman"/>
                <w:sz w:val="20"/>
                <w:szCs w:val="20"/>
                <w:lang w:eastAsia="ru-RU"/>
              </w:rPr>
              <w:t xml:space="preserve"> în </w:t>
            </w:r>
            <w:proofErr w:type="spellStart"/>
            <w:r w:rsidRPr="00905298">
              <w:rPr>
                <w:rFonts w:ascii="Times New Roman" w:hAnsi="Times New Roman"/>
                <w:sz w:val="20"/>
                <w:szCs w:val="20"/>
                <w:lang w:eastAsia="ru-RU"/>
              </w:rPr>
              <w:t>rapoartele</w:t>
            </w:r>
            <w:proofErr w:type="spellEnd"/>
            <w:r w:rsidRPr="00905298">
              <w:rPr>
                <w:rFonts w:ascii="Times New Roman" w:hAnsi="Times New Roman"/>
                <w:sz w:val="20"/>
                <w:szCs w:val="20"/>
                <w:lang w:eastAsia="ru-RU"/>
              </w:rPr>
              <w:t xml:space="preserve"> lor </w:t>
            </w:r>
            <w:proofErr w:type="spellStart"/>
            <w:r w:rsidRPr="00905298">
              <w:rPr>
                <w:rFonts w:ascii="Times New Roman" w:hAnsi="Times New Roman"/>
                <w:sz w:val="20"/>
                <w:szCs w:val="20"/>
                <w:lang w:eastAsia="ru-RU"/>
              </w:rPr>
              <w:t>naționale</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intermediare</w:t>
            </w:r>
            <w:proofErr w:type="spellEnd"/>
            <w:r w:rsidRPr="00905298">
              <w:rPr>
                <w:rFonts w:ascii="Times New Roman" w:hAnsi="Times New Roman"/>
                <w:sz w:val="20"/>
                <w:szCs w:val="20"/>
                <w:lang w:eastAsia="ru-RU"/>
              </w:rPr>
              <w:t xml:space="preserve"> integrate </w:t>
            </w:r>
            <w:proofErr w:type="spellStart"/>
            <w:r w:rsidRPr="00905298">
              <w:rPr>
                <w:rFonts w:ascii="Times New Roman" w:hAnsi="Times New Roman"/>
                <w:sz w:val="20"/>
                <w:szCs w:val="20"/>
                <w:lang w:eastAsia="ru-RU"/>
              </w:rPr>
              <w:t>privind</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energia</w:t>
            </w:r>
            <w:proofErr w:type="spellEnd"/>
            <w:r w:rsidRPr="00905298">
              <w:rPr>
                <w:rFonts w:ascii="Times New Roman" w:hAnsi="Times New Roman"/>
                <w:sz w:val="20"/>
                <w:szCs w:val="20"/>
                <w:lang w:eastAsia="ru-RU"/>
              </w:rPr>
              <w:t xml:space="preserve"> și </w:t>
            </w:r>
            <w:proofErr w:type="spellStart"/>
            <w:r w:rsidRPr="00905298">
              <w:rPr>
                <w:rFonts w:ascii="Times New Roman" w:hAnsi="Times New Roman"/>
                <w:sz w:val="20"/>
                <w:szCs w:val="20"/>
                <w:lang w:eastAsia="ru-RU"/>
              </w:rPr>
              <w:t>clima</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informații</w:t>
            </w:r>
            <w:proofErr w:type="spellEnd"/>
            <w:r w:rsidRPr="00905298">
              <w:rPr>
                <w:rFonts w:ascii="Times New Roman" w:hAnsi="Times New Roman"/>
                <w:sz w:val="20"/>
                <w:szCs w:val="20"/>
                <w:lang w:eastAsia="ru-RU"/>
              </w:rPr>
              <w:t xml:space="preserve"> cu </w:t>
            </w:r>
            <w:proofErr w:type="spellStart"/>
            <w:r w:rsidRPr="00905298">
              <w:rPr>
                <w:rFonts w:ascii="Times New Roman" w:hAnsi="Times New Roman"/>
                <w:sz w:val="20"/>
                <w:szCs w:val="20"/>
                <w:lang w:eastAsia="ru-RU"/>
              </w:rPr>
              <w:t>privire</w:t>
            </w:r>
            <w:proofErr w:type="spellEnd"/>
            <w:r w:rsidRPr="00905298">
              <w:rPr>
                <w:rFonts w:ascii="Times New Roman" w:hAnsi="Times New Roman"/>
                <w:sz w:val="20"/>
                <w:szCs w:val="20"/>
                <w:lang w:eastAsia="ru-RU"/>
              </w:rPr>
              <w:t xml:space="preserve"> la </w:t>
            </w:r>
            <w:proofErr w:type="spellStart"/>
            <w:r w:rsidRPr="00905298">
              <w:rPr>
                <w:rFonts w:ascii="Times New Roman" w:hAnsi="Times New Roman"/>
                <w:sz w:val="20"/>
                <w:szCs w:val="20"/>
                <w:lang w:eastAsia="ru-RU"/>
              </w:rPr>
              <w:t>punerea</w:t>
            </w:r>
            <w:proofErr w:type="spellEnd"/>
            <w:r w:rsidRPr="00905298">
              <w:rPr>
                <w:rFonts w:ascii="Times New Roman" w:hAnsi="Times New Roman"/>
                <w:sz w:val="20"/>
                <w:szCs w:val="20"/>
                <w:lang w:eastAsia="ru-RU"/>
              </w:rPr>
              <w:t xml:space="preserve"> în </w:t>
            </w:r>
            <w:proofErr w:type="spellStart"/>
            <w:r w:rsidRPr="00905298">
              <w:rPr>
                <w:rFonts w:ascii="Times New Roman" w:hAnsi="Times New Roman"/>
                <w:sz w:val="20"/>
                <w:szCs w:val="20"/>
                <w:lang w:eastAsia="ru-RU"/>
              </w:rPr>
              <w:t>aplicare</w:t>
            </w:r>
            <w:proofErr w:type="spellEnd"/>
            <w:r w:rsidRPr="00905298">
              <w:rPr>
                <w:rFonts w:ascii="Times New Roman" w:hAnsi="Times New Roman"/>
                <w:sz w:val="20"/>
                <w:szCs w:val="20"/>
                <w:lang w:eastAsia="ru-RU"/>
              </w:rPr>
              <w:t xml:space="preserve"> a </w:t>
            </w:r>
            <w:proofErr w:type="spellStart"/>
            <w:r w:rsidRPr="00905298">
              <w:rPr>
                <w:rFonts w:ascii="Times New Roman" w:hAnsi="Times New Roman"/>
                <w:sz w:val="20"/>
                <w:szCs w:val="20"/>
                <w:lang w:eastAsia="ru-RU"/>
              </w:rPr>
              <w:t>următoarelor</w:t>
            </w:r>
            <w:proofErr w:type="spellEnd"/>
            <w:r w:rsidRPr="00905298">
              <w:rPr>
                <w:rFonts w:ascii="Times New Roman" w:hAnsi="Times New Roman"/>
                <w:sz w:val="20"/>
                <w:szCs w:val="20"/>
                <w:lang w:eastAsia="ru-RU"/>
              </w:rPr>
              <w:t xml:space="preserve"> </w:t>
            </w:r>
            <w:proofErr w:type="spellStart"/>
            <w:r w:rsidRPr="00905298">
              <w:rPr>
                <w:rFonts w:ascii="Times New Roman" w:hAnsi="Times New Roman"/>
                <w:sz w:val="20"/>
                <w:szCs w:val="20"/>
                <w:lang w:eastAsia="ru-RU"/>
              </w:rPr>
              <w:t>obiective</w:t>
            </w:r>
            <w:proofErr w:type="spellEnd"/>
            <w:r w:rsidRPr="00905298">
              <w:rPr>
                <w:rFonts w:ascii="Times New Roman" w:hAnsi="Times New Roman"/>
                <w:sz w:val="20"/>
                <w:szCs w:val="20"/>
                <w:lang w:eastAsia="ru-RU"/>
              </w:rPr>
              <w:t xml:space="preserve"> și </w:t>
            </w:r>
            <w:proofErr w:type="spellStart"/>
            <w:r w:rsidRPr="00905298">
              <w:rPr>
                <w:rFonts w:ascii="Times New Roman" w:hAnsi="Times New Roman"/>
                <w:sz w:val="20"/>
                <w:szCs w:val="20"/>
                <w:lang w:eastAsia="ru-RU"/>
              </w:rPr>
              <w:t>măsuri</w:t>
            </w:r>
            <w:proofErr w:type="spellEnd"/>
            <w:r w:rsidRPr="00905298">
              <w:rPr>
                <w:rFonts w:ascii="Times New Roman" w:hAnsi="Times New Roman"/>
                <w:sz w:val="20"/>
                <w:szCs w:val="20"/>
                <w:lang w:eastAsia="ru-RU"/>
              </w:rPr>
              <w:t>:</w:t>
            </w:r>
          </w:p>
          <w:p w14:paraId="156D3C25" w14:textId="543A426C"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dacă</w:t>
            </w:r>
            <w:proofErr w:type="spellEnd"/>
            <w:proofErr w:type="gramEnd"/>
            <w:r w:rsidRPr="00905298">
              <w:rPr>
                <w:rFonts w:ascii="Times New Roman" w:hAnsi="Times New Roman"/>
                <w:sz w:val="20"/>
                <w:szCs w:val="20"/>
                <w:lang w:val="fr-FR" w:eastAsia="ru-RU"/>
              </w:rPr>
              <w:t xml:space="preserve"> este </w:t>
            </w:r>
            <w:proofErr w:type="spellStart"/>
            <w:r w:rsidRPr="00905298">
              <w:rPr>
                <w:rFonts w:ascii="Times New Roman" w:hAnsi="Times New Roman"/>
                <w:sz w:val="20"/>
                <w:szCs w:val="20"/>
                <w:lang w:val="fr-FR" w:eastAsia="ru-RU"/>
              </w:rPr>
              <w:t>cazul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politicile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naționale</w:t>
            </w:r>
            <w:proofErr w:type="spellEnd"/>
            <w:r w:rsidRPr="00905298">
              <w:rPr>
                <w:rFonts w:ascii="Times New Roman" w:hAnsi="Times New Roman"/>
                <w:sz w:val="20"/>
                <w:szCs w:val="20"/>
                <w:lang w:val="fr-FR" w:eastAsia="ru-RU"/>
              </w:rPr>
              <w:t xml:space="preserve"> care </w:t>
            </w:r>
            <w:proofErr w:type="spellStart"/>
            <w:r w:rsidRPr="00905298">
              <w:rPr>
                <w:rFonts w:ascii="Times New Roman" w:hAnsi="Times New Roman"/>
                <w:sz w:val="20"/>
                <w:szCs w:val="20"/>
                <w:lang w:val="fr-FR" w:eastAsia="ru-RU"/>
              </w:rPr>
              <w:t>transpun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într</w:t>
            </w:r>
            <w:proofErr w:type="spellEnd"/>
            <w:r w:rsidRPr="00905298">
              <w:rPr>
                <w:rFonts w:ascii="Times New Roman" w:hAnsi="Times New Roman"/>
                <w:sz w:val="20"/>
                <w:szCs w:val="20"/>
                <w:lang w:val="fr-FR" w:eastAsia="ru-RU"/>
              </w:rPr>
              <w:t xml:space="preserve">-un </w:t>
            </w:r>
            <w:proofErr w:type="spellStart"/>
            <w:r w:rsidRPr="00905298">
              <w:rPr>
                <w:rFonts w:ascii="Times New Roman" w:hAnsi="Times New Roman"/>
                <w:sz w:val="20"/>
                <w:szCs w:val="20"/>
                <w:lang w:val="fr-FR" w:eastAsia="ru-RU"/>
              </w:rPr>
              <w:t>context</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politicile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Planului</w:t>
            </w:r>
            <w:proofErr w:type="spellEnd"/>
            <w:r w:rsidRPr="00905298">
              <w:rPr>
                <w:rFonts w:ascii="Times New Roman" w:hAnsi="Times New Roman"/>
                <w:sz w:val="20"/>
                <w:szCs w:val="20"/>
                <w:lang w:val="fr-FR" w:eastAsia="ru-RU"/>
              </w:rPr>
              <w:t xml:space="preserve"> SET;</w:t>
            </w:r>
          </w:p>
          <w:p w14:paraId="5A131A73" w14:textId="77E7849A"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obiectivele</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privind</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cheltuielile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publice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dacă</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sunt</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disponibile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cheltuielile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private</w:t>
            </w:r>
            <w:proofErr w:type="spellEnd"/>
            <w:r w:rsidRPr="00905298">
              <w:rPr>
                <w:rFonts w:ascii="Times New Roman" w:hAnsi="Times New Roman"/>
                <w:sz w:val="20"/>
                <w:szCs w:val="20"/>
                <w:lang w:val="fr-FR" w:eastAsia="ru-RU"/>
              </w:rPr>
              <w:t xml:space="preserve"> totale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cercetare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inovare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domeniul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tehnologiilor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energetice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curate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precum</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acoperirea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costurilor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tehnologice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îmbunătățirea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performanțelor</w:t>
            </w:r>
            <w:proofErr w:type="spellEnd"/>
            <w:r w:rsidRPr="00905298">
              <w:rPr>
                <w:rFonts w:ascii="Times New Roman" w:hAnsi="Times New Roman"/>
                <w:sz w:val="20"/>
                <w:szCs w:val="20"/>
                <w:lang w:val="fr-FR" w:eastAsia="ru-RU"/>
              </w:rPr>
              <w:t>;</w:t>
            </w:r>
          </w:p>
          <w:p w14:paraId="07D71291" w14:textId="754AA26C"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dacă</w:t>
            </w:r>
            <w:proofErr w:type="spellEnd"/>
            <w:proofErr w:type="gramEnd"/>
            <w:r w:rsidRPr="00905298">
              <w:rPr>
                <w:rFonts w:ascii="Times New Roman" w:hAnsi="Times New Roman"/>
                <w:sz w:val="20"/>
                <w:szCs w:val="20"/>
                <w:lang w:val="fr-FR" w:eastAsia="ru-RU"/>
              </w:rPr>
              <w:t xml:space="preserve"> este </w:t>
            </w:r>
            <w:proofErr w:type="spellStart"/>
            <w:r w:rsidRPr="00905298">
              <w:rPr>
                <w:rFonts w:ascii="Times New Roman" w:hAnsi="Times New Roman"/>
                <w:sz w:val="20"/>
                <w:szCs w:val="20"/>
                <w:lang w:val="fr-FR" w:eastAsia="ru-RU"/>
              </w:rPr>
              <w:t>cazul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inclusiv</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termen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lung</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2050, </w:t>
            </w:r>
            <w:proofErr w:type="spellStart"/>
            <w:r w:rsidRPr="00905298">
              <w:rPr>
                <w:rFonts w:ascii="Times New Roman" w:hAnsi="Times New Roman"/>
                <w:sz w:val="20"/>
                <w:szCs w:val="20"/>
                <w:lang w:val="fr-FR" w:eastAsia="ru-RU"/>
              </w:rPr>
              <w:t>privind</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utilizarea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tehnologiilor</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decarbonizare</w:t>
            </w:r>
            <w:proofErr w:type="spellEnd"/>
            <w:r w:rsidRPr="00905298">
              <w:rPr>
                <w:rFonts w:ascii="Times New Roman" w:hAnsi="Times New Roman"/>
                <w:sz w:val="20"/>
                <w:szCs w:val="20"/>
                <w:lang w:val="fr-FR" w:eastAsia="ru-RU"/>
              </w:rPr>
              <w:t xml:space="preserve"> a </w:t>
            </w:r>
            <w:proofErr w:type="spellStart"/>
            <w:r w:rsidRPr="00905298">
              <w:rPr>
                <w:rFonts w:ascii="Times New Roman" w:hAnsi="Times New Roman"/>
                <w:sz w:val="20"/>
                <w:szCs w:val="20"/>
                <w:lang w:val="fr-FR" w:eastAsia="ru-RU"/>
              </w:rPr>
              <w:t>sectoarelor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industriale</w:t>
            </w:r>
            <w:proofErr w:type="spellEnd"/>
            <w:r w:rsidRPr="00905298">
              <w:rPr>
                <w:rFonts w:ascii="Times New Roman" w:hAnsi="Times New Roman"/>
                <w:sz w:val="20"/>
                <w:szCs w:val="20"/>
                <w:lang w:val="fr-FR" w:eastAsia="ru-RU"/>
              </w:rPr>
              <w:t xml:space="preserve"> mari </w:t>
            </w:r>
            <w:proofErr w:type="spellStart"/>
            <w:r w:rsidRPr="00905298">
              <w:rPr>
                <w:rFonts w:ascii="Times New Roman" w:hAnsi="Times New Roman"/>
                <w:sz w:val="20"/>
                <w:szCs w:val="20"/>
                <w:lang w:val="fr-FR" w:eastAsia="ru-RU"/>
              </w:rPr>
              <w:t>consumatoare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energie</w:t>
            </w:r>
            <w:proofErr w:type="spellEnd"/>
            <w:r w:rsidRPr="00905298">
              <w:rPr>
                <w:rFonts w:ascii="Times New Roman" w:hAnsi="Times New Roman"/>
                <w:sz w:val="20"/>
                <w:szCs w:val="20"/>
                <w:lang w:val="fr-FR" w:eastAsia="ru-RU"/>
              </w:rPr>
              <w:t xml:space="preserve"> și mari </w:t>
            </w:r>
            <w:proofErr w:type="spellStart"/>
            <w:r w:rsidRPr="00905298">
              <w:rPr>
                <w:rFonts w:ascii="Times New Roman" w:hAnsi="Times New Roman"/>
                <w:sz w:val="20"/>
                <w:szCs w:val="20"/>
                <w:lang w:val="fr-FR" w:eastAsia="ru-RU"/>
              </w:rPr>
              <w:t>generatoare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emisii</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dioxid</w:t>
            </w:r>
            <w:proofErr w:type="spellEnd"/>
            <w:r w:rsidRPr="00905298">
              <w:rPr>
                <w:rFonts w:ascii="Times New Roman" w:hAnsi="Times New Roman"/>
                <w:sz w:val="20"/>
                <w:szCs w:val="20"/>
                <w:lang w:val="fr-FR" w:eastAsia="ru-RU"/>
              </w:rPr>
              <w:t xml:space="preserve"> de </w:t>
            </w:r>
            <w:r w:rsidRPr="00905298">
              <w:rPr>
                <w:rFonts w:ascii="Times New Roman" w:hAnsi="Times New Roman"/>
                <w:sz w:val="20"/>
                <w:szCs w:val="20"/>
                <w:lang w:val="fr-FR" w:eastAsia="ru-RU"/>
              </w:rPr>
              <w:lastRenderedPageBreak/>
              <w:t xml:space="preserve">carbon și, </w:t>
            </w:r>
            <w:proofErr w:type="spellStart"/>
            <w:r w:rsidRPr="00905298">
              <w:rPr>
                <w:rFonts w:ascii="Times New Roman" w:hAnsi="Times New Roman"/>
                <w:sz w:val="20"/>
                <w:szCs w:val="20"/>
                <w:lang w:val="fr-FR" w:eastAsia="ru-RU"/>
              </w:rPr>
              <w:t>dacă</w:t>
            </w:r>
            <w:proofErr w:type="spellEnd"/>
            <w:r w:rsidRPr="00905298">
              <w:rPr>
                <w:rFonts w:ascii="Times New Roman" w:hAnsi="Times New Roman"/>
                <w:sz w:val="20"/>
                <w:szCs w:val="20"/>
                <w:lang w:val="fr-FR" w:eastAsia="ru-RU"/>
              </w:rPr>
              <w:t xml:space="preserve"> este </w:t>
            </w:r>
            <w:proofErr w:type="spellStart"/>
            <w:r w:rsidRPr="00905298">
              <w:rPr>
                <w:rFonts w:ascii="Times New Roman" w:hAnsi="Times New Roman"/>
                <w:sz w:val="20"/>
                <w:szCs w:val="20"/>
                <w:lang w:val="fr-FR" w:eastAsia="ru-RU"/>
              </w:rPr>
              <w:t>cazul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privind</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infrastructura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aferentă</w:t>
            </w:r>
            <w:proofErr w:type="spellEnd"/>
            <w:r w:rsidRPr="00905298">
              <w:rPr>
                <w:rFonts w:ascii="Times New Roman" w:hAnsi="Times New Roman"/>
                <w:sz w:val="20"/>
                <w:szCs w:val="20"/>
                <w:lang w:val="fr-FR" w:eastAsia="ru-RU"/>
              </w:rPr>
              <w:t xml:space="preserve"> de transport, de </w:t>
            </w:r>
            <w:proofErr w:type="spellStart"/>
            <w:r w:rsidRPr="00905298">
              <w:rPr>
                <w:rFonts w:ascii="Times New Roman" w:hAnsi="Times New Roman"/>
                <w:sz w:val="20"/>
                <w:szCs w:val="20"/>
                <w:lang w:val="fr-FR" w:eastAsia="ru-RU"/>
              </w:rPr>
              <w:t>utilizare</w:t>
            </w:r>
            <w:proofErr w:type="spellEnd"/>
            <w:r w:rsidRPr="00905298">
              <w:rPr>
                <w:rFonts w:ascii="Times New Roman" w:hAnsi="Times New Roman"/>
                <w:sz w:val="20"/>
                <w:szCs w:val="20"/>
                <w:lang w:val="fr-FR" w:eastAsia="ru-RU"/>
              </w:rPr>
              <w:t xml:space="preserve"> și de </w:t>
            </w:r>
            <w:proofErr w:type="spellStart"/>
            <w:r w:rsidRPr="00905298">
              <w:rPr>
                <w:rFonts w:ascii="Times New Roman" w:hAnsi="Times New Roman"/>
                <w:sz w:val="20"/>
                <w:szCs w:val="20"/>
                <w:lang w:val="fr-FR" w:eastAsia="ru-RU"/>
              </w:rPr>
              <w:t>stocare</w:t>
            </w:r>
            <w:proofErr w:type="spellEnd"/>
            <w:r w:rsidRPr="00905298">
              <w:rPr>
                <w:rFonts w:ascii="Times New Roman" w:hAnsi="Times New Roman"/>
                <w:sz w:val="20"/>
                <w:szCs w:val="20"/>
                <w:lang w:val="fr-FR" w:eastAsia="ru-RU"/>
              </w:rPr>
              <w:t xml:space="preserve"> a </w:t>
            </w:r>
            <w:proofErr w:type="spellStart"/>
            <w:r w:rsidRPr="00905298">
              <w:rPr>
                <w:rFonts w:ascii="Times New Roman" w:hAnsi="Times New Roman"/>
                <w:sz w:val="20"/>
                <w:szCs w:val="20"/>
                <w:lang w:val="fr-FR" w:eastAsia="ru-RU"/>
              </w:rPr>
              <w:t>dioxidului</w:t>
            </w:r>
            <w:proofErr w:type="spellEnd"/>
            <w:r w:rsidRPr="00905298">
              <w:rPr>
                <w:rFonts w:ascii="Times New Roman" w:hAnsi="Times New Roman"/>
                <w:sz w:val="20"/>
                <w:szCs w:val="20"/>
                <w:lang w:val="fr-FR" w:eastAsia="ru-RU"/>
              </w:rPr>
              <w:t xml:space="preserve"> de carbon;</w:t>
            </w:r>
          </w:p>
          <w:p w14:paraId="4B46023E" w14:textId="3CF4DFF3"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r w:rsidRPr="00905298">
              <w:rPr>
                <w:rFonts w:ascii="Times New Roman" w:hAnsi="Times New Roman"/>
                <w:sz w:val="20"/>
                <w:szCs w:val="20"/>
                <w:lang w:val="en-US" w:eastAsia="ru-RU"/>
              </w:rPr>
              <w:t>obiectivele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naționale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privind</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eliminarea</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treptată</w:t>
            </w:r>
            <w:proofErr w:type="spellEnd"/>
            <w:r w:rsidRPr="00905298">
              <w:rPr>
                <w:rFonts w:ascii="Times New Roman" w:hAnsi="Times New Roman"/>
                <w:sz w:val="20"/>
                <w:szCs w:val="20"/>
                <w:lang w:val="en-US" w:eastAsia="ru-RU"/>
              </w:rPr>
              <w:t xml:space="preserve"> a </w:t>
            </w:r>
            <w:proofErr w:type="spellStart"/>
            <w:r w:rsidRPr="00905298">
              <w:rPr>
                <w:rFonts w:ascii="Times New Roman" w:hAnsi="Times New Roman"/>
                <w:sz w:val="20"/>
                <w:szCs w:val="20"/>
                <w:lang w:val="en-US" w:eastAsia="ru-RU"/>
              </w:rPr>
              <w:t>subvențiilor</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pentru</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energie</w:t>
            </w:r>
            <w:proofErr w:type="spellEnd"/>
            <w:r w:rsidRPr="00905298">
              <w:rPr>
                <w:rFonts w:ascii="Times New Roman" w:hAnsi="Times New Roman"/>
                <w:sz w:val="20"/>
                <w:szCs w:val="20"/>
                <w:lang w:val="en-US" w:eastAsia="ru-RU"/>
              </w:rPr>
              <w:t xml:space="preserve">, în special </w:t>
            </w:r>
            <w:proofErr w:type="spellStart"/>
            <w:r w:rsidRPr="00905298">
              <w:rPr>
                <w:rFonts w:ascii="Times New Roman" w:hAnsi="Times New Roman"/>
                <w:sz w:val="20"/>
                <w:szCs w:val="20"/>
                <w:lang w:val="en-US" w:eastAsia="ru-RU"/>
              </w:rPr>
              <w:t>pentru</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combustibilii</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fosili</w:t>
            </w:r>
            <w:proofErr w:type="spellEnd"/>
            <w:r w:rsidRPr="00905298">
              <w:rPr>
                <w:rFonts w:ascii="Times New Roman" w:hAnsi="Times New Roman"/>
                <w:sz w:val="20"/>
                <w:szCs w:val="20"/>
                <w:lang w:val="en-US" w:eastAsia="ru-RU"/>
              </w:rPr>
              <w:t>;</w:t>
            </w:r>
          </w:p>
          <w:p w14:paraId="19403B35" w14:textId="34393783"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r w:rsidRPr="00905298">
              <w:rPr>
                <w:rFonts w:ascii="Times New Roman" w:hAnsi="Times New Roman"/>
                <w:sz w:val="20"/>
                <w:szCs w:val="20"/>
                <w:lang w:val="en-US" w:eastAsia="ru-RU"/>
              </w:rPr>
              <w:t>politicile</w:t>
            </w:r>
            <w:proofErr w:type="spellEnd"/>
            <w:r w:rsidRPr="00905298">
              <w:rPr>
                <w:rFonts w:ascii="Times New Roman" w:hAnsi="Times New Roman"/>
                <w:sz w:val="20"/>
                <w:szCs w:val="20"/>
                <w:lang w:val="en-US" w:eastAsia="ru-RU"/>
              </w:rPr>
              <w:t xml:space="preserve"> și </w:t>
            </w:r>
            <w:proofErr w:type="spellStart"/>
            <w:r w:rsidRPr="00905298">
              <w:rPr>
                <w:rFonts w:ascii="Times New Roman" w:hAnsi="Times New Roman"/>
                <w:sz w:val="20"/>
                <w:szCs w:val="20"/>
                <w:lang w:val="en-US" w:eastAsia="ru-RU"/>
              </w:rPr>
              <w:t>măsurile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puse</w:t>
            </w:r>
            <w:proofErr w:type="spellEnd"/>
            <w:r w:rsidRPr="00905298">
              <w:rPr>
                <w:rFonts w:ascii="Times New Roman" w:hAnsi="Times New Roman"/>
                <w:sz w:val="20"/>
                <w:szCs w:val="20"/>
                <w:lang w:val="en-US" w:eastAsia="ru-RU"/>
              </w:rPr>
              <w:t xml:space="preserve"> în </w:t>
            </w:r>
            <w:proofErr w:type="spellStart"/>
            <w:r w:rsidRPr="00905298">
              <w:rPr>
                <w:rFonts w:ascii="Times New Roman" w:hAnsi="Times New Roman"/>
                <w:sz w:val="20"/>
                <w:szCs w:val="20"/>
                <w:lang w:val="en-US" w:eastAsia="ru-RU"/>
              </w:rPr>
              <w:t>aplicare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adoptate</w:t>
            </w:r>
            <w:proofErr w:type="spellEnd"/>
            <w:r w:rsidRPr="00905298">
              <w:rPr>
                <w:rFonts w:ascii="Times New Roman" w:hAnsi="Times New Roman"/>
                <w:sz w:val="20"/>
                <w:szCs w:val="20"/>
                <w:lang w:val="en-US" w:eastAsia="ru-RU"/>
              </w:rPr>
              <w:t xml:space="preserve"> și </w:t>
            </w:r>
            <w:proofErr w:type="spellStart"/>
            <w:r w:rsidRPr="00905298">
              <w:rPr>
                <w:rFonts w:ascii="Times New Roman" w:hAnsi="Times New Roman"/>
                <w:sz w:val="20"/>
                <w:szCs w:val="20"/>
                <w:lang w:val="en-US" w:eastAsia="ru-RU"/>
              </w:rPr>
              <w:t>planificate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pentru</w:t>
            </w:r>
            <w:proofErr w:type="spellEnd"/>
            <w:r w:rsidRPr="00905298">
              <w:rPr>
                <w:rFonts w:ascii="Times New Roman" w:hAnsi="Times New Roman"/>
                <w:sz w:val="20"/>
                <w:szCs w:val="20"/>
                <w:lang w:val="en-US" w:eastAsia="ru-RU"/>
              </w:rPr>
              <w:t xml:space="preserve"> </w:t>
            </w:r>
            <w:proofErr w:type="gramStart"/>
            <w:r w:rsidRPr="00905298">
              <w:rPr>
                <w:rFonts w:ascii="Times New Roman" w:hAnsi="Times New Roman"/>
                <w:sz w:val="20"/>
                <w:szCs w:val="20"/>
                <w:lang w:val="en-US" w:eastAsia="ru-RU"/>
              </w:rPr>
              <w:t>a</w:t>
            </w:r>
            <w:proofErr w:type="gram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atinge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obiectivele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menționate</w:t>
            </w:r>
            <w:proofErr w:type="spellEnd"/>
            <w:r w:rsidRPr="00905298">
              <w:rPr>
                <w:rFonts w:ascii="Times New Roman" w:hAnsi="Times New Roman"/>
                <w:sz w:val="20"/>
                <w:szCs w:val="20"/>
                <w:lang w:val="en-US" w:eastAsia="ru-RU"/>
              </w:rPr>
              <w:t xml:space="preserve"> la </w:t>
            </w:r>
            <w:proofErr w:type="spellStart"/>
            <w:r w:rsidRPr="00905298">
              <w:rPr>
                <w:rFonts w:ascii="Times New Roman" w:hAnsi="Times New Roman"/>
                <w:sz w:val="20"/>
                <w:szCs w:val="20"/>
                <w:lang w:val="en-US" w:eastAsia="ru-RU"/>
              </w:rPr>
              <w:t>literele</w:t>
            </w:r>
            <w:proofErr w:type="spellEnd"/>
            <w:r w:rsidRPr="00905298">
              <w:rPr>
                <w:rFonts w:ascii="Times New Roman" w:hAnsi="Times New Roman"/>
                <w:sz w:val="20"/>
                <w:szCs w:val="20"/>
                <w:lang w:val="en-US" w:eastAsia="ru-RU"/>
              </w:rPr>
              <w:t xml:space="preserve"> (b) și (c);</w:t>
            </w:r>
          </w:p>
          <w:p w14:paraId="121366B2" w14:textId="47D27079" w:rsidR="001D6208" w:rsidRPr="0090529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cooperarea</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alte</w:t>
            </w:r>
            <w:proofErr w:type="spellEnd"/>
            <w:r w:rsidRPr="00905298">
              <w:rPr>
                <w:rFonts w:ascii="Times New Roman" w:hAnsi="Times New Roman"/>
                <w:sz w:val="20"/>
                <w:szCs w:val="20"/>
                <w:lang w:val="fr-FR" w:eastAsia="ru-RU"/>
              </w:rPr>
              <w:t xml:space="preserve"> state membre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punerea</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aplicare</w:t>
            </w:r>
            <w:proofErr w:type="spellEnd"/>
            <w:r w:rsidRPr="00905298">
              <w:rPr>
                <w:rFonts w:ascii="Times New Roman" w:hAnsi="Times New Roman"/>
                <w:sz w:val="20"/>
                <w:szCs w:val="20"/>
                <w:lang w:val="fr-FR" w:eastAsia="ru-RU"/>
              </w:rPr>
              <w:t xml:space="preserve"> a </w:t>
            </w:r>
            <w:proofErr w:type="spellStart"/>
            <w:r w:rsidRPr="00905298">
              <w:rPr>
                <w:rFonts w:ascii="Times New Roman" w:hAnsi="Times New Roman"/>
                <w:sz w:val="20"/>
                <w:szCs w:val="20"/>
                <w:lang w:val="fr-FR" w:eastAsia="ru-RU"/>
              </w:rPr>
              <w:t>obiectivelor</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politicilor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menționate</w:t>
            </w:r>
            <w:proofErr w:type="spellEnd"/>
            <w:r w:rsidRPr="00905298">
              <w:rPr>
                <w:rFonts w:ascii="Times New Roman" w:hAnsi="Times New Roman"/>
                <w:sz w:val="20"/>
                <w:szCs w:val="20"/>
                <w:lang w:val="fr-FR" w:eastAsia="ru-RU"/>
              </w:rPr>
              <w:t xml:space="preserve"> la </w:t>
            </w:r>
            <w:proofErr w:type="spellStart"/>
            <w:r w:rsidRPr="00905298">
              <w:rPr>
                <w:rFonts w:ascii="Times New Roman" w:hAnsi="Times New Roman"/>
                <w:sz w:val="20"/>
                <w:szCs w:val="20"/>
                <w:lang w:val="fr-FR" w:eastAsia="ru-RU"/>
              </w:rPr>
              <w:t>literele</w:t>
            </w:r>
            <w:proofErr w:type="spellEnd"/>
            <w:r w:rsidRPr="00905298">
              <w:rPr>
                <w:rFonts w:ascii="Times New Roman" w:hAnsi="Times New Roman"/>
                <w:sz w:val="20"/>
                <w:szCs w:val="20"/>
                <w:lang w:val="fr-FR" w:eastAsia="ru-RU"/>
              </w:rPr>
              <w:t xml:space="preserve"> (b)-(d), </w:t>
            </w:r>
            <w:proofErr w:type="spellStart"/>
            <w:r w:rsidRPr="00905298">
              <w:rPr>
                <w:rFonts w:ascii="Times New Roman" w:hAnsi="Times New Roman"/>
                <w:sz w:val="20"/>
                <w:szCs w:val="20"/>
                <w:lang w:val="fr-FR" w:eastAsia="ru-RU"/>
              </w:rPr>
              <w:t>inclusiv</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coordonarea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politicilor</w:t>
            </w:r>
            <w:proofErr w:type="spellEnd"/>
            <w:r w:rsidRPr="00905298">
              <w:rPr>
                <w:rFonts w:ascii="Times New Roman" w:hAnsi="Times New Roman"/>
                <w:sz w:val="20"/>
                <w:szCs w:val="20"/>
                <w:lang w:val="fr-FR" w:eastAsia="ru-RU"/>
              </w:rPr>
              <w:t xml:space="preserve"> și a </w:t>
            </w:r>
            <w:proofErr w:type="spellStart"/>
            <w:r w:rsidRPr="00905298">
              <w:rPr>
                <w:rFonts w:ascii="Times New Roman" w:hAnsi="Times New Roman"/>
                <w:sz w:val="20"/>
                <w:szCs w:val="20"/>
                <w:lang w:val="fr-FR" w:eastAsia="ru-RU"/>
              </w:rPr>
              <w:t>măsurilor</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contextul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Planului</w:t>
            </w:r>
            <w:proofErr w:type="spellEnd"/>
            <w:r w:rsidRPr="00905298">
              <w:rPr>
                <w:rFonts w:ascii="Times New Roman" w:hAnsi="Times New Roman"/>
                <w:sz w:val="20"/>
                <w:szCs w:val="20"/>
                <w:lang w:val="fr-FR" w:eastAsia="ru-RU"/>
              </w:rPr>
              <w:t xml:space="preserve"> SET, cum </w:t>
            </w:r>
            <w:proofErr w:type="spellStart"/>
            <w:r w:rsidRPr="00905298">
              <w:rPr>
                <w:rFonts w:ascii="Times New Roman" w:hAnsi="Times New Roman"/>
                <w:sz w:val="20"/>
                <w:szCs w:val="20"/>
                <w:lang w:val="fr-FR" w:eastAsia="ru-RU"/>
              </w:rPr>
              <w:t>ar</w:t>
            </w:r>
            <w:proofErr w:type="spellEnd"/>
            <w:r w:rsidRPr="00905298">
              <w:rPr>
                <w:rFonts w:ascii="Times New Roman" w:hAnsi="Times New Roman"/>
                <w:sz w:val="20"/>
                <w:szCs w:val="20"/>
                <w:lang w:val="fr-FR" w:eastAsia="ru-RU"/>
              </w:rPr>
              <w:t xml:space="preserve"> fi </w:t>
            </w:r>
            <w:proofErr w:type="spellStart"/>
            <w:r w:rsidRPr="00905298">
              <w:rPr>
                <w:rFonts w:ascii="Times New Roman" w:hAnsi="Times New Roman"/>
                <w:sz w:val="20"/>
                <w:szCs w:val="20"/>
                <w:lang w:val="fr-FR" w:eastAsia="ru-RU"/>
              </w:rPr>
              <w:t>alinierea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programelor</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cercetare</w:t>
            </w:r>
            <w:proofErr w:type="spellEnd"/>
            <w:r w:rsidRPr="00905298">
              <w:rPr>
                <w:rFonts w:ascii="Times New Roman" w:hAnsi="Times New Roman"/>
                <w:sz w:val="20"/>
                <w:szCs w:val="20"/>
                <w:lang w:val="fr-FR" w:eastAsia="ru-RU"/>
              </w:rPr>
              <w:t xml:space="preserve"> și a </w:t>
            </w:r>
            <w:proofErr w:type="spellStart"/>
            <w:r w:rsidRPr="00905298">
              <w:rPr>
                <w:rFonts w:ascii="Times New Roman" w:hAnsi="Times New Roman"/>
                <w:sz w:val="20"/>
                <w:szCs w:val="20"/>
                <w:lang w:val="fr-FR" w:eastAsia="ru-RU"/>
              </w:rPr>
              <w:t>programelor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comune</w:t>
            </w:r>
            <w:proofErr w:type="spellEnd"/>
            <w:r w:rsidRPr="00905298">
              <w:rPr>
                <w:rFonts w:ascii="Times New Roman" w:hAnsi="Times New Roman"/>
                <w:sz w:val="20"/>
                <w:szCs w:val="20"/>
                <w:lang w:val="fr-FR" w:eastAsia="ru-RU"/>
              </w:rPr>
              <w:t>;</w:t>
            </w:r>
          </w:p>
          <w:p w14:paraId="62CAB2A5" w14:textId="71CC7C70" w:rsidR="008F5636" w:rsidRPr="001D6208" w:rsidRDefault="001D6208" w:rsidP="000C5A3B">
            <w:pPr>
              <w:pStyle w:val="af3"/>
              <w:numPr>
                <w:ilvl w:val="0"/>
                <w:numId w:val="119"/>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măsurile</w:t>
            </w:r>
            <w:proofErr w:type="spellEnd"/>
            <w:proofErr w:type="gram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finanțare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inclusiv</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sprijinul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acordat</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Uniune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utilizarea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fondurilor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Uniunii</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acest</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domeniu</w:t>
            </w:r>
            <w:proofErr w:type="spellEnd"/>
            <w:r w:rsidRPr="00905298">
              <w:rPr>
                <w:rFonts w:ascii="Times New Roman" w:hAnsi="Times New Roman"/>
                <w:sz w:val="20"/>
                <w:szCs w:val="20"/>
                <w:lang w:val="fr-FR" w:eastAsia="ru-RU"/>
              </w:rPr>
              <w:t xml:space="preserve"> la </w:t>
            </w:r>
            <w:proofErr w:type="spellStart"/>
            <w:r w:rsidRPr="00905298">
              <w:rPr>
                <w:rFonts w:ascii="Times New Roman" w:hAnsi="Times New Roman"/>
                <w:sz w:val="20"/>
                <w:szCs w:val="20"/>
                <w:lang w:val="fr-FR" w:eastAsia="ru-RU"/>
              </w:rPr>
              <w:t>nivel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dacă</w:t>
            </w:r>
            <w:proofErr w:type="spellEnd"/>
            <w:r w:rsidRPr="00905298">
              <w:rPr>
                <w:rFonts w:ascii="Times New Roman" w:hAnsi="Times New Roman"/>
                <w:sz w:val="20"/>
                <w:szCs w:val="20"/>
                <w:lang w:val="fr-FR" w:eastAsia="ru-RU"/>
              </w:rPr>
              <w:t xml:space="preserve"> este </w:t>
            </w:r>
            <w:proofErr w:type="spellStart"/>
            <w:r w:rsidRPr="00905298">
              <w:rPr>
                <w:rFonts w:ascii="Times New Roman" w:hAnsi="Times New Roman"/>
                <w:sz w:val="20"/>
                <w:szCs w:val="20"/>
                <w:lang w:val="fr-FR" w:eastAsia="ru-RU"/>
              </w:rPr>
              <w:t>cazul</w:t>
            </w:r>
            <w:proofErr w:type="spellEnd"/>
            <w:r w:rsidRPr="00905298">
              <w:rPr>
                <w:rFonts w:ascii="Times New Roman" w:hAnsi="Times New Roman"/>
                <w:sz w:val="20"/>
                <w:szCs w:val="20"/>
                <w:lang w:val="fr-FR" w:eastAsia="ru-RU"/>
              </w:rPr>
              <w:t>.</w:t>
            </w:r>
          </w:p>
        </w:tc>
        <w:tc>
          <w:tcPr>
            <w:tcW w:w="4440" w:type="dxa"/>
          </w:tcPr>
          <w:p w14:paraId="1534528A" w14:textId="6A5CA6E2" w:rsidR="008F5636" w:rsidRPr="00077DF7" w:rsidRDefault="008F5636" w:rsidP="00077DF7">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p>
        </w:tc>
        <w:tc>
          <w:tcPr>
            <w:tcW w:w="1276" w:type="dxa"/>
          </w:tcPr>
          <w:p w14:paraId="134F2F82" w14:textId="7357AEB9" w:rsidR="008F5636" w:rsidRPr="004A2039" w:rsidRDefault="00BC5E3B" w:rsidP="008F5636">
            <w:pPr>
              <w:pStyle w:val="ColorfulList-Accent11"/>
              <w:spacing w:after="0" w:line="240" w:lineRule="auto"/>
              <w:ind w:left="0"/>
              <w:jc w:val="both"/>
              <w:rPr>
                <w:lang w:val="fr-FR"/>
              </w:rPr>
            </w:pPr>
            <w:r>
              <w:rPr>
                <w:rFonts w:ascii="Times New Roman" w:hAnsi="Times New Roman"/>
                <w:sz w:val="20"/>
                <w:szCs w:val="20"/>
                <w:lang w:val="ro-RO"/>
              </w:rPr>
              <w:t>C</w:t>
            </w:r>
            <w:r w:rsidR="001805D4" w:rsidRPr="00C951E7">
              <w:rPr>
                <w:rFonts w:ascii="Times New Roman" w:hAnsi="Times New Roman"/>
                <w:sz w:val="20"/>
                <w:szCs w:val="20"/>
                <w:lang w:val="ro-RO"/>
              </w:rPr>
              <w:t>ompatibil</w:t>
            </w:r>
          </w:p>
        </w:tc>
        <w:tc>
          <w:tcPr>
            <w:tcW w:w="1276" w:type="dxa"/>
          </w:tcPr>
          <w:p w14:paraId="5FDE4A9E" w14:textId="77777777" w:rsidR="008F5636" w:rsidRPr="004A2039" w:rsidRDefault="008F5636" w:rsidP="008F5636">
            <w:pPr>
              <w:pStyle w:val="ColorfulList-Accent11"/>
              <w:spacing w:after="0" w:line="240" w:lineRule="auto"/>
              <w:ind w:left="0"/>
              <w:jc w:val="both"/>
              <w:rPr>
                <w:lang w:val="fr-FR"/>
              </w:rPr>
            </w:pPr>
          </w:p>
        </w:tc>
        <w:tc>
          <w:tcPr>
            <w:tcW w:w="1701" w:type="dxa"/>
          </w:tcPr>
          <w:p w14:paraId="5A4A3DC8" w14:textId="77777777" w:rsidR="00F10EF8" w:rsidRPr="00D71AA7" w:rsidRDefault="00F10EF8" w:rsidP="00F10EF8">
            <w:pPr>
              <w:autoSpaceDE w:val="0"/>
              <w:spacing w:after="0" w:line="240" w:lineRule="auto"/>
              <w:rPr>
                <w:rFonts w:ascii="Times New Roman" w:hAnsi="Times New Roman"/>
                <w:sz w:val="20"/>
                <w:szCs w:val="20"/>
                <w:lang w:val="ro-RO" w:eastAsia="ru-RU"/>
              </w:rPr>
            </w:pPr>
            <w:r w:rsidRPr="00D71AA7">
              <w:rPr>
                <w:rFonts w:ascii="Times New Roman" w:hAnsi="Times New Roman"/>
                <w:sz w:val="20"/>
                <w:szCs w:val="20"/>
                <w:lang w:val="ro-RO" w:eastAsia="zh-CN"/>
              </w:rPr>
              <w:t xml:space="preserve">Prevederile </w:t>
            </w:r>
            <w:r>
              <w:rPr>
                <w:rFonts w:ascii="Times New Roman" w:hAnsi="Times New Roman"/>
                <w:sz w:val="20"/>
                <w:szCs w:val="20"/>
                <w:lang w:val="ro-RO" w:eastAsia="zh-CN"/>
              </w:rPr>
              <w:t xml:space="preserve">privind Planul SET </w:t>
            </w:r>
            <w:r w:rsidRPr="00D71AA7">
              <w:rPr>
                <w:rFonts w:ascii="Times New Roman" w:hAnsi="Times New Roman"/>
                <w:sz w:val="20"/>
                <w:szCs w:val="20"/>
                <w:lang w:val="ro-RO" w:eastAsia="zh-CN"/>
              </w:rPr>
              <w:t xml:space="preserve">nu pot fi transpuse deoarece </w:t>
            </w:r>
          </w:p>
          <w:p w14:paraId="6D311245" w14:textId="77777777" w:rsidR="00F10EF8" w:rsidRPr="00D71AA7" w:rsidRDefault="00F10EF8" w:rsidP="00F10EF8">
            <w:pPr>
              <w:autoSpaceDE w:val="0"/>
              <w:spacing w:after="0" w:line="240" w:lineRule="auto"/>
              <w:rPr>
                <w:rFonts w:ascii="Times New Roman" w:hAnsi="Times New Roman"/>
                <w:sz w:val="20"/>
                <w:szCs w:val="20"/>
                <w:lang w:val="ro-RO" w:eastAsia="zh-CN"/>
              </w:rPr>
            </w:pPr>
            <w:r w:rsidRPr="00D71AA7">
              <w:rPr>
                <w:rFonts w:ascii="Times New Roman" w:hAnsi="Times New Roman"/>
                <w:sz w:val="20"/>
                <w:szCs w:val="20"/>
                <w:lang w:val="ro-RO" w:eastAsia="ru-RU"/>
              </w:rPr>
              <w:t xml:space="preserve">nu </w:t>
            </w:r>
            <w:r>
              <w:rPr>
                <w:rFonts w:ascii="Times New Roman" w:hAnsi="Times New Roman"/>
                <w:sz w:val="20"/>
                <w:szCs w:val="20"/>
                <w:lang w:val="ro-RO" w:eastAsia="ru-RU"/>
              </w:rPr>
              <w:t>sunt</w:t>
            </w:r>
            <w:r w:rsidRPr="00D71AA7">
              <w:rPr>
                <w:rFonts w:ascii="Times New Roman" w:hAnsi="Times New Roman"/>
                <w:sz w:val="20"/>
                <w:szCs w:val="20"/>
                <w:lang w:val="ro-RO" w:eastAsia="ru-RU"/>
              </w:rPr>
              <w:t xml:space="preserve"> prevăzut</w:t>
            </w:r>
            <w:r>
              <w:rPr>
                <w:rFonts w:ascii="Times New Roman" w:hAnsi="Times New Roman"/>
                <w:sz w:val="20"/>
                <w:szCs w:val="20"/>
                <w:lang w:val="ro-RO" w:eastAsia="ru-RU"/>
              </w:rPr>
              <w:t>e</w:t>
            </w:r>
            <w:r w:rsidRPr="00D71AA7">
              <w:rPr>
                <w:rFonts w:ascii="Times New Roman" w:hAnsi="Times New Roman"/>
                <w:sz w:val="20"/>
                <w:szCs w:val="20"/>
                <w:lang w:val="ro-RO" w:eastAsia="ru-RU"/>
              </w:rPr>
              <w:t xml:space="preserve"> în </w:t>
            </w:r>
            <w:r w:rsidRPr="00D71AA7">
              <w:rPr>
                <w:rFonts w:ascii="Times New Roman" w:hAnsi="Times New Roman"/>
                <w:sz w:val="20"/>
                <w:szCs w:val="20"/>
              </w:rPr>
              <w:t xml:space="preserve"> </w:t>
            </w:r>
            <w:proofErr w:type="spellStart"/>
            <w:r w:rsidRPr="00D71AA7">
              <w:rPr>
                <w:rFonts w:ascii="Times New Roman" w:hAnsi="Times New Roman"/>
                <w:sz w:val="20"/>
                <w:szCs w:val="20"/>
              </w:rPr>
              <w:t>Regulamentul</w:t>
            </w:r>
            <w:proofErr w:type="spellEnd"/>
            <w:r w:rsidRPr="00D71AA7">
              <w:rPr>
                <w:rFonts w:ascii="Times New Roman" w:hAnsi="Times New Roman"/>
                <w:sz w:val="20"/>
                <w:szCs w:val="20"/>
              </w:rPr>
              <w:t xml:space="preserve"> (UE)</w:t>
            </w:r>
            <w:r w:rsidRPr="00D71AA7">
              <w:rPr>
                <w:rFonts w:ascii="Roboto" w:hAnsi="Roboto"/>
                <w:b/>
                <w:bCs/>
                <w:sz w:val="20"/>
                <w:szCs w:val="20"/>
                <w:shd w:val="clear" w:color="auto" w:fill="FFFFFF"/>
              </w:rPr>
              <w:t xml:space="preserve"> </w:t>
            </w:r>
            <w:r w:rsidRPr="00D71AA7">
              <w:rPr>
                <w:rFonts w:ascii="Times New Roman" w:hAnsi="Times New Roman"/>
                <w:sz w:val="20"/>
                <w:szCs w:val="20"/>
                <w:shd w:val="clear" w:color="auto" w:fill="FFFFFF"/>
              </w:rPr>
              <w:t>2018/1999</w:t>
            </w:r>
          </w:p>
          <w:p w14:paraId="5C291925" w14:textId="77777777" w:rsidR="008F5636" w:rsidRDefault="00F10EF8" w:rsidP="00F10EF8">
            <w:pPr>
              <w:pStyle w:val="ColorfulList-Accent11"/>
              <w:spacing w:after="0" w:line="240" w:lineRule="auto"/>
              <w:ind w:left="0"/>
              <w:jc w:val="both"/>
              <w:rPr>
                <w:rFonts w:ascii="Times New Roman" w:eastAsia="Times New Roman" w:hAnsi="Times New Roman"/>
                <w:sz w:val="20"/>
                <w:szCs w:val="20"/>
                <w:lang w:val="ro-RO"/>
              </w:rPr>
            </w:pPr>
            <w:r w:rsidRPr="00774576">
              <w:rPr>
                <w:rFonts w:ascii="Times New Roman" w:hAnsi="Times New Roman"/>
                <w:sz w:val="20"/>
                <w:szCs w:val="20"/>
                <w:lang w:val="ro-RO"/>
              </w:rPr>
              <w:t>în varianta adaptată și aprobată prin Decizia Consiliului Ministerial al Comunității Energetice nr. 2021/14/MC-</w:t>
            </w:r>
            <w:proofErr w:type="spellStart"/>
            <w:r w:rsidRPr="00774576">
              <w:rPr>
                <w:rFonts w:ascii="Times New Roman" w:hAnsi="Times New Roman"/>
                <w:sz w:val="20"/>
                <w:szCs w:val="20"/>
                <w:lang w:val="ro-RO"/>
              </w:rPr>
              <w:t>EnC</w:t>
            </w:r>
            <w:proofErr w:type="spellEnd"/>
            <w:r w:rsidRPr="00774576">
              <w:rPr>
                <w:rFonts w:ascii="Times New Roman" w:hAnsi="Times New Roman"/>
                <w:sz w:val="20"/>
                <w:szCs w:val="20"/>
                <w:lang w:val="ro-RO"/>
              </w:rPr>
              <w:t xml:space="preserve"> și </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p w14:paraId="09D9672A" w14:textId="77777777" w:rsidR="00077DF7" w:rsidRDefault="00077DF7" w:rsidP="00F10EF8">
            <w:pPr>
              <w:pStyle w:val="ColorfulList-Accent11"/>
              <w:spacing w:after="0" w:line="240" w:lineRule="auto"/>
              <w:ind w:left="0"/>
              <w:jc w:val="both"/>
              <w:rPr>
                <w:rFonts w:ascii="Times New Roman" w:eastAsia="Times New Roman" w:hAnsi="Times New Roman"/>
                <w:sz w:val="20"/>
                <w:szCs w:val="20"/>
                <w:lang w:val="ro-RO"/>
              </w:rPr>
            </w:pPr>
          </w:p>
          <w:p w14:paraId="745764B6" w14:textId="5B7A9597"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lastRenderedPageBreak/>
              <w:t xml:space="preserve">Prevederile au fost transpuse </w:t>
            </w:r>
            <w:r w:rsidR="00916B6E">
              <w:rPr>
                <w:rFonts w:ascii="Times New Roman" w:eastAsia="Times New Roman" w:hAnsi="Times New Roman"/>
                <w:sz w:val="20"/>
                <w:szCs w:val="20"/>
                <w:lang w:val="ro-RO" w:eastAsia="ru-RU"/>
              </w:rPr>
              <w:t>la pct.60 din</w:t>
            </w:r>
          </w:p>
          <w:p w14:paraId="57BF8BA2"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6DE178AC" w14:textId="0E96E17F" w:rsidR="00077DF7" w:rsidRPr="001805D4" w:rsidRDefault="00077DF7" w:rsidP="00F10EF8">
            <w:pPr>
              <w:pStyle w:val="ColorfulList-Accent11"/>
              <w:spacing w:after="0" w:line="240" w:lineRule="auto"/>
              <w:ind w:left="0"/>
              <w:jc w:val="both"/>
              <w:rPr>
                <w:lang w:val="ro-RO"/>
              </w:rPr>
            </w:pPr>
          </w:p>
        </w:tc>
        <w:tc>
          <w:tcPr>
            <w:tcW w:w="1460" w:type="dxa"/>
          </w:tcPr>
          <w:p w14:paraId="29BECCD5" w14:textId="77777777" w:rsidR="00905298" w:rsidRPr="003F755D" w:rsidRDefault="001805D4" w:rsidP="0090529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905298" w:rsidRPr="00A81801">
              <w:rPr>
                <w:rFonts w:ascii="Times New Roman" w:hAnsi="Times New Roman"/>
                <w:color w:val="000000" w:themeColor="text1"/>
                <w:sz w:val="20"/>
                <w:szCs w:val="20"/>
              </w:rPr>
              <w:t>Energiei</w:t>
            </w:r>
          </w:p>
          <w:p w14:paraId="49F14E01" w14:textId="59F511F5" w:rsidR="001805D4" w:rsidRPr="003F755D" w:rsidRDefault="001805D4" w:rsidP="001805D4">
            <w:pPr>
              <w:autoSpaceDE w:val="0"/>
              <w:spacing w:after="0" w:line="240" w:lineRule="auto"/>
              <w:rPr>
                <w:rFonts w:ascii="Times New Roman" w:hAnsi="Times New Roman"/>
                <w:sz w:val="20"/>
                <w:szCs w:val="20"/>
                <w:shd w:val="clear" w:color="auto" w:fill="FFFFFF"/>
                <w:lang w:val="ro-RO"/>
              </w:rPr>
            </w:pPr>
          </w:p>
          <w:p w14:paraId="7DDF4030" w14:textId="77777777" w:rsidR="008F5636" w:rsidRPr="001805D4" w:rsidRDefault="008F5636" w:rsidP="008F5636">
            <w:pPr>
              <w:pStyle w:val="ColorfulList-Accent11"/>
              <w:spacing w:after="0" w:line="240" w:lineRule="auto"/>
              <w:ind w:left="0"/>
              <w:jc w:val="both"/>
              <w:rPr>
                <w:lang w:val="ro-RO"/>
              </w:rPr>
            </w:pPr>
          </w:p>
        </w:tc>
      </w:tr>
      <w:tr w:rsidR="008F5636" w14:paraId="52637C75" w14:textId="77777777" w:rsidTr="00A90105">
        <w:tc>
          <w:tcPr>
            <w:tcW w:w="4945" w:type="dxa"/>
          </w:tcPr>
          <w:p w14:paraId="0C654AAA" w14:textId="77777777" w:rsidR="008F5636" w:rsidRPr="001805D4" w:rsidRDefault="008F5636" w:rsidP="001805D4">
            <w:pPr>
              <w:spacing w:after="0" w:line="240" w:lineRule="auto"/>
              <w:jc w:val="center"/>
              <w:rPr>
                <w:rFonts w:ascii="Times New Roman" w:hAnsi="Times New Roman"/>
                <w:b/>
                <w:bCs/>
                <w:sz w:val="20"/>
                <w:szCs w:val="20"/>
                <w:lang w:val="en-US" w:eastAsia="ru-RU"/>
              </w:rPr>
            </w:pPr>
            <w:proofErr w:type="spellStart"/>
            <w:r w:rsidRPr="001805D4">
              <w:rPr>
                <w:rFonts w:ascii="Times New Roman" w:hAnsi="Times New Roman"/>
                <w:b/>
                <w:bCs/>
                <w:sz w:val="20"/>
                <w:szCs w:val="20"/>
                <w:lang w:val="en-US" w:eastAsia="ru-RU"/>
              </w:rPr>
              <w:t>Secțiunea</w:t>
            </w:r>
            <w:proofErr w:type="spellEnd"/>
            <w:r w:rsidRPr="001805D4">
              <w:rPr>
                <w:rFonts w:ascii="Times New Roman" w:hAnsi="Times New Roman"/>
                <w:b/>
                <w:bCs/>
                <w:sz w:val="20"/>
                <w:szCs w:val="20"/>
                <w:lang w:val="en-US" w:eastAsia="ru-RU"/>
              </w:rPr>
              <w:t xml:space="preserve"> 2</w:t>
            </w:r>
          </w:p>
          <w:p w14:paraId="24EE1082" w14:textId="77777777" w:rsidR="008F5636" w:rsidRPr="00905298" w:rsidRDefault="008F5636" w:rsidP="001805D4">
            <w:pPr>
              <w:spacing w:after="0" w:line="240" w:lineRule="auto"/>
              <w:jc w:val="center"/>
              <w:rPr>
                <w:rFonts w:ascii="Times New Roman" w:hAnsi="Times New Roman"/>
                <w:b/>
                <w:bCs/>
                <w:sz w:val="20"/>
                <w:szCs w:val="20"/>
                <w:lang w:val="en-US" w:eastAsia="ru-RU"/>
              </w:rPr>
            </w:pPr>
            <w:proofErr w:type="spellStart"/>
            <w:r w:rsidRPr="00905298">
              <w:rPr>
                <w:rFonts w:ascii="Times New Roman" w:hAnsi="Times New Roman"/>
                <w:b/>
                <w:bCs/>
                <w:sz w:val="20"/>
                <w:szCs w:val="20"/>
                <w:lang w:val="en-US" w:eastAsia="ru-RU"/>
              </w:rPr>
              <w:t>Raportarea</w:t>
            </w:r>
            <w:proofErr w:type="spellEnd"/>
            <w:r w:rsidRPr="00905298">
              <w:rPr>
                <w:rFonts w:ascii="Times New Roman" w:hAnsi="Times New Roman"/>
                <w:b/>
                <w:bCs/>
                <w:sz w:val="20"/>
                <w:szCs w:val="20"/>
                <w:lang w:val="en-US" w:eastAsia="ru-RU"/>
              </w:rPr>
              <w:t xml:space="preserve"> </w:t>
            </w:r>
            <w:proofErr w:type="spellStart"/>
            <w:r w:rsidRPr="00905298">
              <w:rPr>
                <w:rFonts w:ascii="Times New Roman" w:hAnsi="Times New Roman"/>
                <w:b/>
                <w:bCs/>
                <w:sz w:val="20"/>
                <w:szCs w:val="20"/>
                <w:lang w:val="en-US" w:eastAsia="ru-RU"/>
              </w:rPr>
              <w:t>anuală</w:t>
            </w:r>
            <w:proofErr w:type="spellEnd"/>
          </w:p>
          <w:p w14:paraId="5BFC2045" w14:textId="77777777" w:rsidR="008F5636" w:rsidRPr="00905298" w:rsidRDefault="008F5636" w:rsidP="001805D4">
            <w:pPr>
              <w:spacing w:after="0" w:line="240" w:lineRule="auto"/>
              <w:jc w:val="center"/>
              <w:rPr>
                <w:rFonts w:ascii="Times New Roman" w:hAnsi="Times New Roman"/>
                <w:sz w:val="20"/>
                <w:szCs w:val="20"/>
                <w:lang w:val="en-US" w:eastAsia="ru-RU"/>
              </w:rPr>
            </w:pPr>
            <w:proofErr w:type="spellStart"/>
            <w:r w:rsidRPr="00905298">
              <w:rPr>
                <w:rFonts w:ascii="Times New Roman" w:hAnsi="Times New Roman"/>
                <w:sz w:val="20"/>
                <w:szCs w:val="20"/>
                <w:lang w:val="en-US" w:eastAsia="ru-RU"/>
              </w:rPr>
              <w:t>Articolul</w:t>
            </w:r>
            <w:proofErr w:type="spellEnd"/>
            <w:r w:rsidRPr="00905298">
              <w:rPr>
                <w:rFonts w:ascii="Times New Roman" w:hAnsi="Times New Roman"/>
                <w:sz w:val="20"/>
                <w:szCs w:val="20"/>
                <w:lang w:val="en-US" w:eastAsia="ru-RU"/>
              </w:rPr>
              <w:t xml:space="preserve"> 26</w:t>
            </w:r>
          </w:p>
          <w:p w14:paraId="726ED71F" w14:textId="77777777" w:rsidR="008F5636" w:rsidRPr="00905298" w:rsidRDefault="008F5636" w:rsidP="001805D4">
            <w:pPr>
              <w:spacing w:after="0" w:line="240" w:lineRule="auto"/>
              <w:jc w:val="center"/>
              <w:rPr>
                <w:rFonts w:ascii="Times New Roman" w:hAnsi="Times New Roman"/>
                <w:b/>
                <w:bCs/>
                <w:sz w:val="20"/>
                <w:szCs w:val="20"/>
                <w:lang w:val="en-US" w:eastAsia="ru-RU"/>
              </w:rPr>
            </w:pPr>
            <w:proofErr w:type="spellStart"/>
            <w:r w:rsidRPr="00905298">
              <w:rPr>
                <w:rFonts w:ascii="Times New Roman" w:hAnsi="Times New Roman"/>
                <w:b/>
                <w:bCs/>
                <w:sz w:val="20"/>
                <w:szCs w:val="20"/>
                <w:lang w:val="en-US" w:eastAsia="ru-RU"/>
              </w:rPr>
              <w:t>Raportarea</w:t>
            </w:r>
            <w:proofErr w:type="spellEnd"/>
            <w:r w:rsidRPr="00905298">
              <w:rPr>
                <w:rFonts w:ascii="Times New Roman" w:hAnsi="Times New Roman"/>
                <w:b/>
                <w:bCs/>
                <w:sz w:val="20"/>
                <w:szCs w:val="20"/>
                <w:lang w:val="en-US" w:eastAsia="ru-RU"/>
              </w:rPr>
              <w:t xml:space="preserve"> </w:t>
            </w:r>
            <w:proofErr w:type="spellStart"/>
            <w:r w:rsidRPr="00905298">
              <w:rPr>
                <w:rFonts w:ascii="Times New Roman" w:hAnsi="Times New Roman"/>
                <w:b/>
                <w:bCs/>
                <w:sz w:val="20"/>
                <w:szCs w:val="20"/>
                <w:lang w:val="en-US" w:eastAsia="ru-RU"/>
              </w:rPr>
              <w:t>anuală</w:t>
            </w:r>
            <w:proofErr w:type="spellEnd"/>
          </w:p>
          <w:p w14:paraId="213FBB39" w14:textId="481C8994" w:rsidR="008F5636" w:rsidRPr="00905298" w:rsidRDefault="008F5636" w:rsidP="0094254C">
            <w:pPr>
              <w:spacing w:after="0" w:line="240" w:lineRule="auto"/>
              <w:jc w:val="both"/>
              <w:rPr>
                <w:rFonts w:ascii="Times New Roman" w:hAnsi="Times New Roman"/>
                <w:sz w:val="20"/>
                <w:szCs w:val="20"/>
                <w:lang w:val="en-US" w:eastAsia="ru-RU"/>
              </w:rPr>
            </w:pPr>
            <w:r w:rsidRPr="00905298">
              <w:rPr>
                <w:rFonts w:ascii="Times New Roman" w:hAnsi="Times New Roman"/>
                <w:sz w:val="20"/>
                <w:szCs w:val="20"/>
                <w:lang w:val="en-US" w:eastAsia="ru-RU"/>
              </w:rPr>
              <w:t>(</w:t>
            </w:r>
            <w:proofErr w:type="gramStart"/>
            <w:r w:rsidRPr="00905298">
              <w:rPr>
                <w:rFonts w:ascii="Times New Roman" w:hAnsi="Times New Roman"/>
                <w:sz w:val="20"/>
                <w:szCs w:val="20"/>
                <w:lang w:val="en-US" w:eastAsia="ru-RU"/>
              </w:rPr>
              <w:t>1)</w:t>
            </w:r>
            <w:proofErr w:type="spellStart"/>
            <w:r w:rsidRPr="00905298">
              <w:rPr>
                <w:rFonts w:ascii="Times New Roman" w:hAnsi="Times New Roman"/>
                <w:sz w:val="20"/>
                <w:szCs w:val="20"/>
                <w:lang w:val="en-US" w:eastAsia="ru-RU"/>
              </w:rPr>
              <w:t>Până</w:t>
            </w:r>
            <w:proofErr w:type="spellEnd"/>
            <w:proofErr w:type="gramEnd"/>
            <w:r w:rsidRPr="00905298">
              <w:rPr>
                <w:rFonts w:ascii="Times New Roman" w:hAnsi="Times New Roman"/>
                <w:sz w:val="20"/>
                <w:szCs w:val="20"/>
                <w:lang w:val="en-US" w:eastAsia="ru-RU"/>
              </w:rPr>
              <w:t xml:space="preserve"> la</w:t>
            </w:r>
            <w:r w:rsidR="001805D4" w:rsidRPr="00905298">
              <w:rPr>
                <w:rFonts w:ascii="Times New Roman" w:hAnsi="Times New Roman"/>
                <w:sz w:val="20"/>
                <w:szCs w:val="20"/>
                <w:lang w:val="en-US" w:eastAsia="ru-RU"/>
              </w:rPr>
              <w:t xml:space="preserve"> </w:t>
            </w:r>
            <w:r w:rsidRPr="00905298">
              <w:rPr>
                <w:rFonts w:ascii="Times New Roman" w:hAnsi="Times New Roman"/>
                <w:sz w:val="20"/>
                <w:szCs w:val="20"/>
                <w:lang w:val="en-US" w:eastAsia="ru-RU"/>
              </w:rPr>
              <w:t>15</w:t>
            </w:r>
            <w:r w:rsidR="001805D4"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martie</w:t>
            </w:r>
            <w:proofErr w:type="spellEnd"/>
            <w:r w:rsidR="001805D4" w:rsidRPr="00905298">
              <w:rPr>
                <w:rFonts w:ascii="Times New Roman" w:hAnsi="Times New Roman"/>
                <w:sz w:val="20"/>
                <w:szCs w:val="20"/>
                <w:lang w:val="en-US" w:eastAsia="ru-RU"/>
              </w:rPr>
              <w:t xml:space="preserve"> </w:t>
            </w:r>
            <w:r w:rsidRPr="00905298">
              <w:rPr>
                <w:rFonts w:ascii="Times New Roman" w:hAnsi="Times New Roman"/>
                <w:sz w:val="20"/>
                <w:szCs w:val="20"/>
                <w:lang w:val="en-US" w:eastAsia="ru-RU"/>
              </w:rPr>
              <w:t xml:space="preserve">2021 și, ulterior, în </w:t>
            </w:r>
            <w:proofErr w:type="spellStart"/>
            <w:r w:rsidRPr="00905298">
              <w:rPr>
                <w:rFonts w:ascii="Times New Roman" w:hAnsi="Times New Roman"/>
                <w:sz w:val="20"/>
                <w:szCs w:val="20"/>
                <w:lang w:val="en-US" w:eastAsia="ru-RU"/>
              </w:rPr>
              <w:t>fiecare</w:t>
            </w:r>
            <w:proofErr w:type="spellEnd"/>
            <w:r w:rsidRPr="00905298">
              <w:rPr>
                <w:rFonts w:ascii="Times New Roman" w:hAnsi="Times New Roman"/>
                <w:sz w:val="20"/>
                <w:szCs w:val="20"/>
                <w:lang w:val="en-US" w:eastAsia="ru-RU"/>
              </w:rPr>
              <w:t xml:space="preserve"> an (anul</w:t>
            </w:r>
            <w:r w:rsidR="001805D4" w:rsidRPr="00905298">
              <w:rPr>
                <w:rFonts w:ascii="Times New Roman" w:hAnsi="Times New Roman"/>
                <w:sz w:val="20"/>
                <w:szCs w:val="20"/>
                <w:lang w:val="en-US" w:eastAsia="ru-RU"/>
              </w:rPr>
              <w:t xml:space="preserve"> </w:t>
            </w:r>
            <w:r w:rsidRPr="00905298">
              <w:rPr>
                <w:rFonts w:ascii="Times New Roman" w:hAnsi="Times New Roman"/>
                <w:sz w:val="20"/>
                <w:szCs w:val="20"/>
                <w:lang w:val="en-US" w:eastAsia="ru-RU"/>
              </w:rPr>
              <w:t xml:space="preserve">X), </w:t>
            </w:r>
            <w:proofErr w:type="spellStart"/>
            <w:r w:rsidRPr="00905298">
              <w:rPr>
                <w:rFonts w:ascii="Times New Roman" w:hAnsi="Times New Roman"/>
                <w:sz w:val="20"/>
                <w:szCs w:val="20"/>
                <w:lang w:val="en-US" w:eastAsia="ru-RU"/>
              </w:rPr>
              <w:t>statele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membre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raportează</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Comisiei</w:t>
            </w:r>
            <w:proofErr w:type="spellEnd"/>
            <w:r w:rsidRPr="00905298">
              <w:rPr>
                <w:rFonts w:ascii="Times New Roman" w:hAnsi="Times New Roman"/>
                <w:sz w:val="20"/>
                <w:szCs w:val="20"/>
                <w:lang w:val="en-US" w:eastAsia="ru-RU"/>
              </w:rPr>
              <w:t>:</w:t>
            </w:r>
          </w:p>
          <w:p w14:paraId="09D6D646" w14:textId="04819F32" w:rsidR="00342436" w:rsidRPr="00905298" w:rsidRDefault="0094254C" w:rsidP="000C5A3B">
            <w:pPr>
              <w:pStyle w:val="af3"/>
              <w:numPr>
                <w:ilvl w:val="0"/>
                <w:numId w:val="120"/>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informațiile</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menționate</w:t>
            </w:r>
            <w:proofErr w:type="spellEnd"/>
            <w:r w:rsidRPr="00905298">
              <w:rPr>
                <w:rFonts w:ascii="Times New Roman" w:hAnsi="Times New Roman"/>
                <w:sz w:val="20"/>
                <w:szCs w:val="20"/>
                <w:lang w:val="fr-FR" w:eastAsia="ru-RU"/>
              </w:rPr>
              <w:t xml:space="preserve"> la </w:t>
            </w:r>
            <w:proofErr w:type="spellStart"/>
            <w:r w:rsidRPr="00905298">
              <w:rPr>
                <w:rFonts w:ascii="Times New Roman" w:hAnsi="Times New Roman"/>
                <w:sz w:val="20"/>
                <w:szCs w:val="20"/>
                <w:lang w:val="fr-FR" w:eastAsia="ru-RU"/>
              </w:rPr>
              <w:t>articolul</w:t>
            </w:r>
            <w:proofErr w:type="spellEnd"/>
            <w:r w:rsidRPr="00905298">
              <w:rPr>
                <w:rFonts w:ascii="Times New Roman" w:hAnsi="Times New Roman"/>
                <w:sz w:val="20"/>
                <w:szCs w:val="20"/>
                <w:lang w:val="fr-FR" w:eastAsia="ru-RU"/>
              </w:rPr>
              <w:t xml:space="preserve"> 6 </w:t>
            </w:r>
            <w:proofErr w:type="spellStart"/>
            <w:r w:rsidRPr="00905298">
              <w:rPr>
                <w:rFonts w:ascii="Times New Roman" w:hAnsi="Times New Roman"/>
                <w:sz w:val="20"/>
                <w:szCs w:val="20"/>
                <w:lang w:val="fr-FR" w:eastAsia="ru-RU"/>
              </w:rPr>
              <w:t>alineatul</w:t>
            </w:r>
            <w:proofErr w:type="spellEnd"/>
            <w:r w:rsidRPr="00905298">
              <w:rPr>
                <w:rFonts w:ascii="Times New Roman" w:hAnsi="Times New Roman"/>
                <w:sz w:val="20"/>
                <w:szCs w:val="20"/>
                <w:lang w:val="fr-FR" w:eastAsia="ru-RU"/>
              </w:rPr>
              <w:t xml:space="preserve"> (2)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Directiva</w:t>
            </w:r>
            <w:proofErr w:type="spellEnd"/>
            <w:r w:rsidRPr="00905298">
              <w:rPr>
                <w:rFonts w:ascii="Times New Roman" w:hAnsi="Times New Roman"/>
                <w:sz w:val="20"/>
                <w:szCs w:val="20"/>
                <w:lang w:val="fr-FR" w:eastAsia="ru-RU"/>
              </w:rPr>
              <w:t xml:space="preserve"> 2009/119/CE;</w:t>
            </w:r>
          </w:p>
          <w:p w14:paraId="7BC4F7DC" w14:textId="26094CDC" w:rsidR="0094254C" w:rsidRPr="00905298" w:rsidRDefault="0094254C" w:rsidP="000C5A3B">
            <w:pPr>
              <w:pStyle w:val="af3"/>
              <w:numPr>
                <w:ilvl w:val="0"/>
                <w:numId w:val="120"/>
              </w:numPr>
              <w:spacing w:after="0" w:line="240" w:lineRule="auto"/>
              <w:jc w:val="both"/>
              <w:rPr>
                <w:rFonts w:ascii="Times New Roman" w:hAnsi="Times New Roman"/>
                <w:sz w:val="20"/>
                <w:szCs w:val="20"/>
                <w:lang w:val="fr-FR" w:eastAsia="ru-RU"/>
              </w:rPr>
            </w:pPr>
            <w:proofErr w:type="spellStart"/>
            <w:r w:rsidRPr="00905298">
              <w:rPr>
                <w:rFonts w:ascii="Times New Roman" w:hAnsi="Times New Roman"/>
                <w:sz w:val="20"/>
                <w:szCs w:val="20"/>
                <w:lang w:val="en-US" w:eastAsia="ru-RU"/>
              </w:rPr>
              <w:t>informațiile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menționate</w:t>
            </w:r>
            <w:proofErr w:type="spellEnd"/>
            <w:r w:rsidRPr="00905298">
              <w:rPr>
                <w:rFonts w:ascii="Times New Roman" w:hAnsi="Times New Roman"/>
                <w:sz w:val="20"/>
                <w:szCs w:val="20"/>
                <w:lang w:val="en-US" w:eastAsia="ru-RU"/>
              </w:rPr>
              <w:t xml:space="preserve"> în </w:t>
            </w:r>
            <w:proofErr w:type="spellStart"/>
            <w:r w:rsidRPr="00905298">
              <w:rPr>
                <w:rFonts w:ascii="Times New Roman" w:hAnsi="Times New Roman"/>
                <w:sz w:val="20"/>
                <w:szCs w:val="20"/>
                <w:lang w:val="en-US" w:eastAsia="ru-RU"/>
              </w:rPr>
              <w:t>punctul</w:t>
            </w:r>
            <w:proofErr w:type="spellEnd"/>
            <w:r w:rsidRPr="00905298">
              <w:rPr>
                <w:rFonts w:ascii="Times New Roman" w:hAnsi="Times New Roman"/>
                <w:sz w:val="20"/>
                <w:szCs w:val="20"/>
                <w:lang w:val="en-US" w:eastAsia="ru-RU"/>
              </w:rPr>
              <w:t xml:space="preserve"> 3 din </w:t>
            </w:r>
            <w:proofErr w:type="spellStart"/>
            <w:r w:rsidRPr="00905298">
              <w:rPr>
                <w:rFonts w:ascii="Times New Roman" w:hAnsi="Times New Roman"/>
                <w:sz w:val="20"/>
                <w:szCs w:val="20"/>
                <w:lang w:val="en-US" w:eastAsia="ru-RU"/>
              </w:rPr>
              <w:t>anexa</w:t>
            </w:r>
            <w:proofErr w:type="spellEnd"/>
            <w:r w:rsidRPr="00905298">
              <w:rPr>
                <w:rFonts w:ascii="Times New Roman" w:hAnsi="Times New Roman"/>
                <w:sz w:val="20"/>
                <w:szCs w:val="20"/>
                <w:lang w:val="en-US" w:eastAsia="ru-RU"/>
              </w:rPr>
              <w:t xml:space="preserve"> IX la </w:t>
            </w:r>
            <w:proofErr w:type="spellStart"/>
            <w:r w:rsidRPr="00905298">
              <w:rPr>
                <w:rFonts w:ascii="Times New Roman" w:hAnsi="Times New Roman"/>
                <w:sz w:val="20"/>
                <w:szCs w:val="20"/>
                <w:lang w:val="en-US" w:eastAsia="ru-RU"/>
              </w:rPr>
              <w:t>Directiva</w:t>
            </w:r>
            <w:proofErr w:type="spellEnd"/>
            <w:r w:rsidRPr="00905298">
              <w:rPr>
                <w:rFonts w:ascii="Times New Roman" w:hAnsi="Times New Roman"/>
                <w:sz w:val="20"/>
                <w:szCs w:val="20"/>
                <w:lang w:val="en-US" w:eastAsia="ru-RU"/>
              </w:rPr>
              <w:t xml:space="preserve"> 2013/30/UE, în conformitate cu </w:t>
            </w:r>
            <w:proofErr w:type="spellStart"/>
            <w:r w:rsidRPr="00905298">
              <w:rPr>
                <w:rFonts w:ascii="Times New Roman" w:hAnsi="Times New Roman"/>
                <w:sz w:val="20"/>
                <w:szCs w:val="20"/>
                <w:lang w:val="en-US" w:eastAsia="ru-RU"/>
              </w:rPr>
              <w:t>articolul</w:t>
            </w:r>
            <w:proofErr w:type="spellEnd"/>
            <w:r w:rsidRPr="00905298">
              <w:rPr>
                <w:rFonts w:ascii="Times New Roman" w:hAnsi="Times New Roman"/>
                <w:sz w:val="20"/>
                <w:szCs w:val="20"/>
                <w:lang w:val="en-US" w:eastAsia="ru-RU"/>
              </w:rPr>
              <w:t xml:space="preserve"> 25 din </w:t>
            </w:r>
            <w:proofErr w:type="spellStart"/>
            <w:r w:rsidRPr="00905298">
              <w:rPr>
                <w:rFonts w:ascii="Times New Roman" w:hAnsi="Times New Roman"/>
                <w:sz w:val="20"/>
                <w:szCs w:val="20"/>
                <w:lang w:val="en-US" w:eastAsia="ru-RU"/>
              </w:rPr>
              <w:t>aceeași</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directivă</w:t>
            </w:r>
            <w:proofErr w:type="spellEnd"/>
            <w:r w:rsidRPr="00905298">
              <w:rPr>
                <w:rFonts w:ascii="Times New Roman" w:hAnsi="Times New Roman"/>
                <w:sz w:val="20"/>
                <w:szCs w:val="20"/>
                <w:lang w:val="en-US" w:eastAsia="ru-RU"/>
              </w:rPr>
              <w:t>.</w:t>
            </w:r>
          </w:p>
          <w:p w14:paraId="43A5869E" w14:textId="77777777" w:rsidR="0094254C" w:rsidRPr="00905298" w:rsidRDefault="0094254C" w:rsidP="0094254C">
            <w:pPr>
              <w:spacing w:after="0" w:line="240" w:lineRule="auto"/>
              <w:jc w:val="both"/>
              <w:rPr>
                <w:rFonts w:ascii="Times New Roman" w:hAnsi="Times New Roman"/>
                <w:sz w:val="20"/>
                <w:szCs w:val="20"/>
                <w:lang w:val="fr-FR"/>
              </w:rPr>
            </w:pPr>
            <w:r w:rsidRPr="00905298">
              <w:rPr>
                <w:rFonts w:ascii="Times New Roman" w:hAnsi="Times New Roman"/>
                <w:sz w:val="20"/>
                <w:szCs w:val="20"/>
                <w:lang w:val="fr-FR"/>
              </w:rPr>
              <w:t>(</w:t>
            </w:r>
            <w:proofErr w:type="gramStart"/>
            <w:r w:rsidRPr="00905298">
              <w:rPr>
                <w:rFonts w:ascii="Times New Roman" w:hAnsi="Times New Roman"/>
                <w:sz w:val="20"/>
                <w:szCs w:val="20"/>
                <w:lang w:val="fr-FR"/>
              </w:rPr>
              <w:t>2)</w:t>
            </w:r>
            <w:proofErr w:type="spellStart"/>
            <w:r w:rsidRPr="00905298">
              <w:rPr>
                <w:rFonts w:ascii="Times New Roman" w:hAnsi="Times New Roman"/>
                <w:sz w:val="20"/>
                <w:szCs w:val="20"/>
                <w:lang w:val="fr-FR"/>
              </w:rPr>
              <w:t>Până</w:t>
            </w:r>
            <w:proofErr w:type="spellEnd"/>
            <w:proofErr w:type="gramEnd"/>
            <w:r w:rsidRPr="00905298">
              <w:rPr>
                <w:rFonts w:ascii="Times New Roman" w:hAnsi="Times New Roman"/>
                <w:sz w:val="20"/>
                <w:szCs w:val="20"/>
                <w:lang w:val="fr-FR"/>
              </w:rPr>
              <w:t xml:space="preserve"> la data de 31 </w:t>
            </w:r>
            <w:proofErr w:type="spellStart"/>
            <w:r w:rsidRPr="00905298">
              <w:rPr>
                <w:rFonts w:ascii="Times New Roman" w:hAnsi="Times New Roman"/>
                <w:sz w:val="20"/>
                <w:szCs w:val="20"/>
                <w:lang w:val="fr-FR"/>
              </w:rPr>
              <w:t>iulie</w:t>
            </w:r>
            <w:proofErr w:type="spellEnd"/>
            <w:r w:rsidRPr="00905298">
              <w:rPr>
                <w:rFonts w:ascii="Times New Roman" w:hAnsi="Times New Roman"/>
                <w:sz w:val="20"/>
                <w:szCs w:val="20"/>
                <w:lang w:val="fr-FR"/>
              </w:rPr>
              <w:t xml:space="preserve"> 2021 și, </w:t>
            </w:r>
            <w:proofErr w:type="spellStart"/>
            <w:r w:rsidRPr="00905298">
              <w:rPr>
                <w:rFonts w:ascii="Times New Roman" w:hAnsi="Times New Roman"/>
                <w:sz w:val="20"/>
                <w:szCs w:val="20"/>
                <w:lang w:val="fr-FR"/>
              </w:rPr>
              <w:t>ulterior</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fiecare</w:t>
            </w:r>
            <w:proofErr w:type="spellEnd"/>
            <w:r w:rsidRPr="00905298">
              <w:rPr>
                <w:rFonts w:ascii="Times New Roman" w:hAnsi="Times New Roman"/>
                <w:sz w:val="20"/>
                <w:szCs w:val="20"/>
                <w:lang w:val="fr-FR"/>
              </w:rPr>
              <w:t xml:space="preserve"> an (anul X), </w:t>
            </w:r>
            <w:proofErr w:type="spellStart"/>
            <w:r w:rsidRPr="00905298">
              <w:rPr>
                <w:rFonts w:ascii="Times New Roman" w:hAnsi="Times New Roman"/>
                <w:sz w:val="20"/>
                <w:szCs w:val="20"/>
                <w:lang w:val="fr-FR"/>
              </w:rPr>
              <w:t>statele</w:t>
            </w:r>
            <w:proofErr w:type="spellEnd"/>
            <w:r w:rsidRPr="00905298">
              <w:rPr>
                <w:rFonts w:ascii="Times New Roman" w:hAnsi="Times New Roman"/>
                <w:sz w:val="20"/>
                <w:szCs w:val="20"/>
                <w:lang w:val="fr-FR"/>
              </w:rPr>
              <w:t xml:space="preserve"> membre </w:t>
            </w:r>
            <w:proofErr w:type="spellStart"/>
            <w:r w:rsidRPr="00905298">
              <w:rPr>
                <w:rFonts w:ascii="Times New Roman" w:hAnsi="Times New Roman"/>
                <w:sz w:val="20"/>
                <w:szCs w:val="20"/>
                <w:lang w:val="fr-FR"/>
              </w:rPr>
              <w:t>prezintă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Comisiei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inventarele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lor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armonizate</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pentru</w:t>
            </w:r>
            <w:proofErr w:type="spellEnd"/>
            <w:r w:rsidRPr="00905298">
              <w:rPr>
                <w:rFonts w:ascii="Times New Roman" w:hAnsi="Times New Roman"/>
                <w:sz w:val="20"/>
                <w:szCs w:val="20"/>
                <w:lang w:val="fr-FR"/>
              </w:rPr>
              <w:t xml:space="preserve"> anul X-1.</w:t>
            </w:r>
          </w:p>
          <w:p w14:paraId="57E9C49B" w14:textId="6AF7E8A9" w:rsidR="0094254C" w:rsidRDefault="0094254C" w:rsidP="0094254C">
            <w:pPr>
              <w:spacing w:after="0" w:line="240" w:lineRule="auto"/>
              <w:jc w:val="both"/>
              <w:rPr>
                <w:rFonts w:ascii="Times New Roman" w:hAnsi="Times New Roman"/>
                <w:sz w:val="20"/>
                <w:szCs w:val="20"/>
                <w:lang w:val="fr-FR"/>
              </w:rPr>
            </w:pPr>
            <w:r w:rsidRPr="00905298">
              <w:rPr>
                <w:rFonts w:ascii="Times New Roman" w:hAnsi="Times New Roman"/>
                <w:sz w:val="20"/>
                <w:szCs w:val="20"/>
                <w:lang w:val="fr-FR"/>
              </w:rPr>
              <w:t xml:space="preserve">În </w:t>
            </w:r>
            <w:proofErr w:type="spellStart"/>
            <w:r w:rsidRPr="00905298">
              <w:rPr>
                <w:rFonts w:ascii="Times New Roman" w:hAnsi="Times New Roman"/>
                <w:sz w:val="20"/>
                <w:szCs w:val="20"/>
                <w:lang w:val="fr-FR"/>
              </w:rPr>
              <w:t>sensul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prezentului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alineat</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baza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inventarelor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armonizate</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prezentate</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statele</w:t>
            </w:r>
            <w:proofErr w:type="spellEnd"/>
            <w:r w:rsidRPr="00905298">
              <w:rPr>
                <w:rFonts w:ascii="Times New Roman" w:hAnsi="Times New Roman"/>
                <w:sz w:val="20"/>
                <w:szCs w:val="20"/>
                <w:lang w:val="fr-FR"/>
              </w:rPr>
              <w:t xml:space="preserve"> membre </w:t>
            </w:r>
            <w:proofErr w:type="spellStart"/>
            <w:r w:rsidRPr="00905298">
              <w:rPr>
                <w:rFonts w:ascii="Times New Roman" w:hAnsi="Times New Roman"/>
                <w:sz w:val="20"/>
                <w:szCs w:val="20"/>
                <w:lang w:val="fr-FR"/>
              </w:rPr>
              <w:t>sau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dacă</w:t>
            </w:r>
            <w:proofErr w:type="spellEnd"/>
            <w:r w:rsidRPr="00905298">
              <w:rPr>
                <w:rFonts w:ascii="Times New Roman" w:hAnsi="Times New Roman"/>
                <w:sz w:val="20"/>
                <w:szCs w:val="20"/>
                <w:lang w:val="fr-FR"/>
              </w:rPr>
              <w:t xml:space="preserve"> un stat membru nu și-a </w:t>
            </w:r>
            <w:proofErr w:type="spellStart"/>
            <w:r w:rsidRPr="00905298">
              <w:rPr>
                <w:rFonts w:ascii="Times New Roman" w:hAnsi="Times New Roman"/>
                <w:sz w:val="20"/>
                <w:szCs w:val="20"/>
                <w:lang w:val="fr-FR"/>
              </w:rPr>
              <w:t>prezentat</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inventarele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armonizate</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până</w:t>
            </w:r>
            <w:proofErr w:type="spellEnd"/>
            <w:r w:rsidRPr="00905298">
              <w:rPr>
                <w:rFonts w:ascii="Times New Roman" w:hAnsi="Times New Roman"/>
                <w:sz w:val="20"/>
                <w:szCs w:val="20"/>
                <w:lang w:val="fr-FR"/>
              </w:rPr>
              <w:t xml:space="preserve"> la data </w:t>
            </w:r>
            <w:proofErr w:type="spellStart"/>
            <w:r w:rsidRPr="00905298">
              <w:rPr>
                <w:rFonts w:ascii="Times New Roman" w:hAnsi="Times New Roman"/>
                <w:sz w:val="20"/>
                <w:szCs w:val="20"/>
                <w:lang w:val="fr-FR"/>
              </w:rPr>
              <w:t>respectivă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baza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propriilor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estimări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Comisia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compilează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anual</w:t>
            </w:r>
            <w:proofErr w:type="spellEnd"/>
            <w:r w:rsidRPr="00905298">
              <w:rPr>
                <w:rFonts w:ascii="Times New Roman" w:hAnsi="Times New Roman"/>
                <w:sz w:val="20"/>
                <w:szCs w:val="20"/>
                <w:lang w:val="fr-FR"/>
              </w:rPr>
              <w:t xml:space="preserve"> un </w:t>
            </w:r>
            <w:proofErr w:type="spellStart"/>
            <w:r w:rsidRPr="00905298">
              <w:rPr>
                <w:rFonts w:ascii="Times New Roman" w:hAnsi="Times New Roman"/>
                <w:sz w:val="20"/>
                <w:szCs w:val="20"/>
                <w:lang w:val="fr-FR"/>
              </w:rPr>
              <w:t>inventar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armonizat</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la </w:t>
            </w:r>
            <w:proofErr w:type="spellStart"/>
            <w:r w:rsidRPr="00905298">
              <w:rPr>
                <w:rFonts w:ascii="Times New Roman" w:hAnsi="Times New Roman"/>
                <w:sz w:val="20"/>
                <w:szCs w:val="20"/>
                <w:lang w:val="fr-FR"/>
              </w:rPr>
              <w:t>nivelul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Uniunii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Comisia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pune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aceste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informații</w:t>
            </w:r>
            <w:proofErr w:type="spellEnd"/>
            <w:r w:rsidRPr="00905298">
              <w:rPr>
                <w:rFonts w:ascii="Times New Roman" w:hAnsi="Times New Roman"/>
                <w:sz w:val="20"/>
                <w:szCs w:val="20"/>
                <w:lang w:val="fr-FR"/>
              </w:rPr>
              <w:t xml:space="preserve"> la </w:t>
            </w:r>
            <w:proofErr w:type="spellStart"/>
            <w:r w:rsidRPr="00905298">
              <w:rPr>
                <w:rFonts w:ascii="Times New Roman" w:hAnsi="Times New Roman"/>
                <w:sz w:val="20"/>
                <w:szCs w:val="20"/>
                <w:lang w:val="fr-FR"/>
              </w:rPr>
              <w:t>dispoziția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publicului</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fiecare</w:t>
            </w:r>
            <w:proofErr w:type="spellEnd"/>
            <w:r w:rsidRPr="00905298">
              <w:rPr>
                <w:rFonts w:ascii="Times New Roman" w:hAnsi="Times New Roman"/>
                <w:sz w:val="20"/>
                <w:szCs w:val="20"/>
                <w:lang w:val="fr-FR"/>
              </w:rPr>
              <w:t xml:space="preserve"> an </w:t>
            </w:r>
            <w:proofErr w:type="spellStart"/>
            <w:r w:rsidRPr="00905298">
              <w:rPr>
                <w:rFonts w:ascii="Times New Roman" w:hAnsi="Times New Roman"/>
                <w:sz w:val="20"/>
                <w:szCs w:val="20"/>
                <w:lang w:val="fr-FR"/>
              </w:rPr>
              <w:t>până</w:t>
            </w:r>
            <w:proofErr w:type="spellEnd"/>
            <w:r w:rsidRPr="00905298">
              <w:rPr>
                <w:rFonts w:ascii="Times New Roman" w:hAnsi="Times New Roman"/>
                <w:sz w:val="20"/>
                <w:szCs w:val="20"/>
                <w:lang w:val="fr-FR"/>
              </w:rPr>
              <w:t xml:space="preserve"> la data de 30 </w:t>
            </w:r>
            <w:proofErr w:type="spellStart"/>
            <w:r w:rsidRPr="00905298">
              <w:rPr>
                <w:rFonts w:ascii="Times New Roman" w:hAnsi="Times New Roman"/>
                <w:sz w:val="20"/>
                <w:szCs w:val="20"/>
                <w:lang w:val="fr-FR"/>
              </w:rPr>
              <w:t>septembrie</w:t>
            </w:r>
            <w:proofErr w:type="spellEnd"/>
            <w:r w:rsidRPr="00905298">
              <w:rPr>
                <w:rFonts w:ascii="Times New Roman" w:hAnsi="Times New Roman"/>
                <w:sz w:val="20"/>
                <w:szCs w:val="20"/>
                <w:lang w:val="fr-FR"/>
              </w:rPr>
              <w:t>.</w:t>
            </w:r>
          </w:p>
          <w:p w14:paraId="66DA12CB" w14:textId="58631A88" w:rsidR="00373D90" w:rsidRPr="00373D90" w:rsidRDefault="00000000" w:rsidP="0094254C">
            <w:pPr>
              <w:spacing w:after="0" w:line="240" w:lineRule="auto"/>
              <w:jc w:val="both"/>
              <w:rPr>
                <w:rFonts w:ascii="Times New Roman" w:hAnsi="Times New Roman"/>
                <w:sz w:val="20"/>
                <w:szCs w:val="20"/>
                <w:lang w:val="fr-FR"/>
              </w:rPr>
            </w:pPr>
            <w:hyperlink r:id="rId32" w:tooltip="32023R0857: REPLACED" w:history="1">
              <w:r w:rsidR="00373D90" w:rsidRPr="00373D90">
                <w:rPr>
                  <w:rStyle w:val="af6"/>
                  <w:rFonts w:ascii="Times New Roman" w:eastAsia="Arial Unicode MS" w:hAnsi="Times New Roman"/>
                  <w:b/>
                  <w:bCs/>
                  <w:color w:val="23527C"/>
                  <w:sz w:val="20"/>
                  <w:szCs w:val="20"/>
                  <w:shd w:val="clear" w:color="auto" w:fill="FFFFFF"/>
                  <w:lang w:val="fr-FR"/>
                </w:rPr>
                <w:t>▼M4</w:t>
              </w:r>
            </w:hyperlink>
          </w:p>
          <w:p w14:paraId="66CF8E61" w14:textId="3E054187" w:rsidR="0094254C" w:rsidRDefault="0094254C" w:rsidP="0094254C">
            <w:pPr>
              <w:spacing w:after="0" w:line="240" w:lineRule="auto"/>
              <w:jc w:val="both"/>
              <w:rPr>
                <w:rFonts w:ascii="Times New Roman" w:eastAsia="Arial Unicode MS" w:hAnsi="Times New Roman"/>
                <w:color w:val="333333"/>
                <w:sz w:val="20"/>
                <w:szCs w:val="20"/>
                <w:shd w:val="clear" w:color="auto" w:fill="FFFFFF"/>
                <w:lang w:val="fr-FR"/>
              </w:rPr>
            </w:pPr>
            <w:r w:rsidRPr="00373D90">
              <w:rPr>
                <w:rFonts w:ascii="Times New Roman" w:hAnsi="Times New Roman"/>
                <w:sz w:val="20"/>
                <w:szCs w:val="20"/>
                <w:shd w:val="clear" w:color="auto" w:fill="FFFFFF"/>
                <w:lang w:val="fr-FR"/>
              </w:rPr>
              <w:t>(3)</w:t>
            </w:r>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Începând</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din</w:t>
            </w:r>
            <w:proofErr w:type="spellEnd"/>
            <w:r w:rsidR="00373D90" w:rsidRPr="00373D90">
              <w:rPr>
                <w:rFonts w:ascii="Times New Roman" w:eastAsia="Arial Unicode MS" w:hAnsi="Times New Roman"/>
                <w:color w:val="333333"/>
                <w:sz w:val="20"/>
                <w:szCs w:val="20"/>
                <w:shd w:val="clear" w:color="auto" w:fill="FFFFFF"/>
                <w:lang w:val="fr-FR"/>
              </w:rPr>
              <w:t xml:space="preserve"> 2023, </w:t>
            </w:r>
            <w:proofErr w:type="spellStart"/>
            <w:r w:rsidR="00373D90" w:rsidRPr="00373D90">
              <w:rPr>
                <w:rFonts w:ascii="Times New Roman" w:eastAsia="Arial Unicode MS" w:hAnsi="Times New Roman"/>
                <w:color w:val="333333"/>
                <w:sz w:val="20"/>
                <w:szCs w:val="20"/>
                <w:shd w:val="clear" w:color="auto" w:fill="FFFFFF"/>
                <w:lang w:val="fr-FR"/>
              </w:rPr>
              <w:t>statele</w:t>
            </w:r>
            <w:proofErr w:type="spellEnd"/>
            <w:r w:rsidR="00373D90" w:rsidRPr="00373D90">
              <w:rPr>
                <w:rFonts w:ascii="Times New Roman" w:eastAsia="Arial Unicode MS" w:hAnsi="Times New Roman"/>
                <w:color w:val="333333"/>
                <w:sz w:val="20"/>
                <w:szCs w:val="20"/>
                <w:shd w:val="clear" w:color="auto" w:fill="FFFFFF"/>
                <w:lang w:val="fr-FR"/>
              </w:rPr>
              <w:t xml:space="preserve"> membre </w:t>
            </w:r>
            <w:proofErr w:type="spellStart"/>
            <w:r w:rsidR="00373D90" w:rsidRPr="00373D90">
              <w:rPr>
                <w:rFonts w:ascii="Times New Roman" w:eastAsia="Arial Unicode MS" w:hAnsi="Times New Roman"/>
                <w:color w:val="333333"/>
                <w:sz w:val="20"/>
                <w:szCs w:val="20"/>
                <w:shd w:val="clear" w:color="auto" w:fill="FFFFFF"/>
                <w:lang w:val="fr-FR"/>
              </w:rPr>
              <w:t>stabilesc</w:t>
            </w:r>
            <w:proofErr w:type="spellEnd"/>
            <w:r w:rsidR="00373D90" w:rsidRPr="00373D90">
              <w:rPr>
                <w:rFonts w:ascii="Times New Roman" w:eastAsia="Arial Unicode MS" w:hAnsi="Times New Roman"/>
                <w:color w:val="333333"/>
                <w:sz w:val="20"/>
                <w:szCs w:val="20"/>
                <w:shd w:val="clear" w:color="auto" w:fill="FFFFFF"/>
                <w:lang w:val="fr-FR"/>
              </w:rPr>
              <w:t xml:space="preserve"> și </w:t>
            </w:r>
            <w:proofErr w:type="spellStart"/>
            <w:r w:rsidR="00373D90" w:rsidRPr="00373D90">
              <w:rPr>
                <w:rFonts w:ascii="Times New Roman" w:eastAsia="Arial Unicode MS" w:hAnsi="Times New Roman"/>
                <w:color w:val="333333"/>
                <w:sz w:val="20"/>
                <w:szCs w:val="20"/>
                <w:shd w:val="clear" w:color="auto" w:fill="FFFFFF"/>
                <w:lang w:val="fr-FR"/>
              </w:rPr>
              <w:t>raportează</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Comisiei</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până</w:t>
            </w:r>
            <w:proofErr w:type="spellEnd"/>
            <w:r w:rsidR="00373D90" w:rsidRPr="00373D90">
              <w:rPr>
                <w:rFonts w:ascii="Times New Roman" w:eastAsia="Arial Unicode MS" w:hAnsi="Times New Roman"/>
                <w:color w:val="333333"/>
                <w:sz w:val="20"/>
                <w:szCs w:val="20"/>
                <w:shd w:val="clear" w:color="auto" w:fill="FFFFFF"/>
                <w:lang w:val="fr-FR"/>
              </w:rPr>
              <w:t xml:space="preserve"> la data de 15</w:t>
            </w:r>
            <w:r w:rsid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martie</w:t>
            </w:r>
            <w:proofErr w:type="spellEnd"/>
            <w:r w:rsidR="00373D90" w:rsidRPr="00373D90">
              <w:rPr>
                <w:rFonts w:ascii="Times New Roman" w:eastAsia="Arial Unicode MS" w:hAnsi="Times New Roman"/>
                <w:color w:val="333333"/>
                <w:sz w:val="20"/>
                <w:szCs w:val="20"/>
                <w:shd w:val="clear" w:color="auto" w:fill="FFFFFF"/>
                <w:lang w:val="fr-FR"/>
              </w:rPr>
              <w:t xml:space="preserve"> a </w:t>
            </w:r>
            <w:proofErr w:type="spellStart"/>
            <w:r w:rsidR="00373D90" w:rsidRPr="00373D90">
              <w:rPr>
                <w:rFonts w:ascii="Times New Roman" w:eastAsia="Arial Unicode MS" w:hAnsi="Times New Roman"/>
                <w:color w:val="333333"/>
                <w:sz w:val="20"/>
                <w:szCs w:val="20"/>
                <w:shd w:val="clear" w:color="auto" w:fill="FFFFFF"/>
                <w:lang w:val="fr-FR"/>
              </w:rPr>
              <w:t>fiecărui</w:t>
            </w:r>
            <w:proofErr w:type="spellEnd"/>
            <w:r w:rsidR="00373D90" w:rsidRPr="00373D90">
              <w:rPr>
                <w:rFonts w:ascii="Times New Roman" w:eastAsia="Arial Unicode MS" w:hAnsi="Times New Roman"/>
                <w:color w:val="333333"/>
                <w:sz w:val="20"/>
                <w:szCs w:val="20"/>
                <w:shd w:val="clear" w:color="auto" w:fill="FFFFFF"/>
                <w:lang w:val="fr-FR"/>
              </w:rPr>
              <w:t xml:space="preserve"> an (anul</w:t>
            </w:r>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X), </w:t>
            </w:r>
            <w:proofErr w:type="spellStart"/>
            <w:r w:rsidR="00373D90" w:rsidRPr="00373D90">
              <w:rPr>
                <w:rFonts w:ascii="Times New Roman" w:eastAsia="Arial Unicode MS" w:hAnsi="Times New Roman"/>
                <w:color w:val="333333"/>
                <w:sz w:val="20"/>
                <w:szCs w:val="20"/>
                <w:shd w:val="clear" w:color="auto" w:fill="FFFFFF"/>
                <w:lang w:val="fr-FR"/>
              </w:rPr>
              <w:t>datele</w:t>
            </w:r>
            <w:proofErr w:type="spellEnd"/>
            <w:r w:rsidR="00373D90" w:rsidRPr="00373D90">
              <w:rPr>
                <w:rFonts w:ascii="Times New Roman" w:eastAsia="Arial Unicode MS" w:hAnsi="Times New Roman"/>
                <w:color w:val="333333"/>
                <w:sz w:val="20"/>
                <w:szCs w:val="20"/>
                <w:shd w:val="clear" w:color="auto" w:fill="FFFFFF"/>
                <w:lang w:val="fr-FR"/>
              </w:rPr>
              <w:t xml:space="preserve"> finale ale </w:t>
            </w:r>
            <w:proofErr w:type="spellStart"/>
            <w:r w:rsidR="00373D90" w:rsidRPr="00373D90">
              <w:rPr>
                <w:rFonts w:ascii="Times New Roman" w:eastAsia="Arial Unicode MS" w:hAnsi="Times New Roman"/>
                <w:color w:val="333333"/>
                <w:sz w:val="20"/>
                <w:szCs w:val="20"/>
                <w:shd w:val="clear" w:color="auto" w:fill="FFFFFF"/>
                <w:lang w:val="fr-FR"/>
              </w:rPr>
              <w:t>inventarelor</w:t>
            </w:r>
            <w:proofErr w:type="spellEnd"/>
            <w:r w:rsidR="00373D90" w:rsidRPr="00373D90">
              <w:rPr>
                <w:rFonts w:ascii="Times New Roman" w:eastAsia="Arial Unicode MS" w:hAnsi="Times New Roman"/>
                <w:color w:val="333333"/>
                <w:sz w:val="20"/>
                <w:szCs w:val="20"/>
                <w:shd w:val="clear" w:color="auto" w:fill="FFFFFF"/>
                <w:lang w:val="fr-FR"/>
              </w:rPr>
              <w:t xml:space="preserve"> de gaze </w:t>
            </w:r>
            <w:proofErr w:type="spellStart"/>
            <w:r w:rsidR="00373D90" w:rsidRPr="00373D90">
              <w:rPr>
                <w:rFonts w:ascii="Times New Roman" w:eastAsia="Arial Unicode MS" w:hAnsi="Times New Roman"/>
                <w:color w:val="333333"/>
                <w:sz w:val="20"/>
                <w:szCs w:val="20"/>
                <w:shd w:val="clear" w:color="auto" w:fill="FFFFFF"/>
                <w:lang w:val="fr-FR"/>
              </w:rPr>
              <w:t>cu</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efect</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seră</w:t>
            </w:r>
            <w:proofErr w:type="spellEnd"/>
            <w:r w:rsidR="00373D90" w:rsidRPr="00373D90">
              <w:rPr>
                <w:rFonts w:ascii="Times New Roman" w:eastAsia="Arial Unicode MS" w:hAnsi="Times New Roman"/>
                <w:color w:val="333333"/>
                <w:sz w:val="20"/>
                <w:szCs w:val="20"/>
                <w:shd w:val="clear" w:color="auto" w:fill="FFFFFF"/>
                <w:lang w:val="fr-FR"/>
              </w:rPr>
              <w:t xml:space="preserve"> și, </w:t>
            </w:r>
            <w:proofErr w:type="spellStart"/>
            <w:r w:rsidR="00373D90" w:rsidRPr="00373D90">
              <w:rPr>
                <w:rFonts w:ascii="Times New Roman" w:eastAsia="Arial Unicode MS" w:hAnsi="Times New Roman"/>
                <w:color w:val="333333"/>
                <w:sz w:val="20"/>
                <w:szCs w:val="20"/>
                <w:shd w:val="clear" w:color="auto" w:fill="FFFFFF"/>
                <w:lang w:val="fr-FR"/>
              </w:rPr>
              <w:t>până</w:t>
            </w:r>
            <w:proofErr w:type="spellEnd"/>
            <w:r w:rsidR="00373D90" w:rsidRPr="00373D90">
              <w:rPr>
                <w:rFonts w:ascii="Times New Roman" w:eastAsia="Arial Unicode MS" w:hAnsi="Times New Roman"/>
                <w:color w:val="333333"/>
                <w:sz w:val="20"/>
                <w:szCs w:val="20"/>
                <w:shd w:val="clear" w:color="auto" w:fill="FFFFFF"/>
                <w:lang w:val="fr-FR"/>
              </w:rPr>
              <w:t xml:space="preserve"> la data de 15</w:t>
            </w:r>
            <w:r w:rsid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ianuarie</w:t>
            </w:r>
            <w:proofErr w:type="spellEnd"/>
            <w:r w:rsidR="00373D90" w:rsidRPr="00373D90">
              <w:rPr>
                <w:rFonts w:ascii="Times New Roman" w:eastAsia="Arial Unicode MS" w:hAnsi="Times New Roman"/>
                <w:color w:val="333333"/>
                <w:sz w:val="20"/>
                <w:szCs w:val="20"/>
                <w:shd w:val="clear" w:color="auto" w:fill="FFFFFF"/>
                <w:lang w:val="fr-FR"/>
              </w:rPr>
              <w:t xml:space="preserve"> a </w:t>
            </w:r>
            <w:proofErr w:type="spellStart"/>
            <w:r w:rsidR="00373D90" w:rsidRPr="00373D90">
              <w:rPr>
                <w:rFonts w:ascii="Times New Roman" w:eastAsia="Arial Unicode MS" w:hAnsi="Times New Roman"/>
                <w:color w:val="333333"/>
                <w:sz w:val="20"/>
                <w:szCs w:val="20"/>
                <w:shd w:val="clear" w:color="auto" w:fill="FFFFFF"/>
                <w:lang w:val="fr-FR"/>
              </w:rPr>
              <w:t>fiecărui</w:t>
            </w:r>
            <w:proofErr w:type="spellEnd"/>
            <w:r w:rsidR="00373D90" w:rsidRPr="00373D90">
              <w:rPr>
                <w:rFonts w:ascii="Times New Roman" w:eastAsia="Arial Unicode MS" w:hAnsi="Times New Roman"/>
                <w:color w:val="333333"/>
                <w:sz w:val="20"/>
                <w:szCs w:val="20"/>
                <w:shd w:val="clear" w:color="auto" w:fill="FFFFFF"/>
                <w:lang w:val="fr-FR"/>
              </w:rPr>
              <w:t xml:space="preserve"> an, </w:t>
            </w:r>
            <w:proofErr w:type="spellStart"/>
            <w:r w:rsidR="00373D90" w:rsidRPr="00373D90">
              <w:rPr>
                <w:rFonts w:ascii="Times New Roman" w:eastAsia="Arial Unicode MS" w:hAnsi="Times New Roman"/>
                <w:color w:val="333333"/>
                <w:sz w:val="20"/>
                <w:szCs w:val="20"/>
                <w:shd w:val="clear" w:color="auto" w:fill="FFFFFF"/>
                <w:lang w:val="fr-FR"/>
              </w:rPr>
              <w:t>datele</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preliminare</w:t>
            </w:r>
            <w:proofErr w:type="spellEnd"/>
            <w:r w:rsidR="00373D90" w:rsidRPr="00373D90">
              <w:rPr>
                <w:rFonts w:ascii="Times New Roman" w:eastAsia="Arial Unicode MS" w:hAnsi="Times New Roman"/>
                <w:color w:val="333333"/>
                <w:sz w:val="20"/>
                <w:szCs w:val="20"/>
                <w:shd w:val="clear" w:color="auto" w:fill="FFFFFF"/>
                <w:lang w:val="fr-FR"/>
              </w:rPr>
              <w:t xml:space="preserve"> ale </w:t>
            </w:r>
            <w:proofErr w:type="spellStart"/>
            <w:r w:rsidR="00373D90" w:rsidRPr="00373D90">
              <w:rPr>
                <w:rFonts w:ascii="Times New Roman" w:eastAsia="Arial Unicode MS" w:hAnsi="Times New Roman"/>
                <w:color w:val="333333"/>
                <w:sz w:val="20"/>
                <w:szCs w:val="20"/>
                <w:shd w:val="clear" w:color="auto" w:fill="FFFFFF"/>
                <w:lang w:val="fr-FR"/>
              </w:rPr>
              <w:t>inventarelor</w:t>
            </w:r>
            <w:proofErr w:type="spellEnd"/>
            <w:r w:rsidR="00373D90" w:rsidRPr="00373D90">
              <w:rPr>
                <w:rFonts w:ascii="Times New Roman" w:eastAsia="Arial Unicode MS" w:hAnsi="Times New Roman"/>
                <w:color w:val="333333"/>
                <w:sz w:val="20"/>
                <w:szCs w:val="20"/>
                <w:shd w:val="clear" w:color="auto" w:fill="FFFFFF"/>
                <w:lang w:val="fr-FR"/>
              </w:rPr>
              <w:t xml:space="preserve"> de gaze </w:t>
            </w:r>
            <w:proofErr w:type="spellStart"/>
            <w:r w:rsidR="00373D90" w:rsidRPr="00373D90">
              <w:rPr>
                <w:rFonts w:ascii="Times New Roman" w:eastAsia="Arial Unicode MS" w:hAnsi="Times New Roman"/>
                <w:color w:val="333333"/>
                <w:sz w:val="20"/>
                <w:szCs w:val="20"/>
                <w:shd w:val="clear" w:color="auto" w:fill="FFFFFF"/>
                <w:lang w:val="fr-FR"/>
              </w:rPr>
              <w:t>cu</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efect</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seră</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incluzând</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gazele</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cu</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efect</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seră</w:t>
            </w:r>
            <w:proofErr w:type="spellEnd"/>
            <w:r w:rsidR="00373D90" w:rsidRPr="00373D90">
              <w:rPr>
                <w:rFonts w:ascii="Times New Roman" w:eastAsia="Arial Unicode MS" w:hAnsi="Times New Roman"/>
                <w:color w:val="333333"/>
                <w:sz w:val="20"/>
                <w:szCs w:val="20"/>
                <w:shd w:val="clear" w:color="auto" w:fill="FFFFFF"/>
                <w:lang w:val="fr-FR"/>
              </w:rPr>
              <w:t xml:space="preserve"> și </w:t>
            </w:r>
            <w:proofErr w:type="spellStart"/>
            <w:r w:rsidR="00373D90" w:rsidRPr="00373D90">
              <w:rPr>
                <w:rFonts w:ascii="Times New Roman" w:eastAsia="Arial Unicode MS" w:hAnsi="Times New Roman"/>
                <w:color w:val="333333"/>
                <w:sz w:val="20"/>
                <w:szCs w:val="20"/>
                <w:shd w:val="clear" w:color="auto" w:fill="FFFFFF"/>
                <w:lang w:val="fr-FR"/>
              </w:rPr>
              <w:t>informațiile</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referitoare</w:t>
            </w:r>
            <w:proofErr w:type="spellEnd"/>
            <w:r w:rsidR="00373D90" w:rsidRP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lastRenderedPageBreak/>
              <w:t xml:space="preserve">la </w:t>
            </w:r>
            <w:proofErr w:type="spellStart"/>
            <w:r w:rsidR="00373D90" w:rsidRPr="00373D90">
              <w:rPr>
                <w:rFonts w:ascii="Times New Roman" w:eastAsia="Arial Unicode MS" w:hAnsi="Times New Roman"/>
                <w:color w:val="333333"/>
                <w:sz w:val="20"/>
                <w:szCs w:val="20"/>
                <w:shd w:val="clear" w:color="auto" w:fill="FFFFFF"/>
                <w:lang w:val="fr-FR"/>
              </w:rPr>
              <w:t>inventar</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enumerate</w:t>
            </w:r>
            <w:proofErr w:type="spellEnd"/>
            <w:r w:rsidR="00373D90" w:rsidRPr="00373D90">
              <w:rPr>
                <w:rFonts w:ascii="Times New Roman" w:eastAsia="Arial Unicode MS" w:hAnsi="Times New Roman"/>
                <w:color w:val="333333"/>
                <w:sz w:val="20"/>
                <w:szCs w:val="20"/>
                <w:shd w:val="clear" w:color="auto" w:fill="FFFFFF"/>
                <w:lang w:val="fr-FR"/>
              </w:rPr>
              <w:t xml:space="preserve"> în </w:t>
            </w:r>
            <w:proofErr w:type="spellStart"/>
            <w:r w:rsidR="00373D90" w:rsidRPr="00373D90">
              <w:rPr>
                <w:rFonts w:ascii="Times New Roman" w:eastAsia="Arial Unicode MS" w:hAnsi="Times New Roman"/>
                <w:color w:val="333333"/>
                <w:sz w:val="20"/>
                <w:szCs w:val="20"/>
                <w:shd w:val="clear" w:color="auto" w:fill="FFFFFF"/>
                <w:lang w:val="fr-FR"/>
              </w:rPr>
              <w:t>anexa</w:t>
            </w:r>
            <w:proofErr w:type="spellEnd"/>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V. </w:t>
            </w:r>
            <w:proofErr w:type="spellStart"/>
            <w:r w:rsidR="00373D90" w:rsidRPr="00373D90">
              <w:rPr>
                <w:rFonts w:ascii="Times New Roman" w:eastAsia="Arial Unicode MS" w:hAnsi="Times New Roman"/>
                <w:color w:val="333333"/>
                <w:sz w:val="20"/>
                <w:szCs w:val="20"/>
                <w:shd w:val="clear" w:color="auto" w:fill="FFFFFF"/>
                <w:lang w:val="fr-FR"/>
              </w:rPr>
              <w:t>Raportul</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privind</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datele</w:t>
            </w:r>
            <w:proofErr w:type="spellEnd"/>
            <w:r w:rsidR="00373D90" w:rsidRPr="00373D90">
              <w:rPr>
                <w:rFonts w:ascii="Times New Roman" w:eastAsia="Arial Unicode MS" w:hAnsi="Times New Roman"/>
                <w:color w:val="333333"/>
                <w:sz w:val="20"/>
                <w:szCs w:val="20"/>
                <w:shd w:val="clear" w:color="auto" w:fill="FFFFFF"/>
                <w:lang w:val="fr-FR"/>
              </w:rPr>
              <w:t xml:space="preserve"> finale ale </w:t>
            </w:r>
            <w:proofErr w:type="spellStart"/>
            <w:r w:rsidR="00373D90" w:rsidRPr="00373D90">
              <w:rPr>
                <w:rFonts w:ascii="Times New Roman" w:eastAsia="Arial Unicode MS" w:hAnsi="Times New Roman"/>
                <w:color w:val="333333"/>
                <w:sz w:val="20"/>
                <w:szCs w:val="20"/>
                <w:shd w:val="clear" w:color="auto" w:fill="FFFFFF"/>
                <w:lang w:val="fr-FR"/>
              </w:rPr>
              <w:t>inventarelor</w:t>
            </w:r>
            <w:proofErr w:type="spellEnd"/>
            <w:r w:rsidR="00373D90" w:rsidRPr="00373D90">
              <w:rPr>
                <w:rFonts w:ascii="Times New Roman" w:eastAsia="Arial Unicode MS" w:hAnsi="Times New Roman"/>
                <w:color w:val="333333"/>
                <w:sz w:val="20"/>
                <w:szCs w:val="20"/>
                <w:shd w:val="clear" w:color="auto" w:fill="FFFFFF"/>
                <w:lang w:val="fr-FR"/>
              </w:rPr>
              <w:t xml:space="preserve"> de gaze </w:t>
            </w:r>
            <w:proofErr w:type="spellStart"/>
            <w:r w:rsidR="00373D90" w:rsidRPr="00373D90">
              <w:rPr>
                <w:rFonts w:ascii="Times New Roman" w:eastAsia="Arial Unicode MS" w:hAnsi="Times New Roman"/>
                <w:color w:val="333333"/>
                <w:sz w:val="20"/>
                <w:szCs w:val="20"/>
                <w:shd w:val="clear" w:color="auto" w:fill="FFFFFF"/>
                <w:lang w:val="fr-FR"/>
              </w:rPr>
              <w:t>cu</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efect</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seră</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cuprinde</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asemenea</w:t>
            </w:r>
            <w:proofErr w:type="spellEnd"/>
            <w:r w:rsidR="00373D90" w:rsidRPr="00373D90">
              <w:rPr>
                <w:rFonts w:ascii="Times New Roman" w:eastAsia="Arial Unicode MS" w:hAnsi="Times New Roman"/>
                <w:color w:val="333333"/>
                <w:sz w:val="20"/>
                <w:szCs w:val="20"/>
                <w:shd w:val="clear" w:color="auto" w:fill="FFFFFF"/>
                <w:lang w:val="fr-FR"/>
              </w:rPr>
              <w:t xml:space="preserve">, un </w:t>
            </w:r>
            <w:proofErr w:type="spellStart"/>
            <w:r w:rsidR="00373D90" w:rsidRPr="00373D90">
              <w:rPr>
                <w:rFonts w:ascii="Times New Roman" w:eastAsia="Arial Unicode MS" w:hAnsi="Times New Roman"/>
                <w:color w:val="333333"/>
                <w:sz w:val="20"/>
                <w:szCs w:val="20"/>
                <w:shd w:val="clear" w:color="auto" w:fill="FFFFFF"/>
                <w:lang w:val="fr-FR"/>
              </w:rPr>
              <w:t>raport</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inventariere</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național</w:t>
            </w:r>
            <w:proofErr w:type="spellEnd"/>
            <w:r w:rsidR="00373D90" w:rsidRPr="00373D90">
              <w:rPr>
                <w:rFonts w:ascii="Times New Roman" w:eastAsia="Arial Unicode MS" w:hAnsi="Times New Roman"/>
                <w:color w:val="333333"/>
                <w:sz w:val="20"/>
                <w:szCs w:val="20"/>
                <w:shd w:val="clear" w:color="auto" w:fill="FFFFFF"/>
                <w:lang w:val="fr-FR"/>
              </w:rPr>
              <w:t xml:space="preserve"> complet și </w:t>
            </w:r>
            <w:proofErr w:type="spellStart"/>
            <w:r w:rsidR="00373D90" w:rsidRPr="00373D90">
              <w:rPr>
                <w:rFonts w:ascii="Times New Roman" w:eastAsia="Arial Unicode MS" w:hAnsi="Times New Roman"/>
                <w:color w:val="333333"/>
                <w:sz w:val="20"/>
                <w:szCs w:val="20"/>
                <w:shd w:val="clear" w:color="auto" w:fill="FFFFFF"/>
                <w:lang w:val="fr-FR"/>
              </w:rPr>
              <w:t>actualizat</w:t>
            </w:r>
            <w:proofErr w:type="spellEnd"/>
            <w:r w:rsidR="00373D90" w:rsidRPr="00373D90">
              <w:rPr>
                <w:rFonts w:ascii="Times New Roman" w:eastAsia="Arial Unicode MS" w:hAnsi="Times New Roman"/>
                <w:color w:val="333333"/>
                <w:sz w:val="20"/>
                <w:szCs w:val="20"/>
                <w:shd w:val="clear" w:color="auto" w:fill="FFFFFF"/>
                <w:lang w:val="fr-FR"/>
              </w:rPr>
              <w:t xml:space="preserve">. În </w:t>
            </w:r>
            <w:proofErr w:type="spellStart"/>
            <w:r w:rsidR="00373D90" w:rsidRPr="00373D90">
              <w:rPr>
                <w:rFonts w:ascii="Times New Roman" w:eastAsia="Arial Unicode MS" w:hAnsi="Times New Roman"/>
                <w:color w:val="333333"/>
                <w:sz w:val="20"/>
                <w:szCs w:val="20"/>
                <w:shd w:val="clear" w:color="auto" w:fill="FFFFFF"/>
                <w:lang w:val="fr-FR"/>
              </w:rPr>
              <w:t>termen</w:t>
            </w:r>
            <w:proofErr w:type="spellEnd"/>
            <w:r w:rsidR="00373D90" w:rsidRPr="00373D90">
              <w:rPr>
                <w:rFonts w:ascii="Times New Roman" w:eastAsia="Arial Unicode MS" w:hAnsi="Times New Roman"/>
                <w:color w:val="333333"/>
                <w:sz w:val="20"/>
                <w:szCs w:val="20"/>
                <w:shd w:val="clear" w:color="auto" w:fill="FFFFFF"/>
                <w:lang w:val="fr-FR"/>
              </w:rPr>
              <w:t xml:space="preserve"> de </w:t>
            </w:r>
            <w:proofErr w:type="spellStart"/>
            <w:r w:rsidR="00373D90" w:rsidRPr="00373D90">
              <w:rPr>
                <w:rFonts w:ascii="Times New Roman" w:eastAsia="Arial Unicode MS" w:hAnsi="Times New Roman"/>
                <w:color w:val="333333"/>
                <w:sz w:val="20"/>
                <w:szCs w:val="20"/>
                <w:shd w:val="clear" w:color="auto" w:fill="FFFFFF"/>
                <w:lang w:val="fr-FR"/>
              </w:rPr>
              <w:t>trei</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luni</w:t>
            </w:r>
            <w:proofErr w:type="spellEnd"/>
            <w:r w:rsidR="00373D90" w:rsidRPr="00373D90">
              <w:rPr>
                <w:rFonts w:ascii="Times New Roman" w:eastAsia="Arial Unicode MS" w:hAnsi="Times New Roman"/>
                <w:color w:val="333333"/>
                <w:sz w:val="20"/>
                <w:szCs w:val="20"/>
                <w:shd w:val="clear" w:color="auto" w:fill="FFFFFF"/>
                <w:lang w:val="fr-FR"/>
              </w:rPr>
              <w:t xml:space="preserve"> de la </w:t>
            </w:r>
            <w:proofErr w:type="spellStart"/>
            <w:r w:rsidR="00373D90" w:rsidRPr="00373D90">
              <w:rPr>
                <w:rFonts w:ascii="Times New Roman" w:eastAsia="Arial Unicode MS" w:hAnsi="Times New Roman"/>
                <w:color w:val="333333"/>
                <w:sz w:val="20"/>
                <w:szCs w:val="20"/>
                <w:shd w:val="clear" w:color="auto" w:fill="FFFFFF"/>
                <w:lang w:val="fr-FR"/>
              </w:rPr>
              <w:t>primirea</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rapoartelor</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Comisia</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pune</w:t>
            </w:r>
            <w:proofErr w:type="spellEnd"/>
            <w:r w:rsidR="00373D90" w:rsidRPr="00373D90">
              <w:rPr>
                <w:rFonts w:ascii="Times New Roman" w:eastAsia="Arial Unicode MS" w:hAnsi="Times New Roman"/>
                <w:color w:val="333333"/>
                <w:sz w:val="20"/>
                <w:szCs w:val="20"/>
                <w:shd w:val="clear" w:color="auto" w:fill="FFFFFF"/>
                <w:lang w:val="fr-FR"/>
              </w:rPr>
              <w:t xml:space="preserve"> la </w:t>
            </w:r>
            <w:proofErr w:type="spellStart"/>
            <w:r w:rsidR="00373D90" w:rsidRPr="00373D90">
              <w:rPr>
                <w:rFonts w:ascii="Times New Roman" w:eastAsia="Arial Unicode MS" w:hAnsi="Times New Roman"/>
                <w:color w:val="333333"/>
                <w:sz w:val="20"/>
                <w:szCs w:val="20"/>
                <w:shd w:val="clear" w:color="auto" w:fill="FFFFFF"/>
                <w:lang w:val="fr-FR"/>
              </w:rPr>
              <w:t>dispoziția</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Comitetului</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privind</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schimbările</w:t>
            </w:r>
            <w:proofErr w:type="spellEnd"/>
            <w:r w:rsidR="00373D90" w:rsidRPr="00373D90">
              <w:rPr>
                <w:rFonts w:ascii="Times New Roman" w:eastAsia="Arial Unicode MS" w:hAnsi="Times New Roman"/>
                <w:color w:val="333333"/>
                <w:sz w:val="20"/>
                <w:szCs w:val="20"/>
                <w:shd w:val="clear" w:color="auto" w:fill="FFFFFF"/>
                <w:lang w:val="fr-FR"/>
              </w:rPr>
              <w:t xml:space="preserve"> climatice </w:t>
            </w:r>
            <w:proofErr w:type="spellStart"/>
            <w:r w:rsidR="00373D90" w:rsidRPr="00373D90">
              <w:rPr>
                <w:rFonts w:ascii="Times New Roman" w:eastAsia="Arial Unicode MS" w:hAnsi="Times New Roman"/>
                <w:color w:val="333333"/>
                <w:sz w:val="20"/>
                <w:szCs w:val="20"/>
                <w:shd w:val="clear" w:color="auto" w:fill="FFFFFF"/>
                <w:lang w:val="fr-FR"/>
              </w:rPr>
              <w:t>menționat</w:t>
            </w:r>
            <w:proofErr w:type="spellEnd"/>
            <w:r w:rsidR="00373D90" w:rsidRPr="00373D90">
              <w:rPr>
                <w:rFonts w:ascii="Times New Roman" w:eastAsia="Arial Unicode MS" w:hAnsi="Times New Roman"/>
                <w:color w:val="333333"/>
                <w:sz w:val="20"/>
                <w:szCs w:val="20"/>
                <w:shd w:val="clear" w:color="auto" w:fill="FFFFFF"/>
                <w:lang w:val="fr-FR"/>
              </w:rPr>
              <w:t xml:space="preserve"> la </w:t>
            </w:r>
            <w:proofErr w:type="spellStart"/>
            <w:r w:rsidR="00373D90" w:rsidRPr="00373D90">
              <w:rPr>
                <w:rFonts w:ascii="Times New Roman" w:eastAsia="Arial Unicode MS" w:hAnsi="Times New Roman"/>
                <w:color w:val="333333"/>
                <w:sz w:val="20"/>
                <w:szCs w:val="20"/>
                <w:shd w:val="clear" w:color="auto" w:fill="FFFFFF"/>
                <w:lang w:val="fr-FR"/>
              </w:rPr>
              <w:t>articolul</w:t>
            </w:r>
            <w:proofErr w:type="spellEnd"/>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44 </w:t>
            </w:r>
            <w:proofErr w:type="spellStart"/>
            <w:r w:rsidR="00373D90" w:rsidRPr="00373D90">
              <w:rPr>
                <w:rFonts w:ascii="Times New Roman" w:eastAsia="Arial Unicode MS" w:hAnsi="Times New Roman"/>
                <w:color w:val="333333"/>
                <w:sz w:val="20"/>
                <w:szCs w:val="20"/>
                <w:shd w:val="clear" w:color="auto" w:fill="FFFFFF"/>
                <w:lang w:val="fr-FR"/>
              </w:rPr>
              <w:t>alineatul</w:t>
            </w:r>
            <w:proofErr w:type="spellEnd"/>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(1) litera</w:t>
            </w:r>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(a) </w:t>
            </w:r>
            <w:proofErr w:type="spellStart"/>
            <w:r w:rsidR="00373D90" w:rsidRPr="00373D90">
              <w:rPr>
                <w:rFonts w:ascii="Times New Roman" w:eastAsia="Arial Unicode MS" w:hAnsi="Times New Roman"/>
                <w:color w:val="333333"/>
                <w:sz w:val="20"/>
                <w:szCs w:val="20"/>
                <w:shd w:val="clear" w:color="auto" w:fill="FFFFFF"/>
                <w:lang w:val="fr-FR"/>
              </w:rPr>
              <w:t>informațiile</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menționate</w:t>
            </w:r>
            <w:proofErr w:type="spellEnd"/>
            <w:r w:rsidR="00373D90" w:rsidRPr="00373D90">
              <w:rPr>
                <w:rFonts w:ascii="Times New Roman" w:eastAsia="Arial Unicode MS" w:hAnsi="Times New Roman"/>
                <w:color w:val="333333"/>
                <w:sz w:val="20"/>
                <w:szCs w:val="20"/>
                <w:shd w:val="clear" w:color="auto" w:fill="FFFFFF"/>
                <w:lang w:val="fr-FR"/>
              </w:rPr>
              <w:t xml:space="preserve"> în </w:t>
            </w:r>
            <w:proofErr w:type="spellStart"/>
            <w:r w:rsidR="00373D90" w:rsidRPr="00373D90">
              <w:rPr>
                <w:rFonts w:ascii="Times New Roman" w:eastAsia="Arial Unicode MS" w:hAnsi="Times New Roman"/>
                <w:color w:val="333333"/>
                <w:sz w:val="20"/>
                <w:szCs w:val="20"/>
                <w:shd w:val="clear" w:color="auto" w:fill="FFFFFF"/>
                <w:lang w:val="fr-FR"/>
              </w:rPr>
              <w:t>partea</w:t>
            </w:r>
            <w:proofErr w:type="spellEnd"/>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1 </w:t>
            </w:r>
            <w:proofErr w:type="spellStart"/>
            <w:r w:rsidR="00373D90" w:rsidRPr="00373D90">
              <w:rPr>
                <w:rFonts w:ascii="Times New Roman" w:eastAsia="Arial Unicode MS" w:hAnsi="Times New Roman"/>
                <w:color w:val="333333"/>
                <w:sz w:val="20"/>
                <w:szCs w:val="20"/>
                <w:shd w:val="clear" w:color="auto" w:fill="FFFFFF"/>
                <w:lang w:val="fr-FR"/>
              </w:rPr>
              <w:t>primul</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paragraf</w:t>
            </w:r>
            <w:proofErr w:type="spellEnd"/>
            <w:r w:rsidR="00373D90" w:rsidRPr="00373D90">
              <w:rPr>
                <w:rFonts w:ascii="Times New Roman" w:eastAsia="Arial Unicode MS" w:hAnsi="Times New Roman"/>
                <w:color w:val="333333"/>
                <w:sz w:val="20"/>
                <w:szCs w:val="20"/>
                <w:shd w:val="clear" w:color="auto" w:fill="FFFFFF"/>
                <w:lang w:val="fr-FR"/>
              </w:rPr>
              <w:t xml:space="preserve"> litera</w:t>
            </w:r>
            <w:r w:rsidR="00373D90">
              <w:rPr>
                <w:rFonts w:ascii="Times New Roman" w:eastAsia="Arial Unicode MS" w:hAnsi="Times New Roman"/>
                <w:color w:val="333333"/>
                <w:sz w:val="20"/>
                <w:szCs w:val="20"/>
                <w:shd w:val="clear" w:color="auto" w:fill="FFFFFF"/>
                <w:lang w:val="fr-FR"/>
              </w:rPr>
              <w:t xml:space="preserve"> </w:t>
            </w:r>
            <w:r w:rsidR="00373D90" w:rsidRPr="00373D90">
              <w:rPr>
                <w:rFonts w:ascii="Times New Roman" w:eastAsia="Arial Unicode MS" w:hAnsi="Times New Roman"/>
                <w:color w:val="333333"/>
                <w:sz w:val="20"/>
                <w:szCs w:val="20"/>
                <w:shd w:val="clear" w:color="auto" w:fill="FFFFFF"/>
                <w:lang w:val="fr-FR"/>
              </w:rPr>
              <w:t xml:space="preserve">(n) </w:t>
            </w:r>
            <w:proofErr w:type="spellStart"/>
            <w:r w:rsidR="00373D90" w:rsidRPr="00373D90">
              <w:rPr>
                <w:rFonts w:ascii="Times New Roman" w:eastAsia="Arial Unicode MS" w:hAnsi="Times New Roman"/>
                <w:color w:val="333333"/>
                <w:sz w:val="20"/>
                <w:szCs w:val="20"/>
                <w:shd w:val="clear" w:color="auto" w:fill="FFFFFF"/>
                <w:lang w:val="fr-FR"/>
              </w:rPr>
              <w:t>din</w:t>
            </w:r>
            <w:proofErr w:type="spellEnd"/>
            <w:r w:rsidR="00373D90" w:rsidRPr="00373D90">
              <w:rPr>
                <w:rFonts w:ascii="Times New Roman" w:eastAsia="Arial Unicode MS" w:hAnsi="Times New Roman"/>
                <w:color w:val="333333"/>
                <w:sz w:val="20"/>
                <w:szCs w:val="20"/>
                <w:shd w:val="clear" w:color="auto" w:fill="FFFFFF"/>
                <w:lang w:val="fr-FR"/>
              </w:rPr>
              <w:t xml:space="preserve"> </w:t>
            </w:r>
            <w:proofErr w:type="spellStart"/>
            <w:r w:rsidR="00373D90" w:rsidRPr="00373D90">
              <w:rPr>
                <w:rFonts w:ascii="Times New Roman" w:eastAsia="Arial Unicode MS" w:hAnsi="Times New Roman"/>
                <w:color w:val="333333"/>
                <w:sz w:val="20"/>
                <w:szCs w:val="20"/>
                <w:shd w:val="clear" w:color="auto" w:fill="FFFFFF"/>
                <w:lang w:val="fr-FR"/>
              </w:rPr>
              <w:t>anexa</w:t>
            </w:r>
            <w:proofErr w:type="spellEnd"/>
            <w:r w:rsidR="00373D90" w:rsidRPr="00373D90">
              <w:rPr>
                <w:rFonts w:ascii="Times New Roman" w:eastAsia="Arial Unicode MS" w:hAnsi="Times New Roman"/>
                <w:color w:val="333333"/>
                <w:sz w:val="20"/>
                <w:szCs w:val="20"/>
                <w:shd w:val="clear" w:color="auto" w:fill="FFFFFF"/>
                <w:lang w:val="fr-FR"/>
              </w:rPr>
              <w:t xml:space="preserve"> V, în format </w:t>
            </w:r>
            <w:proofErr w:type="spellStart"/>
            <w:r w:rsidR="00373D90" w:rsidRPr="00373D90">
              <w:rPr>
                <w:rFonts w:ascii="Times New Roman" w:eastAsia="Arial Unicode MS" w:hAnsi="Times New Roman"/>
                <w:color w:val="333333"/>
                <w:sz w:val="20"/>
                <w:szCs w:val="20"/>
                <w:shd w:val="clear" w:color="auto" w:fill="FFFFFF"/>
                <w:lang w:val="fr-FR"/>
              </w:rPr>
              <w:t>electronic</w:t>
            </w:r>
            <w:proofErr w:type="spellEnd"/>
            <w:r w:rsidR="00373D90" w:rsidRPr="00373D90">
              <w:rPr>
                <w:rFonts w:ascii="Times New Roman" w:eastAsia="Arial Unicode MS" w:hAnsi="Times New Roman"/>
                <w:color w:val="333333"/>
                <w:sz w:val="20"/>
                <w:szCs w:val="20"/>
                <w:shd w:val="clear" w:color="auto" w:fill="FFFFFF"/>
                <w:lang w:val="fr-FR"/>
              </w:rPr>
              <w:t>.</w:t>
            </w:r>
          </w:p>
          <w:p w14:paraId="7B1785E2" w14:textId="77777777" w:rsidR="00373D90" w:rsidRPr="00263A32" w:rsidRDefault="00000000" w:rsidP="0094254C">
            <w:pPr>
              <w:spacing w:after="0" w:line="240" w:lineRule="auto"/>
              <w:jc w:val="both"/>
              <w:rPr>
                <w:rFonts w:ascii="Times New Roman" w:hAnsi="Times New Roman"/>
                <w:sz w:val="20"/>
                <w:szCs w:val="20"/>
                <w:lang w:val="fr-FR"/>
              </w:rPr>
            </w:pPr>
            <w:hyperlink r:id="rId33" w:tooltip="32018R1999" w:history="1">
              <w:r w:rsidR="00373D90" w:rsidRPr="00373D90">
                <w:rPr>
                  <w:rStyle w:val="af6"/>
                  <w:rFonts w:ascii="Times New Roman" w:eastAsia="Arial Unicode MS" w:hAnsi="Times New Roman"/>
                  <w:b/>
                  <w:bCs/>
                  <w:color w:val="23527C"/>
                  <w:sz w:val="20"/>
                  <w:szCs w:val="20"/>
                  <w:shd w:val="clear" w:color="auto" w:fill="FFFFFF"/>
                  <w:lang w:val="fr-FR"/>
                </w:rPr>
                <w:t>▼B</w:t>
              </w:r>
            </w:hyperlink>
          </w:p>
          <w:p w14:paraId="318DB614" w14:textId="373804A9" w:rsidR="0094254C" w:rsidRPr="00905298" w:rsidRDefault="00373D90" w:rsidP="0094254C">
            <w:pPr>
              <w:spacing w:after="0" w:line="240" w:lineRule="auto"/>
              <w:jc w:val="both"/>
              <w:rPr>
                <w:rFonts w:ascii="Times New Roman" w:hAnsi="Times New Roman"/>
                <w:sz w:val="20"/>
                <w:szCs w:val="20"/>
                <w:shd w:val="clear" w:color="auto" w:fill="FFFFFF"/>
                <w:lang w:val="fr-FR"/>
              </w:rPr>
            </w:pPr>
            <w:r w:rsidRPr="00905298">
              <w:rPr>
                <w:rFonts w:ascii="Times New Roman" w:hAnsi="Times New Roman"/>
                <w:sz w:val="20"/>
                <w:szCs w:val="20"/>
                <w:shd w:val="clear" w:color="auto" w:fill="FFFFFF"/>
                <w:lang w:val="fr-FR"/>
              </w:rPr>
              <w:t xml:space="preserve"> </w:t>
            </w:r>
            <w:r w:rsidR="0094254C" w:rsidRPr="00905298">
              <w:rPr>
                <w:rFonts w:ascii="Times New Roman" w:hAnsi="Times New Roman"/>
                <w:sz w:val="20"/>
                <w:szCs w:val="20"/>
                <w:shd w:val="clear" w:color="auto" w:fill="FFFFFF"/>
                <w:lang w:val="fr-FR"/>
              </w:rPr>
              <w:t>(</w:t>
            </w:r>
            <w:proofErr w:type="gramStart"/>
            <w:r w:rsidR="0094254C" w:rsidRPr="00905298">
              <w:rPr>
                <w:rFonts w:ascii="Times New Roman" w:hAnsi="Times New Roman"/>
                <w:sz w:val="20"/>
                <w:szCs w:val="20"/>
                <w:shd w:val="clear" w:color="auto" w:fill="FFFFFF"/>
                <w:lang w:val="fr-FR"/>
              </w:rPr>
              <w:t>4)</w:t>
            </w:r>
            <w:proofErr w:type="spellStart"/>
            <w:r w:rsidR="0094254C" w:rsidRPr="00905298">
              <w:rPr>
                <w:rFonts w:ascii="Times New Roman" w:hAnsi="Times New Roman"/>
                <w:sz w:val="20"/>
                <w:szCs w:val="20"/>
                <w:shd w:val="clear" w:color="auto" w:fill="FFFFFF"/>
                <w:lang w:val="fr-FR"/>
              </w:rPr>
              <w:t>Statele</w:t>
            </w:r>
            <w:proofErr w:type="spellEnd"/>
            <w:proofErr w:type="gramEnd"/>
            <w:r w:rsidR="0094254C" w:rsidRPr="00905298">
              <w:rPr>
                <w:rFonts w:ascii="Times New Roman" w:hAnsi="Times New Roman"/>
                <w:sz w:val="20"/>
                <w:szCs w:val="20"/>
                <w:shd w:val="clear" w:color="auto" w:fill="FFFFFF"/>
                <w:lang w:val="fr-FR"/>
              </w:rPr>
              <w:t xml:space="preserve"> membre </w:t>
            </w:r>
            <w:proofErr w:type="spellStart"/>
            <w:r w:rsidR="0094254C" w:rsidRPr="00905298">
              <w:rPr>
                <w:rFonts w:ascii="Times New Roman" w:hAnsi="Times New Roman"/>
                <w:sz w:val="20"/>
                <w:szCs w:val="20"/>
                <w:shd w:val="clear" w:color="auto" w:fill="FFFFFF"/>
                <w:lang w:val="fr-FR"/>
              </w:rPr>
              <w:t>prezintă</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secretariatului</w:t>
            </w:r>
            <w:proofErr w:type="spellEnd"/>
            <w:r w:rsidR="0094254C" w:rsidRPr="00905298">
              <w:rPr>
                <w:rFonts w:ascii="Times New Roman" w:hAnsi="Times New Roman"/>
                <w:sz w:val="20"/>
                <w:szCs w:val="20"/>
                <w:shd w:val="clear" w:color="auto" w:fill="FFFFFF"/>
                <w:lang w:val="fr-FR"/>
              </w:rPr>
              <w:t xml:space="preserve"> CCONUSC în </w:t>
            </w:r>
            <w:proofErr w:type="spellStart"/>
            <w:r w:rsidR="0094254C" w:rsidRPr="00905298">
              <w:rPr>
                <w:rFonts w:ascii="Times New Roman" w:hAnsi="Times New Roman"/>
                <w:sz w:val="20"/>
                <w:szCs w:val="20"/>
                <w:shd w:val="clear" w:color="auto" w:fill="FFFFFF"/>
                <w:lang w:val="fr-FR"/>
              </w:rPr>
              <w:t>fiecare</w:t>
            </w:r>
            <w:proofErr w:type="spellEnd"/>
            <w:r w:rsidR="0094254C" w:rsidRPr="00905298">
              <w:rPr>
                <w:rFonts w:ascii="Times New Roman" w:hAnsi="Times New Roman"/>
                <w:sz w:val="20"/>
                <w:szCs w:val="20"/>
                <w:shd w:val="clear" w:color="auto" w:fill="FFFFFF"/>
                <w:lang w:val="fr-FR"/>
              </w:rPr>
              <w:t xml:space="preserve"> an, </w:t>
            </w:r>
            <w:proofErr w:type="spellStart"/>
            <w:r w:rsidR="0094254C" w:rsidRPr="00905298">
              <w:rPr>
                <w:rFonts w:ascii="Times New Roman" w:hAnsi="Times New Roman"/>
                <w:sz w:val="20"/>
                <w:szCs w:val="20"/>
                <w:shd w:val="clear" w:color="auto" w:fill="FFFFFF"/>
                <w:lang w:val="fr-FR"/>
              </w:rPr>
              <w:t>până</w:t>
            </w:r>
            <w:proofErr w:type="spellEnd"/>
            <w:r w:rsidR="0094254C" w:rsidRPr="00905298">
              <w:rPr>
                <w:rFonts w:ascii="Times New Roman" w:hAnsi="Times New Roman"/>
                <w:sz w:val="20"/>
                <w:szCs w:val="20"/>
                <w:shd w:val="clear" w:color="auto" w:fill="FFFFFF"/>
                <w:lang w:val="fr-FR"/>
              </w:rPr>
              <w:t xml:space="preserve"> la data de 15 </w:t>
            </w:r>
            <w:proofErr w:type="spellStart"/>
            <w:r w:rsidR="0094254C" w:rsidRPr="00905298">
              <w:rPr>
                <w:rFonts w:ascii="Times New Roman" w:hAnsi="Times New Roman"/>
                <w:sz w:val="20"/>
                <w:szCs w:val="20"/>
                <w:shd w:val="clear" w:color="auto" w:fill="FFFFFF"/>
                <w:lang w:val="fr-FR"/>
              </w:rPr>
              <w:t>aprilie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inventarele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naționale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cuprinzând</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informațiile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prezentate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Comisiei</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privire</w:t>
            </w:r>
            <w:proofErr w:type="spellEnd"/>
            <w:r w:rsidR="0094254C" w:rsidRPr="00905298">
              <w:rPr>
                <w:rFonts w:ascii="Times New Roman" w:hAnsi="Times New Roman"/>
                <w:sz w:val="20"/>
                <w:szCs w:val="20"/>
                <w:shd w:val="clear" w:color="auto" w:fill="FFFFFF"/>
                <w:lang w:val="fr-FR"/>
              </w:rPr>
              <w:t xml:space="preserve"> la </w:t>
            </w:r>
            <w:proofErr w:type="spellStart"/>
            <w:r w:rsidR="0094254C" w:rsidRPr="00905298">
              <w:rPr>
                <w:rFonts w:ascii="Times New Roman" w:hAnsi="Times New Roman"/>
                <w:sz w:val="20"/>
                <w:szCs w:val="20"/>
                <w:shd w:val="clear" w:color="auto" w:fill="FFFFFF"/>
                <w:lang w:val="fr-FR"/>
              </w:rPr>
              <w:t>datele</w:t>
            </w:r>
            <w:proofErr w:type="spellEnd"/>
            <w:r w:rsidR="0094254C" w:rsidRPr="00905298">
              <w:rPr>
                <w:rFonts w:ascii="Times New Roman" w:hAnsi="Times New Roman"/>
                <w:sz w:val="20"/>
                <w:szCs w:val="20"/>
                <w:shd w:val="clear" w:color="auto" w:fill="FFFFFF"/>
                <w:lang w:val="fr-FR"/>
              </w:rPr>
              <w:t xml:space="preserve"> finale ale </w:t>
            </w:r>
            <w:proofErr w:type="spellStart"/>
            <w:r w:rsidR="0094254C" w:rsidRPr="00905298">
              <w:rPr>
                <w:rFonts w:ascii="Times New Roman" w:hAnsi="Times New Roman"/>
                <w:sz w:val="20"/>
                <w:szCs w:val="20"/>
                <w:shd w:val="clear" w:color="auto" w:fill="FFFFFF"/>
                <w:lang w:val="fr-FR"/>
              </w:rPr>
              <w:t>inventarelor</w:t>
            </w:r>
            <w:proofErr w:type="spellEnd"/>
            <w:r w:rsidR="0094254C" w:rsidRPr="00905298">
              <w:rPr>
                <w:rFonts w:ascii="Times New Roman" w:hAnsi="Times New Roman"/>
                <w:sz w:val="20"/>
                <w:szCs w:val="20"/>
                <w:shd w:val="clear" w:color="auto" w:fill="FFFFFF"/>
                <w:lang w:val="fr-FR"/>
              </w:rPr>
              <w:t xml:space="preserve"> de gaze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efect</w:t>
            </w:r>
            <w:proofErr w:type="spellEnd"/>
            <w:r w:rsidR="0094254C" w:rsidRPr="00905298">
              <w:rPr>
                <w:rFonts w:ascii="Times New Roman" w:hAnsi="Times New Roman"/>
                <w:sz w:val="20"/>
                <w:szCs w:val="20"/>
                <w:shd w:val="clear" w:color="auto" w:fill="FFFFFF"/>
                <w:lang w:val="fr-FR"/>
              </w:rPr>
              <w:t xml:space="preserve"> de </w:t>
            </w:r>
            <w:proofErr w:type="spellStart"/>
            <w:r w:rsidR="0094254C" w:rsidRPr="00905298">
              <w:rPr>
                <w:rFonts w:ascii="Times New Roman" w:hAnsi="Times New Roman"/>
                <w:sz w:val="20"/>
                <w:szCs w:val="20"/>
                <w:shd w:val="clear" w:color="auto" w:fill="FFFFFF"/>
                <w:lang w:val="fr-FR"/>
              </w:rPr>
              <w:t>seră</w:t>
            </w:r>
            <w:proofErr w:type="spellEnd"/>
            <w:r w:rsidR="0094254C" w:rsidRPr="00905298">
              <w:rPr>
                <w:rFonts w:ascii="Times New Roman" w:hAnsi="Times New Roman"/>
                <w:sz w:val="20"/>
                <w:szCs w:val="20"/>
                <w:shd w:val="clear" w:color="auto" w:fill="FFFFFF"/>
                <w:lang w:val="fr-FR"/>
              </w:rPr>
              <w:t xml:space="preserve"> în conformitate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alineatul</w:t>
            </w:r>
            <w:proofErr w:type="spellEnd"/>
            <w:r w:rsidR="0094254C" w:rsidRPr="00905298">
              <w:rPr>
                <w:rFonts w:ascii="Times New Roman" w:hAnsi="Times New Roman"/>
                <w:sz w:val="20"/>
                <w:szCs w:val="20"/>
                <w:shd w:val="clear" w:color="auto" w:fill="FFFFFF"/>
                <w:lang w:val="fr-FR"/>
              </w:rPr>
              <w:t xml:space="preserve"> (3). În </w:t>
            </w:r>
            <w:proofErr w:type="spellStart"/>
            <w:r w:rsidR="0094254C" w:rsidRPr="00905298">
              <w:rPr>
                <w:rFonts w:ascii="Times New Roman" w:hAnsi="Times New Roman"/>
                <w:sz w:val="20"/>
                <w:szCs w:val="20"/>
                <w:shd w:val="clear" w:color="auto" w:fill="FFFFFF"/>
                <w:lang w:val="fr-FR"/>
              </w:rPr>
              <w:t>cooperare</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statele</w:t>
            </w:r>
            <w:proofErr w:type="spellEnd"/>
            <w:r w:rsidR="0094254C" w:rsidRPr="00905298">
              <w:rPr>
                <w:rFonts w:ascii="Times New Roman" w:hAnsi="Times New Roman"/>
                <w:sz w:val="20"/>
                <w:szCs w:val="20"/>
                <w:shd w:val="clear" w:color="auto" w:fill="FFFFFF"/>
                <w:lang w:val="fr-FR"/>
              </w:rPr>
              <w:t xml:space="preserve"> membre, </w:t>
            </w:r>
            <w:proofErr w:type="spellStart"/>
            <w:r w:rsidR="0094254C" w:rsidRPr="00905298">
              <w:rPr>
                <w:rFonts w:ascii="Times New Roman" w:hAnsi="Times New Roman"/>
                <w:sz w:val="20"/>
                <w:szCs w:val="20"/>
                <w:shd w:val="clear" w:color="auto" w:fill="FFFFFF"/>
                <w:lang w:val="fr-FR"/>
              </w:rPr>
              <w:t>Comisia</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compilează</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anual</w:t>
            </w:r>
            <w:proofErr w:type="spellEnd"/>
            <w:r w:rsidR="0094254C" w:rsidRPr="00905298">
              <w:rPr>
                <w:rFonts w:ascii="Times New Roman" w:hAnsi="Times New Roman"/>
                <w:sz w:val="20"/>
                <w:szCs w:val="20"/>
                <w:shd w:val="clear" w:color="auto" w:fill="FFFFFF"/>
                <w:lang w:val="fr-FR"/>
              </w:rPr>
              <w:t xml:space="preserve"> un </w:t>
            </w:r>
            <w:proofErr w:type="spellStart"/>
            <w:r w:rsidR="0094254C" w:rsidRPr="00905298">
              <w:rPr>
                <w:rFonts w:ascii="Times New Roman" w:hAnsi="Times New Roman"/>
                <w:sz w:val="20"/>
                <w:szCs w:val="20"/>
                <w:shd w:val="clear" w:color="auto" w:fill="FFFFFF"/>
                <w:lang w:val="fr-FR"/>
              </w:rPr>
              <w:t>inventar</w:t>
            </w:r>
            <w:proofErr w:type="spellEnd"/>
            <w:r w:rsidR="0094254C" w:rsidRPr="00905298">
              <w:rPr>
                <w:rFonts w:ascii="Times New Roman" w:hAnsi="Times New Roman"/>
                <w:sz w:val="20"/>
                <w:szCs w:val="20"/>
                <w:shd w:val="clear" w:color="auto" w:fill="FFFFFF"/>
                <w:lang w:val="fr-FR"/>
              </w:rPr>
              <w:t xml:space="preserve"> de gaze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efect</w:t>
            </w:r>
            <w:proofErr w:type="spellEnd"/>
            <w:r w:rsidR="0094254C" w:rsidRPr="00905298">
              <w:rPr>
                <w:rFonts w:ascii="Times New Roman" w:hAnsi="Times New Roman"/>
                <w:sz w:val="20"/>
                <w:szCs w:val="20"/>
                <w:shd w:val="clear" w:color="auto" w:fill="FFFFFF"/>
                <w:lang w:val="fr-FR"/>
              </w:rPr>
              <w:t xml:space="preserve"> de </w:t>
            </w:r>
            <w:proofErr w:type="spellStart"/>
            <w:r w:rsidR="0094254C" w:rsidRPr="00905298">
              <w:rPr>
                <w:rFonts w:ascii="Times New Roman" w:hAnsi="Times New Roman"/>
                <w:sz w:val="20"/>
                <w:szCs w:val="20"/>
                <w:shd w:val="clear" w:color="auto" w:fill="FFFFFF"/>
                <w:lang w:val="fr-FR"/>
              </w:rPr>
              <w:t>seră</w:t>
            </w:r>
            <w:proofErr w:type="spellEnd"/>
            <w:r w:rsidR="0094254C" w:rsidRPr="00905298">
              <w:rPr>
                <w:rFonts w:ascii="Times New Roman" w:hAnsi="Times New Roman"/>
                <w:sz w:val="20"/>
                <w:szCs w:val="20"/>
                <w:shd w:val="clear" w:color="auto" w:fill="FFFFFF"/>
                <w:lang w:val="fr-FR"/>
              </w:rPr>
              <w:t xml:space="preserve"> la </w:t>
            </w:r>
            <w:proofErr w:type="spellStart"/>
            <w:r w:rsidR="0094254C" w:rsidRPr="00905298">
              <w:rPr>
                <w:rFonts w:ascii="Times New Roman" w:hAnsi="Times New Roman"/>
                <w:sz w:val="20"/>
                <w:szCs w:val="20"/>
                <w:shd w:val="clear" w:color="auto" w:fill="FFFFFF"/>
                <w:lang w:val="fr-FR"/>
              </w:rPr>
              <w:t>nivelul</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Uniunii</w:t>
            </w:r>
            <w:proofErr w:type="spellEnd"/>
            <w:r w:rsidR="0094254C" w:rsidRPr="00905298">
              <w:rPr>
                <w:rFonts w:ascii="Times New Roman" w:hAnsi="Times New Roman"/>
                <w:sz w:val="20"/>
                <w:szCs w:val="20"/>
                <w:shd w:val="clear" w:color="auto" w:fill="FFFFFF"/>
                <w:lang w:val="fr-FR"/>
              </w:rPr>
              <w:t xml:space="preserve"> și </w:t>
            </w:r>
            <w:proofErr w:type="spellStart"/>
            <w:r w:rsidR="0094254C" w:rsidRPr="00905298">
              <w:rPr>
                <w:rFonts w:ascii="Times New Roman" w:hAnsi="Times New Roman"/>
                <w:sz w:val="20"/>
                <w:szCs w:val="20"/>
                <w:shd w:val="clear" w:color="auto" w:fill="FFFFFF"/>
                <w:lang w:val="fr-FR"/>
              </w:rPr>
              <w:t>întocmește</w:t>
            </w:r>
            <w:proofErr w:type="spellEnd"/>
            <w:r w:rsidR="0094254C" w:rsidRPr="00905298">
              <w:rPr>
                <w:rFonts w:ascii="Times New Roman" w:hAnsi="Times New Roman"/>
                <w:sz w:val="20"/>
                <w:szCs w:val="20"/>
                <w:shd w:val="clear" w:color="auto" w:fill="FFFFFF"/>
                <w:lang w:val="fr-FR"/>
              </w:rPr>
              <w:t xml:space="preserve"> un </w:t>
            </w:r>
            <w:proofErr w:type="spellStart"/>
            <w:r w:rsidR="0094254C" w:rsidRPr="00905298">
              <w:rPr>
                <w:rFonts w:ascii="Times New Roman" w:hAnsi="Times New Roman"/>
                <w:sz w:val="20"/>
                <w:szCs w:val="20"/>
                <w:shd w:val="clear" w:color="auto" w:fill="FFFFFF"/>
                <w:lang w:val="fr-FR"/>
              </w:rPr>
              <w:t>raport</w:t>
            </w:r>
            <w:proofErr w:type="spellEnd"/>
            <w:r w:rsidR="0094254C" w:rsidRPr="00905298">
              <w:rPr>
                <w:rFonts w:ascii="Times New Roman" w:hAnsi="Times New Roman"/>
                <w:sz w:val="20"/>
                <w:szCs w:val="20"/>
                <w:shd w:val="clear" w:color="auto" w:fill="FFFFFF"/>
                <w:lang w:val="fr-FR"/>
              </w:rPr>
              <w:t xml:space="preserve"> de </w:t>
            </w:r>
            <w:proofErr w:type="spellStart"/>
            <w:r w:rsidR="0094254C" w:rsidRPr="00905298">
              <w:rPr>
                <w:rFonts w:ascii="Times New Roman" w:hAnsi="Times New Roman"/>
                <w:sz w:val="20"/>
                <w:szCs w:val="20"/>
                <w:shd w:val="clear" w:color="auto" w:fill="FFFFFF"/>
                <w:lang w:val="fr-FR"/>
              </w:rPr>
              <w:t>inventariere</w:t>
            </w:r>
            <w:proofErr w:type="spellEnd"/>
            <w:r w:rsidR="0094254C" w:rsidRPr="00905298">
              <w:rPr>
                <w:rFonts w:ascii="Times New Roman" w:hAnsi="Times New Roman"/>
                <w:sz w:val="20"/>
                <w:szCs w:val="20"/>
                <w:shd w:val="clear" w:color="auto" w:fill="FFFFFF"/>
                <w:lang w:val="fr-FR"/>
              </w:rPr>
              <w:t xml:space="preserve"> a </w:t>
            </w:r>
            <w:proofErr w:type="spellStart"/>
            <w:r w:rsidR="0094254C" w:rsidRPr="00905298">
              <w:rPr>
                <w:rFonts w:ascii="Times New Roman" w:hAnsi="Times New Roman"/>
                <w:sz w:val="20"/>
                <w:szCs w:val="20"/>
                <w:shd w:val="clear" w:color="auto" w:fill="FFFFFF"/>
                <w:lang w:val="fr-FR"/>
              </w:rPr>
              <w:t>gazelor</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cu</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efect</w:t>
            </w:r>
            <w:proofErr w:type="spellEnd"/>
            <w:r w:rsidR="0094254C" w:rsidRPr="00905298">
              <w:rPr>
                <w:rFonts w:ascii="Times New Roman" w:hAnsi="Times New Roman"/>
                <w:sz w:val="20"/>
                <w:szCs w:val="20"/>
                <w:shd w:val="clear" w:color="auto" w:fill="FFFFFF"/>
                <w:lang w:val="fr-FR"/>
              </w:rPr>
              <w:t xml:space="preserve"> de </w:t>
            </w:r>
            <w:proofErr w:type="spellStart"/>
            <w:r w:rsidR="0094254C" w:rsidRPr="00905298">
              <w:rPr>
                <w:rFonts w:ascii="Times New Roman" w:hAnsi="Times New Roman"/>
                <w:sz w:val="20"/>
                <w:szCs w:val="20"/>
                <w:shd w:val="clear" w:color="auto" w:fill="FFFFFF"/>
                <w:lang w:val="fr-FR"/>
              </w:rPr>
              <w:t>seră</w:t>
            </w:r>
            <w:proofErr w:type="spellEnd"/>
            <w:r w:rsidR="0094254C" w:rsidRPr="00905298">
              <w:rPr>
                <w:rFonts w:ascii="Times New Roman" w:hAnsi="Times New Roman"/>
                <w:sz w:val="20"/>
                <w:szCs w:val="20"/>
                <w:shd w:val="clear" w:color="auto" w:fill="FFFFFF"/>
                <w:lang w:val="fr-FR"/>
              </w:rPr>
              <w:t xml:space="preserve"> la </w:t>
            </w:r>
            <w:proofErr w:type="spellStart"/>
            <w:r w:rsidR="0094254C" w:rsidRPr="00905298">
              <w:rPr>
                <w:rFonts w:ascii="Times New Roman" w:hAnsi="Times New Roman"/>
                <w:sz w:val="20"/>
                <w:szCs w:val="20"/>
                <w:shd w:val="clear" w:color="auto" w:fill="FFFFFF"/>
                <w:lang w:val="fr-FR"/>
              </w:rPr>
              <w:t>nivelul</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Uniunii</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pe</w:t>
            </w:r>
            <w:proofErr w:type="spellEnd"/>
            <w:r w:rsidR="0094254C" w:rsidRPr="00905298">
              <w:rPr>
                <w:rFonts w:ascii="Times New Roman" w:hAnsi="Times New Roman"/>
                <w:sz w:val="20"/>
                <w:szCs w:val="20"/>
                <w:shd w:val="clear" w:color="auto" w:fill="FFFFFF"/>
                <w:lang w:val="fr-FR"/>
              </w:rPr>
              <w:t xml:space="preserve"> care le </w:t>
            </w:r>
            <w:proofErr w:type="spellStart"/>
            <w:r w:rsidR="0094254C" w:rsidRPr="00905298">
              <w:rPr>
                <w:rFonts w:ascii="Times New Roman" w:hAnsi="Times New Roman"/>
                <w:sz w:val="20"/>
                <w:szCs w:val="20"/>
                <w:shd w:val="clear" w:color="auto" w:fill="FFFFFF"/>
                <w:lang w:val="fr-FR"/>
              </w:rPr>
              <w:t>prezintă</w:t>
            </w:r>
            <w:proofErr w:type="spellEnd"/>
            <w:r w:rsidR="0094254C" w:rsidRPr="00905298">
              <w:rPr>
                <w:rFonts w:ascii="Times New Roman" w:hAnsi="Times New Roman"/>
                <w:sz w:val="20"/>
                <w:szCs w:val="20"/>
                <w:shd w:val="clear" w:color="auto" w:fill="FFFFFF"/>
                <w:lang w:val="fr-FR"/>
              </w:rPr>
              <w:t xml:space="preserve"> </w:t>
            </w:r>
            <w:proofErr w:type="spellStart"/>
            <w:r w:rsidR="0094254C" w:rsidRPr="00905298">
              <w:rPr>
                <w:rFonts w:ascii="Times New Roman" w:hAnsi="Times New Roman"/>
                <w:sz w:val="20"/>
                <w:szCs w:val="20"/>
                <w:shd w:val="clear" w:color="auto" w:fill="FFFFFF"/>
                <w:lang w:val="fr-FR"/>
              </w:rPr>
              <w:t>secretariatului</w:t>
            </w:r>
            <w:proofErr w:type="spellEnd"/>
            <w:r w:rsidR="0094254C" w:rsidRPr="00905298">
              <w:rPr>
                <w:rFonts w:ascii="Times New Roman" w:hAnsi="Times New Roman"/>
                <w:sz w:val="20"/>
                <w:szCs w:val="20"/>
                <w:shd w:val="clear" w:color="auto" w:fill="FFFFFF"/>
                <w:lang w:val="fr-FR"/>
              </w:rPr>
              <w:t xml:space="preserve"> CCONUSC în </w:t>
            </w:r>
            <w:proofErr w:type="spellStart"/>
            <w:r w:rsidR="0094254C" w:rsidRPr="00905298">
              <w:rPr>
                <w:rFonts w:ascii="Times New Roman" w:hAnsi="Times New Roman"/>
                <w:sz w:val="20"/>
                <w:szCs w:val="20"/>
                <w:shd w:val="clear" w:color="auto" w:fill="FFFFFF"/>
                <w:lang w:val="fr-FR"/>
              </w:rPr>
              <w:t>fiecare</w:t>
            </w:r>
            <w:proofErr w:type="spellEnd"/>
            <w:r w:rsidR="0094254C" w:rsidRPr="00905298">
              <w:rPr>
                <w:rFonts w:ascii="Times New Roman" w:hAnsi="Times New Roman"/>
                <w:sz w:val="20"/>
                <w:szCs w:val="20"/>
                <w:shd w:val="clear" w:color="auto" w:fill="FFFFFF"/>
                <w:lang w:val="fr-FR"/>
              </w:rPr>
              <w:t xml:space="preserve"> an </w:t>
            </w:r>
            <w:proofErr w:type="spellStart"/>
            <w:r w:rsidR="0094254C" w:rsidRPr="00905298">
              <w:rPr>
                <w:rFonts w:ascii="Times New Roman" w:hAnsi="Times New Roman"/>
                <w:sz w:val="20"/>
                <w:szCs w:val="20"/>
                <w:shd w:val="clear" w:color="auto" w:fill="FFFFFF"/>
                <w:lang w:val="fr-FR"/>
              </w:rPr>
              <w:t>până</w:t>
            </w:r>
            <w:proofErr w:type="spellEnd"/>
            <w:r w:rsidR="0094254C" w:rsidRPr="00905298">
              <w:rPr>
                <w:rFonts w:ascii="Times New Roman" w:hAnsi="Times New Roman"/>
                <w:sz w:val="20"/>
                <w:szCs w:val="20"/>
                <w:shd w:val="clear" w:color="auto" w:fill="FFFFFF"/>
                <w:lang w:val="fr-FR"/>
              </w:rPr>
              <w:t xml:space="preserve"> la data de 15 </w:t>
            </w:r>
            <w:proofErr w:type="spellStart"/>
            <w:r w:rsidR="0094254C" w:rsidRPr="00905298">
              <w:rPr>
                <w:rFonts w:ascii="Times New Roman" w:hAnsi="Times New Roman"/>
                <w:sz w:val="20"/>
                <w:szCs w:val="20"/>
                <w:shd w:val="clear" w:color="auto" w:fill="FFFFFF"/>
                <w:lang w:val="fr-FR"/>
              </w:rPr>
              <w:t>aprilie</w:t>
            </w:r>
            <w:proofErr w:type="spellEnd"/>
            <w:r w:rsidR="0094254C" w:rsidRPr="00905298">
              <w:rPr>
                <w:rFonts w:ascii="Times New Roman" w:hAnsi="Times New Roman"/>
                <w:sz w:val="20"/>
                <w:szCs w:val="20"/>
                <w:shd w:val="clear" w:color="auto" w:fill="FFFFFF"/>
                <w:lang w:val="fr-FR"/>
              </w:rPr>
              <w:t>.</w:t>
            </w:r>
          </w:p>
          <w:p w14:paraId="45C5D452" w14:textId="77777777" w:rsidR="008F5636" w:rsidRPr="00905298" w:rsidRDefault="0094254C" w:rsidP="008F5636">
            <w:pPr>
              <w:pStyle w:val="ColorfulList-Accent11"/>
              <w:spacing w:after="0" w:line="240" w:lineRule="auto"/>
              <w:ind w:left="0"/>
              <w:jc w:val="both"/>
              <w:rPr>
                <w:rFonts w:ascii="Times New Roman" w:hAnsi="Times New Roman"/>
                <w:sz w:val="20"/>
                <w:szCs w:val="20"/>
                <w:shd w:val="clear" w:color="auto" w:fill="FFFFFF"/>
                <w:lang w:val="fr-FR"/>
              </w:rPr>
            </w:pPr>
            <w:r w:rsidRPr="00905298">
              <w:rPr>
                <w:rFonts w:ascii="Times New Roman" w:hAnsi="Times New Roman"/>
                <w:sz w:val="20"/>
                <w:szCs w:val="20"/>
                <w:shd w:val="clear" w:color="auto" w:fill="FFFFFF"/>
                <w:lang w:val="fr-FR"/>
              </w:rPr>
              <w:t>(</w:t>
            </w:r>
            <w:proofErr w:type="gramStart"/>
            <w:r w:rsidRPr="00905298">
              <w:rPr>
                <w:rFonts w:ascii="Times New Roman" w:hAnsi="Times New Roman"/>
                <w:sz w:val="20"/>
                <w:szCs w:val="20"/>
                <w:shd w:val="clear" w:color="auto" w:fill="FFFFFF"/>
                <w:lang w:val="fr-FR"/>
              </w:rPr>
              <w:t>5)</w:t>
            </w:r>
            <w:proofErr w:type="spellStart"/>
            <w:r w:rsidRPr="00905298">
              <w:rPr>
                <w:rFonts w:ascii="Times New Roman" w:hAnsi="Times New Roman"/>
                <w:sz w:val="20"/>
                <w:szCs w:val="20"/>
                <w:shd w:val="clear" w:color="auto" w:fill="FFFFFF"/>
                <w:lang w:val="fr-FR"/>
              </w:rPr>
              <w:t>Statele</w:t>
            </w:r>
            <w:proofErr w:type="spellEnd"/>
            <w:proofErr w:type="gramEnd"/>
            <w:r w:rsidRPr="00905298">
              <w:rPr>
                <w:rFonts w:ascii="Times New Roman" w:hAnsi="Times New Roman"/>
                <w:sz w:val="20"/>
                <w:szCs w:val="20"/>
                <w:shd w:val="clear" w:color="auto" w:fill="FFFFFF"/>
                <w:lang w:val="fr-FR"/>
              </w:rPr>
              <w:t xml:space="preserve"> membre </w:t>
            </w:r>
            <w:proofErr w:type="spellStart"/>
            <w:r w:rsidRPr="00905298">
              <w:rPr>
                <w:rFonts w:ascii="Times New Roman" w:hAnsi="Times New Roman"/>
                <w:sz w:val="20"/>
                <w:szCs w:val="20"/>
                <w:shd w:val="clear" w:color="auto" w:fill="FFFFFF"/>
                <w:lang w:val="fr-FR"/>
              </w:rPr>
              <w:t>raportează</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Comisiei</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datele</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preliminare</w:t>
            </w:r>
            <w:proofErr w:type="spellEnd"/>
            <w:r w:rsidRPr="00905298">
              <w:rPr>
                <w:rFonts w:ascii="Times New Roman" w:hAnsi="Times New Roman"/>
                <w:sz w:val="20"/>
                <w:szCs w:val="20"/>
                <w:shd w:val="clear" w:color="auto" w:fill="FFFFFF"/>
                <w:lang w:val="fr-FR"/>
              </w:rPr>
              <w:t xml:space="preserve"> și </w:t>
            </w:r>
            <w:proofErr w:type="spellStart"/>
            <w:r w:rsidRPr="00905298">
              <w:rPr>
                <w:rFonts w:ascii="Times New Roman" w:hAnsi="Times New Roman"/>
                <w:sz w:val="20"/>
                <w:szCs w:val="20"/>
                <w:shd w:val="clear" w:color="auto" w:fill="FFFFFF"/>
                <w:lang w:val="fr-FR"/>
              </w:rPr>
              <w:t>datele</w:t>
            </w:r>
            <w:proofErr w:type="spellEnd"/>
            <w:r w:rsidRPr="00905298">
              <w:rPr>
                <w:rFonts w:ascii="Times New Roman" w:hAnsi="Times New Roman"/>
                <w:sz w:val="20"/>
                <w:szCs w:val="20"/>
                <w:shd w:val="clear" w:color="auto" w:fill="FFFFFF"/>
                <w:lang w:val="fr-FR"/>
              </w:rPr>
              <w:t xml:space="preserve"> finale ale </w:t>
            </w:r>
            <w:proofErr w:type="spellStart"/>
            <w:r w:rsidRPr="00905298">
              <w:rPr>
                <w:rFonts w:ascii="Times New Roman" w:hAnsi="Times New Roman"/>
                <w:sz w:val="20"/>
                <w:szCs w:val="20"/>
                <w:shd w:val="clear" w:color="auto" w:fill="FFFFFF"/>
                <w:lang w:val="fr-FR"/>
              </w:rPr>
              <w:t>inventarelor</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naționale</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până</w:t>
            </w:r>
            <w:proofErr w:type="spellEnd"/>
            <w:r w:rsidRPr="00905298">
              <w:rPr>
                <w:rFonts w:ascii="Times New Roman" w:hAnsi="Times New Roman"/>
                <w:sz w:val="20"/>
                <w:szCs w:val="20"/>
                <w:shd w:val="clear" w:color="auto" w:fill="FFFFFF"/>
                <w:lang w:val="fr-FR"/>
              </w:rPr>
              <w:t xml:space="preserve"> la data de 15 </w:t>
            </w:r>
            <w:proofErr w:type="spellStart"/>
            <w:r w:rsidRPr="00905298">
              <w:rPr>
                <w:rFonts w:ascii="Times New Roman" w:hAnsi="Times New Roman"/>
                <w:sz w:val="20"/>
                <w:szCs w:val="20"/>
                <w:shd w:val="clear" w:color="auto" w:fill="FFFFFF"/>
                <w:lang w:val="fr-FR"/>
              </w:rPr>
              <w:t>ianuarie</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respectiv</w:t>
            </w:r>
            <w:proofErr w:type="spellEnd"/>
            <w:r w:rsidRPr="00905298">
              <w:rPr>
                <w:rFonts w:ascii="Times New Roman" w:hAnsi="Times New Roman"/>
                <w:sz w:val="20"/>
                <w:szCs w:val="20"/>
                <w:shd w:val="clear" w:color="auto" w:fill="FFFFFF"/>
                <w:lang w:val="fr-FR"/>
              </w:rPr>
              <w:t xml:space="preserve"> 15 </w:t>
            </w:r>
            <w:proofErr w:type="spellStart"/>
            <w:r w:rsidRPr="00905298">
              <w:rPr>
                <w:rFonts w:ascii="Times New Roman" w:hAnsi="Times New Roman"/>
                <w:sz w:val="20"/>
                <w:szCs w:val="20"/>
                <w:shd w:val="clear" w:color="auto" w:fill="FFFFFF"/>
                <w:lang w:val="fr-FR"/>
              </w:rPr>
              <w:t>martie</w:t>
            </w:r>
            <w:proofErr w:type="spellEnd"/>
            <w:r w:rsidRPr="00905298">
              <w:rPr>
                <w:rFonts w:ascii="Times New Roman" w:hAnsi="Times New Roman"/>
                <w:sz w:val="20"/>
                <w:szCs w:val="20"/>
                <w:shd w:val="clear" w:color="auto" w:fill="FFFFFF"/>
                <w:lang w:val="fr-FR"/>
              </w:rPr>
              <w:t xml:space="preserve">, în anii 2027 și 2032, </w:t>
            </w:r>
            <w:proofErr w:type="spellStart"/>
            <w:r w:rsidRPr="00905298">
              <w:rPr>
                <w:rFonts w:ascii="Times New Roman" w:hAnsi="Times New Roman"/>
                <w:sz w:val="20"/>
                <w:szCs w:val="20"/>
                <w:shd w:val="clear" w:color="auto" w:fill="FFFFFF"/>
                <w:lang w:val="fr-FR"/>
              </w:rPr>
              <w:t>întocmite</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pentru</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propriile</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conturi</w:t>
            </w:r>
            <w:proofErr w:type="spellEnd"/>
            <w:r w:rsidRPr="00905298">
              <w:rPr>
                <w:rFonts w:ascii="Times New Roman" w:hAnsi="Times New Roman"/>
                <w:sz w:val="20"/>
                <w:szCs w:val="20"/>
                <w:shd w:val="clear" w:color="auto" w:fill="FFFFFF"/>
                <w:lang w:val="fr-FR"/>
              </w:rPr>
              <w:t xml:space="preserve"> LULUCF în </w:t>
            </w:r>
            <w:proofErr w:type="spellStart"/>
            <w:r w:rsidRPr="00905298">
              <w:rPr>
                <w:rFonts w:ascii="Times New Roman" w:hAnsi="Times New Roman"/>
                <w:sz w:val="20"/>
                <w:szCs w:val="20"/>
                <w:shd w:val="clear" w:color="auto" w:fill="FFFFFF"/>
                <w:lang w:val="fr-FR"/>
              </w:rPr>
              <w:t>scopul</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rapoartelor</w:t>
            </w:r>
            <w:proofErr w:type="spellEnd"/>
            <w:r w:rsidRPr="00905298">
              <w:rPr>
                <w:rFonts w:ascii="Times New Roman" w:hAnsi="Times New Roman"/>
                <w:sz w:val="20"/>
                <w:szCs w:val="20"/>
                <w:shd w:val="clear" w:color="auto" w:fill="FFFFFF"/>
                <w:lang w:val="fr-FR"/>
              </w:rPr>
              <w:t xml:space="preserve"> de conformitate </w:t>
            </w:r>
            <w:proofErr w:type="spellStart"/>
            <w:r w:rsidRPr="00905298">
              <w:rPr>
                <w:rFonts w:ascii="Times New Roman" w:hAnsi="Times New Roman"/>
                <w:sz w:val="20"/>
                <w:szCs w:val="20"/>
                <w:shd w:val="clear" w:color="auto" w:fill="FFFFFF"/>
                <w:lang w:val="fr-FR"/>
              </w:rPr>
              <w:t>cu</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articolul</w:t>
            </w:r>
            <w:proofErr w:type="spellEnd"/>
            <w:r w:rsidRPr="00905298">
              <w:rPr>
                <w:rFonts w:ascii="Times New Roman" w:hAnsi="Times New Roman"/>
                <w:sz w:val="20"/>
                <w:szCs w:val="20"/>
                <w:shd w:val="clear" w:color="auto" w:fill="FFFFFF"/>
                <w:lang w:val="fr-FR"/>
              </w:rPr>
              <w:t xml:space="preserve"> 14 </w:t>
            </w:r>
            <w:proofErr w:type="spellStart"/>
            <w:r w:rsidRPr="00905298">
              <w:rPr>
                <w:rFonts w:ascii="Times New Roman" w:hAnsi="Times New Roman"/>
                <w:sz w:val="20"/>
                <w:szCs w:val="20"/>
                <w:shd w:val="clear" w:color="auto" w:fill="FFFFFF"/>
                <w:lang w:val="fr-FR"/>
              </w:rPr>
              <w:t>din</w:t>
            </w:r>
            <w:proofErr w:type="spellEnd"/>
            <w:r w:rsidRPr="00905298">
              <w:rPr>
                <w:rFonts w:ascii="Times New Roman" w:hAnsi="Times New Roman"/>
                <w:sz w:val="20"/>
                <w:szCs w:val="20"/>
                <w:shd w:val="clear" w:color="auto" w:fill="FFFFFF"/>
                <w:lang w:val="fr-FR"/>
              </w:rPr>
              <w:t xml:space="preserve"> </w:t>
            </w:r>
            <w:proofErr w:type="spellStart"/>
            <w:r w:rsidRPr="00905298">
              <w:rPr>
                <w:rFonts w:ascii="Times New Roman" w:hAnsi="Times New Roman"/>
                <w:sz w:val="20"/>
                <w:szCs w:val="20"/>
                <w:shd w:val="clear" w:color="auto" w:fill="FFFFFF"/>
                <w:lang w:val="fr-FR"/>
              </w:rPr>
              <w:t>Regulamentul</w:t>
            </w:r>
            <w:proofErr w:type="spellEnd"/>
            <w:r w:rsidRPr="00905298">
              <w:rPr>
                <w:rFonts w:ascii="Times New Roman" w:hAnsi="Times New Roman"/>
                <w:sz w:val="20"/>
                <w:szCs w:val="20"/>
                <w:shd w:val="clear" w:color="auto" w:fill="FFFFFF"/>
                <w:lang w:val="fr-FR"/>
              </w:rPr>
              <w:t xml:space="preserve"> (UE) 2018/841.</w:t>
            </w:r>
          </w:p>
          <w:p w14:paraId="080FB5FE" w14:textId="77777777" w:rsidR="0094254C" w:rsidRPr="00905298" w:rsidRDefault="0094254C" w:rsidP="008F5636">
            <w:pPr>
              <w:pStyle w:val="ColorfulList-Accent11"/>
              <w:spacing w:after="0" w:line="240" w:lineRule="auto"/>
              <w:ind w:left="0"/>
              <w:jc w:val="both"/>
              <w:rPr>
                <w:rFonts w:ascii="Times New Roman" w:hAnsi="Times New Roman"/>
                <w:sz w:val="20"/>
                <w:szCs w:val="20"/>
                <w:lang w:val="en-US" w:eastAsia="ru-RU"/>
              </w:rPr>
            </w:pPr>
            <w:r w:rsidRPr="00905298">
              <w:rPr>
                <w:rFonts w:ascii="Times New Roman" w:hAnsi="Times New Roman"/>
                <w:sz w:val="20"/>
                <w:szCs w:val="20"/>
                <w:lang w:val="en-US" w:eastAsia="ru-RU"/>
              </w:rPr>
              <w:t>(</w:t>
            </w:r>
            <w:proofErr w:type="gramStart"/>
            <w:r w:rsidRPr="00905298">
              <w:rPr>
                <w:rFonts w:ascii="Times New Roman" w:hAnsi="Times New Roman"/>
                <w:sz w:val="20"/>
                <w:szCs w:val="20"/>
                <w:lang w:val="en-US" w:eastAsia="ru-RU"/>
              </w:rPr>
              <w:t>6)</w:t>
            </w:r>
            <w:proofErr w:type="spellStart"/>
            <w:r w:rsidRPr="00905298">
              <w:rPr>
                <w:rFonts w:ascii="Times New Roman" w:hAnsi="Times New Roman"/>
                <w:sz w:val="20"/>
                <w:szCs w:val="20"/>
                <w:lang w:val="en-US" w:eastAsia="ru-RU"/>
              </w:rPr>
              <w:t>Comisia</w:t>
            </w:r>
            <w:proofErr w:type="spellEnd"/>
            <w:proofErr w:type="gram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este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împuternicită</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să</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adopte</w:t>
            </w:r>
            <w:proofErr w:type="spellEnd"/>
            <w:r w:rsidRPr="00905298">
              <w:rPr>
                <w:rFonts w:ascii="Times New Roman" w:hAnsi="Times New Roman"/>
                <w:sz w:val="20"/>
                <w:szCs w:val="20"/>
                <w:lang w:val="en-US" w:eastAsia="ru-RU"/>
              </w:rPr>
              <w:t xml:space="preserve"> </w:t>
            </w:r>
            <w:proofErr w:type="spellStart"/>
            <w:r w:rsidRPr="00905298">
              <w:rPr>
                <w:rFonts w:ascii="Times New Roman" w:hAnsi="Times New Roman"/>
                <w:sz w:val="20"/>
                <w:szCs w:val="20"/>
                <w:lang w:val="en-US" w:eastAsia="ru-RU"/>
              </w:rPr>
              <w:t>acte</w:t>
            </w:r>
            <w:proofErr w:type="spellEnd"/>
            <w:r w:rsidRPr="00905298">
              <w:rPr>
                <w:rFonts w:ascii="Times New Roman" w:hAnsi="Times New Roman"/>
                <w:sz w:val="20"/>
                <w:szCs w:val="20"/>
                <w:lang w:val="en-US" w:eastAsia="ru-RU"/>
              </w:rPr>
              <w:t xml:space="preserve"> delegate în conformitate cu </w:t>
            </w:r>
            <w:proofErr w:type="spellStart"/>
            <w:r w:rsidRPr="00905298">
              <w:rPr>
                <w:rFonts w:ascii="Times New Roman" w:hAnsi="Times New Roman"/>
                <w:sz w:val="20"/>
                <w:szCs w:val="20"/>
                <w:lang w:val="en-US" w:eastAsia="ru-RU"/>
              </w:rPr>
              <w:t>articolul</w:t>
            </w:r>
            <w:proofErr w:type="spellEnd"/>
            <w:r w:rsidRPr="00905298">
              <w:rPr>
                <w:rFonts w:ascii="Times New Roman" w:hAnsi="Times New Roman"/>
                <w:sz w:val="20"/>
                <w:szCs w:val="20"/>
                <w:lang w:val="en-US" w:eastAsia="ru-RU"/>
              </w:rPr>
              <w:t xml:space="preserve"> 43 </w:t>
            </w:r>
            <w:proofErr w:type="spellStart"/>
            <w:r w:rsidRPr="00905298">
              <w:rPr>
                <w:rFonts w:ascii="Times New Roman" w:hAnsi="Times New Roman"/>
                <w:sz w:val="20"/>
                <w:szCs w:val="20"/>
                <w:lang w:val="en-US" w:eastAsia="ru-RU"/>
              </w:rPr>
              <w:t>pentru</w:t>
            </w:r>
            <w:proofErr w:type="spellEnd"/>
            <w:r w:rsidRPr="00905298">
              <w:rPr>
                <w:rFonts w:ascii="Times New Roman" w:hAnsi="Times New Roman"/>
                <w:sz w:val="20"/>
                <w:szCs w:val="20"/>
                <w:lang w:val="en-US" w:eastAsia="ru-RU"/>
              </w:rPr>
              <w:t>:</w:t>
            </w:r>
          </w:p>
          <w:p w14:paraId="24E254BD" w14:textId="7EF64986" w:rsidR="0094254C" w:rsidRPr="00905298" w:rsidRDefault="0094254C" w:rsidP="000C5A3B">
            <w:pPr>
              <w:pStyle w:val="ColorfulList-Accent11"/>
              <w:numPr>
                <w:ilvl w:val="0"/>
                <w:numId w:val="121"/>
              </w:numPr>
              <w:spacing w:after="0" w:line="240" w:lineRule="auto"/>
              <w:jc w:val="both"/>
              <w:rPr>
                <w:rFonts w:ascii="Times New Roman" w:hAnsi="Times New Roman"/>
                <w:sz w:val="20"/>
                <w:szCs w:val="20"/>
                <w:lang w:val="fr-FR"/>
              </w:rPr>
            </w:pPr>
            <w:proofErr w:type="spellStart"/>
            <w:proofErr w:type="gramStart"/>
            <w:r w:rsidRPr="00905298">
              <w:rPr>
                <w:rFonts w:ascii="Times New Roman" w:hAnsi="Times New Roman"/>
                <w:sz w:val="20"/>
                <w:szCs w:val="20"/>
                <w:lang w:val="fr-FR" w:eastAsia="ru-RU"/>
              </w:rPr>
              <w:t>a</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modifica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partea</w:t>
            </w:r>
            <w:proofErr w:type="spellEnd"/>
            <w:r w:rsidRPr="00905298">
              <w:rPr>
                <w:rFonts w:ascii="Times New Roman" w:hAnsi="Times New Roman"/>
                <w:sz w:val="20"/>
                <w:szCs w:val="20"/>
                <w:lang w:val="fr-FR" w:eastAsia="ru-RU"/>
              </w:rPr>
              <w:t xml:space="preserve"> 2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anexa</w:t>
            </w:r>
            <w:proofErr w:type="spellEnd"/>
            <w:r w:rsidRPr="00905298">
              <w:rPr>
                <w:rFonts w:ascii="Times New Roman" w:hAnsi="Times New Roman"/>
                <w:sz w:val="20"/>
                <w:szCs w:val="20"/>
                <w:lang w:val="fr-FR" w:eastAsia="ru-RU"/>
              </w:rPr>
              <w:t xml:space="preserve"> V </w:t>
            </w:r>
            <w:proofErr w:type="spellStart"/>
            <w:r w:rsidRPr="00905298">
              <w:rPr>
                <w:rFonts w:ascii="Times New Roman" w:hAnsi="Times New Roman"/>
                <w:sz w:val="20"/>
                <w:szCs w:val="20"/>
                <w:lang w:val="fr-FR" w:eastAsia="ru-RU"/>
              </w:rPr>
              <w:t>prin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adăugarea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sau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eliminarea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unor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substanțe</w:t>
            </w:r>
            <w:proofErr w:type="spellEnd"/>
            <w:r w:rsidRPr="00905298">
              <w:rPr>
                <w:rFonts w:ascii="Times New Roman" w:hAnsi="Times New Roman"/>
                <w:sz w:val="20"/>
                <w:szCs w:val="20"/>
                <w:lang w:val="fr-FR" w:eastAsia="ru-RU"/>
              </w:rPr>
              <w:t xml:space="preserve"> în/</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lista </w:t>
            </w:r>
            <w:proofErr w:type="spellStart"/>
            <w:r w:rsidRPr="00905298">
              <w:rPr>
                <w:rFonts w:ascii="Times New Roman" w:hAnsi="Times New Roman"/>
                <w:sz w:val="20"/>
                <w:szCs w:val="20"/>
                <w:lang w:val="fr-FR" w:eastAsia="ru-RU"/>
              </w:rPr>
              <w:t>gazelor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efect</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seră</w:t>
            </w:r>
            <w:proofErr w:type="spellEnd"/>
            <w:r w:rsidRPr="00905298">
              <w:rPr>
                <w:rFonts w:ascii="Times New Roman" w:hAnsi="Times New Roman"/>
                <w:sz w:val="20"/>
                <w:szCs w:val="20"/>
                <w:lang w:val="fr-FR" w:eastAsia="ru-RU"/>
              </w:rPr>
              <w:t xml:space="preserve">, în conformitate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deciziile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relevante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adoptate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organismele</w:t>
            </w:r>
            <w:proofErr w:type="spellEnd"/>
            <w:r w:rsidRPr="00905298">
              <w:rPr>
                <w:rFonts w:ascii="Times New Roman" w:hAnsi="Times New Roman"/>
                <w:sz w:val="20"/>
                <w:szCs w:val="20"/>
                <w:lang w:val="fr-FR" w:eastAsia="ru-RU"/>
              </w:rPr>
              <w:t xml:space="preserve"> CCONUSC </w:t>
            </w:r>
            <w:proofErr w:type="spellStart"/>
            <w:r w:rsidRPr="00905298">
              <w:rPr>
                <w:rFonts w:ascii="Times New Roman" w:hAnsi="Times New Roman"/>
                <w:sz w:val="20"/>
                <w:szCs w:val="20"/>
                <w:lang w:val="fr-FR" w:eastAsia="ru-RU"/>
              </w:rPr>
              <w:t>sau</w:t>
            </w:r>
            <w:proofErr w:type="spellEnd"/>
            <w:r w:rsidRPr="00905298">
              <w:rPr>
                <w:rFonts w:ascii="Times New Roman" w:hAnsi="Times New Roman"/>
                <w:sz w:val="20"/>
                <w:szCs w:val="20"/>
                <w:lang w:val="fr-FR" w:eastAsia="ru-RU"/>
              </w:rPr>
              <w:t xml:space="preserve"> ale </w:t>
            </w:r>
            <w:proofErr w:type="spellStart"/>
            <w:r w:rsidRPr="00905298">
              <w:rPr>
                <w:rFonts w:ascii="Times New Roman" w:hAnsi="Times New Roman"/>
                <w:sz w:val="20"/>
                <w:szCs w:val="20"/>
                <w:lang w:val="fr-FR" w:eastAsia="ru-RU"/>
              </w:rPr>
              <w:t>Acordului</w:t>
            </w:r>
            <w:proofErr w:type="spellEnd"/>
            <w:r w:rsidRPr="00905298">
              <w:rPr>
                <w:rFonts w:ascii="Times New Roman" w:hAnsi="Times New Roman"/>
                <w:sz w:val="20"/>
                <w:szCs w:val="20"/>
                <w:lang w:val="fr-FR" w:eastAsia="ru-RU"/>
              </w:rPr>
              <w:t xml:space="preserve"> de la Paris;</w:t>
            </w:r>
          </w:p>
          <w:p w14:paraId="1FF1A09F" w14:textId="77777777" w:rsidR="0094254C" w:rsidRDefault="0094254C" w:rsidP="000C5A3B">
            <w:pPr>
              <w:pStyle w:val="ColorfulList-Accent11"/>
              <w:numPr>
                <w:ilvl w:val="0"/>
                <w:numId w:val="121"/>
              </w:numPr>
              <w:spacing w:after="0" w:line="240" w:lineRule="auto"/>
              <w:jc w:val="both"/>
              <w:rPr>
                <w:rFonts w:ascii="Times New Roman" w:hAnsi="Times New Roman"/>
                <w:sz w:val="20"/>
                <w:szCs w:val="20"/>
                <w:lang w:val="fr-FR"/>
              </w:rPr>
            </w:pPr>
            <w:proofErr w:type="spellStart"/>
            <w:proofErr w:type="gramStart"/>
            <w:r w:rsidRPr="00905298">
              <w:rPr>
                <w:rFonts w:ascii="Times New Roman" w:hAnsi="Times New Roman"/>
                <w:sz w:val="20"/>
                <w:szCs w:val="20"/>
                <w:lang w:val="fr-FR" w:eastAsia="ru-RU"/>
              </w:rPr>
              <w:t>a</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completa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prezentul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regulament</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adoptarea</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valori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potențialele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încălzire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globală</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prin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specificarea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orientărilor</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materie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inventariere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aplicabile</w:t>
            </w:r>
            <w:proofErr w:type="spellEnd"/>
            <w:r w:rsidRPr="00905298">
              <w:rPr>
                <w:rFonts w:ascii="Times New Roman" w:hAnsi="Times New Roman"/>
                <w:sz w:val="20"/>
                <w:szCs w:val="20"/>
                <w:lang w:val="fr-FR" w:eastAsia="ru-RU"/>
              </w:rPr>
              <w:t xml:space="preserve"> în conformitate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deciziile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relevante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adoptate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organismele</w:t>
            </w:r>
            <w:proofErr w:type="spellEnd"/>
            <w:r w:rsidRPr="00905298">
              <w:rPr>
                <w:rFonts w:ascii="Times New Roman" w:hAnsi="Times New Roman"/>
                <w:sz w:val="20"/>
                <w:szCs w:val="20"/>
                <w:lang w:val="fr-FR" w:eastAsia="ru-RU"/>
              </w:rPr>
              <w:t xml:space="preserve"> CCONUSC </w:t>
            </w:r>
            <w:proofErr w:type="spellStart"/>
            <w:r w:rsidRPr="00905298">
              <w:rPr>
                <w:rFonts w:ascii="Times New Roman" w:hAnsi="Times New Roman"/>
                <w:sz w:val="20"/>
                <w:szCs w:val="20"/>
                <w:lang w:val="fr-FR" w:eastAsia="ru-RU"/>
              </w:rPr>
              <w:t>sau</w:t>
            </w:r>
            <w:proofErr w:type="spellEnd"/>
            <w:r w:rsidRPr="00905298">
              <w:rPr>
                <w:rFonts w:ascii="Times New Roman" w:hAnsi="Times New Roman"/>
                <w:sz w:val="20"/>
                <w:szCs w:val="20"/>
                <w:lang w:val="fr-FR" w:eastAsia="ru-RU"/>
              </w:rPr>
              <w:t xml:space="preserve"> ale </w:t>
            </w:r>
            <w:proofErr w:type="spellStart"/>
            <w:r w:rsidRPr="00905298">
              <w:rPr>
                <w:rFonts w:ascii="Times New Roman" w:hAnsi="Times New Roman"/>
                <w:sz w:val="20"/>
                <w:szCs w:val="20"/>
                <w:lang w:val="fr-FR" w:eastAsia="ru-RU"/>
              </w:rPr>
              <w:t>Acordului</w:t>
            </w:r>
            <w:proofErr w:type="spellEnd"/>
            <w:r w:rsidRPr="00905298">
              <w:rPr>
                <w:rFonts w:ascii="Times New Roman" w:hAnsi="Times New Roman"/>
                <w:sz w:val="20"/>
                <w:szCs w:val="20"/>
                <w:lang w:val="fr-FR" w:eastAsia="ru-RU"/>
              </w:rPr>
              <w:t xml:space="preserve"> de la Paris.</w:t>
            </w:r>
          </w:p>
          <w:p w14:paraId="01DB6F64" w14:textId="77F6EDD9" w:rsidR="00373D90" w:rsidRPr="00373D90" w:rsidRDefault="00000000" w:rsidP="00373D90">
            <w:pPr>
              <w:pStyle w:val="ColorfulList-Accent11"/>
              <w:spacing w:after="0" w:line="240" w:lineRule="auto"/>
              <w:ind w:left="0"/>
              <w:jc w:val="both"/>
              <w:rPr>
                <w:rFonts w:ascii="Times New Roman" w:hAnsi="Times New Roman"/>
                <w:sz w:val="20"/>
                <w:szCs w:val="20"/>
                <w:lang w:val="fr-FR"/>
              </w:rPr>
            </w:pPr>
            <w:hyperlink r:id="rId34" w:tooltip="32023R0839: INSERTED" w:history="1">
              <w:r w:rsidR="00373D90" w:rsidRPr="00373D90">
                <w:rPr>
                  <w:rStyle w:val="af6"/>
                  <w:rFonts w:ascii="Times New Roman" w:eastAsia="Arial Unicode MS" w:hAnsi="Times New Roman"/>
                  <w:b/>
                  <w:bCs/>
                  <w:color w:val="23527C"/>
                  <w:sz w:val="20"/>
                  <w:szCs w:val="20"/>
                  <w:shd w:val="clear" w:color="auto" w:fill="FFFFFF"/>
                </w:rPr>
                <w:t>▼M3</w:t>
              </w:r>
            </w:hyperlink>
          </w:p>
          <w:p w14:paraId="118A2A30" w14:textId="387F7BFA" w:rsidR="00373D90" w:rsidRPr="00373D90" w:rsidRDefault="00373D90" w:rsidP="000C5A3B">
            <w:pPr>
              <w:pStyle w:val="ColorfulList-Accent11"/>
              <w:numPr>
                <w:ilvl w:val="0"/>
                <w:numId w:val="121"/>
              </w:numPr>
              <w:spacing w:after="0" w:line="240" w:lineRule="auto"/>
              <w:jc w:val="both"/>
              <w:rPr>
                <w:rFonts w:ascii="Times New Roman" w:hAnsi="Times New Roman"/>
                <w:sz w:val="20"/>
                <w:szCs w:val="20"/>
                <w:lang w:val="en-US"/>
              </w:rPr>
            </w:pPr>
            <w:r w:rsidRPr="00373D90">
              <w:rPr>
                <w:rFonts w:ascii="Times New Roman" w:eastAsia="Arial Unicode MS" w:hAnsi="Times New Roman"/>
                <w:sz w:val="20"/>
                <w:szCs w:val="20"/>
                <w:shd w:val="clear" w:color="auto" w:fill="FFFFFF"/>
              </w:rPr>
              <w:t xml:space="preserve">a </w:t>
            </w:r>
            <w:proofErr w:type="spellStart"/>
            <w:r w:rsidRPr="00373D90">
              <w:rPr>
                <w:rFonts w:ascii="Times New Roman" w:eastAsia="Arial Unicode MS" w:hAnsi="Times New Roman"/>
                <w:sz w:val="20"/>
                <w:szCs w:val="20"/>
                <w:shd w:val="clear" w:color="auto" w:fill="FFFFFF"/>
              </w:rPr>
              <w:t>modifica</w:t>
            </w:r>
            <w:proofErr w:type="spellEnd"/>
            <w:r w:rsidRPr="00373D90">
              <w:rPr>
                <w:rFonts w:ascii="Times New Roman" w:eastAsia="Arial Unicode MS" w:hAnsi="Times New Roman"/>
                <w:sz w:val="20"/>
                <w:szCs w:val="20"/>
                <w:shd w:val="clear" w:color="auto" w:fill="FFFFFF"/>
              </w:rPr>
              <w:t xml:space="preserve"> </w:t>
            </w:r>
            <w:proofErr w:type="spellStart"/>
            <w:r w:rsidRPr="00373D90">
              <w:rPr>
                <w:rFonts w:ascii="Times New Roman" w:eastAsia="Arial Unicode MS" w:hAnsi="Times New Roman"/>
                <w:sz w:val="20"/>
                <w:szCs w:val="20"/>
                <w:shd w:val="clear" w:color="auto" w:fill="FFFFFF"/>
              </w:rPr>
              <w:t>partea</w:t>
            </w:r>
            <w:proofErr w:type="spellEnd"/>
            <w:r>
              <w:rPr>
                <w:rFonts w:ascii="Times New Roman" w:eastAsia="Arial Unicode MS" w:hAnsi="Times New Roman"/>
                <w:sz w:val="20"/>
                <w:szCs w:val="20"/>
                <w:shd w:val="clear" w:color="auto" w:fill="FFFFFF"/>
              </w:rPr>
              <w:t xml:space="preserve"> </w:t>
            </w:r>
            <w:r w:rsidRPr="00373D90">
              <w:rPr>
                <w:rFonts w:ascii="Times New Roman" w:eastAsia="Arial Unicode MS" w:hAnsi="Times New Roman"/>
                <w:sz w:val="20"/>
                <w:szCs w:val="20"/>
                <w:shd w:val="clear" w:color="auto" w:fill="FFFFFF"/>
              </w:rPr>
              <w:t xml:space="preserve">3 din </w:t>
            </w:r>
            <w:proofErr w:type="spellStart"/>
            <w:r w:rsidRPr="00373D90">
              <w:rPr>
                <w:rFonts w:ascii="Times New Roman" w:eastAsia="Arial Unicode MS" w:hAnsi="Times New Roman"/>
                <w:sz w:val="20"/>
                <w:szCs w:val="20"/>
                <w:shd w:val="clear" w:color="auto" w:fill="FFFFFF"/>
              </w:rPr>
              <w:t>anexa</w:t>
            </w:r>
            <w:proofErr w:type="spellEnd"/>
            <w:r>
              <w:rPr>
                <w:rFonts w:ascii="Times New Roman" w:eastAsia="Arial Unicode MS" w:hAnsi="Times New Roman"/>
                <w:sz w:val="20"/>
                <w:szCs w:val="20"/>
                <w:shd w:val="clear" w:color="auto" w:fill="FFFFFF"/>
              </w:rPr>
              <w:t xml:space="preserve"> </w:t>
            </w:r>
            <w:r w:rsidRPr="00373D90">
              <w:rPr>
                <w:rFonts w:ascii="Times New Roman" w:eastAsia="Arial Unicode MS" w:hAnsi="Times New Roman"/>
                <w:sz w:val="20"/>
                <w:szCs w:val="20"/>
                <w:shd w:val="clear" w:color="auto" w:fill="FFFFFF"/>
              </w:rPr>
              <w:t xml:space="preserve">V </w:t>
            </w:r>
            <w:proofErr w:type="spellStart"/>
            <w:r w:rsidRPr="00373D90">
              <w:rPr>
                <w:rFonts w:ascii="Times New Roman" w:eastAsia="Arial Unicode MS" w:hAnsi="Times New Roman"/>
                <w:sz w:val="20"/>
                <w:szCs w:val="20"/>
                <w:shd w:val="clear" w:color="auto" w:fill="FFFFFF"/>
              </w:rPr>
              <w:t>pentru</w:t>
            </w:r>
            <w:proofErr w:type="spellEnd"/>
            <w:r w:rsidRPr="00373D90">
              <w:rPr>
                <w:rFonts w:ascii="Times New Roman" w:eastAsia="Arial Unicode MS" w:hAnsi="Times New Roman"/>
                <w:sz w:val="20"/>
                <w:szCs w:val="20"/>
                <w:shd w:val="clear" w:color="auto" w:fill="FFFFFF"/>
              </w:rPr>
              <w:t xml:space="preserve"> </w:t>
            </w:r>
            <w:proofErr w:type="gramStart"/>
            <w:r w:rsidRPr="00373D90">
              <w:rPr>
                <w:rFonts w:ascii="Times New Roman" w:eastAsia="Arial Unicode MS" w:hAnsi="Times New Roman"/>
                <w:sz w:val="20"/>
                <w:szCs w:val="20"/>
                <w:shd w:val="clear" w:color="auto" w:fill="FFFFFF"/>
              </w:rPr>
              <w:t>a</w:t>
            </w:r>
            <w:proofErr w:type="gramEnd"/>
            <w:r w:rsidRPr="00373D90">
              <w:rPr>
                <w:rFonts w:ascii="Times New Roman" w:eastAsia="Arial Unicode MS" w:hAnsi="Times New Roman"/>
                <w:sz w:val="20"/>
                <w:szCs w:val="20"/>
                <w:shd w:val="clear" w:color="auto" w:fill="FFFFFF"/>
              </w:rPr>
              <w:t xml:space="preserve"> </w:t>
            </w:r>
            <w:proofErr w:type="spellStart"/>
            <w:r w:rsidRPr="00373D90">
              <w:rPr>
                <w:rFonts w:ascii="Times New Roman" w:eastAsia="Arial Unicode MS" w:hAnsi="Times New Roman"/>
                <w:sz w:val="20"/>
                <w:szCs w:val="20"/>
                <w:shd w:val="clear" w:color="auto" w:fill="FFFFFF"/>
              </w:rPr>
              <w:t>actualiza</w:t>
            </w:r>
            <w:proofErr w:type="spellEnd"/>
            <w:r w:rsidRPr="00373D90">
              <w:rPr>
                <w:rFonts w:ascii="Times New Roman" w:eastAsia="Arial Unicode MS" w:hAnsi="Times New Roman"/>
                <w:sz w:val="20"/>
                <w:szCs w:val="20"/>
                <w:shd w:val="clear" w:color="auto" w:fill="FFFFFF"/>
              </w:rPr>
              <w:t xml:space="preserve"> </w:t>
            </w:r>
            <w:proofErr w:type="spellStart"/>
            <w:r w:rsidRPr="00373D90">
              <w:rPr>
                <w:rFonts w:ascii="Times New Roman" w:eastAsia="Arial Unicode MS" w:hAnsi="Times New Roman"/>
                <w:sz w:val="20"/>
                <w:szCs w:val="20"/>
                <w:shd w:val="clear" w:color="auto" w:fill="FFFFFF"/>
              </w:rPr>
              <w:t>lista</w:t>
            </w:r>
            <w:proofErr w:type="spellEnd"/>
            <w:r w:rsidRPr="00373D90">
              <w:rPr>
                <w:rFonts w:ascii="Times New Roman" w:eastAsia="Arial Unicode MS" w:hAnsi="Times New Roman"/>
                <w:sz w:val="20"/>
                <w:szCs w:val="20"/>
                <w:shd w:val="clear" w:color="auto" w:fill="FFFFFF"/>
              </w:rPr>
              <w:t xml:space="preserve"> </w:t>
            </w:r>
            <w:proofErr w:type="spellStart"/>
            <w:r w:rsidRPr="00373D90">
              <w:rPr>
                <w:rFonts w:ascii="Times New Roman" w:eastAsia="Arial Unicode MS" w:hAnsi="Times New Roman"/>
                <w:sz w:val="20"/>
                <w:szCs w:val="20"/>
                <w:shd w:val="clear" w:color="auto" w:fill="FFFFFF"/>
              </w:rPr>
              <w:t>categoriilor</w:t>
            </w:r>
            <w:proofErr w:type="spellEnd"/>
            <w:r w:rsidRPr="00373D90">
              <w:rPr>
                <w:rFonts w:ascii="Times New Roman" w:eastAsia="Arial Unicode MS" w:hAnsi="Times New Roman"/>
                <w:sz w:val="20"/>
                <w:szCs w:val="20"/>
                <w:shd w:val="clear" w:color="auto" w:fill="FFFFFF"/>
              </w:rPr>
              <w:t xml:space="preserve"> în conformitate cu </w:t>
            </w:r>
            <w:proofErr w:type="spellStart"/>
            <w:r w:rsidRPr="00373D90">
              <w:rPr>
                <w:rFonts w:ascii="Times New Roman" w:eastAsia="Arial Unicode MS" w:hAnsi="Times New Roman"/>
                <w:sz w:val="20"/>
                <w:szCs w:val="20"/>
                <w:shd w:val="clear" w:color="auto" w:fill="FFFFFF"/>
              </w:rPr>
              <w:t>legislația</w:t>
            </w:r>
            <w:proofErr w:type="spellEnd"/>
            <w:r w:rsidRPr="00373D90">
              <w:rPr>
                <w:rFonts w:ascii="Times New Roman" w:eastAsia="Arial Unicode MS" w:hAnsi="Times New Roman"/>
                <w:sz w:val="20"/>
                <w:szCs w:val="20"/>
                <w:shd w:val="clear" w:color="auto" w:fill="FFFFFF"/>
              </w:rPr>
              <w:t xml:space="preserve"> </w:t>
            </w:r>
            <w:proofErr w:type="spellStart"/>
            <w:r w:rsidRPr="00373D90">
              <w:rPr>
                <w:rFonts w:ascii="Times New Roman" w:eastAsia="Arial Unicode MS" w:hAnsi="Times New Roman"/>
                <w:sz w:val="20"/>
                <w:szCs w:val="20"/>
                <w:shd w:val="clear" w:color="auto" w:fill="FFFFFF"/>
              </w:rPr>
              <w:t>relevantă</w:t>
            </w:r>
            <w:proofErr w:type="spellEnd"/>
            <w:r w:rsidRPr="00373D90">
              <w:rPr>
                <w:rFonts w:ascii="Times New Roman" w:eastAsia="Arial Unicode MS" w:hAnsi="Times New Roman"/>
                <w:sz w:val="20"/>
                <w:szCs w:val="20"/>
                <w:shd w:val="clear" w:color="auto" w:fill="FFFFFF"/>
              </w:rPr>
              <w:t xml:space="preserve"> a </w:t>
            </w:r>
            <w:proofErr w:type="spellStart"/>
            <w:r w:rsidRPr="00373D90">
              <w:rPr>
                <w:rFonts w:ascii="Times New Roman" w:eastAsia="Arial Unicode MS" w:hAnsi="Times New Roman"/>
                <w:sz w:val="20"/>
                <w:szCs w:val="20"/>
                <w:shd w:val="clear" w:color="auto" w:fill="FFFFFF"/>
              </w:rPr>
              <w:t>Uniunii</w:t>
            </w:r>
            <w:proofErr w:type="spellEnd"/>
            <w:r w:rsidRPr="00373D90">
              <w:rPr>
                <w:rFonts w:ascii="Times New Roman" w:eastAsia="Arial Unicode MS" w:hAnsi="Times New Roman"/>
                <w:sz w:val="20"/>
                <w:szCs w:val="20"/>
                <w:shd w:val="clear" w:color="auto" w:fill="FFFFFF"/>
              </w:rPr>
              <w:t>.</w:t>
            </w:r>
          </w:p>
          <w:p w14:paraId="345BDABF" w14:textId="1C269AE3" w:rsidR="00373D90" w:rsidRPr="00373D90" w:rsidRDefault="00000000" w:rsidP="0094254C">
            <w:pPr>
              <w:spacing w:after="0" w:line="240" w:lineRule="auto"/>
              <w:jc w:val="both"/>
              <w:rPr>
                <w:rFonts w:ascii="Times New Roman" w:hAnsi="Times New Roman"/>
                <w:sz w:val="20"/>
                <w:szCs w:val="20"/>
                <w:lang w:val="fr-FR"/>
              </w:rPr>
            </w:pPr>
            <w:hyperlink r:id="rId35" w:tooltip="32018R1999" w:history="1">
              <w:r w:rsidR="00373D90" w:rsidRPr="001A1E50">
                <w:rPr>
                  <w:rStyle w:val="af6"/>
                  <w:rFonts w:ascii="Times New Roman" w:eastAsia="Arial Unicode MS" w:hAnsi="Times New Roman"/>
                  <w:b/>
                  <w:bCs/>
                  <w:color w:val="23527C"/>
                  <w:sz w:val="20"/>
                  <w:szCs w:val="20"/>
                  <w:shd w:val="clear" w:color="auto" w:fill="FFFFFF"/>
                  <w:lang w:val="fr-FR"/>
                </w:rPr>
                <w:t>▼B</w:t>
              </w:r>
            </w:hyperlink>
          </w:p>
          <w:p w14:paraId="2F737676" w14:textId="0DC40761" w:rsidR="0094254C" w:rsidRPr="00905298" w:rsidRDefault="0094254C" w:rsidP="0094254C">
            <w:pPr>
              <w:spacing w:after="0" w:line="240" w:lineRule="auto"/>
              <w:jc w:val="both"/>
              <w:rPr>
                <w:rFonts w:ascii="Times New Roman" w:hAnsi="Times New Roman"/>
                <w:sz w:val="20"/>
                <w:szCs w:val="20"/>
                <w:lang w:val="fr-FR"/>
              </w:rPr>
            </w:pPr>
            <w:r w:rsidRPr="00905298">
              <w:rPr>
                <w:rFonts w:ascii="Times New Roman" w:hAnsi="Times New Roman"/>
                <w:sz w:val="20"/>
                <w:szCs w:val="20"/>
                <w:lang w:val="fr-FR"/>
              </w:rPr>
              <w:t>(7)</w:t>
            </w:r>
            <w:proofErr w:type="spellStart"/>
            <w:r w:rsidRPr="00905298">
              <w:rPr>
                <w:rFonts w:ascii="Times New Roman" w:hAnsi="Times New Roman"/>
                <w:sz w:val="20"/>
                <w:szCs w:val="20"/>
                <w:lang w:val="fr-FR"/>
              </w:rPr>
              <w:t>Comisia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asistată</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Comitetul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privind</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schimbările</w:t>
            </w:r>
            <w:proofErr w:type="spellEnd"/>
            <w:r w:rsidRPr="00905298">
              <w:rPr>
                <w:rFonts w:ascii="Times New Roman" w:hAnsi="Times New Roman"/>
                <w:sz w:val="20"/>
                <w:szCs w:val="20"/>
                <w:lang w:val="fr-FR"/>
              </w:rPr>
              <w:t xml:space="preserve"> climatice </w:t>
            </w:r>
            <w:proofErr w:type="spellStart"/>
            <w:r w:rsidRPr="00905298">
              <w:rPr>
                <w:rFonts w:ascii="Times New Roman" w:hAnsi="Times New Roman"/>
                <w:sz w:val="20"/>
                <w:szCs w:val="20"/>
                <w:lang w:val="fr-FR"/>
              </w:rPr>
              <w:t>menționat</w:t>
            </w:r>
            <w:proofErr w:type="spellEnd"/>
            <w:r w:rsidRPr="00905298">
              <w:rPr>
                <w:rFonts w:ascii="Times New Roman" w:hAnsi="Times New Roman"/>
                <w:sz w:val="20"/>
                <w:szCs w:val="20"/>
                <w:lang w:val="fr-FR"/>
              </w:rPr>
              <w:t xml:space="preserve"> la </w:t>
            </w:r>
            <w:proofErr w:type="spellStart"/>
            <w:r w:rsidRPr="00905298">
              <w:rPr>
                <w:rFonts w:ascii="Times New Roman" w:hAnsi="Times New Roman"/>
                <w:sz w:val="20"/>
                <w:szCs w:val="20"/>
                <w:lang w:val="fr-FR"/>
              </w:rPr>
              <w:t>articolul</w:t>
            </w:r>
            <w:proofErr w:type="spellEnd"/>
            <w:r w:rsidRPr="00905298">
              <w:rPr>
                <w:rFonts w:ascii="Times New Roman" w:hAnsi="Times New Roman"/>
                <w:sz w:val="20"/>
                <w:szCs w:val="20"/>
                <w:lang w:val="fr-FR"/>
              </w:rPr>
              <w:t xml:space="preserve"> 44 </w:t>
            </w:r>
            <w:proofErr w:type="spellStart"/>
            <w:r w:rsidRPr="00905298">
              <w:rPr>
                <w:rFonts w:ascii="Times New Roman" w:hAnsi="Times New Roman"/>
                <w:sz w:val="20"/>
                <w:szCs w:val="20"/>
                <w:lang w:val="fr-FR"/>
              </w:rPr>
              <w:t>alineatul</w:t>
            </w:r>
            <w:proofErr w:type="spellEnd"/>
            <w:r w:rsidRPr="00905298">
              <w:rPr>
                <w:rFonts w:ascii="Times New Roman" w:hAnsi="Times New Roman"/>
                <w:sz w:val="20"/>
                <w:szCs w:val="20"/>
                <w:lang w:val="fr-FR"/>
              </w:rPr>
              <w:t xml:space="preserve"> (1) litera (a), </w:t>
            </w:r>
            <w:proofErr w:type="spellStart"/>
            <w:r w:rsidRPr="00905298">
              <w:rPr>
                <w:rFonts w:ascii="Times New Roman" w:hAnsi="Times New Roman"/>
                <w:sz w:val="20"/>
                <w:szCs w:val="20"/>
                <w:lang w:val="fr-FR"/>
              </w:rPr>
              <w:t>adoptă</w:t>
            </w:r>
            <w:proofErr w:type="spellEnd"/>
            <w:r w:rsidRPr="00905298">
              <w:rPr>
                <w:rFonts w:ascii="Times New Roman" w:hAnsi="Times New Roman"/>
                <w:sz w:val="20"/>
                <w:szCs w:val="20"/>
                <w:lang w:val="fr-FR"/>
              </w:rPr>
              <w:t xml:space="preserve"> acte de </w:t>
            </w:r>
            <w:proofErr w:type="spellStart"/>
            <w:r w:rsidRPr="00905298">
              <w:rPr>
                <w:rFonts w:ascii="Times New Roman" w:hAnsi="Times New Roman"/>
                <w:sz w:val="20"/>
                <w:szCs w:val="20"/>
                <w:lang w:val="fr-FR"/>
              </w:rPr>
              <w:t>punere</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aplicare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pentru</w:t>
            </w:r>
            <w:proofErr w:type="spellEnd"/>
            <w:r w:rsidRPr="00905298">
              <w:rPr>
                <w:rFonts w:ascii="Times New Roman" w:hAnsi="Times New Roman"/>
                <w:sz w:val="20"/>
                <w:szCs w:val="20"/>
                <w:lang w:val="fr-FR"/>
              </w:rPr>
              <w:t xml:space="preserve"> a </w:t>
            </w:r>
            <w:proofErr w:type="spellStart"/>
            <w:r w:rsidRPr="00905298">
              <w:rPr>
                <w:rFonts w:ascii="Times New Roman" w:hAnsi="Times New Roman"/>
                <w:sz w:val="20"/>
                <w:szCs w:val="20"/>
                <w:lang w:val="fr-FR"/>
              </w:rPr>
              <w:t>stabili</w:t>
            </w:r>
            <w:proofErr w:type="spellEnd"/>
            <w:r w:rsidRPr="00905298">
              <w:rPr>
                <w:rFonts w:ascii="Times New Roman" w:hAnsi="Times New Roman"/>
                <w:sz w:val="20"/>
                <w:szCs w:val="20"/>
                <w:lang w:val="fr-FR"/>
              </w:rPr>
              <w:t xml:space="preserve"> structura, </w:t>
            </w:r>
            <w:proofErr w:type="spellStart"/>
            <w:r w:rsidRPr="00905298">
              <w:rPr>
                <w:rFonts w:ascii="Times New Roman" w:hAnsi="Times New Roman"/>
                <w:sz w:val="20"/>
                <w:szCs w:val="20"/>
                <w:lang w:val="fr-FR"/>
              </w:rPr>
              <w:t>detaliile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tehnice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formatul</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procedurile</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transmitere</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către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statele</w:t>
            </w:r>
            <w:proofErr w:type="spellEnd"/>
            <w:r w:rsidRPr="00905298">
              <w:rPr>
                <w:rFonts w:ascii="Times New Roman" w:hAnsi="Times New Roman"/>
                <w:sz w:val="20"/>
                <w:szCs w:val="20"/>
                <w:lang w:val="fr-FR"/>
              </w:rPr>
              <w:t xml:space="preserve"> membre a </w:t>
            </w:r>
            <w:proofErr w:type="spellStart"/>
            <w:r w:rsidRPr="00905298">
              <w:rPr>
                <w:rFonts w:ascii="Times New Roman" w:hAnsi="Times New Roman"/>
                <w:sz w:val="20"/>
                <w:szCs w:val="20"/>
                <w:lang w:val="fr-FR"/>
              </w:rPr>
              <w:t>inventarelor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armonizate</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lastRenderedPageBreak/>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temeiul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alineatului</w:t>
            </w:r>
            <w:proofErr w:type="spellEnd"/>
            <w:r w:rsidRPr="00905298">
              <w:rPr>
                <w:rFonts w:ascii="Times New Roman" w:hAnsi="Times New Roman"/>
                <w:sz w:val="20"/>
                <w:szCs w:val="20"/>
                <w:lang w:val="fr-FR"/>
              </w:rPr>
              <w:t xml:space="preserve"> (2) </w:t>
            </w:r>
            <w:proofErr w:type="spellStart"/>
            <w:r w:rsidRPr="00905298">
              <w:rPr>
                <w:rFonts w:ascii="Times New Roman" w:hAnsi="Times New Roman"/>
                <w:sz w:val="20"/>
                <w:szCs w:val="20"/>
                <w:lang w:val="fr-FR"/>
              </w:rPr>
              <w:t>din</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prezentul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articol</w:t>
            </w:r>
            <w:proofErr w:type="spellEnd"/>
            <w:r w:rsidRPr="00905298">
              <w:rPr>
                <w:rFonts w:ascii="Times New Roman" w:hAnsi="Times New Roman"/>
                <w:sz w:val="20"/>
                <w:szCs w:val="20"/>
                <w:lang w:val="fr-FR"/>
              </w:rPr>
              <w:t xml:space="preserve">, a </w:t>
            </w:r>
            <w:proofErr w:type="spellStart"/>
            <w:r w:rsidRPr="00905298">
              <w:rPr>
                <w:rFonts w:ascii="Times New Roman" w:hAnsi="Times New Roman"/>
                <w:sz w:val="20"/>
                <w:szCs w:val="20"/>
                <w:lang w:val="fr-FR"/>
              </w:rPr>
              <w:t>inventarelor</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temeiul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alineatului</w:t>
            </w:r>
            <w:proofErr w:type="spellEnd"/>
            <w:r w:rsidRPr="00905298">
              <w:rPr>
                <w:rFonts w:ascii="Times New Roman" w:hAnsi="Times New Roman"/>
                <w:sz w:val="20"/>
                <w:szCs w:val="20"/>
                <w:lang w:val="fr-FR"/>
              </w:rPr>
              <w:t xml:space="preserve"> (3) </w:t>
            </w:r>
            <w:proofErr w:type="spellStart"/>
            <w:r w:rsidRPr="00905298">
              <w:rPr>
                <w:rFonts w:ascii="Times New Roman" w:hAnsi="Times New Roman"/>
                <w:sz w:val="20"/>
                <w:szCs w:val="20"/>
                <w:lang w:val="fr-FR"/>
              </w:rPr>
              <w:t>din</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prezentul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articol</w:t>
            </w:r>
            <w:proofErr w:type="spellEnd"/>
            <w:r w:rsidRPr="00905298">
              <w:rPr>
                <w:rFonts w:ascii="Times New Roman" w:hAnsi="Times New Roman"/>
                <w:sz w:val="20"/>
                <w:szCs w:val="20"/>
                <w:lang w:val="fr-FR"/>
              </w:rPr>
              <w:t xml:space="preserve"> și a </w:t>
            </w:r>
            <w:proofErr w:type="spellStart"/>
            <w:r w:rsidRPr="00905298">
              <w:rPr>
                <w:rFonts w:ascii="Times New Roman" w:hAnsi="Times New Roman"/>
                <w:sz w:val="20"/>
                <w:szCs w:val="20"/>
                <w:lang w:val="fr-FR"/>
              </w:rPr>
              <w:t>emisiilor</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absorbțiilor</w:t>
            </w:r>
            <w:proofErr w:type="spellEnd"/>
            <w:r w:rsidRPr="00905298">
              <w:rPr>
                <w:rFonts w:ascii="Times New Roman" w:hAnsi="Times New Roman"/>
                <w:sz w:val="20"/>
                <w:szCs w:val="20"/>
                <w:lang w:val="fr-FR"/>
              </w:rPr>
              <w:t xml:space="preserve"> de gaze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contabilizate</w:t>
            </w:r>
            <w:proofErr w:type="spellEnd"/>
            <w:r w:rsidRPr="00905298">
              <w:rPr>
                <w:rFonts w:ascii="Times New Roman" w:hAnsi="Times New Roman"/>
                <w:sz w:val="20"/>
                <w:szCs w:val="20"/>
                <w:lang w:val="fr-FR"/>
              </w:rPr>
              <w:t xml:space="preserve"> în conformitate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articolele</w:t>
            </w:r>
            <w:proofErr w:type="spellEnd"/>
            <w:r w:rsidRPr="00905298">
              <w:rPr>
                <w:rFonts w:ascii="Times New Roman" w:hAnsi="Times New Roman"/>
                <w:sz w:val="20"/>
                <w:szCs w:val="20"/>
                <w:lang w:val="fr-FR"/>
              </w:rPr>
              <w:t xml:space="preserve"> 5 și 14 </w:t>
            </w:r>
            <w:proofErr w:type="spellStart"/>
            <w:r w:rsidRPr="00905298">
              <w:rPr>
                <w:rFonts w:ascii="Times New Roman" w:hAnsi="Times New Roman"/>
                <w:sz w:val="20"/>
                <w:szCs w:val="20"/>
                <w:lang w:val="fr-FR"/>
              </w:rPr>
              <w:t>din</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Regulamentul</w:t>
            </w:r>
            <w:proofErr w:type="spellEnd"/>
            <w:r w:rsidRPr="00905298">
              <w:rPr>
                <w:rFonts w:ascii="Times New Roman" w:hAnsi="Times New Roman"/>
                <w:sz w:val="20"/>
                <w:szCs w:val="20"/>
                <w:lang w:val="fr-FR"/>
              </w:rPr>
              <w:t xml:space="preserve"> (UE) 2018/841.</w:t>
            </w:r>
          </w:p>
          <w:p w14:paraId="7B94583E" w14:textId="77777777" w:rsidR="0094254C" w:rsidRPr="00905298" w:rsidRDefault="0094254C" w:rsidP="0094254C">
            <w:pPr>
              <w:spacing w:after="0" w:line="240" w:lineRule="auto"/>
              <w:jc w:val="both"/>
              <w:rPr>
                <w:rFonts w:ascii="Times New Roman" w:hAnsi="Times New Roman"/>
                <w:sz w:val="20"/>
                <w:szCs w:val="20"/>
                <w:lang w:val="fr-FR"/>
              </w:rPr>
            </w:pPr>
            <w:proofErr w:type="spellStart"/>
            <w:r w:rsidRPr="00905298">
              <w:rPr>
                <w:rFonts w:ascii="Times New Roman" w:hAnsi="Times New Roman"/>
                <w:sz w:val="20"/>
                <w:szCs w:val="20"/>
                <w:lang w:val="fr-FR"/>
              </w:rPr>
              <w:t>Atunci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când</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propune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aceste</w:t>
            </w:r>
            <w:proofErr w:type="spellEnd"/>
            <w:r w:rsidRPr="00905298">
              <w:rPr>
                <w:rFonts w:ascii="Times New Roman" w:hAnsi="Times New Roman"/>
                <w:sz w:val="20"/>
                <w:szCs w:val="20"/>
                <w:lang w:val="fr-FR"/>
              </w:rPr>
              <w:t xml:space="preserve"> acte de </w:t>
            </w:r>
            <w:proofErr w:type="spellStart"/>
            <w:r w:rsidRPr="00905298">
              <w:rPr>
                <w:rFonts w:ascii="Times New Roman" w:hAnsi="Times New Roman"/>
                <w:sz w:val="20"/>
                <w:szCs w:val="20"/>
                <w:lang w:val="fr-FR"/>
              </w:rPr>
              <w:t>punere</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aplicare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Comisia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ia</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considerare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calendarele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aferente</w:t>
            </w:r>
            <w:proofErr w:type="spellEnd"/>
            <w:r w:rsidRPr="00905298">
              <w:rPr>
                <w:rFonts w:ascii="Times New Roman" w:hAnsi="Times New Roman"/>
                <w:sz w:val="20"/>
                <w:szCs w:val="20"/>
                <w:lang w:val="fr-FR"/>
              </w:rPr>
              <w:t xml:space="preserve"> CCONUSC </w:t>
            </w:r>
            <w:proofErr w:type="spellStart"/>
            <w:r w:rsidRPr="00905298">
              <w:rPr>
                <w:rFonts w:ascii="Times New Roman" w:hAnsi="Times New Roman"/>
                <w:sz w:val="20"/>
                <w:szCs w:val="20"/>
                <w:lang w:val="fr-FR"/>
              </w:rPr>
              <w:t>sau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Acordului</w:t>
            </w:r>
            <w:proofErr w:type="spellEnd"/>
            <w:r w:rsidRPr="00905298">
              <w:rPr>
                <w:rFonts w:ascii="Times New Roman" w:hAnsi="Times New Roman"/>
                <w:sz w:val="20"/>
                <w:szCs w:val="20"/>
                <w:lang w:val="fr-FR"/>
              </w:rPr>
              <w:t xml:space="preserve"> de la Paris </w:t>
            </w:r>
            <w:proofErr w:type="spellStart"/>
            <w:r w:rsidRPr="00905298">
              <w:rPr>
                <w:rFonts w:ascii="Times New Roman" w:hAnsi="Times New Roman"/>
                <w:sz w:val="20"/>
                <w:szCs w:val="20"/>
                <w:lang w:val="fr-FR"/>
              </w:rPr>
              <w:t>pentru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monitorizarea</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raportarea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informațiilor</w:t>
            </w:r>
            <w:proofErr w:type="spellEnd"/>
            <w:r w:rsidRPr="00905298">
              <w:rPr>
                <w:rFonts w:ascii="Times New Roman" w:hAnsi="Times New Roman"/>
                <w:sz w:val="20"/>
                <w:szCs w:val="20"/>
                <w:lang w:val="fr-FR"/>
              </w:rPr>
              <w:t xml:space="preserve"> respective, </w:t>
            </w:r>
            <w:proofErr w:type="spellStart"/>
            <w:r w:rsidRPr="00905298">
              <w:rPr>
                <w:rFonts w:ascii="Times New Roman" w:hAnsi="Times New Roman"/>
                <w:sz w:val="20"/>
                <w:szCs w:val="20"/>
                <w:lang w:val="fr-FR"/>
              </w:rPr>
              <w:t>precum</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deciziile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relevante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adoptate</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organismele</w:t>
            </w:r>
            <w:proofErr w:type="spellEnd"/>
            <w:r w:rsidRPr="00905298">
              <w:rPr>
                <w:rFonts w:ascii="Times New Roman" w:hAnsi="Times New Roman"/>
                <w:sz w:val="20"/>
                <w:szCs w:val="20"/>
                <w:lang w:val="fr-FR"/>
              </w:rPr>
              <w:t xml:space="preserve"> CCONUSC </w:t>
            </w:r>
            <w:proofErr w:type="spellStart"/>
            <w:r w:rsidRPr="00905298">
              <w:rPr>
                <w:rFonts w:ascii="Times New Roman" w:hAnsi="Times New Roman"/>
                <w:sz w:val="20"/>
                <w:szCs w:val="20"/>
                <w:lang w:val="fr-FR"/>
              </w:rPr>
              <w:t>sau</w:t>
            </w:r>
            <w:proofErr w:type="spellEnd"/>
            <w:r w:rsidRPr="00905298">
              <w:rPr>
                <w:rFonts w:ascii="Times New Roman" w:hAnsi="Times New Roman"/>
                <w:sz w:val="20"/>
                <w:szCs w:val="20"/>
                <w:lang w:val="fr-FR"/>
              </w:rPr>
              <w:t xml:space="preserve"> ale </w:t>
            </w:r>
            <w:proofErr w:type="spellStart"/>
            <w:r w:rsidRPr="00905298">
              <w:rPr>
                <w:rFonts w:ascii="Times New Roman" w:hAnsi="Times New Roman"/>
                <w:sz w:val="20"/>
                <w:szCs w:val="20"/>
                <w:lang w:val="fr-FR"/>
              </w:rPr>
              <w:t>Acordului</w:t>
            </w:r>
            <w:proofErr w:type="spellEnd"/>
            <w:r w:rsidRPr="00905298">
              <w:rPr>
                <w:rFonts w:ascii="Times New Roman" w:hAnsi="Times New Roman"/>
                <w:sz w:val="20"/>
                <w:szCs w:val="20"/>
                <w:lang w:val="fr-FR"/>
              </w:rPr>
              <w:t xml:space="preserve"> de la Paris </w:t>
            </w:r>
            <w:proofErr w:type="spellStart"/>
            <w:r w:rsidRPr="00905298">
              <w:rPr>
                <w:rFonts w:ascii="Times New Roman" w:hAnsi="Times New Roman"/>
                <w:sz w:val="20"/>
                <w:szCs w:val="20"/>
                <w:lang w:val="fr-FR"/>
              </w:rPr>
              <w:t>pentru</w:t>
            </w:r>
            <w:proofErr w:type="spellEnd"/>
            <w:r w:rsidRPr="00905298">
              <w:rPr>
                <w:rFonts w:ascii="Times New Roman" w:hAnsi="Times New Roman"/>
                <w:sz w:val="20"/>
                <w:szCs w:val="20"/>
                <w:lang w:val="fr-FR"/>
              </w:rPr>
              <w:t xml:space="preserve"> a </w:t>
            </w:r>
            <w:proofErr w:type="spellStart"/>
            <w:r w:rsidRPr="00905298">
              <w:rPr>
                <w:rFonts w:ascii="Times New Roman" w:hAnsi="Times New Roman"/>
                <w:sz w:val="20"/>
                <w:szCs w:val="20"/>
                <w:lang w:val="fr-FR"/>
              </w:rPr>
              <w:t>asigura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respectarea</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către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Uniune</w:t>
            </w:r>
            <w:proofErr w:type="spellEnd"/>
            <w:r w:rsidRPr="00905298">
              <w:rPr>
                <w:rFonts w:ascii="Times New Roman" w:hAnsi="Times New Roman"/>
                <w:sz w:val="20"/>
                <w:szCs w:val="20"/>
                <w:lang w:val="fr-FR"/>
              </w:rPr>
              <w:t xml:space="preserve"> a </w:t>
            </w:r>
            <w:proofErr w:type="spellStart"/>
            <w:r w:rsidRPr="00905298">
              <w:rPr>
                <w:rFonts w:ascii="Times New Roman" w:hAnsi="Times New Roman"/>
                <w:sz w:val="20"/>
                <w:szCs w:val="20"/>
                <w:lang w:val="fr-FR"/>
              </w:rPr>
              <w:t>obligațiilor</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raportare</w:t>
            </w:r>
            <w:proofErr w:type="spellEnd"/>
            <w:r w:rsidRPr="00905298">
              <w:rPr>
                <w:rFonts w:ascii="Times New Roman" w:hAnsi="Times New Roman"/>
                <w:sz w:val="20"/>
                <w:szCs w:val="20"/>
                <w:lang w:val="fr-FR"/>
              </w:rPr>
              <w:t xml:space="preserve"> care </w:t>
            </w:r>
            <w:proofErr w:type="spellStart"/>
            <w:r w:rsidRPr="00905298">
              <w:rPr>
                <w:rFonts w:ascii="Times New Roman" w:hAnsi="Times New Roman"/>
                <w:sz w:val="20"/>
                <w:szCs w:val="20"/>
                <w:lang w:val="fr-FR"/>
              </w:rPr>
              <w:t>îi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revin</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calitate</w:t>
            </w:r>
            <w:proofErr w:type="spellEnd"/>
            <w:r w:rsidRPr="00905298">
              <w:rPr>
                <w:rFonts w:ascii="Times New Roman" w:hAnsi="Times New Roman"/>
                <w:sz w:val="20"/>
                <w:szCs w:val="20"/>
                <w:lang w:val="fr-FR"/>
              </w:rPr>
              <w:t xml:space="preserve"> de parte la CCONUSC și la </w:t>
            </w:r>
            <w:proofErr w:type="spellStart"/>
            <w:r w:rsidRPr="00905298">
              <w:rPr>
                <w:rFonts w:ascii="Times New Roman" w:hAnsi="Times New Roman"/>
                <w:sz w:val="20"/>
                <w:szCs w:val="20"/>
                <w:lang w:val="fr-FR"/>
              </w:rPr>
              <w:t>Acordul</w:t>
            </w:r>
            <w:proofErr w:type="spellEnd"/>
            <w:r w:rsidRPr="00905298">
              <w:rPr>
                <w:rFonts w:ascii="Times New Roman" w:hAnsi="Times New Roman"/>
                <w:sz w:val="20"/>
                <w:szCs w:val="20"/>
                <w:lang w:val="fr-FR"/>
              </w:rPr>
              <w:t xml:space="preserve"> de la Paris. </w:t>
            </w:r>
            <w:proofErr w:type="spellStart"/>
            <w:r w:rsidRPr="00905298">
              <w:rPr>
                <w:rFonts w:ascii="Times New Roman" w:hAnsi="Times New Roman"/>
                <w:sz w:val="20"/>
                <w:szCs w:val="20"/>
                <w:lang w:val="fr-FR"/>
              </w:rPr>
              <w:t>Actele</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punere</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aplicare</w:t>
            </w:r>
            <w:proofErr w:type="spellEnd"/>
            <w:r w:rsidRPr="00905298">
              <w:rPr>
                <w:rFonts w:ascii="Times New Roman" w:hAnsi="Times New Roman"/>
                <w:sz w:val="20"/>
                <w:szCs w:val="20"/>
                <w:lang w:val="fr-FR"/>
              </w:rPr>
              <w:t xml:space="preserve"> respective </w:t>
            </w:r>
            <w:proofErr w:type="spellStart"/>
            <w:r w:rsidRPr="00905298">
              <w:rPr>
                <w:rFonts w:ascii="Times New Roman" w:hAnsi="Times New Roman"/>
                <w:sz w:val="20"/>
                <w:szCs w:val="20"/>
                <w:lang w:val="fr-FR"/>
              </w:rPr>
              <w:t>precizează</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asemenea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calendarele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pentru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cooperarea</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coordonarea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dintre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Comisie</w:t>
            </w:r>
            <w:proofErr w:type="spellEnd"/>
            <w:r w:rsidRPr="00905298">
              <w:rPr>
                <w:rFonts w:ascii="Times New Roman" w:hAnsi="Times New Roman"/>
                <w:sz w:val="20"/>
                <w:szCs w:val="20"/>
                <w:lang w:val="fr-FR"/>
              </w:rPr>
              <w:t xml:space="preserve"> și </w:t>
            </w:r>
            <w:proofErr w:type="spellStart"/>
            <w:r w:rsidRPr="00905298">
              <w:rPr>
                <w:rFonts w:ascii="Times New Roman" w:hAnsi="Times New Roman"/>
                <w:sz w:val="20"/>
                <w:szCs w:val="20"/>
                <w:lang w:val="fr-FR"/>
              </w:rPr>
              <w:t>statele</w:t>
            </w:r>
            <w:proofErr w:type="spellEnd"/>
            <w:r w:rsidRPr="00905298">
              <w:rPr>
                <w:rFonts w:ascii="Times New Roman" w:hAnsi="Times New Roman"/>
                <w:sz w:val="20"/>
                <w:szCs w:val="20"/>
                <w:lang w:val="fr-FR"/>
              </w:rPr>
              <w:t xml:space="preserve"> membre în </w:t>
            </w:r>
            <w:proofErr w:type="spellStart"/>
            <w:r w:rsidRPr="00905298">
              <w:rPr>
                <w:rFonts w:ascii="Times New Roman" w:hAnsi="Times New Roman"/>
                <w:sz w:val="20"/>
                <w:szCs w:val="20"/>
                <w:lang w:val="fr-FR"/>
              </w:rPr>
              <w:t>vederea</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întocmirii</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raportului</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inventariere</w:t>
            </w:r>
            <w:proofErr w:type="spellEnd"/>
            <w:r w:rsidRPr="00905298">
              <w:rPr>
                <w:rFonts w:ascii="Times New Roman" w:hAnsi="Times New Roman"/>
                <w:sz w:val="20"/>
                <w:szCs w:val="20"/>
                <w:lang w:val="fr-FR"/>
              </w:rPr>
              <w:t xml:space="preserve"> a </w:t>
            </w:r>
            <w:proofErr w:type="spellStart"/>
            <w:r w:rsidRPr="00905298">
              <w:rPr>
                <w:rFonts w:ascii="Times New Roman" w:hAnsi="Times New Roman"/>
                <w:sz w:val="20"/>
                <w:szCs w:val="20"/>
                <w:lang w:val="fr-FR"/>
              </w:rPr>
              <w:t>gazelor</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efect</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seră</w:t>
            </w:r>
            <w:proofErr w:type="spellEnd"/>
            <w:r w:rsidRPr="00905298">
              <w:rPr>
                <w:rFonts w:ascii="Times New Roman" w:hAnsi="Times New Roman"/>
                <w:sz w:val="20"/>
                <w:szCs w:val="20"/>
                <w:lang w:val="fr-FR"/>
              </w:rPr>
              <w:t xml:space="preserve"> la </w:t>
            </w:r>
            <w:proofErr w:type="spellStart"/>
            <w:r w:rsidRPr="00905298">
              <w:rPr>
                <w:rFonts w:ascii="Times New Roman" w:hAnsi="Times New Roman"/>
                <w:sz w:val="20"/>
                <w:szCs w:val="20"/>
                <w:lang w:val="fr-FR"/>
              </w:rPr>
              <w:t>nivelul</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Uniunii</w:t>
            </w:r>
            <w:proofErr w:type="spellEnd"/>
            <w:r w:rsidRPr="00905298">
              <w:rPr>
                <w:rFonts w:ascii="Times New Roman" w:hAnsi="Times New Roman"/>
                <w:sz w:val="20"/>
                <w:szCs w:val="20"/>
                <w:lang w:val="fr-FR"/>
              </w:rPr>
              <w:t>.</w:t>
            </w:r>
          </w:p>
          <w:p w14:paraId="567B7BA3" w14:textId="7421FD29" w:rsidR="0094254C" w:rsidRPr="0094254C" w:rsidRDefault="0094254C" w:rsidP="0094254C">
            <w:pPr>
              <w:spacing w:after="0" w:line="240" w:lineRule="auto"/>
              <w:jc w:val="both"/>
              <w:rPr>
                <w:rFonts w:ascii="Times New Roman" w:hAnsi="Times New Roman"/>
                <w:sz w:val="20"/>
                <w:szCs w:val="20"/>
                <w:lang w:val="fr-FR"/>
              </w:rPr>
            </w:pPr>
            <w:proofErr w:type="spellStart"/>
            <w:r w:rsidRPr="00905298">
              <w:rPr>
                <w:rFonts w:ascii="Times New Roman" w:hAnsi="Times New Roman"/>
                <w:sz w:val="20"/>
                <w:szCs w:val="20"/>
                <w:lang w:val="fr-FR"/>
              </w:rPr>
              <w:t>Respectivele</w:t>
            </w:r>
            <w:proofErr w:type="spellEnd"/>
            <w:r w:rsidRPr="00905298">
              <w:rPr>
                <w:rFonts w:ascii="Times New Roman" w:hAnsi="Times New Roman"/>
                <w:sz w:val="20"/>
                <w:szCs w:val="20"/>
                <w:lang w:val="fr-FR"/>
              </w:rPr>
              <w:t xml:space="preserve"> acte de </w:t>
            </w:r>
            <w:proofErr w:type="spellStart"/>
            <w:r w:rsidRPr="00905298">
              <w:rPr>
                <w:rFonts w:ascii="Times New Roman" w:hAnsi="Times New Roman"/>
                <w:sz w:val="20"/>
                <w:szCs w:val="20"/>
                <w:lang w:val="fr-FR"/>
              </w:rPr>
              <w:t>punere</w:t>
            </w:r>
            <w:proofErr w:type="spellEnd"/>
            <w:r w:rsidRPr="00905298">
              <w:rPr>
                <w:rFonts w:ascii="Times New Roman" w:hAnsi="Times New Roman"/>
                <w:sz w:val="20"/>
                <w:szCs w:val="20"/>
                <w:lang w:val="fr-FR"/>
              </w:rPr>
              <w:t xml:space="preserve"> în </w:t>
            </w:r>
            <w:proofErr w:type="spellStart"/>
            <w:r w:rsidRPr="00905298">
              <w:rPr>
                <w:rFonts w:ascii="Times New Roman" w:hAnsi="Times New Roman"/>
                <w:sz w:val="20"/>
                <w:szCs w:val="20"/>
                <w:lang w:val="fr-FR"/>
              </w:rPr>
              <w:t>aplicare</w:t>
            </w:r>
            <w:proofErr w:type="spellEnd"/>
            <w:r w:rsidRPr="00905298">
              <w:rPr>
                <w:rFonts w:ascii="Times New Roman" w:hAnsi="Times New Roman"/>
                <w:sz w:val="20"/>
                <w:szCs w:val="20"/>
                <w:lang w:val="fr-FR"/>
              </w:rPr>
              <w:t xml:space="preserve"> se </w:t>
            </w:r>
            <w:proofErr w:type="spellStart"/>
            <w:r w:rsidRPr="00905298">
              <w:rPr>
                <w:rFonts w:ascii="Times New Roman" w:hAnsi="Times New Roman"/>
                <w:sz w:val="20"/>
                <w:szCs w:val="20"/>
                <w:lang w:val="fr-FR"/>
              </w:rPr>
              <w:t>adoptă</w:t>
            </w:r>
            <w:proofErr w:type="spellEnd"/>
            <w:r w:rsidRPr="00905298">
              <w:rPr>
                <w:rFonts w:ascii="Times New Roman" w:hAnsi="Times New Roman"/>
                <w:sz w:val="20"/>
                <w:szCs w:val="20"/>
                <w:lang w:val="fr-FR"/>
              </w:rPr>
              <w:t xml:space="preserve"> în conformitate </w:t>
            </w:r>
            <w:proofErr w:type="spellStart"/>
            <w:r w:rsidRPr="00905298">
              <w:rPr>
                <w:rFonts w:ascii="Times New Roman" w:hAnsi="Times New Roman"/>
                <w:sz w:val="20"/>
                <w:szCs w:val="20"/>
                <w:lang w:val="fr-FR"/>
              </w:rPr>
              <w:t>cu</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procedura</w:t>
            </w:r>
            <w:proofErr w:type="spellEnd"/>
            <w:r w:rsidRPr="00905298">
              <w:rPr>
                <w:rFonts w:ascii="Times New Roman" w:hAnsi="Times New Roman"/>
                <w:sz w:val="20"/>
                <w:szCs w:val="20"/>
                <w:lang w:val="fr-FR"/>
              </w:rPr>
              <w:t xml:space="preserve"> de </w:t>
            </w:r>
            <w:proofErr w:type="spellStart"/>
            <w:r w:rsidRPr="00905298">
              <w:rPr>
                <w:rFonts w:ascii="Times New Roman" w:hAnsi="Times New Roman"/>
                <w:sz w:val="20"/>
                <w:szCs w:val="20"/>
                <w:lang w:val="fr-FR"/>
              </w:rPr>
              <w:t>examinare</w:t>
            </w:r>
            <w:proofErr w:type="spellEnd"/>
            <w:r w:rsidRPr="00905298">
              <w:rPr>
                <w:rFonts w:ascii="Times New Roman" w:hAnsi="Times New Roman"/>
                <w:sz w:val="20"/>
                <w:szCs w:val="20"/>
                <w:lang w:val="fr-FR"/>
              </w:rPr>
              <w:t xml:space="preserve"> </w:t>
            </w:r>
            <w:proofErr w:type="spellStart"/>
            <w:r w:rsidRPr="00905298">
              <w:rPr>
                <w:rFonts w:ascii="Times New Roman" w:hAnsi="Times New Roman"/>
                <w:sz w:val="20"/>
                <w:szCs w:val="20"/>
                <w:lang w:val="fr-FR"/>
              </w:rPr>
              <w:t>menționată</w:t>
            </w:r>
            <w:proofErr w:type="spellEnd"/>
            <w:r w:rsidRPr="00905298">
              <w:rPr>
                <w:rFonts w:ascii="Times New Roman" w:hAnsi="Times New Roman"/>
                <w:sz w:val="20"/>
                <w:szCs w:val="20"/>
                <w:lang w:val="fr-FR"/>
              </w:rPr>
              <w:t xml:space="preserve"> la </w:t>
            </w:r>
            <w:proofErr w:type="spellStart"/>
            <w:r w:rsidRPr="00905298">
              <w:rPr>
                <w:rFonts w:ascii="Times New Roman" w:hAnsi="Times New Roman"/>
                <w:sz w:val="20"/>
                <w:szCs w:val="20"/>
                <w:lang w:val="fr-FR"/>
              </w:rPr>
              <w:t>articolul</w:t>
            </w:r>
            <w:proofErr w:type="spellEnd"/>
            <w:r w:rsidRPr="00905298">
              <w:rPr>
                <w:rFonts w:ascii="Times New Roman" w:hAnsi="Times New Roman"/>
                <w:sz w:val="20"/>
                <w:szCs w:val="20"/>
                <w:lang w:val="fr-FR"/>
              </w:rPr>
              <w:t xml:space="preserve"> 44 </w:t>
            </w:r>
            <w:proofErr w:type="spellStart"/>
            <w:r w:rsidRPr="00905298">
              <w:rPr>
                <w:rFonts w:ascii="Times New Roman" w:hAnsi="Times New Roman"/>
                <w:sz w:val="20"/>
                <w:szCs w:val="20"/>
                <w:lang w:val="fr-FR"/>
              </w:rPr>
              <w:t>alineatul</w:t>
            </w:r>
            <w:proofErr w:type="spellEnd"/>
            <w:r w:rsidRPr="00905298">
              <w:rPr>
                <w:rFonts w:ascii="Times New Roman" w:hAnsi="Times New Roman"/>
                <w:sz w:val="20"/>
                <w:szCs w:val="20"/>
                <w:lang w:val="fr-FR"/>
              </w:rPr>
              <w:t xml:space="preserve"> (6).</w:t>
            </w:r>
          </w:p>
        </w:tc>
        <w:tc>
          <w:tcPr>
            <w:tcW w:w="4440" w:type="dxa"/>
            <w:shd w:val="clear" w:color="auto" w:fill="auto"/>
          </w:tcPr>
          <w:p w14:paraId="5A42F275" w14:textId="77777777" w:rsidR="008F5636" w:rsidRPr="00077DF7" w:rsidRDefault="008F5636" w:rsidP="00077DF7">
            <w:pPr>
              <w:suppressAutoHyphens w:val="0"/>
              <w:autoSpaceDN/>
              <w:spacing w:before="120" w:after="0" w:line="240" w:lineRule="auto"/>
              <w:jc w:val="both"/>
              <w:textAlignment w:val="auto"/>
              <w:rPr>
                <w:rFonts w:ascii="Times New Roman" w:hAnsi="Times New Roman"/>
                <w:sz w:val="20"/>
                <w:szCs w:val="20"/>
                <w:lang w:val="ro-MD"/>
              </w:rPr>
            </w:pPr>
          </w:p>
        </w:tc>
        <w:tc>
          <w:tcPr>
            <w:tcW w:w="1276" w:type="dxa"/>
          </w:tcPr>
          <w:p w14:paraId="6683C058" w14:textId="6776E0A9" w:rsidR="00A92950" w:rsidRDefault="00A92950" w:rsidP="008F5636">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Parțial</w:t>
            </w:r>
          </w:p>
          <w:p w14:paraId="555C4EF7" w14:textId="436BFC0E" w:rsidR="008F5636" w:rsidRDefault="00A92950" w:rsidP="008F5636">
            <w:pPr>
              <w:pStyle w:val="ColorfulList-Accent11"/>
              <w:spacing w:after="0" w:line="240" w:lineRule="auto"/>
              <w:ind w:left="0"/>
              <w:jc w:val="both"/>
              <w:rPr>
                <w:lang w:val="en-US"/>
              </w:rPr>
            </w:pPr>
            <w:r>
              <w:rPr>
                <w:rFonts w:ascii="Times New Roman" w:hAnsi="Times New Roman"/>
                <w:sz w:val="20"/>
                <w:szCs w:val="20"/>
                <w:lang w:val="ro-RO"/>
              </w:rPr>
              <w:t>c</w:t>
            </w:r>
            <w:r w:rsidR="00342436" w:rsidRPr="00C951E7">
              <w:rPr>
                <w:rFonts w:ascii="Times New Roman" w:hAnsi="Times New Roman"/>
                <w:sz w:val="20"/>
                <w:szCs w:val="20"/>
                <w:lang w:val="ro-RO"/>
              </w:rPr>
              <w:t>ompatibil</w:t>
            </w:r>
          </w:p>
        </w:tc>
        <w:tc>
          <w:tcPr>
            <w:tcW w:w="1276" w:type="dxa"/>
          </w:tcPr>
          <w:p w14:paraId="514E391D" w14:textId="77777777" w:rsidR="008F5636" w:rsidRDefault="008F5636" w:rsidP="008F5636">
            <w:pPr>
              <w:pStyle w:val="ColorfulList-Accent11"/>
              <w:spacing w:after="0" w:line="240" w:lineRule="auto"/>
              <w:ind w:left="0"/>
              <w:jc w:val="both"/>
              <w:rPr>
                <w:lang w:val="en-US"/>
              </w:rPr>
            </w:pPr>
          </w:p>
        </w:tc>
        <w:tc>
          <w:tcPr>
            <w:tcW w:w="1701" w:type="dxa"/>
          </w:tcPr>
          <w:p w14:paraId="018D80E9" w14:textId="4351703F" w:rsidR="00D92A4F" w:rsidRPr="00F13819" w:rsidRDefault="00D92A4F" w:rsidP="00D92A4F">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821CF8">
              <w:rPr>
                <w:rFonts w:ascii="Times New Roman" w:eastAsia="Times New Roman" w:hAnsi="Times New Roman"/>
                <w:sz w:val="20"/>
                <w:szCs w:val="20"/>
                <w:lang w:val="ro-RO"/>
              </w:rPr>
              <w:t xml:space="preserve"> și </w:t>
            </w:r>
            <w:r w:rsidR="00821CF8" w:rsidRPr="00F13819">
              <w:rPr>
                <w:rFonts w:ascii="Times New Roman" w:eastAsia="Times New Roman" w:hAnsi="Times New Roman"/>
                <w:sz w:val="20"/>
                <w:szCs w:val="20"/>
                <w:lang w:val="ro-RO"/>
              </w:rPr>
              <w:t>D/202</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w:t>
            </w:r>
            <w:r w:rsidR="00821CF8">
              <w:rPr>
                <w:rFonts w:ascii="Times New Roman" w:eastAsia="Times New Roman" w:hAnsi="Times New Roman"/>
                <w:sz w:val="20"/>
                <w:szCs w:val="20"/>
                <w:lang w:val="ro-RO"/>
              </w:rPr>
              <w:t>02</w:t>
            </w:r>
            <w:r w:rsidR="00821CF8" w:rsidRPr="00F13819">
              <w:rPr>
                <w:rFonts w:ascii="Times New Roman" w:eastAsia="Times New Roman" w:hAnsi="Times New Roman"/>
                <w:sz w:val="20"/>
                <w:szCs w:val="20"/>
                <w:lang w:val="ro-RO"/>
              </w:rPr>
              <w:t>/MC-</w:t>
            </w:r>
            <w:proofErr w:type="spellStart"/>
            <w:r w:rsidR="00821CF8" w:rsidRPr="00F13819">
              <w:rPr>
                <w:rFonts w:ascii="Times New Roman" w:eastAsia="Times New Roman" w:hAnsi="Times New Roman"/>
                <w:sz w:val="20"/>
                <w:szCs w:val="20"/>
                <w:lang w:val="ro-RO"/>
              </w:rPr>
              <w:t>EnC</w:t>
            </w:r>
            <w:proofErr w:type="spellEnd"/>
            <w:r w:rsidR="00821CF8" w:rsidRPr="00F13819">
              <w:rPr>
                <w:rFonts w:ascii="Times New Roman" w:eastAsia="Times New Roman" w:hAnsi="Times New Roman"/>
                <w:sz w:val="20"/>
                <w:szCs w:val="20"/>
                <w:lang w:val="ro-RO"/>
              </w:rPr>
              <w:t xml:space="preserve"> din </w:t>
            </w:r>
            <w:r w:rsidR="00821CF8">
              <w:rPr>
                <w:rFonts w:ascii="Times New Roman" w:eastAsia="Times New Roman" w:hAnsi="Times New Roman"/>
                <w:sz w:val="20"/>
                <w:szCs w:val="20"/>
                <w:lang w:val="ro-RO"/>
              </w:rPr>
              <w:t>15</w:t>
            </w:r>
            <w:r w:rsidR="00821CF8" w:rsidRPr="00F13819">
              <w:rPr>
                <w:rFonts w:ascii="Times New Roman" w:eastAsia="Times New Roman" w:hAnsi="Times New Roman"/>
                <w:sz w:val="20"/>
                <w:szCs w:val="20"/>
                <w:lang w:val="ro-RO"/>
              </w:rPr>
              <w:t>.1</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p>
          <w:p w14:paraId="1A03754E" w14:textId="77777777" w:rsidR="0094254C" w:rsidRDefault="0094254C" w:rsidP="00342436">
            <w:pPr>
              <w:pStyle w:val="ColorfulList-Accent11"/>
              <w:spacing w:after="0" w:line="240" w:lineRule="auto"/>
              <w:ind w:left="0"/>
              <w:jc w:val="both"/>
              <w:rPr>
                <w:rFonts w:ascii="Times New Roman" w:hAnsi="Times New Roman"/>
                <w:sz w:val="20"/>
                <w:szCs w:val="20"/>
                <w:lang w:val="ro-RO"/>
              </w:rPr>
            </w:pPr>
          </w:p>
          <w:p w14:paraId="7682D80A" w14:textId="60F22381"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pct.61 și pct.62</w:t>
            </w:r>
          </w:p>
          <w:p w14:paraId="14A6F54A"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064592AF" w14:textId="77777777" w:rsidR="00077DF7" w:rsidRDefault="00077DF7" w:rsidP="00342436">
            <w:pPr>
              <w:pStyle w:val="ColorfulList-Accent11"/>
              <w:spacing w:after="0" w:line="240" w:lineRule="auto"/>
              <w:ind w:left="0"/>
              <w:jc w:val="both"/>
              <w:rPr>
                <w:rFonts w:ascii="Times New Roman" w:hAnsi="Times New Roman"/>
                <w:sz w:val="20"/>
                <w:szCs w:val="20"/>
                <w:lang w:val="ro-RO"/>
              </w:rPr>
            </w:pPr>
          </w:p>
          <w:p w14:paraId="795CC1C7" w14:textId="77777777" w:rsidR="00077DF7" w:rsidRPr="00D92A4F" w:rsidRDefault="00077DF7" w:rsidP="00342436">
            <w:pPr>
              <w:pStyle w:val="ColorfulList-Accent11"/>
              <w:spacing w:after="0" w:line="240" w:lineRule="auto"/>
              <w:ind w:left="0"/>
              <w:jc w:val="both"/>
              <w:rPr>
                <w:rFonts w:ascii="Times New Roman" w:hAnsi="Times New Roman"/>
                <w:sz w:val="20"/>
                <w:szCs w:val="20"/>
                <w:lang w:val="ro-RO"/>
              </w:rPr>
            </w:pPr>
          </w:p>
          <w:p w14:paraId="1FB309A9" w14:textId="76BF4833" w:rsidR="00205298" w:rsidRPr="00342436" w:rsidRDefault="00205298" w:rsidP="00205298">
            <w:pPr>
              <w:autoSpaceDE w:val="0"/>
              <w:spacing w:after="0" w:line="240" w:lineRule="auto"/>
              <w:rPr>
                <w:lang w:val="ro-RO"/>
              </w:rPr>
            </w:pPr>
            <w:r w:rsidRPr="00342436">
              <w:rPr>
                <w:rFonts w:ascii="Times New Roman" w:hAnsi="Times New Roman"/>
                <w:sz w:val="20"/>
                <w:szCs w:val="20"/>
                <w:lang w:val="ro-RO"/>
              </w:rPr>
              <w:t xml:space="preserve">Prevederile </w:t>
            </w:r>
            <w:r>
              <w:rPr>
                <w:rFonts w:ascii="Times New Roman" w:hAnsi="Times New Roman"/>
                <w:sz w:val="20"/>
                <w:szCs w:val="20"/>
                <w:lang w:val="ro-RO"/>
              </w:rPr>
              <w:t xml:space="preserve">privind raportarea inventarelor de gaze cu efect de seră </w:t>
            </w:r>
            <w:r w:rsidR="00912266">
              <w:rPr>
                <w:rFonts w:ascii="Times New Roman" w:hAnsi="Times New Roman"/>
                <w:sz w:val="20"/>
                <w:szCs w:val="20"/>
                <w:lang w:val="ro-RO"/>
              </w:rPr>
              <w:t>sunt transpuse la pct.8 din</w:t>
            </w:r>
          </w:p>
          <w:p w14:paraId="3286619A" w14:textId="17948A18" w:rsidR="00205298" w:rsidRDefault="00205298" w:rsidP="00205298">
            <w:pPr>
              <w:pStyle w:val="ColorfulList-Accent11"/>
              <w:spacing w:after="0" w:line="240" w:lineRule="auto"/>
              <w:ind w:left="0"/>
              <w:jc w:val="both"/>
              <w:rPr>
                <w:rFonts w:ascii="Times New Roman" w:hAnsi="Times New Roman"/>
                <w:sz w:val="20"/>
                <w:szCs w:val="20"/>
                <w:lang w:val="ro-MD"/>
              </w:rPr>
            </w:pPr>
            <w:r w:rsidRPr="006D59A3">
              <w:rPr>
                <w:rStyle w:val="apple-converted-space"/>
                <w:rFonts w:ascii="Times New Roman" w:hAnsi="Times New Roman"/>
                <w:sz w:val="20"/>
                <w:szCs w:val="20"/>
                <w:shd w:val="clear" w:color="auto" w:fill="FFFFFF"/>
                <w:lang w:val="ro-MD"/>
              </w:rPr>
              <w:t>Hotărârea Guvernului</w:t>
            </w:r>
            <w:r w:rsidRPr="00342436">
              <w:rPr>
                <w:rStyle w:val="apple-converted-space"/>
                <w:rFonts w:ascii="Times New Roman" w:hAnsi="Times New Roman"/>
                <w:sz w:val="20"/>
                <w:szCs w:val="20"/>
                <w:shd w:val="clear" w:color="auto" w:fill="FFFFFF"/>
                <w:lang w:val="ro-MD"/>
              </w:rPr>
              <w:t xml:space="preserve"> nr.</w:t>
            </w:r>
            <w:r w:rsidRPr="00342436">
              <w:rPr>
                <w:rFonts w:ascii="Times New Roman" w:hAnsi="Times New Roman"/>
                <w:sz w:val="20"/>
                <w:szCs w:val="20"/>
                <w:lang w:val="ro-MD"/>
              </w:rPr>
              <w:t>1277/2018 cu privire la instituirea și funcționarea sistemului național de monitorizare și raportare a emisiilor de gaze cu efect de seră și altor informații relevante pentru schimbările climatice</w:t>
            </w:r>
          </w:p>
          <w:p w14:paraId="566A55E4" w14:textId="77777777" w:rsidR="0094254C" w:rsidRDefault="0094254C" w:rsidP="00342436">
            <w:pPr>
              <w:pStyle w:val="ColorfulList-Accent11"/>
              <w:spacing w:after="0" w:line="240" w:lineRule="auto"/>
              <w:ind w:left="0"/>
              <w:jc w:val="both"/>
              <w:rPr>
                <w:rFonts w:ascii="Times New Roman" w:hAnsi="Times New Roman"/>
                <w:sz w:val="20"/>
                <w:szCs w:val="20"/>
                <w:lang w:val="ro-MD"/>
              </w:rPr>
            </w:pPr>
          </w:p>
          <w:p w14:paraId="3A3BEC5D" w14:textId="77777777" w:rsidR="0094254C" w:rsidRDefault="0094254C" w:rsidP="00342436">
            <w:pPr>
              <w:pStyle w:val="ColorfulList-Accent11"/>
              <w:spacing w:after="0" w:line="240" w:lineRule="auto"/>
              <w:ind w:left="0"/>
              <w:jc w:val="both"/>
              <w:rPr>
                <w:rFonts w:ascii="Times New Roman" w:hAnsi="Times New Roman"/>
                <w:sz w:val="20"/>
                <w:szCs w:val="20"/>
                <w:lang w:val="ro-MD"/>
              </w:rPr>
            </w:pPr>
          </w:p>
          <w:p w14:paraId="40F1F024" w14:textId="27E7833A" w:rsidR="0094254C" w:rsidRPr="00342436" w:rsidRDefault="0094254C" w:rsidP="00342436">
            <w:pPr>
              <w:pStyle w:val="ColorfulList-Accent11"/>
              <w:spacing w:after="0" w:line="240" w:lineRule="auto"/>
              <w:ind w:left="0"/>
              <w:jc w:val="both"/>
              <w:rPr>
                <w:sz w:val="20"/>
                <w:szCs w:val="20"/>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1C96706B" w14:textId="03145470" w:rsidR="008F5636" w:rsidRDefault="00205298" w:rsidP="008F5636">
            <w:pPr>
              <w:pStyle w:val="ColorfulList-Accent11"/>
              <w:spacing w:after="0" w:line="240" w:lineRule="auto"/>
              <w:ind w:left="0"/>
              <w:jc w:val="both"/>
              <w:rPr>
                <w:lang w:val="en-US"/>
              </w:rPr>
            </w:pPr>
            <w:r w:rsidRPr="003C4F9F">
              <w:rPr>
                <w:rFonts w:ascii="Times New Roman" w:hAnsi="Times New Roman"/>
                <w:sz w:val="20"/>
                <w:szCs w:val="20"/>
                <w:lang w:val="ro-RO"/>
              </w:rPr>
              <w:lastRenderedPageBreak/>
              <w:t>Ministerul Mediului</w:t>
            </w:r>
          </w:p>
        </w:tc>
      </w:tr>
      <w:tr w:rsidR="008F5636" w:rsidRPr="008B14CD" w14:paraId="7EAB31FC" w14:textId="77777777" w:rsidTr="00A90105">
        <w:tc>
          <w:tcPr>
            <w:tcW w:w="4945" w:type="dxa"/>
          </w:tcPr>
          <w:p w14:paraId="32F63435" w14:textId="77777777" w:rsidR="008F5636" w:rsidRPr="00905298" w:rsidRDefault="008F5636" w:rsidP="0094254C">
            <w:pPr>
              <w:spacing w:after="0" w:line="240" w:lineRule="auto"/>
              <w:jc w:val="center"/>
              <w:rPr>
                <w:rFonts w:ascii="Times New Roman" w:hAnsi="Times New Roman"/>
                <w:sz w:val="20"/>
                <w:szCs w:val="20"/>
                <w:lang w:val="fr-FR" w:eastAsia="ru-RU"/>
              </w:rPr>
            </w:pPr>
            <w:proofErr w:type="spellStart"/>
            <w:r w:rsidRPr="00905298">
              <w:rPr>
                <w:rFonts w:ascii="Times New Roman" w:hAnsi="Times New Roman"/>
                <w:sz w:val="20"/>
                <w:szCs w:val="20"/>
                <w:lang w:val="fr-FR" w:eastAsia="ru-RU"/>
              </w:rPr>
              <w:lastRenderedPageBreak/>
              <w:t>Articolul</w:t>
            </w:r>
            <w:proofErr w:type="spellEnd"/>
            <w:r w:rsidRPr="00905298">
              <w:rPr>
                <w:rFonts w:ascii="Times New Roman" w:hAnsi="Times New Roman"/>
                <w:sz w:val="20"/>
                <w:szCs w:val="20"/>
                <w:lang w:val="fr-FR" w:eastAsia="ru-RU"/>
              </w:rPr>
              <w:t xml:space="preserve"> 27</w:t>
            </w:r>
          </w:p>
          <w:p w14:paraId="2A3DA009" w14:textId="77777777" w:rsidR="008F5636" w:rsidRPr="00905298" w:rsidRDefault="008F5636" w:rsidP="0094254C">
            <w:pPr>
              <w:spacing w:after="0" w:line="240" w:lineRule="auto"/>
              <w:jc w:val="center"/>
              <w:rPr>
                <w:rFonts w:ascii="Times New Roman" w:hAnsi="Times New Roman"/>
                <w:b/>
                <w:bCs/>
                <w:sz w:val="20"/>
                <w:szCs w:val="20"/>
                <w:lang w:val="fr-FR" w:eastAsia="ru-RU"/>
              </w:rPr>
            </w:pPr>
            <w:proofErr w:type="spellStart"/>
            <w:r w:rsidRPr="00905298">
              <w:rPr>
                <w:rFonts w:ascii="Times New Roman" w:hAnsi="Times New Roman"/>
                <w:b/>
                <w:bCs/>
                <w:sz w:val="20"/>
                <w:szCs w:val="20"/>
                <w:lang w:val="fr-FR" w:eastAsia="ru-RU"/>
              </w:rPr>
              <w:t>Raportarea</w:t>
            </w:r>
            <w:proofErr w:type="spellEnd"/>
            <w:r w:rsidRPr="00905298">
              <w:rPr>
                <w:rFonts w:ascii="Times New Roman" w:hAnsi="Times New Roman"/>
                <w:b/>
                <w:bCs/>
                <w:sz w:val="20"/>
                <w:szCs w:val="20"/>
                <w:lang w:val="fr-FR" w:eastAsia="ru-RU"/>
              </w:rPr>
              <w:t xml:space="preserve"> </w:t>
            </w:r>
            <w:proofErr w:type="spellStart"/>
            <w:r w:rsidRPr="00905298">
              <w:rPr>
                <w:rFonts w:ascii="Times New Roman" w:hAnsi="Times New Roman"/>
                <w:b/>
                <w:bCs/>
                <w:sz w:val="20"/>
                <w:szCs w:val="20"/>
                <w:lang w:val="fr-FR" w:eastAsia="ru-RU"/>
              </w:rPr>
              <w:t>cu</w:t>
            </w:r>
            <w:proofErr w:type="spellEnd"/>
            <w:r w:rsidRPr="00905298">
              <w:rPr>
                <w:rFonts w:ascii="Times New Roman" w:hAnsi="Times New Roman"/>
                <w:b/>
                <w:bCs/>
                <w:sz w:val="20"/>
                <w:szCs w:val="20"/>
                <w:lang w:val="fr-FR" w:eastAsia="ru-RU"/>
              </w:rPr>
              <w:t xml:space="preserve"> </w:t>
            </w:r>
            <w:proofErr w:type="spellStart"/>
            <w:r w:rsidRPr="00905298">
              <w:rPr>
                <w:rFonts w:ascii="Times New Roman" w:hAnsi="Times New Roman"/>
                <w:b/>
                <w:bCs/>
                <w:sz w:val="20"/>
                <w:szCs w:val="20"/>
                <w:lang w:val="fr-FR" w:eastAsia="ru-RU"/>
              </w:rPr>
              <w:t>privire</w:t>
            </w:r>
            <w:proofErr w:type="spellEnd"/>
            <w:r w:rsidRPr="00905298">
              <w:rPr>
                <w:rFonts w:ascii="Times New Roman" w:hAnsi="Times New Roman"/>
                <w:b/>
                <w:bCs/>
                <w:sz w:val="20"/>
                <w:szCs w:val="20"/>
                <w:lang w:val="fr-FR" w:eastAsia="ru-RU"/>
              </w:rPr>
              <w:t xml:space="preserve"> la </w:t>
            </w:r>
            <w:proofErr w:type="spellStart"/>
            <w:r w:rsidRPr="00905298">
              <w:rPr>
                <w:rFonts w:ascii="Times New Roman" w:hAnsi="Times New Roman"/>
                <w:b/>
                <w:bCs/>
                <w:sz w:val="20"/>
                <w:szCs w:val="20"/>
                <w:lang w:val="fr-FR" w:eastAsia="ru-RU"/>
              </w:rPr>
              <w:t>obiectivele</w:t>
            </w:r>
            <w:proofErr w:type="spellEnd"/>
            <w:r w:rsidRPr="00905298">
              <w:rPr>
                <w:rFonts w:ascii="Times New Roman" w:hAnsi="Times New Roman"/>
                <w:b/>
                <w:bCs/>
                <w:sz w:val="20"/>
                <w:szCs w:val="20"/>
                <w:lang w:val="fr-FR" w:eastAsia="ru-RU"/>
              </w:rPr>
              <w:t xml:space="preserve"> </w:t>
            </w:r>
            <w:proofErr w:type="spellStart"/>
            <w:r w:rsidRPr="00905298">
              <w:rPr>
                <w:rFonts w:ascii="Times New Roman" w:hAnsi="Times New Roman"/>
                <w:b/>
                <w:bCs/>
                <w:sz w:val="20"/>
                <w:szCs w:val="20"/>
                <w:lang w:val="fr-FR" w:eastAsia="ru-RU"/>
              </w:rPr>
              <w:t>pentru</w:t>
            </w:r>
            <w:proofErr w:type="spellEnd"/>
            <w:r w:rsidRPr="00905298">
              <w:rPr>
                <w:rFonts w:ascii="Times New Roman" w:hAnsi="Times New Roman"/>
                <w:b/>
                <w:bCs/>
                <w:sz w:val="20"/>
                <w:szCs w:val="20"/>
                <w:lang w:val="fr-FR" w:eastAsia="ru-RU"/>
              </w:rPr>
              <w:t xml:space="preserve"> 2020</w:t>
            </w:r>
          </w:p>
          <w:p w14:paraId="098DFF8B" w14:textId="32028F6F" w:rsidR="005975FE" w:rsidRPr="00905298" w:rsidRDefault="008F5636" w:rsidP="005975FE">
            <w:pPr>
              <w:spacing w:after="0" w:line="240" w:lineRule="auto"/>
              <w:jc w:val="both"/>
              <w:rPr>
                <w:rFonts w:ascii="Times New Roman" w:hAnsi="Times New Roman"/>
                <w:sz w:val="20"/>
                <w:szCs w:val="20"/>
                <w:lang w:val="fr-FR" w:eastAsia="ru-RU"/>
              </w:rPr>
            </w:pPr>
            <w:proofErr w:type="spellStart"/>
            <w:r w:rsidRPr="00905298">
              <w:rPr>
                <w:rFonts w:ascii="Times New Roman" w:hAnsi="Times New Roman"/>
                <w:sz w:val="20"/>
                <w:szCs w:val="20"/>
                <w:lang w:val="fr-FR" w:eastAsia="ru-RU"/>
              </w:rPr>
              <w:t>Până</w:t>
            </w:r>
            <w:proofErr w:type="spellEnd"/>
            <w:r w:rsidRPr="00905298">
              <w:rPr>
                <w:rFonts w:ascii="Times New Roman" w:hAnsi="Times New Roman"/>
                <w:sz w:val="20"/>
                <w:szCs w:val="20"/>
                <w:lang w:val="fr-FR" w:eastAsia="ru-RU"/>
              </w:rPr>
              <w:t xml:space="preserve"> la</w:t>
            </w:r>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30</w:t>
            </w:r>
            <w:r w:rsidR="005975FE"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aprilie</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2022, </w:t>
            </w:r>
            <w:proofErr w:type="spellStart"/>
            <w:r w:rsidRPr="00905298">
              <w:rPr>
                <w:rFonts w:ascii="Times New Roman" w:hAnsi="Times New Roman"/>
                <w:sz w:val="20"/>
                <w:szCs w:val="20"/>
                <w:lang w:val="fr-FR" w:eastAsia="ru-RU"/>
              </w:rPr>
              <w:t>fiecare</w:t>
            </w:r>
            <w:proofErr w:type="spellEnd"/>
            <w:r w:rsidRPr="00905298">
              <w:rPr>
                <w:rFonts w:ascii="Times New Roman" w:hAnsi="Times New Roman"/>
                <w:sz w:val="20"/>
                <w:szCs w:val="20"/>
                <w:lang w:val="fr-FR" w:eastAsia="ru-RU"/>
              </w:rPr>
              <w:t xml:space="preserve"> stat membru </w:t>
            </w:r>
            <w:proofErr w:type="spellStart"/>
            <w:r w:rsidRPr="00905298">
              <w:rPr>
                <w:rFonts w:ascii="Times New Roman" w:hAnsi="Times New Roman"/>
                <w:sz w:val="20"/>
                <w:szCs w:val="20"/>
                <w:lang w:val="fr-FR" w:eastAsia="ru-RU"/>
              </w:rPr>
              <w:t>raportează</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Comisiei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privire</w:t>
            </w:r>
            <w:proofErr w:type="spellEnd"/>
            <w:r w:rsidRPr="00905298">
              <w:rPr>
                <w:rFonts w:ascii="Times New Roman" w:hAnsi="Times New Roman"/>
                <w:sz w:val="20"/>
                <w:szCs w:val="20"/>
                <w:lang w:val="fr-FR" w:eastAsia="ru-RU"/>
              </w:rPr>
              <w:t xml:space="preserve"> la </w:t>
            </w:r>
            <w:proofErr w:type="spellStart"/>
            <w:r w:rsidRPr="00905298">
              <w:rPr>
                <w:rFonts w:ascii="Times New Roman" w:hAnsi="Times New Roman"/>
                <w:sz w:val="20"/>
                <w:szCs w:val="20"/>
                <w:lang w:val="fr-FR" w:eastAsia="ru-RU"/>
              </w:rPr>
              <w:t>îndeplinirea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obiectivului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său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materie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eficiență</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energetică</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pentru</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2020 </w:t>
            </w:r>
            <w:proofErr w:type="spellStart"/>
            <w:r w:rsidRPr="00905298">
              <w:rPr>
                <w:rFonts w:ascii="Times New Roman" w:hAnsi="Times New Roman"/>
                <w:sz w:val="20"/>
                <w:szCs w:val="20"/>
                <w:lang w:val="fr-FR" w:eastAsia="ru-RU"/>
              </w:rPr>
              <w:t>stabilit</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temeiul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articolului</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3 </w:t>
            </w:r>
            <w:proofErr w:type="spellStart"/>
            <w:r w:rsidRPr="00905298">
              <w:rPr>
                <w:rFonts w:ascii="Times New Roman" w:hAnsi="Times New Roman"/>
                <w:sz w:val="20"/>
                <w:szCs w:val="20"/>
                <w:lang w:val="fr-FR" w:eastAsia="ru-RU"/>
              </w:rPr>
              <w:t>alineatul</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(1)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Directiva</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2012/27/UE, </w:t>
            </w:r>
            <w:proofErr w:type="spellStart"/>
            <w:r w:rsidRPr="00905298">
              <w:rPr>
                <w:rFonts w:ascii="Times New Roman" w:hAnsi="Times New Roman"/>
                <w:sz w:val="20"/>
                <w:szCs w:val="20"/>
                <w:lang w:val="fr-FR" w:eastAsia="ru-RU"/>
              </w:rPr>
              <w:t>prin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furnizarea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informațiilor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prevăzute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partea</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anexa</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IX la </w:t>
            </w:r>
            <w:proofErr w:type="spellStart"/>
            <w:r w:rsidRPr="00905298">
              <w:rPr>
                <w:rFonts w:ascii="Times New Roman" w:hAnsi="Times New Roman"/>
                <w:sz w:val="20"/>
                <w:szCs w:val="20"/>
                <w:lang w:val="fr-FR" w:eastAsia="ru-RU"/>
              </w:rPr>
              <w:t>prezentul</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regulament</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cu</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privire</w:t>
            </w:r>
            <w:proofErr w:type="spellEnd"/>
            <w:r w:rsidRPr="00905298">
              <w:rPr>
                <w:rFonts w:ascii="Times New Roman" w:hAnsi="Times New Roman"/>
                <w:sz w:val="20"/>
                <w:szCs w:val="20"/>
                <w:lang w:val="fr-FR" w:eastAsia="ru-RU"/>
              </w:rPr>
              <w:t xml:space="preserve"> la </w:t>
            </w:r>
            <w:proofErr w:type="spellStart"/>
            <w:r w:rsidRPr="00905298">
              <w:rPr>
                <w:rFonts w:ascii="Times New Roman" w:hAnsi="Times New Roman"/>
                <w:sz w:val="20"/>
                <w:szCs w:val="20"/>
                <w:lang w:val="fr-FR" w:eastAsia="ru-RU"/>
              </w:rPr>
              <w:t>îndeplinirea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naționale</w:t>
            </w:r>
            <w:proofErr w:type="spellEnd"/>
            <w:r w:rsidRPr="00905298">
              <w:rPr>
                <w:rFonts w:ascii="Times New Roman" w:hAnsi="Times New Roman"/>
                <w:sz w:val="20"/>
                <w:szCs w:val="20"/>
                <w:lang w:val="fr-FR" w:eastAsia="ru-RU"/>
              </w:rPr>
              <w:t xml:space="preserve"> globale </w:t>
            </w:r>
            <w:proofErr w:type="spellStart"/>
            <w:r w:rsidRPr="00905298">
              <w:rPr>
                <w:rFonts w:ascii="Times New Roman" w:hAnsi="Times New Roman"/>
                <w:sz w:val="20"/>
                <w:szCs w:val="20"/>
                <w:lang w:val="fr-FR" w:eastAsia="ru-RU"/>
              </w:rPr>
              <w:t>privind</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ponderea</w:t>
            </w:r>
            <w:proofErr w:type="spellEnd"/>
            <w:r w:rsidRPr="00905298">
              <w:rPr>
                <w:rFonts w:ascii="Times New Roman" w:hAnsi="Times New Roman"/>
                <w:sz w:val="20"/>
                <w:szCs w:val="20"/>
                <w:lang w:val="fr-FR" w:eastAsia="ru-RU"/>
              </w:rPr>
              <w:t xml:space="preserve"> energiei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surse </w:t>
            </w:r>
            <w:proofErr w:type="spellStart"/>
            <w:r w:rsidRPr="00905298">
              <w:rPr>
                <w:rFonts w:ascii="Times New Roman" w:hAnsi="Times New Roman"/>
                <w:sz w:val="20"/>
                <w:szCs w:val="20"/>
                <w:lang w:val="fr-FR" w:eastAsia="ru-RU"/>
              </w:rPr>
              <w:t>regenerabile</w:t>
            </w:r>
            <w:proofErr w:type="spellEnd"/>
            <w:r w:rsidRPr="00905298">
              <w:rPr>
                <w:rFonts w:ascii="Times New Roman" w:hAnsi="Times New Roman"/>
                <w:sz w:val="20"/>
                <w:szCs w:val="20"/>
                <w:lang w:val="fr-FR" w:eastAsia="ru-RU"/>
              </w:rPr>
              <w:t xml:space="preserve"> în</w:t>
            </w:r>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2020, </w:t>
            </w:r>
            <w:proofErr w:type="spellStart"/>
            <w:r w:rsidRPr="00905298">
              <w:rPr>
                <w:rFonts w:ascii="Times New Roman" w:hAnsi="Times New Roman"/>
                <w:sz w:val="20"/>
                <w:szCs w:val="20"/>
                <w:lang w:val="fr-FR" w:eastAsia="ru-RU"/>
              </w:rPr>
              <w:t>după</w:t>
            </w:r>
            <w:proofErr w:type="spellEnd"/>
            <w:r w:rsidRPr="00905298">
              <w:rPr>
                <w:rFonts w:ascii="Times New Roman" w:hAnsi="Times New Roman"/>
                <w:sz w:val="20"/>
                <w:szCs w:val="20"/>
                <w:lang w:val="fr-FR" w:eastAsia="ru-RU"/>
              </w:rPr>
              <w:t xml:space="preserve"> cum se </w:t>
            </w:r>
            <w:proofErr w:type="spellStart"/>
            <w:r w:rsidRPr="00905298">
              <w:rPr>
                <w:rFonts w:ascii="Times New Roman" w:hAnsi="Times New Roman"/>
                <w:sz w:val="20"/>
                <w:szCs w:val="20"/>
                <w:lang w:val="fr-FR" w:eastAsia="ru-RU"/>
              </w:rPr>
              <w:t>prevede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anexa</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I la </w:t>
            </w:r>
            <w:proofErr w:type="spellStart"/>
            <w:r w:rsidRPr="00905298">
              <w:rPr>
                <w:rFonts w:ascii="Times New Roman" w:hAnsi="Times New Roman"/>
                <w:sz w:val="20"/>
                <w:szCs w:val="20"/>
                <w:lang w:val="fr-FR" w:eastAsia="ru-RU"/>
              </w:rPr>
              <w:t>Directiva</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2009/28/CE, în </w:t>
            </w:r>
            <w:proofErr w:type="spellStart"/>
            <w:r w:rsidRPr="00905298">
              <w:rPr>
                <w:rFonts w:ascii="Times New Roman" w:hAnsi="Times New Roman"/>
                <w:sz w:val="20"/>
                <w:szCs w:val="20"/>
                <w:lang w:val="fr-FR" w:eastAsia="ru-RU"/>
              </w:rPr>
              <w:t>versiunea</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vigoare</w:t>
            </w:r>
            <w:proofErr w:type="spellEnd"/>
            <w:r w:rsidRPr="00905298">
              <w:rPr>
                <w:rFonts w:ascii="Times New Roman" w:hAnsi="Times New Roman"/>
                <w:sz w:val="20"/>
                <w:szCs w:val="20"/>
                <w:lang w:val="fr-FR" w:eastAsia="ru-RU"/>
              </w:rPr>
              <w:t xml:space="preserve"> la</w:t>
            </w:r>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31</w:t>
            </w:r>
            <w:r w:rsidR="005975FE"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decembrie</w:t>
            </w:r>
            <w:proofErr w:type="spellEnd"/>
            <w:r w:rsidR="005975FE"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t xml:space="preserve">2020, </w:t>
            </w:r>
            <w:proofErr w:type="spellStart"/>
            <w:r w:rsidRPr="00905298">
              <w:rPr>
                <w:rFonts w:ascii="Times New Roman" w:hAnsi="Times New Roman"/>
                <w:sz w:val="20"/>
                <w:szCs w:val="20"/>
                <w:lang w:val="fr-FR" w:eastAsia="ru-RU"/>
              </w:rPr>
              <w:t>prin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furnizarea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următoarelor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informații</w:t>
            </w:r>
            <w:proofErr w:type="spellEnd"/>
            <w:r w:rsidRPr="00905298">
              <w:rPr>
                <w:rFonts w:ascii="Times New Roman" w:hAnsi="Times New Roman"/>
                <w:sz w:val="20"/>
                <w:szCs w:val="20"/>
                <w:lang w:val="fr-FR" w:eastAsia="ru-RU"/>
              </w:rPr>
              <w:t>:</w:t>
            </w:r>
          </w:p>
          <w:p w14:paraId="27457469" w14:textId="463DC512" w:rsidR="005975FE" w:rsidRPr="00905298" w:rsidRDefault="005975FE" w:rsidP="000C5A3B">
            <w:pPr>
              <w:pStyle w:val="af3"/>
              <w:numPr>
                <w:ilvl w:val="0"/>
                <w:numId w:val="122"/>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ponderea</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sectorială</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sectorul</w:t>
            </w:r>
            <w:proofErr w:type="spellEnd"/>
            <w:r w:rsidRPr="00905298">
              <w:rPr>
                <w:rFonts w:ascii="Times New Roman" w:hAnsi="Times New Roman"/>
                <w:sz w:val="20"/>
                <w:szCs w:val="20"/>
                <w:lang w:val="fr-FR" w:eastAsia="ru-RU"/>
              </w:rPr>
              <w:t xml:space="preserve"> energiei </w:t>
            </w:r>
            <w:proofErr w:type="spellStart"/>
            <w:r w:rsidRPr="00905298">
              <w:rPr>
                <w:rFonts w:ascii="Times New Roman" w:hAnsi="Times New Roman"/>
                <w:sz w:val="20"/>
                <w:szCs w:val="20"/>
                <w:lang w:val="fr-FR" w:eastAsia="ru-RU"/>
              </w:rPr>
              <w:t>electrice</w:t>
            </w:r>
            <w:proofErr w:type="spellEnd"/>
            <w:r w:rsidRPr="00905298">
              <w:rPr>
                <w:rFonts w:ascii="Times New Roman" w:hAnsi="Times New Roman"/>
                <w:sz w:val="20"/>
                <w:szCs w:val="20"/>
                <w:lang w:val="fr-FR" w:eastAsia="ru-RU"/>
              </w:rPr>
              <w:t xml:space="preserve">, al </w:t>
            </w:r>
            <w:proofErr w:type="spellStart"/>
            <w:r w:rsidRPr="00905298">
              <w:rPr>
                <w:rFonts w:ascii="Times New Roman" w:hAnsi="Times New Roman"/>
                <w:sz w:val="20"/>
                <w:szCs w:val="20"/>
                <w:lang w:val="fr-FR" w:eastAsia="ru-RU"/>
              </w:rPr>
              <w:t>încălzirii</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răcirii</w:t>
            </w:r>
            <w:proofErr w:type="spellEnd"/>
            <w:r w:rsidRPr="00905298">
              <w:rPr>
                <w:rFonts w:ascii="Times New Roman" w:hAnsi="Times New Roman"/>
                <w:sz w:val="20"/>
                <w:szCs w:val="20"/>
                <w:lang w:val="fr-FR" w:eastAsia="ru-RU"/>
              </w:rPr>
              <w:t xml:space="preserve"> și al </w:t>
            </w:r>
            <w:proofErr w:type="spellStart"/>
            <w:r w:rsidRPr="00905298">
              <w:rPr>
                <w:rFonts w:ascii="Times New Roman" w:hAnsi="Times New Roman"/>
                <w:sz w:val="20"/>
                <w:szCs w:val="20"/>
                <w:lang w:val="fr-FR" w:eastAsia="ru-RU"/>
              </w:rPr>
              <w:t>transporturilor</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globală</w:t>
            </w:r>
            <w:proofErr w:type="spellEnd"/>
            <w:r w:rsidRPr="00905298">
              <w:rPr>
                <w:rFonts w:ascii="Times New Roman" w:hAnsi="Times New Roman"/>
                <w:sz w:val="20"/>
                <w:szCs w:val="20"/>
                <w:lang w:val="fr-FR" w:eastAsia="ru-RU"/>
              </w:rPr>
              <w:t xml:space="preserve"> a energiei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surse </w:t>
            </w:r>
            <w:proofErr w:type="spellStart"/>
            <w:r w:rsidRPr="00905298">
              <w:rPr>
                <w:rFonts w:ascii="Times New Roman" w:hAnsi="Times New Roman"/>
                <w:sz w:val="20"/>
                <w:szCs w:val="20"/>
                <w:lang w:val="fr-FR" w:eastAsia="ru-RU"/>
              </w:rPr>
              <w:t>regenerabile</w:t>
            </w:r>
            <w:proofErr w:type="spellEnd"/>
            <w:r w:rsidRPr="00905298">
              <w:rPr>
                <w:rFonts w:ascii="Times New Roman" w:hAnsi="Times New Roman"/>
                <w:sz w:val="20"/>
                <w:szCs w:val="20"/>
                <w:lang w:val="fr-FR" w:eastAsia="ru-RU"/>
              </w:rPr>
              <w:t xml:space="preserve"> în 2020;</w:t>
            </w:r>
          </w:p>
          <w:p w14:paraId="1246EEA4" w14:textId="1E461538" w:rsidR="005975FE" w:rsidRPr="00905298" w:rsidRDefault="005975FE" w:rsidP="000C5A3B">
            <w:pPr>
              <w:pStyle w:val="af3"/>
              <w:numPr>
                <w:ilvl w:val="0"/>
                <w:numId w:val="122"/>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măsurile</w:t>
            </w:r>
            <w:proofErr w:type="spellEnd"/>
            <w:proofErr w:type="gram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luate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a </w:t>
            </w:r>
            <w:proofErr w:type="spellStart"/>
            <w:r w:rsidRPr="00905298">
              <w:rPr>
                <w:rFonts w:ascii="Times New Roman" w:hAnsi="Times New Roman"/>
                <w:sz w:val="20"/>
                <w:szCs w:val="20"/>
                <w:lang w:val="fr-FR" w:eastAsia="ru-RU"/>
              </w:rPr>
              <w:t>îndeplini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obiectivele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naționale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privind</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energia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surse </w:t>
            </w:r>
            <w:proofErr w:type="spellStart"/>
            <w:r w:rsidRPr="00905298">
              <w:rPr>
                <w:rFonts w:ascii="Times New Roman" w:hAnsi="Times New Roman"/>
                <w:sz w:val="20"/>
                <w:szCs w:val="20"/>
                <w:lang w:val="fr-FR" w:eastAsia="ru-RU"/>
              </w:rPr>
              <w:t>regenerabile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pentru</w:t>
            </w:r>
            <w:proofErr w:type="spellEnd"/>
            <w:r w:rsidRPr="00905298">
              <w:rPr>
                <w:rFonts w:ascii="Times New Roman" w:hAnsi="Times New Roman"/>
                <w:sz w:val="20"/>
                <w:szCs w:val="20"/>
                <w:lang w:val="fr-FR" w:eastAsia="ru-RU"/>
              </w:rPr>
              <w:t xml:space="preserve"> 2020, </w:t>
            </w:r>
            <w:proofErr w:type="spellStart"/>
            <w:r w:rsidRPr="00905298">
              <w:rPr>
                <w:rFonts w:ascii="Times New Roman" w:hAnsi="Times New Roman"/>
                <w:sz w:val="20"/>
                <w:szCs w:val="20"/>
                <w:lang w:val="fr-FR" w:eastAsia="ru-RU"/>
              </w:rPr>
              <w:t>inclusiv</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măsurile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legate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schemele</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sprijin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garanțiile</w:t>
            </w:r>
            <w:proofErr w:type="spellEnd"/>
            <w:r w:rsidRPr="00905298">
              <w:rPr>
                <w:rFonts w:ascii="Times New Roman" w:hAnsi="Times New Roman"/>
                <w:sz w:val="20"/>
                <w:szCs w:val="20"/>
                <w:lang w:val="fr-FR" w:eastAsia="ru-RU"/>
              </w:rPr>
              <w:t xml:space="preserve"> de origine și </w:t>
            </w:r>
            <w:proofErr w:type="spellStart"/>
            <w:r w:rsidRPr="00905298">
              <w:rPr>
                <w:rFonts w:ascii="Times New Roman" w:hAnsi="Times New Roman"/>
                <w:sz w:val="20"/>
                <w:szCs w:val="20"/>
                <w:lang w:val="fr-FR" w:eastAsia="ru-RU"/>
              </w:rPr>
              <w:t>simplificarea</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procedurilor</w:t>
            </w:r>
            <w:proofErr w:type="spellEnd"/>
            <w:r w:rsidRPr="00905298">
              <w:rPr>
                <w:rFonts w:ascii="Times New Roman" w:hAnsi="Times New Roman"/>
                <w:sz w:val="20"/>
                <w:szCs w:val="20"/>
                <w:lang w:val="fr-FR" w:eastAsia="ru-RU"/>
              </w:rPr>
              <w:t xml:space="preserve"> administrative;</w:t>
            </w:r>
          </w:p>
          <w:p w14:paraId="01A8D512" w14:textId="5A764803" w:rsidR="005975FE" w:rsidRPr="00905298" w:rsidRDefault="005975FE" w:rsidP="000C5A3B">
            <w:pPr>
              <w:pStyle w:val="af3"/>
              <w:numPr>
                <w:ilvl w:val="0"/>
                <w:numId w:val="122"/>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ponderea</w:t>
            </w:r>
            <w:proofErr w:type="spellEnd"/>
            <w:proofErr w:type="gramEnd"/>
            <w:r w:rsidRPr="00905298">
              <w:rPr>
                <w:rFonts w:ascii="Times New Roman" w:hAnsi="Times New Roman"/>
                <w:sz w:val="20"/>
                <w:szCs w:val="20"/>
                <w:lang w:val="fr-FR" w:eastAsia="ru-RU"/>
              </w:rPr>
              <w:t xml:space="preserve"> energiei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biocombustibili</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biolichide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produse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culturi</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cereale</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alte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culturi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bogate</w:t>
            </w:r>
            <w:proofErr w:type="spellEnd"/>
            <w:r w:rsidRPr="00905298">
              <w:rPr>
                <w:rFonts w:ascii="Times New Roman" w:hAnsi="Times New Roman"/>
                <w:sz w:val="20"/>
                <w:szCs w:val="20"/>
                <w:lang w:val="fr-FR" w:eastAsia="ru-RU"/>
              </w:rPr>
              <w:t xml:space="preserve"> în amidon, de plante </w:t>
            </w:r>
            <w:proofErr w:type="spellStart"/>
            <w:r w:rsidRPr="00905298">
              <w:rPr>
                <w:rFonts w:ascii="Times New Roman" w:hAnsi="Times New Roman"/>
                <w:sz w:val="20"/>
                <w:szCs w:val="20"/>
                <w:lang w:val="fr-FR" w:eastAsia="ru-RU"/>
              </w:rPr>
              <w:t>zaharoase</w:t>
            </w:r>
            <w:proofErr w:type="spellEnd"/>
            <w:r w:rsidRPr="00905298">
              <w:rPr>
                <w:rFonts w:ascii="Times New Roman" w:hAnsi="Times New Roman"/>
                <w:sz w:val="20"/>
                <w:szCs w:val="20"/>
                <w:lang w:val="fr-FR" w:eastAsia="ru-RU"/>
              </w:rPr>
              <w:t xml:space="preserve"> și de plante </w:t>
            </w:r>
            <w:proofErr w:type="spellStart"/>
            <w:r w:rsidRPr="00905298">
              <w:rPr>
                <w:rFonts w:ascii="Times New Roman" w:hAnsi="Times New Roman"/>
                <w:sz w:val="20"/>
                <w:szCs w:val="20"/>
                <w:lang w:val="fr-FR" w:eastAsia="ru-RU"/>
              </w:rPr>
              <w:t>oleaginoase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consumul</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energie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transporturi</w:t>
            </w:r>
            <w:proofErr w:type="spellEnd"/>
            <w:r w:rsidRPr="00905298">
              <w:rPr>
                <w:rFonts w:ascii="Times New Roman" w:hAnsi="Times New Roman"/>
                <w:sz w:val="20"/>
                <w:szCs w:val="20"/>
                <w:lang w:val="fr-FR" w:eastAsia="ru-RU"/>
              </w:rPr>
              <w:t>;</w:t>
            </w:r>
          </w:p>
          <w:p w14:paraId="7C95C30F" w14:textId="249281F6" w:rsidR="008F5636" w:rsidRPr="005975FE" w:rsidRDefault="005975FE" w:rsidP="000C5A3B">
            <w:pPr>
              <w:pStyle w:val="af3"/>
              <w:numPr>
                <w:ilvl w:val="0"/>
                <w:numId w:val="122"/>
              </w:numPr>
              <w:spacing w:after="0" w:line="240" w:lineRule="auto"/>
              <w:jc w:val="both"/>
              <w:rPr>
                <w:rFonts w:ascii="Times New Roman" w:hAnsi="Times New Roman"/>
                <w:sz w:val="20"/>
                <w:szCs w:val="20"/>
                <w:lang w:val="fr-FR" w:eastAsia="ru-RU"/>
              </w:rPr>
            </w:pPr>
            <w:proofErr w:type="spellStart"/>
            <w:proofErr w:type="gramStart"/>
            <w:r w:rsidRPr="00905298">
              <w:rPr>
                <w:rFonts w:ascii="Times New Roman" w:hAnsi="Times New Roman"/>
                <w:sz w:val="20"/>
                <w:szCs w:val="20"/>
                <w:lang w:val="fr-FR" w:eastAsia="ru-RU"/>
              </w:rPr>
              <w:t>ponderea</w:t>
            </w:r>
            <w:proofErr w:type="spellEnd"/>
            <w:proofErr w:type="gramEnd"/>
            <w:r w:rsidRPr="00905298">
              <w:rPr>
                <w:rFonts w:ascii="Times New Roman" w:hAnsi="Times New Roman"/>
                <w:sz w:val="20"/>
                <w:szCs w:val="20"/>
                <w:lang w:val="fr-FR" w:eastAsia="ru-RU"/>
              </w:rPr>
              <w:t xml:space="preserve"> energiei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biocombustibili</w:t>
            </w:r>
            <w:proofErr w:type="spellEnd"/>
            <w:r w:rsidRPr="00905298">
              <w:rPr>
                <w:rFonts w:ascii="Times New Roman" w:hAnsi="Times New Roman"/>
                <w:sz w:val="20"/>
                <w:szCs w:val="20"/>
                <w:lang w:val="fr-FR" w:eastAsia="ru-RU"/>
              </w:rPr>
              <w:t xml:space="preserve"> și </w:t>
            </w:r>
            <w:proofErr w:type="spellStart"/>
            <w:r w:rsidRPr="00905298">
              <w:rPr>
                <w:rFonts w:ascii="Times New Roman" w:hAnsi="Times New Roman"/>
                <w:sz w:val="20"/>
                <w:szCs w:val="20"/>
                <w:lang w:val="fr-FR" w:eastAsia="ru-RU"/>
              </w:rPr>
              <w:t>biogaze</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produși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materii</w:t>
            </w:r>
            <w:proofErr w:type="spellEnd"/>
            <w:r w:rsidRPr="00905298">
              <w:rPr>
                <w:rFonts w:ascii="Times New Roman" w:hAnsi="Times New Roman"/>
                <w:sz w:val="20"/>
                <w:szCs w:val="20"/>
                <w:lang w:val="fr-FR" w:eastAsia="ru-RU"/>
              </w:rPr>
              <w:t xml:space="preserve"> prime și </w:t>
            </w:r>
            <w:proofErr w:type="spellStart"/>
            <w:r w:rsidRPr="00905298">
              <w:rPr>
                <w:rFonts w:ascii="Times New Roman" w:hAnsi="Times New Roman"/>
                <w:sz w:val="20"/>
                <w:szCs w:val="20"/>
                <w:lang w:val="fr-FR" w:eastAsia="ru-RU"/>
              </w:rPr>
              <w:t>utilizați</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transporturi</w:t>
            </w:r>
            <w:proofErr w:type="spellEnd"/>
            <w:r w:rsidRPr="00905298">
              <w:rPr>
                <w:rFonts w:ascii="Times New Roman" w:hAnsi="Times New Roman"/>
                <w:sz w:val="20"/>
                <w:szCs w:val="20"/>
                <w:lang w:val="fr-FR" w:eastAsia="ru-RU"/>
              </w:rPr>
              <w:t xml:space="preserve"> </w:t>
            </w:r>
            <w:r w:rsidRPr="00905298">
              <w:rPr>
                <w:rFonts w:ascii="Times New Roman" w:hAnsi="Times New Roman"/>
                <w:sz w:val="20"/>
                <w:szCs w:val="20"/>
                <w:lang w:val="fr-FR" w:eastAsia="ru-RU"/>
              </w:rPr>
              <w:lastRenderedPageBreak/>
              <w:t xml:space="preserve">și a </w:t>
            </w:r>
            <w:proofErr w:type="spellStart"/>
            <w:r w:rsidRPr="00905298">
              <w:rPr>
                <w:rFonts w:ascii="Times New Roman" w:hAnsi="Times New Roman"/>
                <w:sz w:val="20"/>
                <w:szCs w:val="20"/>
                <w:lang w:val="fr-FR" w:eastAsia="ru-RU"/>
              </w:rPr>
              <w:t>altor</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combustibili</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enumerați</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partea</w:t>
            </w:r>
            <w:proofErr w:type="spellEnd"/>
            <w:r w:rsidRPr="00905298">
              <w:rPr>
                <w:rFonts w:ascii="Times New Roman" w:hAnsi="Times New Roman"/>
                <w:sz w:val="20"/>
                <w:szCs w:val="20"/>
                <w:lang w:val="fr-FR" w:eastAsia="ru-RU"/>
              </w:rPr>
              <w:t xml:space="preserve"> A </w:t>
            </w:r>
            <w:proofErr w:type="spellStart"/>
            <w:r w:rsidRPr="00905298">
              <w:rPr>
                <w:rFonts w:ascii="Times New Roman" w:hAnsi="Times New Roman"/>
                <w:sz w:val="20"/>
                <w:szCs w:val="20"/>
                <w:lang w:val="fr-FR" w:eastAsia="ru-RU"/>
              </w:rPr>
              <w:t>din</w:t>
            </w:r>
            <w:proofErr w:type="spellEnd"/>
            <w:r w:rsidRPr="00905298">
              <w:rPr>
                <w:rFonts w:ascii="Times New Roman" w:hAnsi="Times New Roman"/>
                <w:sz w:val="20"/>
                <w:szCs w:val="20"/>
                <w:lang w:val="fr-FR" w:eastAsia="ru-RU"/>
              </w:rPr>
              <w:t xml:space="preserve"> </w:t>
            </w:r>
            <w:proofErr w:type="spellStart"/>
            <w:r w:rsidRPr="00905298">
              <w:rPr>
                <w:rFonts w:ascii="Times New Roman" w:hAnsi="Times New Roman"/>
                <w:sz w:val="20"/>
                <w:szCs w:val="20"/>
                <w:lang w:val="fr-FR" w:eastAsia="ru-RU"/>
              </w:rPr>
              <w:t>anexa</w:t>
            </w:r>
            <w:proofErr w:type="spellEnd"/>
            <w:r w:rsidRPr="00905298">
              <w:rPr>
                <w:rFonts w:ascii="Times New Roman" w:hAnsi="Times New Roman"/>
                <w:sz w:val="20"/>
                <w:szCs w:val="20"/>
                <w:lang w:val="fr-FR" w:eastAsia="ru-RU"/>
              </w:rPr>
              <w:t xml:space="preserve"> IX la </w:t>
            </w:r>
            <w:proofErr w:type="spellStart"/>
            <w:r w:rsidRPr="00905298">
              <w:rPr>
                <w:rFonts w:ascii="Times New Roman" w:hAnsi="Times New Roman"/>
                <w:sz w:val="20"/>
                <w:szCs w:val="20"/>
                <w:lang w:val="fr-FR" w:eastAsia="ru-RU"/>
              </w:rPr>
              <w:t>Directiva</w:t>
            </w:r>
            <w:proofErr w:type="spellEnd"/>
            <w:r w:rsidRPr="00905298">
              <w:rPr>
                <w:rFonts w:ascii="Times New Roman" w:hAnsi="Times New Roman"/>
                <w:sz w:val="20"/>
                <w:szCs w:val="20"/>
                <w:lang w:val="fr-FR" w:eastAsia="ru-RU"/>
              </w:rPr>
              <w:t xml:space="preserve"> 2009/28/CE, în </w:t>
            </w:r>
            <w:proofErr w:type="spellStart"/>
            <w:r w:rsidRPr="00905298">
              <w:rPr>
                <w:rFonts w:ascii="Times New Roman" w:hAnsi="Times New Roman"/>
                <w:sz w:val="20"/>
                <w:szCs w:val="20"/>
                <w:lang w:val="fr-FR" w:eastAsia="ru-RU"/>
              </w:rPr>
              <w:t>versiunea</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vigoare</w:t>
            </w:r>
            <w:proofErr w:type="spellEnd"/>
            <w:r w:rsidRPr="00905298">
              <w:rPr>
                <w:rFonts w:ascii="Times New Roman" w:hAnsi="Times New Roman"/>
                <w:sz w:val="20"/>
                <w:szCs w:val="20"/>
                <w:lang w:val="fr-FR" w:eastAsia="ru-RU"/>
              </w:rPr>
              <w:t xml:space="preserve"> la 31 </w:t>
            </w:r>
            <w:proofErr w:type="spellStart"/>
            <w:r w:rsidRPr="00905298">
              <w:rPr>
                <w:rFonts w:ascii="Times New Roman" w:hAnsi="Times New Roman"/>
                <w:sz w:val="20"/>
                <w:szCs w:val="20"/>
                <w:lang w:val="fr-FR" w:eastAsia="ru-RU"/>
              </w:rPr>
              <w:t>decembrie</w:t>
            </w:r>
            <w:proofErr w:type="spellEnd"/>
            <w:r w:rsidRPr="00905298">
              <w:rPr>
                <w:rFonts w:ascii="Times New Roman" w:hAnsi="Times New Roman"/>
                <w:sz w:val="20"/>
                <w:szCs w:val="20"/>
                <w:lang w:val="fr-FR" w:eastAsia="ru-RU"/>
              </w:rPr>
              <w:t xml:space="preserve"> 2020, în </w:t>
            </w:r>
            <w:proofErr w:type="spellStart"/>
            <w:r w:rsidRPr="00905298">
              <w:rPr>
                <w:rFonts w:ascii="Times New Roman" w:hAnsi="Times New Roman"/>
                <w:sz w:val="20"/>
                <w:szCs w:val="20"/>
                <w:lang w:val="fr-FR" w:eastAsia="ru-RU"/>
              </w:rPr>
              <w:t>consumul</w:t>
            </w:r>
            <w:proofErr w:type="spellEnd"/>
            <w:r w:rsidRPr="00905298">
              <w:rPr>
                <w:rFonts w:ascii="Times New Roman" w:hAnsi="Times New Roman"/>
                <w:sz w:val="20"/>
                <w:szCs w:val="20"/>
                <w:lang w:val="fr-FR" w:eastAsia="ru-RU"/>
              </w:rPr>
              <w:t xml:space="preserve"> de </w:t>
            </w:r>
            <w:proofErr w:type="spellStart"/>
            <w:r w:rsidRPr="00905298">
              <w:rPr>
                <w:rFonts w:ascii="Times New Roman" w:hAnsi="Times New Roman"/>
                <w:sz w:val="20"/>
                <w:szCs w:val="20"/>
                <w:lang w:val="fr-FR" w:eastAsia="ru-RU"/>
              </w:rPr>
              <w:t>energie</w:t>
            </w:r>
            <w:proofErr w:type="spellEnd"/>
            <w:r w:rsidRPr="00905298">
              <w:rPr>
                <w:rFonts w:ascii="Times New Roman" w:hAnsi="Times New Roman"/>
                <w:sz w:val="20"/>
                <w:szCs w:val="20"/>
                <w:lang w:val="fr-FR" w:eastAsia="ru-RU"/>
              </w:rPr>
              <w:t xml:space="preserve"> în </w:t>
            </w:r>
            <w:proofErr w:type="spellStart"/>
            <w:r w:rsidRPr="00905298">
              <w:rPr>
                <w:rFonts w:ascii="Times New Roman" w:hAnsi="Times New Roman"/>
                <w:sz w:val="20"/>
                <w:szCs w:val="20"/>
                <w:lang w:val="fr-FR" w:eastAsia="ru-RU"/>
              </w:rPr>
              <w:t>transporturi</w:t>
            </w:r>
            <w:proofErr w:type="spellEnd"/>
            <w:r w:rsidRPr="00905298">
              <w:rPr>
                <w:rFonts w:ascii="Times New Roman" w:hAnsi="Times New Roman"/>
                <w:sz w:val="20"/>
                <w:szCs w:val="20"/>
                <w:lang w:val="fr-FR" w:eastAsia="ru-RU"/>
              </w:rPr>
              <w:t>.</w:t>
            </w:r>
          </w:p>
        </w:tc>
        <w:tc>
          <w:tcPr>
            <w:tcW w:w="4440" w:type="dxa"/>
          </w:tcPr>
          <w:p w14:paraId="18690BF1" w14:textId="6954ECB0" w:rsidR="00821CF8" w:rsidRPr="00077DF7" w:rsidRDefault="00821CF8" w:rsidP="00077DF7">
            <w:pPr>
              <w:suppressAutoHyphens w:val="0"/>
              <w:autoSpaceDN/>
              <w:spacing w:before="120" w:after="0" w:line="240" w:lineRule="auto"/>
              <w:jc w:val="both"/>
              <w:textAlignment w:val="auto"/>
              <w:rPr>
                <w:rFonts w:ascii="Times New Roman" w:eastAsia="Times New Roman" w:hAnsi="Times New Roman"/>
                <w:sz w:val="20"/>
                <w:szCs w:val="20"/>
                <w:lang w:val="ro-MD" w:eastAsia="ro-MD"/>
              </w:rPr>
            </w:pPr>
          </w:p>
        </w:tc>
        <w:tc>
          <w:tcPr>
            <w:tcW w:w="1276" w:type="dxa"/>
          </w:tcPr>
          <w:p w14:paraId="10FBC8D6" w14:textId="49C60AB1" w:rsidR="008F5636" w:rsidRPr="00745D9A" w:rsidRDefault="00905298" w:rsidP="008F5636">
            <w:pPr>
              <w:pStyle w:val="ColorfulList-Accent11"/>
              <w:spacing w:after="0" w:line="240" w:lineRule="auto"/>
              <w:ind w:left="0"/>
              <w:jc w:val="both"/>
              <w:rPr>
                <w:lang w:val="ru-RU"/>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26547AA2" w14:textId="77777777" w:rsidR="008F5636" w:rsidRPr="00745D9A" w:rsidRDefault="008F5636" w:rsidP="008F5636">
            <w:pPr>
              <w:pStyle w:val="ColorfulList-Accent11"/>
              <w:spacing w:after="0" w:line="240" w:lineRule="auto"/>
              <w:ind w:left="0"/>
              <w:jc w:val="both"/>
              <w:rPr>
                <w:lang w:val="ru-RU"/>
              </w:rPr>
            </w:pPr>
          </w:p>
        </w:tc>
        <w:tc>
          <w:tcPr>
            <w:tcW w:w="1701" w:type="dxa"/>
          </w:tcPr>
          <w:p w14:paraId="5134B66E" w14:textId="63646B31"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 xml:space="preserve">la pct.62 din </w:t>
            </w:r>
          </w:p>
          <w:p w14:paraId="6E476EDA"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3039561C" w14:textId="77777777" w:rsidR="008B14CD" w:rsidRPr="00077DF7" w:rsidRDefault="008B14CD" w:rsidP="008B14CD">
            <w:pPr>
              <w:pStyle w:val="ColorfulList-Accent11"/>
              <w:spacing w:after="0" w:line="240" w:lineRule="auto"/>
              <w:ind w:left="0"/>
              <w:jc w:val="both"/>
              <w:rPr>
                <w:rFonts w:ascii="Times New Roman" w:hAnsi="Times New Roman"/>
                <w:sz w:val="20"/>
                <w:szCs w:val="20"/>
                <w:lang w:val="ro-RO"/>
              </w:rPr>
            </w:pPr>
          </w:p>
          <w:p w14:paraId="11F157DF" w14:textId="4D94F4A7" w:rsidR="008F5636" w:rsidRPr="005975FE" w:rsidRDefault="008F5636" w:rsidP="008B14CD">
            <w:pPr>
              <w:pStyle w:val="ColorfulList-Accent11"/>
              <w:spacing w:after="0" w:line="240" w:lineRule="auto"/>
              <w:ind w:left="0"/>
              <w:jc w:val="both"/>
              <w:rPr>
                <w:lang w:val="ro-RO"/>
              </w:rPr>
            </w:pPr>
          </w:p>
        </w:tc>
        <w:tc>
          <w:tcPr>
            <w:tcW w:w="1460" w:type="dxa"/>
          </w:tcPr>
          <w:p w14:paraId="65C601CE" w14:textId="77777777" w:rsidR="00905298" w:rsidRPr="003F755D" w:rsidRDefault="00905298" w:rsidP="0090529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5425025B" w14:textId="77777777" w:rsidR="00821CF8" w:rsidRDefault="00821CF8" w:rsidP="008B14CD">
            <w:pPr>
              <w:autoSpaceDE w:val="0"/>
              <w:spacing w:after="0" w:line="240" w:lineRule="auto"/>
              <w:rPr>
                <w:rFonts w:ascii="Times New Roman" w:hAnsi="Times New Roman"/>
                <w:sz w:val="20"/>
                <w:szCs w:val="20"/>
                <w:lang w:val="ro-RO"/>
              </w:rPr>
            </w:pPr>
          </w:p>
          <w:p w14:paraId="72C4B045" w14:textId="25850F15" w:rsidR="008F5636" w:rsidRPr="005975FE" w:rsidRDefault="008F5636" w:rsidP="008B14CD">
            <w:pPr>
              <w:autoSpaceDE w:val="0"/>
              <w:spacing w:after="0" w:line="240" w:lineRule="auto"/>
              <w:rPr>
                <w:lang w:val="ro-RO"/>
              </w:rPr>
            </w:pPr>
          </w:p>
        </w:tc>
      </w:tr>
      <w:tr w:rsidR="008F5636" w:rsidRPr="00745D9A" w14:paraId="4D2B1E5F" w14:textId="77777777" w:rsidTr="00A90105">
        <w:tc>
          <w:tcPr>
            <w:tcW w:w="4945" w:type="dxa"/>
          </w:tcPr>
          <w:p w14:paraId="1BD91048" w14:textId="77777777" w:rsidR="008F5636" w:rsidRPr="00AA07C4" w:rsidRDefault="008F5636" w:rsidP="005975FE">
            <w:pPr>
              <w:spacing w:after="0" w:line="240" w:lineRule="auto"/>
              <w:jc w:val="center"/>
              <w:rPr>
                <w:rFonts w:ascii="Times New Roman" w:hAnsi="Times New Roman"/>
                <w:b/>
                <w:bCs/>
                <w:sz w:val="20"/>
                <w:szCs w:val="20"/>
                <w:lang w:val="fr-FR" w:eastAsia="ru-RU"/>
              </w:rPr>
            </w:pPr>
            <w:proofErr w:type="spellStart"/>
            <w:r w:rsidRPr="00AA07C4">
              <w:rPr>
                <w:rFonts w:ascii="Times New Roman" w:hAnsi="Times New Roman"/>
                <w:b/>
                <w:bCs/>
                <w:sz w:val="20"/>
                <w:szCs w:val="20"/>
                <w:lang w:val="fr-FR" w:eastAsia="ru-RU"/>
              </w:rPr>
              <w:t>Secțiunea</w:t>
            </w:r>
            <w:proofErr w:type="spellEnd"/>
            <w:r w:rsidRPr="00AA07C4">
              <w:rPr>
                <w:rFonts w:ascii="Times New Roman" w:hAnsi="Times New Roman"/>
                <w:b/>
                <w:bCs/>
                <w:sz w:val="20"/>
                <w:szCs w:val="20"/>
                <w:lang w:val="fr-FR" w:eastAsia="ru-RU"/>
              </w:rPr>
              <w:t xml:space="preserve"> 3</w:t>
            </w:r>
          </w:p>
          <w:p w14:paraId="71524C35" w14:textId="77777777" w:rsidR="008F5636" w:rsidRPr="00AA07C4" w:rsidRDefault="008F5636" w:rsidP="005975FE">
            <w:pPr>
              <w:spacing w:after="0" w:line="240" w:lineRule="auto"/>
              <w:jc w:val="center"/>
              <w:rPr>
                <w:rFonts w:ascii="Times New Roman" w:hAnsi="Times New Roman"/>
                <w:b/>
                <w:bCs/>
                <w:sz w:val="20"/>
                <w:szCs w:val="20"/>
                <w:lang w:val="fr-FR" w:eastAsia="ru-RU"/>
              </w:rPr>
            </w:pPr>
            <w:proofErr w:type="spellStart"/>
            <w:r w:rsidRPr="00AA07C4">
              <w:rPr>
                <w:rFonts w:ascii="Times New Roman" w:hAnsi="Times New Roman"/>
                <w:b/>
                <w:bCs/>
                <w:sz w:val="20"/>
                <w:szCs w:val="20"/>
                <w:lang w:val="fr-FR" w:eastAsia="ru-RU"/>
              </w:rPr>
              <w:t>Platforma</w:t>
            </w:r>
            <w:proofErr w:type="spellEnd"/>
            <w:r w:rsidRPr="00AA07C4">
              <w:rPr>
                <w:rFonts w:ascii="Times New Roman" w:hAnsi="Times New Roman"/>
                <w:b/>
                <w:bCs/>
                <w:sz w:val="20"/>
                <w:szCs w:val="20"/>
                <w:lang w:val="fr-FR" w:eastAsia="ru-RU"/>
              </w:rPr>
              <w:t xml:space="preserve"> de </w:t>
            </w:r>
            <w:proofErr w:type="spellStart"/>
            <w:r w:rsidRPr="00AA07C4">
              <w:rPr>
                <w:rFonts w:ascii="Times New Roman" w:hAnsi="Times New Roman"/>
                <w:b/>
                <w:bCs/>
                <w:sz w:val="20"/>
                <w:szCs w:val="20"/>
                <w:lang w:val="fr-FR" w:eastAsia="ru-RU"/>
              </w:rPr>
              <w:t>raportare</w:t>
            </w:r>
            <w:proofErr w:type="spellEnd"/>
          </w:p>
          <w:p w14:paraId="7D4273FA" w14:textId="77777777" w:rsidR="008F5636" w:rsidRPr="00AA07C4" w:rsidRDefault="008F5636" w:rsidP="005975FE">
            <w:pPr>
              <w:spacing w:after="0" w:line="240" w:lineRule="auto"/>
              <w:jc w:val="center"/>
              <w:rPr>
                <w:rFonts w:ascii="Times New Roman" w:hAnsi="Times New Roman"/>
                <w:sz w:val="20"/>
                <w:szCs w:val="20"/>
                <w:lang w:val="fr-FR" w:eastAsia="ru-RU"/>
              </w:rPr>
            </w:pPr>
            <w:proofErr w:type="spellStart"/>
            <w:r w:rsidRPr="00AA07C4">
              <w:rPr>
                <w:rFonts w:ascii="Times New Roman" w:hAnsi="Times New Roman"/>
                <w:sz w:val="20"/>
                <w:szCs w:val="20"/>
                <w:lang w:val="fr-FR" w:eastAsia="ru-RU"/>
              </w:rPr>
              <w:t>Articolul</w:t>
            </w:r>
            <w:proofErr w:type="spellEnd"/>
            <w:r w:rsidRPr="00AA07C4">
              <w:rPr>
                <w:rFonts w:ascii="Times New Roman" w:hAnsi="Times New Roman"/>
                <w:sz w:val="20"/>
                <w:szCs w:val="20"/>
                <w:lang w:val="fr-FR" w:eastAsia="ru-RU"/>
              </w:rPr>
              <w:t xml:space="preserve"> 28</w:t>
            </w:r>
          </w:p>
          <w:p w14:paraId="79683F38" w14:textId="77777777" w:rsidR="008F5636" w:rsidRPr="00AA07C4" w:rsidRDefault="008F5636" w:rsidP="005975FE">
            <w:pPr>
              <w:spacing w:after="0" w:line="240" w:lineRule="auto"/>
              <w:jc w:val="center"/>
              <w:rPr>
                <w:rFonts w:ascii="Times New Roman" w:hAnsi="Times New Roman"/>
                <w:b/>
                <w:bCs/>
                <w:sz w:val="20"/>
                <w:szCs w:val="20"/>
                <w:lang w:val="fr-FR" w:eastAsia="ru-RU"/>
              </w:rPr>
            </w:pPr>
            <w:proofErr w:type="spellStart"/>
            <w:r w:rsidRPr="00AA07C4">
              <w:rPr>
                <w:rFonts w:ascii="Times New Roman" w:hAnsi="Times New Roman"/>
                <w:b/>
                <w:bCs/>
                <w:sz w:val="20"/>
                <w:szCs w:val="20"/>
                <w:lang w:val="fr-FR" w:eastAsia="ru-RU"/>
              </w:rPr>
              <w:t>Platforma</w:t>
            </w:r>
            <w:proofErr w:type="spellEnd"/>
            <w:r w:rsidRPr="00AA07C4">
              <w:rPr>
                <w:rFonts w:ascii="Times New Roman" w:hAnsi="Times New Roman"/>
                <w:b/>
                <w:bCs/>
                <w:sz w:val="20"/>
                <w:szCs w:val="20"/>
                <w:lang w:val="fr-FR" w:eastAsia="ru-RU"/>
              </w:rPr>
              <w:t xml:space="preserve"> </w:t>
            </w:r>
            <w:proofErr w:type="spellStart"/>
            <w:r w:rsidRPr="00AA07C4">
              <w:rPr>
                <w:rFonts w:ascii="Times New Roman" w:hAnsi="Times New Roman"/>
                <w:b/>
                <w:bCs/>
                <w:sz w:val="20"/>
                <w:szCs w:val="20"/>
                <w:lang w:val="fr-FR" w:eastAsia="ru-RU"/>
              </w:rPr>
              <w:t>electronică</w:t>
            </w:r>
            <w:proofErr w:type="spellEnd"/>
          </w:p>
          <w:p w14:paraId="2F4E3BDC" w14:textId="1C5C554C" w:rsidR="008F5636" w:rsidRPr="00AA07C4" w:rsidRDefault="008F5636" w:rsidP="005975FE">
            <w:pPr>
              <w:spacing w:after="0" w:line="240" w:lineRule="auto"/>
              <w:jc w:val="both"/>
              <w:rPr>
                <w:rFonts w:ascii="Times New Roman" w:hAnsi="Times New Roman"/>
                <w:sz w:val="20"/>
                <w:szCs w:val="20"/>
                <w:lang w:val="fr-FR" w:eastAsia="ru-RU"/>
              </w:rPr>
            </w:pPr>
            <w:r w:rsidRPr="00AA07C4">
              <w:rPr>
                <w:rFonts w:ascii="Times New Roman" w:hAnsi="Times New Roman"/>
                <w:sz w:val="20"/>
                <w:szCs w:val="20"/>
                <w:lang w:val="fr-FR" w:eastAsia="ru-RU"/>
              </w:rPr>
              <w:t>(</w:t>
            </w:r>
            <w:proofErr w:type="gramStart"/>
            <w:r w:rsidRPr="00AA07C4">
              <w:rPr>
                <w:rFonts w:ascii="Times New Roman" w:hAnsi="Times New Roman"/>
                <w:sz w:val="20"/>
                <w:szCs w:val="20"/>
                <w:lang w:val="fr-FR" w:eastAsia="ru-RU"/>
              </w:rPr>
              <w:t>1)</w:t>
            </w:r>
            <w:proofErr w:type="spellStart"/>
            <w:r w:rsidRPr="00AA07C4">
              <w:rPr>
                <w:rFonts w:ascii="Times New Roman" w:hAnsi="Times New Roman"/>
                <w:sz w:val="20"/>
                <w:szCs w:val="20"/>
                <w:lang w:val="fr-FR" w:eastAsia="ru-RU"/>
              </w:rPr>
              <w:t>Comisia</w:t>
            </w:r>
            <w:proofErr w:type="spellEnd"/>
            <w:proofErr w:type="gram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instituie</w:t>
            </w:r>
            <w:proofErr w:type="spellEnd"/>
            <w:r w:rsidRPr="00AA07C4">
              <w:rPr>
                <w:rFonts w:ascii="Times New Roman" w:hAnsi="Times New Roman"/>
                <w:sz w:val="20"/>
                <w:szCs w:val="20"/>
                <w:lang w:val="fr-FR" w:eastAsia="ru-RU"/>
              </w:rPr>
              <w:t xml:space="preserve"> o </w:t>
            </w:r>
            <w:proofErr w:type="spellStart"/>
            <w:r w:rsidRPr="00AA07C4">
              <w:rPr>
                <w:rFonts w:ascii="Times New Roman" w:hAnsi="Times New Roman"/>
                <w:sz w:val="20"/>
                <w:szCs w:val="20"/>
                <w:lang w:val="fr-FR" w:eastAsia="ru-RU"/>
              </w:rPr>
              <w:t>platformă</w:t>
            </w:r>
            <w:proofErr w:type="spellEnd"/>
            <w:r w:rsidRPr="00AA07C4">
              <w:rPr>
                <w:rFonts w:ascii="Times New Roman" w:hAnsi="Times New Roman"/>
                <w:sz w:val="20"/>
                <w:szCs w:val="20"/>
                <w:lang w:val="fr-FR" w:eastAsia="ru-RU"/>
              </w:rPr>
              <w:t xml:space="preserve"> online (</w:t>
            </w:r>
            <w:proofErr w:type="spellStart"/>
            <w:r w:rsidRPr="00AA07C4">
              <w:rPr>
                <w:rFonts w:ascii="Times New Roman" w:hAnsi="Times New Roman"/>
                <w:sz w:val="20"/>
                <w:szCs w:val="20"/>
                <w:lang w:val="fr-FR" w:eastAsia="ru-RU"/>
              </w:rPr>
              <w:t>platformă</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electronică</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pentru</w:t>
            </w:r>
            <w:proofErr w:type="spellEnd"/>
            <w:r w:rsidRPr="00AA07C4">
              <w:rPr>
                <w:rFonts w:ascii="Times New Roman" w:hAnsi="Times New Roman"/>
                <w:sz w:val="20"/>
                <w:szCs w:val="20"/>
                <w:lang w:val="fr-FR" w:eastAsia="ru-RU"/>
              </w:rPr>
              <w:t xml:space="preserve"> a facilita </w:t>
            </w:r>
            <w:proofErr w:type="spellStart"/>
            <w:r w:rsidRPr="00AA07C4">
              <w:rPr>
                <w:rFonts w:ascii="Times New Roman" w:hAnsi="Times New Roman"/>
                <w:sz w:val="20"/>
                <w:szCs w:val="20"/>
                <w:lang w:val="fr-FR" w:eastAsia="ru-RU"/>
              </w:rPr>
              <w:t>comunicarea</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dintre</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Comisie</w:t>
            </w:r>
            <w:proofErr w:type="spellEnd"/>
            <w:r w:rsidRPr="00AA07C4">
              <w:rPr>
                <w:rFonts w:ascii="Times New Roman" w:hAnsi="Times New Roman"/>
                <w:sz w:val="20"/>
                <w:szCs w:val="20"/>
                <w:lang w:val="fr-FR" w:eastAsia="ru-RU"/>
              </w:rPr>
              <w:t xml:space="preserve"> și </w:t>
            </w:r>
            <w:proofErr w:type="spellStart"/>
            <w:r w:rsidRPr="00AA07C4">
              <w:rPr>
                <w:rFonts w:ascii="Times New Roman" w:hAnsi="Times New Roman"/>
                <w:sz w:val="20"/>
                <w:szCs w:val="20"/>
                <w:lang w:val="fr-FR" w:eastAsia="ru-RU"/>
              </w:rPr>
              <w:t>statele</w:t>
            </w:r>
            <w:proofErr w:type="spellEnd"/>
            <w:r w:rsidRPr="00AA07C4">
              <w:rPr>
                <w:rFonts w:ascii="Times New Roman" w:hAnsi="Times New Roman"/>
                <w:sz w:val="20"/>
                <w:szCs w:val="20"/>
                <w:lang w:val="fr-FR" w:eastAsia="ru-RU"/>
              </w:rPr>
              <w:t xml:space="preserve"> membre, </w:t>
            </w:r>
            <w:proofErr w:type="spellStart"/>
            <w:r w:rsidRPr="00AA07C4">
              <w:rPr>
                <w:rFonts w:ascii="Times New Roman" w:hAnsi="Times New Roman"/>
                <w:sz w:val="20"/>
                <w:szCs w:val="20"/>
                <w:lang w:val="fr-FR" w:eastAsia="ru-RU"/>
              </w:rPr>
              <w:t>pentru</w:t>
            </w:r>
            <w:proofErr w:type="spellEnd"/>
            <w:r w:rsidRPr="00AA07C4">
              <w:rPr>
                <w:rFonts w:ascii="Times New Roman" w:hAnsi="Times New Roman"/>
                <w:sz w:val="20"/>
                <w:szCs w:val="20"/>
                <w:lang w:val="fr-FR" w:eastAsia="ru-RU"/>
              </w:rPr>
              <w:t xml:space="preserve"> a </w:t>
            </w:r>
            <w:proofErr w:type="spellStart"/>
            <w:r w:rsidRPr="00AA07C4">
              <w:rPr>
                <w:rFonts w:ascii="Times New Roman" w:hAnsi="Times New Roman"/>
                <w:sz w:val="20"/>
                <w:szCs w:val="20"/>
                <w:lang w:val="fr-FR" w:eastAsia="ru-RU"/>
              </w:rPr>
              <w:t>promova</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cooperarea</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între</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statele</w:t>
            </w:r>
            <w:proofErr w:type="spellEnd"/>
            <w:r w:rsidRPr="00AA07C4">
              <w:rPr>
                <w:rFonts w:ascii="Times New Roman" w:hAnsi="Times New Roman"/>
                <w:sz w:val="20"/>
                <w:szCs w:val="20"/>
                <w:lang w:val="fr-FR" w:eastAsia="ru-RU"/>
              </w:rPr>
              <w:t xml:space="preserve"> membre și </w:t>
            </w:r>
            <w:proofErr w:type="spellStart"/>
            <w:r w:rsidRPr="00AA07C4">
              <w:rPr>
                <w:rFonts w:ascii="Times New Roman" w:hAnsi="Times New Roman"/>
                <w:sz w:val="20"/>
                <w:szCs w:val="20"/>
                <w:lang w:val="fr-FR" w:eastAsia="ru-RU"/>
              </w:rPr>
              <w:t>pentru</w:t>
            </w:r>
            <w:proofErr w:type="spellEnd"/>
            <w:r w:rsidRPr="00AA07C4">
              <w:rPr>
                <w:rFonts w:ascii="Times New Roman" w:hAnsi="Times New Roman"/>
                <w:sz w:val="20"/>
                <w:szCs w:val="20"/>
                <w:lang w:val="fr-FR" w:eastAsia="ru-RU"/>
              </w:rPr>
              <w:t xml:space="preserve"> a facilita </w:t>
            </w:r>
            <w:proofErr w:type="spellStart"/>
            <w:r w:rsidRPr="00AA07C4">
              <w:rPr>
                <w:rFonts w:ascii="Times New Roman" w:hAnsi="Times New Roman"/>
                <w:sz w:val="20"/>
                <w:szCs w:val="20"/>
                <w:lang w:val="fr-FR" w:eastAsia="ru-RU"/>
              </w:rPr>
              <w:t>accesul</w:t>
            </w:r>
            <w:proofErr w:type="spellEnd"/>
            <w:r w:rsidRPr="00AA07C4">
              <w:rPr>
                <w:rFonts w:ascii="Times New Roman" w:hAnsi="Times New Roman"/>
                <w:sz w:val="20"/>
                <w:szCs w:val="20"/>
                <w:lang w:val="fr-FR" w:eastAsia="ru-RU"/>
              </w:rPr>
              <w:t xml:space="preserve"> </w:t>
            </w:r>
            <w:proofErr w:type="spellStart"/>
            <w:r w:rsidRPr="00AA07C4">
              <w:rPr>
                <w:rFonts w:ascii="Times New Roman" w:hAnsi="Times New Roman"/>
                <w:sz w:val="20"/>
                <w:szCs w:val="20"/>
                <w:lang w:val="fr-FR" w:eastAsia="ru-RU"/>
              </w:rPr>
              <w:t>publicului</w:t>
            </w:r>
            <w:proofErr w:type="spellEnd"/>
            <w:r w:rsidRPr="00AA07C4">
              <w:rPr>
                <w:rFonts w:ascii="Times New Roman" w:hAnsi="Times New Roman"/>
                <w:sz w:val="20"/>
                <w:szCs w:val="20"/>
                <w:lang w:val="fr-FR" w:eastAsia="ru-RU"/>
              </w:rPr>
              <w:t xml:space="preserve"> la </w:t>
            </w:r>
            <w:proofErr w:type="spellStart"/>
            <w:r w:rsidRPr="00AA07C4">
              <w:rPr>
                <w:rFonts w:ascii="Times New Roman" w:hAnsi="Times New Roman"/>
                <w:sz w:val="20"/>
                <w:szCs w:val="20"/>
                <w:lang w:val="fr-FR" w:eastAsia="ru-RU"/>
              </w:rPr>
              <w:t>informații</w:t>
            </w:r>
            <w:proofErr w:type="spellEnd"/>
            <w:r w:rsidRPr="00AA07C4">
              <w:rPr>
                <w:rFonts w:ascii="Times New Roman" w:hAnsi="Times New Roman"/>
                <w:sz w:val="20"/>
                <w:szCs w:val="20"/>
                <w:lang w:val="fr-FR" w:eastAsia="ru-RU"/>
              </w:rPr>
              <w:t>.</w:t>
            </w:r>
          </w:p>
          <w:p w14:paraId="1D4104FA" w14:textId="1F4975B9" w:rsidR="005975FE" w:rsidRPr="00AA07C4" w:rsidRDefault="005975FE" w:rsidP="005975FE">
            <w:pPr>
              <w:spacing w:after="0" w:line="240" w:lineRule="auto"/>
              <w:jc w:val="both"/>
              <w:rPr>
                <w:rFonts w:ascii="Times New Roman" w:hAnsi="Times New Roman"/>
                <w:sz w:val="20"/>
                <w:szCs w:val="20"/>
                <w:shd w:val="clear" w:color="auto" w:fill="FFFFFF"/>
                <w:lang w:val="fr-FR"/>
              </w:rPr>
            </w:pPr>
            <w:r w:rsidRPr="00AA07C4">
              <w:rPr>
                <w:rFonts w:ascii="Times New Roman" w:hAnsi="Times New Roman"/>
                <w:sz w:val="20"/>
                <w:szCs w:val="20"/>
                <w:shd w:val="clear" w:color="auto" w:fill="FFFFFF"/>
                <w:lang w:val="fr-FR"/>
              </w:rPr>
              <w:t>(</w:t>
            </w:r>
            <w:proofErr w:type="gramStart"/>
            <w:r w:rsidRPr="00AA07C4">
              <w:rPr>
                <w:rFonts w:ascii="Times New Roman" w:hAnsi="Times New Roman"/>
                <w:sz w:val="20"/>
                <w:szCs w:val="20"/>
                <w:shd w:val="clear" w:color="auto" w:fill="FFFFFF"/>
                <w:lang w:val="fr-FR"/>
              </w:rPr>
              <w:t>2)</w:t>
            </w:r>
            <w:proofErr w:type="spellStart"/>
            <w:r w:rsidRPr="00AA07C4">
              <w:rPr>
                <w:rFonts w:ascii="Times New Roman" w:hAnsi="Times New Roman"/>
                <w:sz w:val="20"/>
                <w:szCs w:val="20"/>
                <w:shd w:val="clear" w:color="auto" w:fill="FFFFFF"/>
                <w:lang w:val="fr-FR"/>
              </w:rPr>
              <w:t>Statele</w:t>
            </w:r>
            <w:proofErr w:type="spellEnd"/>
            <w:proofErr w:type="gramEnd"/>
            <w:r w:rsidRPr="00AA07C4">
              <w:rPr>
                <w:rFonts w:ascii="Times New Roman" w:hAnsi="Times New Roman"/>
                <w:sz w:val="20"/>
                <w:szCs w:val="20"/>
                <w:shd w:val="clear" w:color="auto" w:fill="FFFFFF"/>
                <w:lang w:val="fr-FR"/>
              </w:rPr>
              <w:t xml:space="preserve"> membre </w:t>
            </w:r>
            <w:proofErr w:type="spellStart"/>
            <w:r w:rsidRPr="00AA07C4">
              <w:rPr>
                <w:rFonts w:ascii="Times New Roman" w:hAnsi="Times New Roman"/>
                <w:sz w:val="20"/>
                <w:szCs w:val="20"/>
                <w:shd w:val="clear" w:color="auto" w:fill="FFFFFF"/>
                <w:lang w:val="fr-FR"/>
              </w:rPr>
              <w:t>utilizează</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platforma</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electronică</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pentru</w:t>
            </w:r>
            <w:proofErr w:type="spellEnd"/>
            <w:r w:rsidRPr="00AA07C4">
              <w:rPr>
                <w:rFonts w:ascii="Times New Roman" w:hAnsi="Times New Roman"/>
                <w:sz w:val="20"/>
                <w:szCs w:val="20"/>
                <w:shd w:val="clear" w:color="auto" w:fill="FFFFFF"/>
                <w:lang w:val="fr-FR"/>
              </w:rPr>
              <w:t xml:space="preserve"> a prezenta </w:t>
            </w:r>
            <w:proofErr w:type="spellStart"/>
            <w:r w:rsidRPr="00AA07C4">
              <w:rPr>
                <w:rFonts w:ascii="Times New Roman" w:hAnsi="Times New Roman"/>
                <w:sz w:val="20"/>
                <w:szCs w:val="20"/>
                <w:shd w:val="clear" w:color="auto" w:fill="FFFFFF"/>
                <w:lang w:val="fr-FR"/>
              </w:rPr>
              <w:t>Comisiei</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rapoartele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menționate</w:t>
            </w:r>
            <w:proofErr w:type="spellEnd"/>
            <w:r w:rsidRPr="00AA07C4">
              <w:rPr>
                <w:rFonts w:ascii="Times New Roman" w:hAnsi="Times New Roman"/>
                <w:sz w:val="20"/>
                <w:szCs w:val="20"/>
                <w:shd w:val="clear" w:color="auto" w:fill="FFFFFF"/>
                <w:lang w:val="fr-FR"/>
              </w:rPr>
              <w:t xml:space="preserve"> în </w:t>
            </w:r>
            <w:proofErr w:type="spellStart"/>
            <w:r w:rsidRPr="00AA07C4">
              <w:rPr>
                <w:rFonts w:ascii="Times New Roman" w:hAnsi="Times New Roman"/>
                <w:sz w:val="20"/>
                <w:szCs w:val="20"/>
                <w:shd w:val="clear" w:color="auto" w:fill="FFFFFF"/>
                <w:lang w:val="fr-FR"/>
              </w:rPr>
              <w:t>prezentul</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capitol</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odată</w:t>
            </w:r>
            <w:proofErr w:type="spellEnd"/>
            <w:r w:rsidRPr="00AA07C4">
              <w:rPr>
                <w:rFonts w:ascii="Times New Roman" w:hAnsi="Times New Roman"/>
                <w:sz w:val="20"/>
                <w:szCs w:val="20"/>
                <w:shd w:val="clear" w:color="auto" w:fill="FFFFFF"/>
                <w:lang w:val="fr-FR"/>
              </w:rPr>
              <w:t xml:space="preserve"> ce </w:t>
            </w:r>
            <w:proofErr w:type="spellStart"/>
            <w:r w:rsidRPr="00AA07C4">
              <w:rPr>
                <w:rFonts w:ascii="Times New Roman" w:hAnsi="Times New Roman"/>
                <w:sz w:val="20"/>
                <w:szCs w:val="20"/>
                <w:shd w:val="clear" w:color="auto" w:fill="FFFFFF"/>
                <w:lang w:val="fr-FR"/>
              </w:rPr>
              <w:t>aceasta</w:t>
            </w:r>
            <w:proofErr w:type="spellEnd"/>
            <w:r w:rsidRPr="00AA07C4">
              <w:rPr>
                <w:rFonts w:ascii="Times New Roman" w:hAnsi="Times New Roman"/>
                <w:sz w:val="20"/>
                <w:szCs w:val="20"/>
                <w:shd w:val="clear" w:color="auto" w:fill="FFFFFF"/>
                <w:lang w:val="fr-FR"/>
              </w:rPr>
              <w:t xml:space="preserve"> devine </w:t>
            </w:r>
            <w:proofErr w:type="spellStart"/>
            <w:r w:rsidRPr="00AA07C4">
              <w:rPr>
                <w:rFonts w:ascii="Times New Roman" w:hAnsi="Times New Roman"/>
                <w:sz w:val="20"/>
                <w:szCs w:val="20"/>
                <w:shd w:val="clear" w:color="auto" w:fill="FFFFFF"/>
                <w:lang w:val="fr-FR"/>
              </w:rPr>
              <w:t>operațională</w:t>
            </w:r>
            <w:proofErr w:type="spellEnd"/>
            <w:r w:rsidRPr="00AA07C4">
              <w:rPr>
                <w:rFonts w:ascii="Times New Roman" w:hAnsi="Times New Roman"/>
                <w:sz w:val="20"/>
                <w:szCs w:val="20"/>
                <w:shd w:val="clear" w:color="auto" w:fill="FFFFFF"/>
                <w:lang w:val="fr-FR"/>
              </w:rPr>
              <w:t>.</w:t>
            </w:r>
          </w:p>
          <w:p w14:paraId="08A9988C" w14:textId="092AC191" w:rsidR="008F5636" w:rsidRPr="005975FE" w:rsidRDefault="005975FE" w:rsidP="005975FE">
            <w:pPr>
              <w:spacing w:after="0" w:line="240" w:lineRule="auto"/>
              <w:jc w:val="both"/>
              <w:rPr>
                <w:rFonts w:ascii="Times New Roman" w:hAnsi="Times New Roman"/>
                <w:sz w:val="20"/>
                <w:szCs w:val="20"/>
                <w:lang w:val="fr-FR" w:eastAsia="ru-RU"/>
              </w:rPr>
            </w:pPr>
            <w:r w:rsidRPr="00AA07C4">
              <w:rPr>
                <w:rFonts w:ascii="Times New Roman" w:hAnsi="Times New Roman"/>
                <w:sz w:val="20"/>
                <w:szCs w:val="20"/>
                <w:shd w:val="clear" w:color="auto" w:fill="FFFFFF"/>
                <w:lang w:val="fr-FR"/>
              </w:rPr>
              <w:t>(</w:t>
            </w:r>
            <w:proofErr w:type="gramStart"/>
            <w:r w:rsidRPr="00AA07C4">
              <w:rPr>
                <w:rFonts w:ascii="Times New Roman" w:hAnsi="Times New Roman"/>
                <w:sz w:val="20"/>
                <w:szCs w:val="20"/>
                <w:shd w:val="clear" w:color="auto" w:fill="FFFFFF"/>
                <w:lang w:val="fr-FR"/>
              </w:rPr>
              <w:t>3)</w:t>
            </w:r>
            <w:proofErr w:type="spellStart"/>
            <w:r w:rsidRPr="00AA07C4">
              <w:rPr>
                <w:rFonts w:ascii="Times New Roman" w:hAnsi="Times New Roman"/>
                <w:sz w:val="20"/>
                <w:szCs w:val="20"/>
                <w:shd w:val="clear" w:color="auto" w:fill="FFFFFF"/>
                <w:lang w:val="fr-FR"/>
              </w:rPr>
              <w:t>Platforma</w:t>
            </w:r>
            <w:proofErr w:type="spellEnd"/>
            <w:proofErr w:type="gram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electronică</w:t>
            </w:r>
            <w:proofErr w:type="spellEnd"/>
            <w:r w:rsidRPr="00AA07C4">
              <w:rPr>
                <w:rFonts w:ascii="Times New Roman" w:hAnsi="Times New Roman"/>
                <w:sz w:val="20"/>
                <w:szCs w:val="20"/>
                <w:shd w:val="clear" w:color="auto" w:fill="FFFFFF"/>
                <w:lang w:val="fr-FR"/>
              </w:rPr>
              <w:t xml:space="preserve"> devine </w:t>
            </w:r>
            <w:proofErr w:type="spellStart"/>
            <w:r w:rsidRPr="00AA07C4">
              <w:rPr>
                <w:rFonts w:ascii="Times New Roman" w:hAnsi="Times New Roman"/>
                <w:sz w:val="20"/>
                <w:szCs w:val="20"/>
                <w:shd w:val="clear" w:color="auto" w:fill="FFFFFF"/>
                <w:lang w:val="fr-FR"/>
              </w:rPr>
              <w:t>operațională</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până</w:t>
            </w:r>
            <w:proofErr w:type="spellEnd"/>
            <w:r w:rsidRPr="00AA07C4">
              <w:rPr>
                <w:rFonts w:ascii="Times New Roman" w:hAnsi="Times New Roman"/>
                <w:sz w:val="20"/>
                <w:szCs w:val="20"/>
                <w:shd w:val="clear" w:color="auto" w:fill="FFFFFF"/>
                <w:lang w:val="fr-FR"/>
              </w:rPr>
              <w:t xml:space="preserve"> la 1 </w:t>
            </w:r>
            <w:proofErr w:type="spellStart"/>
            <w:r w:rsidRPr="00AA07C4">
              <w:rPr>
                <w:rFonts w:ascii="Times New Roman" w:hAnsi="Times New Roman"/>
                <w:sz w:val="20"/>
                <w:szCs w:val="20"/>
                <w:shd w:val="clear" w:color="auto" w:fill="FFFFFF"/>
                <w:lang w:val="fr-FR"/>
              </w:rPr>
              <w:t>ianuarie</w:t>
            </w:r>
            <w:proofErr w:type="spellEnd"/>
            <w:r w:rsidRPr="00AA07C4">
              <w:rPr>
                <w:rFonts w:ascii="Times New Roman" w:hAnsi="Times New Roman"/>
                <w:sz w:val="20"/>
                <w:szCs w:val="20"/>
                <w:shd w:val="clear" w:color="auto" w:fill="FFFFFF"/>
                <w:lang w:val="fr-FR"/>
              </w:rPr>
              <w:t xml:space="preserve"> 2020.Comisia </w:t>
            </w:r>
            <w:proofErr w:type="spellStart"/>
            <w:r w:rsidRPr="00AA07C4">
              <w:rPr>
                <w:rFonts w:ascii="Times New Roman" w:hAnsi="Times New Roman"/>
                <w:sz w:val="20"/>
                <w:szCs w:val="20"/>
                <w:shd w:val="clear" w:color="auto" w:fill="FFFFFF"/>
                <w:lang w:val="fr-FR"/>
              </w:rPr>
              <w:t>utilizează</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platforma</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electronică</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pentru</w:t>
            </w:r>
            <w:proofErr w:type="spellEnd"/>
            <w:r w:rsidRPr="00AA07C4">
              <w:rPr>
                <w:rFonts w:ascii="Times New Roman" w:hAnsi="Times New Roman"/>
                <w:sz w:val="20"/>
                <w:szCs w:val="20"/>
                <w:shd w:val="clear" w:color="auto" w:fill="FFFFFF"/>
                <w:lang w:val="fr-FR"/>
              </w:rPr>
              <w:t xml:space="preserve"> a facilita </w:t>
            </w:r>
            <w:proofErr w:type="spellStart"/>
            <w:r w:rsidRPr="00AA07C4">
              <w:rPr>
                <w:rFonts w:ascii="Times New Roman" w:hAnsi="Times New Roman"/>
                <w:sz w:val="20"/>
                <w:szCs w:val="20"/>
                <w:shd w:val="clear" w:color="auto" w:fill="FFFFFF"/>
                <w:lang w:val="fr-FR"/>
              </w:rPr>
              <w:t>accesul</w:t>
            </w:r>
            <w:proofErr w:type="spellEnd"/>
            <w:r w:rsidRPr="00AA07C4">
              <w:rPr>
                <w:rFonts w:ascii="Times New Roman" w:hAnsi="Times New Roman"/>
                <w:sz w:val="20"/>
                <w:szCs w:val="20"/>
                <w:shd w:val="clear" w:color="auto" w:fill="FFFFFF"/>
                <w:lang w:val="fr-FR"/>
              </w:rPr>
              <w:t xml:space="preserve"> public online la </w:t>
            </w:r>
            <w:proofErr w:type="spellStart"/>
            <w:r w:rsidRPr="00AA07C4">
              <w:rPr>
                <w:rFonts w:ascii="Times New Roman" w:hAnsi="Times New Roman"/>
                <w:sz w:val="20"/>
                <w:szCs w:val="20"/>
                <w:shd w:val="clear" w:color="auto" w:fill="FFFFFF"/>
                <w:lang w:val="fr-FR"/>
              </w:rPr>
              <w:t>rapoartele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menționate</w:t>
            </w:r>
            <w:proofErr w:type="spellEnd"/>
            <w:r w:rsidRPr="00AA07C4">
              <w:rPr>
                <w:rFonts w:ascii="Times New Roman" w:hAnsi="Times New Roman"/>
                <w:sz w:val="20"/>
                <w:szCs w:val="20"/>
                <w:shd w:val="clear" w:color="auto" w:fill="FFFFFF"/>
                <w:lang w:val="fr-FR"/>
              </w:rPr>
              <w:t xml:space="preserve"> în </w:t>
            </w:r>
            <w:proofErr w:type="spellStart"/>
            <w:r w:rsidRPr="00AA07C4">
              <w:rPr>
                <w:rFonts w:ascii="Times New Roman" w:hAnsi="Times New Roman"/>
                <w:sz w:val="20"/>
                <w:szCs w:val="20"/>
                <w:shd w:val="clear" w:color="auto" w:fill="FFFFFF"/>
                <w:lang w:val="fr-FR"/>
              </w:rPr>
              <w:t>prezentul</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capitol</w:t>
            </w:r>
            <w:proofErr w:type="spellEnd"/>
            <w:r w:rsidRPr="00AA07C4">
              <w:rPr>
                <w:rFonts w:ascii="Times New Roman" w:hAnsi="Times New Roman"/>
                <w:sz w:val="20"/>
                <w:szCs w:val="20"/>
                <w:shd w:val="clear" w:color="auto" w:fill="FFFFFF"/>
                <w:lang w:val="fr-FR"/>
              </w:rPr>
              <w:t xml:space="preserve">, la </w:t>
            </w:r>
            <w:proofErr w:type="spellStart"/>
            <w:r w:rsidRPr="00AA07C4">
              <w:rPr>
                <w:rFonts w:ascii="Times New Roman" w:hAnsi="Times New Roman"/>
                <w:sz w:val="20"/>
                <w:szCs w:val="20"/>
                <w:shd w:val="clear" w:color="auto" w:fill="FFFFFF"/>
                <w:lang w:val="fr-FR"/>
              </w:rPr>
              <w:t>planurile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naționale</w:t>
            </w:r>
            <w:proofErr w:type="spellEnd"/>
            <w:r w:rsidRPr="00AA07C4">
              <w:rPr>
                <w:rFonts w:ascii="Times New Roman" w:hAnsi="Times New Roman"/>
                <w:sz w:val="20"/>
                <w:szCs w:val="20"/>
                <w:shd w:val="clear" w:color="auto" w:fill="FFFFFF"/>
                <w:lang w:val="fr-FR"/>
              </w:rPr>
              <w:t xml:space="preserve"> finale </w:t>
            </w:r>
            <w:proofErr w:type="spellStart"/>
            <w:r w:rsidRPr="00AA07C4">
              <w:rPr>
                <w:rFonts w:ascii="Times New Roman" w:hAnsi="Times New Roman"/>
                <w:sz w:val="20"/>
                <w:szCs w:val="20"/>
                <w:shd w:val="clear" w:color="auto" w:fill="FFFFFF"/>
                <w:lang w:val="fr-FR"/>
              </w:rPr>
              <w:t>integrate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privind</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energia</w:t>
            </w:r>
            <w:proofErr w:type="spellEnd"/>
            <w:r w:rsidRPr="00AA07C4">
              <w:rPr>
                <w:rFonts w:ascii="Times New Roman" w:hAnsi="Times New Roman"/>
                <w:sz w:val="20"/>
                <w:szCs w:val="20"/>
                <w:shd w:val="clear" w:color="auto" w:fill="FFFFFF"/>
                <w:lang w:val="fr-FR"/>
              </w:rPr>
              <w:t xml:space="preserve"> și </w:t>
            </w:r>
            <w:proofErr w:type="spellStart"/>
            <w:r w:rsidRPr="00AA07C4">
              <w:rPr>
                <w:rFonts w:ascii="Times New Roman" w:hAnsi="Times New Roman"/>
                <w:sz w:val="20"/>
                <w:szCs w:val="20"/>
                <w:shd w:val="clear" w:color="auto" w:fill="FFFFFF"/>
                <w:lang w:val="fr-FR"/>
              </w:rPr>
              <w:t>clima</w:t>
            </w:r>
            <w:proofErr w:type="spellEnd"/>
            <w:r w:rsidRPr="00AA07C4">
              <w:rPr>
                <w:rFonts w:ascii="Times New Roman" w:hAnsi="Times New Roman"/>
                <w:sz w:val="20"/>
                <w:szCs w:val="20"/>
                <w:shd w:val="clear" w:color="auto" w:fill="FFFFFF"/>
                <w:lang w:val="fr-FR"/>
              </w:rPr>
              <w:t xml:space="preserve">, la </w:t>
            </w:r>
            <w:proofErr w:type="spellStart"/>
            <w:r w:rsidRPr="00AA07C4">
              <w:rPr>
                <w:rFonts w:ascii="Times New Roman" w:hAnsi="Times New Roman"/>
                <w:sz w:val="20"/>
                <w:szCs w:val="20"/>
                <w:shd w:val="clear" w:color="auto" w:fill="FFFFFF"/>
                <w:lang w:val="fr-FR"/>
              </w:rPr>
              <w:t>actualizările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acestora</w:t>
            </w:r>
            <w:proofErr w:type="spellEnd"/>
            <w:r w:rsidRPr="00AA07C4">
              <w:rPr>
                <w:rFonts w:ascii="Times New Roman" w:hAnsi="Times New Roman"/>
                <w:sz w:val="20"/>
                <w:szCs w:val="20"/>
                <w:shd w:val="clear" w:color="auto" w:fill="FFFFFF"/>
                <w:lang w:val="fr-FR"/>
              </w:rPr>
              <w:t xml:space="preserve"> și la </w:t>
            </w:r>
            <w:proofErr w:type="spellStart"/>
            <w:r w:rsidRPr="00AA07C4">
              <w:rPr>
                <w:rFonts w:ascii="Times New Roman" w:hAnsi="Times New Roman"/>
                <w:sz w:val="20"/>
                <w:szCs w:val="20"/>
                <w:shd w:val="clear" w:color="auto" w:fill="FFFFFF"/>
                <w:lang w:val="fr-FR"/>
              </w:rPr>
              <w:t>strategiile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termen</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lung</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menționate</w:t>
            </w:r>
            <w:proofErr w:type="spellEnd"/>
            <w:r w:rsidRPr="00AA07C4">
              <w:rPr>
                <w:rFonts w:ascii="Times New Roman" w:hAnsi="Times New Roman"/>
                <w:sz w:val="20"/>
                <w:szCs w:val="20"/>
                <w:shd w:val="clear" w:color="auto" w:fill="FFFFFF"/>
                <w:lang w:val="fr-FR"/>
              </w:rPr>
              <w:t xml:space="preserve"> la </w:t>
            </w:r>
            <w:proofErr w:type="spellStart"/>
            <w:r w:rsidRPr="00AA07C4">
              <w:rPr>
                <w:rFonts w:ascii="Times New Roman" w:hAnsi="Times New Roman"/>
                <w:sz w:val="20"/>
                <w:szCs w:val="20"/>
                <w:shd w:val="clear" w:color="auto" w:fill="FFFFFF"/>
                <w:lang w:val="fr-FR"/>
              </w:rPr>
              <w:t>articolul</w:t>
            </w:r>
            <w:proofErr w:type="spellEnd"/>
            <w:r w:rsidRPr="00AA07C4">
              <w:rPr>
                <w:rFonts w:ascii="Times New Roman" w:hAnsi="Times New Roman"/>
                <w:sz w:val="20"/>
                <w:szCs w:val="20"/>
                <w:shd w:val="clear" w:color="auto" w:fill="FFFFFF"/>
                <w:lang w:val="fr-FR"/>
              </w:rPr>
              <w:t xml:space="preserve"> 15, </w:t>
            </w:r>
            <w:proofErr w:type="spellStart"/>
            <w:r w:rsidRPr="00AA07C4">
              <w:rPr>
                <w:rFonts w:ascii="Times New Roman" w:hAnsi="Times New Roman"/>
                <w:sz w:val="20"/>
                <w:szCs w:val="20"/>
                <w:shd w:val="clear" w:color="auto" w:fill="FFFFFF"/>
                <w:lang w:val="fr-FR"/>
              </w:rPr>
              <w:t>ținând</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seama</w:t>
            </w:r>
            <w:proofErr w:type="spellEnd"/>
            <w:r w:rsidRPr="00AA07C4">
              <w:rPr>
                <w:rFonts w:ascii="Times New Roman" w:hAnsi="Times New Roman"/>
                <w:sz w:val="20"/>
                <w:szCs w:val="20"/>
                <w:shd w:val="clear" w:color="auto" w:fill="FFFFFF"/>
                <w:lang w:val="fr-FR"/>
              </w:rPr>
              <w:t xml:space="preserve"> de </w:t>
            </w:r>
            <w:proofErr w:type="spellStart"/>
            <w:r w:rsidRPr="00AA07C4">
              <w:rPr>
                <w:rFonts w:ascii="Times New Roman" w:hAnsi="Times New Roman"/>
                <w:sz w:val="20"/>
                <w:szCs w:val="20"/>
                <w:shd w:val="clear" w:color="auto" w:fill="FFFFFF"/>
                <w:lang w:val="fr-FR"/>
              </w:rPr>
              <w:t>datele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sensibile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din</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punct</w:t>
            </w:r>
            <w:proofErr w:type="spellEnd"/>
            <w:r w:rsidRPr="00AA07C4">
              <w:rPr>
                <w:rFonts w:ascii="Times New Roman" w:hAnsi="Times New Roman"/>
                <w:sz w:val="20"/>
                <w:szCs w:val="20"/>
                <w:shd w:val="clear" w:color="auto" w:fill="FFFFFF"/>
                <w:lang w:val="fr-FR"/>
              </w:rPr>
              <w:t xml:space="preserve"> de </w:t>
            </w:r>
            <w:proofErr w:type="spellStart"/>
            <w:r w:rsidRPr="00AA07C4">
              <w:rPr>
                <w:rFonts w:ascii="Times New Roman" w:hAnsi="Times New Roman"/>
                <w:sz w:val="20"/>
                <w:szCs w:val="20"/>
                <w:shd w:val="clear" w:color="auto" w:fill="FFFFFF"/>
                <w:lang w:val="fr-FR"/>
              </w:rPr>
              <w:t>vedere</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comercial</w:t>
            </w:r>
            <w:proofErr w:type="spellEnd"/>
            <w:r w:rsidRPr="00AA07C4">
              <w:rPr>
                <w:rFonts w:ascii="Times New Roman" w:hAnsi="Times New Roman"/>
                <w:sz w:val="20"/>
                <w:szCs w:val="20"/>
                <w:shd w:val="clear" w:color="auto" w:fill="FFFFFF"/>
                <w:lang w:val="fr-FR"/>
              </w:rPr>
              <w:t xml:space="preserve"> și de </w:t>
            </w:r>
            <w:proofErr w:type="spellStart"/>
            <w:r w:rsidRPr="00AA07C4">
              <w:rPr>
                <w:rFonts w:ascii="Times New Roman" w:hAnsi="Times New Roman"/>
                <w:sz w:val="20"/>
                <w:szCs w:val="20"/>
                <w:shd w:val="clear" w:color="auto" w:fill="FFFFFF"/>
                <w:lang w:val="fr-FR"/>
              </w:rPr>
              <w:t>respectarea</w:t>
            </w:r>
            <w:proofErr w:type="spellEnd"/>
            <w:r w:rsidRPr="00AA07C4">
              <w:rPr>
                <w:rFonts w:ascii="Times New Roman" w:hAnsi="Times New Roman"/>
                <w:sz w:val="20"/>
                <w:szCs w:val="20"/>
                <w:shd w:val="clear" w:color="auto" w:fill="FFFFFF"/>
                <w:lang w:val="fr-FR"/>
              </w:rPr>
              <w:t xml:space="preserve"> </w:t>
            </w:r>
            <w:proofErr w:type="spellStart"/>
            <w:r w:rsidRPr="00AA07C4">
              <w:rPr>
                <w:rFonts w:ascii="Times New Roman" w:hAnsi="Times New Roman"/>
                <w:sz w:val="20"/>
                <w:szCs w:val="20"/>
                <w:shd w:val="clear" w:color="auto" w:fill="FFFFFF"/>
                <w:lang w:val="fr-FR"/>
              </w:rPr>
              <w:t>normelor</w:t>
            </w:r>
            <w:proofErr w:type="spellEnd"/>
            <w:r w:rsidRPr="00AA07C4">
              <w:rPr>
                <w:rFonts w:ascii="Times New Roman" w:hAnsi="Times New Roman"/>
                <w:sz w:val="20"/>
                <w:szCs w:val="20"/>
                <w:shd w:val="clear" w:color="auto" w:fill="FFFFFF"/>
                <w:lang w:val="fr-FR"/>
              </w:rPr>
              <w:t xml:space="preserve"> în </w:t>
            </w:r>
            <w:proofErr w:type="spellStart"/>
            <w:r w:rsidRPr="00AA07C4">
              <w:rPr>
                <w:rFonts w:ascii="Times New Roman" w:hAnsi="Times New Roman"/>
                <w:sz w:val="20"/>
                <w:szCs w:val="20"/>
                <w:shd w:val="clear" w:color="auto" w:fill="FFFFFF"/>
                <w:lang w:val="fr-FR"/>
              </w:rPr>
              <w:t>materie</w:t>
            </w:r>
            <w:proofErr w:type="spellEnd"/>
            <w:r w:rsidRPr="00AA07C4">
              <w:rPr>
                <w:rFonts w:ascii="Times New Roman" w:hAnsi="Times New Roman"/>
                <w:sz w:val="20"/>
                <w:szCs w:val="20"/>
                <w:shd w:val="clear" w:color="auto" w:fill="FFFFFF"/>
                <w:lang w:val="fr-FR"/>
              </w:rPr>
              <w:t xml:space="preserve"> de </w:t>
            </w:r>
            <w:proofErr w:type="spellStart"/>
            <w:r w:rsidRPr="00AA07C4">
              <w:rPr>
                <w:rFonts w:ascii="Times New Roman" w:hAnsi="Times New Roman"/>
                <w:sz w:val="20"/>
                <w:szCs w:val="20"/>
                <w:shd w:val="clear" w:color="auto" w:fill="FFFFFF"/>
                <w:lang w:val="fr-FR"/>
              </w:rPr>
              <w:t>protecție</w:t>
            </w:r>
            <w:proofErr w:type="spellEnd"/>
            <w:r w:rsidRPr="00AA07C4">
              <w:rPr>
                <w:rFonts w:ascii="Times New Roman" w:hAnsi="Times New Roman"/>
                <w:sz w:val="20"/>
                <w:szCs w:val="20"/>
                <w:shd w:val="clear" w:color="auto" w:fill="FFFFFF"/>
                <w:lang w:val="fr-FR"/>
              </w:rPr>
              <w:t xml:space="preserve"> a </w:t>
            </w:r>
            <w:proofErr w:type="spellStart"/>
            <w:r w:rsidRPr="00AA07C4">
              <w:rPr>
                <w:rFonts w:ascii="Times New Roman" w:hAnsi="Times New Roman"/>
                <w:sz w:val="20"/>
                <w:szCs w:val="20"/>
                <w:shd w:val="clear" w:color="auto" w:fill="FFFFFF"/>
                <w:lang w:val="fr-FR"/>
              </w:rPr>
              <w:t>datelor</w:t>
            </w:r>
            <w:proofErr w:type="spellEnd"/>
            <w:r w:rsidRPr="00AA07C4">
              <w:rPr>
                <w:rFonts w:ascii="Times New Roman" w:hAnsi="Times New Roman"/>
                <w:sz w:val="20"/>
                <w:szCs w:val="20"/>
                <w:shd w:val="clear" w:color="auto" w:fill="FFFFFF"/>
                <w:lang w:val="fr-FR"/>
              </w:rPr>
              <w:t>.</w:t>
            </w:r>
          </w:p>
        </w:tc>
        <w:tc>
          <w:tcPr>
            <w:tcW w:w="4440" w:type="dxa"/>
          </w:tcPr>
          <w:p w14:paraId="6D4DDA0B" w14:textId="77777777" w:rsidR="008F5636" w:rsidRPr="00B05AF6" w:rsidRDefault="008F5636" w:rsidP="00077DF7">
            <w:pPr>
              <w:shd w:val="clear" w:color="auto" w:fill="FFFFFF"/>
              <w:suppressAutoHyphens w:val="0"/>
              <w:autoSpaceDN/>
              <w:spacing w:after="0" w:line="240" w:lineRule="auto"/>
              <w:jc w:val="both"/>
              <w:textAlignment w:val="auto"/>
              <w:rPr>
                <w:rFonts w:ascii="Times New Roman" w:hAnsi="Times New Roman"/>
                <w:sz w:val="20"/>
                <w:szCs w:val="20"/>
                <w:lang w:val="ro-MD"/>
              </w:rPr>
            </w:pPr>
          </w:p>
        </w:tc>
        <w:tc>
          <w:tcPr>
            <w:tcW w:w="1276" w:type="dxa"/>
          </w:tcPr>
          <w:p w14:paraId="5EB2D81F" w14:textId="05EA16FD" w:rsidR="008F5636" w:rsidRPr="00745D9A" w:rsidRDefault="00821CF8" w:rsidP="008F5636">
            <w:pPr>
              <w:pStyle w:val="ColorfulList-Accent11"/>
              <w:spacing w:after="0" w:line="240" w:lineRule="auto"/>
              <w:ind w:left="0"/>
              <w:jc w:val="both"/>
              <w:rPr>
                <w:lang w:val="fr-FR"/>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0E1A0E7B" w14:textId="77777777" w:rsidR="008F5636" w:rsidRPr="00745D9A" w:rsidRDefault="008F5636" w:rsidP="008F5636">
            <w:pPr>
              <w:pStyle w:val="ColorfulList-Accent11"/>
              <w:spacing w:after="0" w:line="240" w:lineRule="auto"/>
              <w:ind w:left="0"/>
              <w:jc w:val="both"/>
              <w:rPr>
                <w:lang w:val="fr-FR"/>
              </w:rPr>
            </w:pPr>
          </w:p>
        </w:tc>
        <w:tc>
          <w:tcPr>
            <w:tcW w:w="1701" w:type="dxa"/>
          </w:tcPr>
          <w:p w14:paraId="062EFB53" w14:textId="646CD456" w:rsidR="00B05AF6" w:rsidRPr="00F13819" w:rsidRDefault="00B05AF6" w:rsidP="00B05AF6">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raportarea online 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Pr>
                <w:rFonts w:ascii="Times New Roman" w:eastAsia="Times New Roman" w:hAnsi="Times New Roman"/>
                <w:sz w:val="20"/>
                <w:szCs w:val="20"/>
                <w:lang w:val="ro-RO"/>
              </w:rPr>
              <w:t xml:space="preserve"> și </w:t>
            </w:r>
            <w:r w:rsidRPr="00F13819">
              <w:rPr>
                <w:rFonts w:ascii="Times New Roman" w:eastAsia="Times New Roman" w:hAnsi="Times New Roman"/>
                <w:sz w:val="20"/>
                <w:szCs w:val="20"/>
                <w:lang w:val="ro-RO"/>
              </w:rPr>
              <w:t>D/202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p w14:paraId="36BE1751" w14:textId="77777777" w:rsidR="00077DF7" w:rsidRDefault="00077DF7" w:rsidP="00077DF7">
            <w:pPr>
              <w:pStyle w:val="ColorfulList-Accent11"/>
              <w:spacing w:after="0" w:line="240" w:lineRule="auto"/>
              <w:ind w:left="0"/>
              <w:jc w:val="both"/>
              <w:rPr>
                <w:rFonts w:ascii="Times New Roman" w:eastAsia="Times New Roman" w:hAnsi="Times New Roman"/>
                <w:sz w:val="20"/>
                <w:szCs w:val="20"/>
                <w:lang w:val="ro-RO" w:eastAsia="ru-RU"/>
              </w:rPr>
            </w:pPr>
          </w:p>
          <w:p w14:paraId="11975B03" w14:textId="5B51E908"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pct.112 din</w:t>
            </w:r>
            <w:r>
              <w:rPr>
                <w:rFonts w:ascii="Times New Roman" w:eastAsia="Times New Roman" w:hAnsi="Times New Roman"/>
                <w:sz w:val="20"/>
                <w:szCs w:val="20"/>
                <w:lang w:val="ro-RO" w:eastAsia="ru-RU"/>
              </w:rPr>
              <w:t xml:space="preserve"> </w:t>
            </w:r>
          </w:p>
          <w:p w14:paraId="768B3D6E"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F4B48A6" w14:textId="77777777" w:rsidR="00B05AF6" w:rsidRDefault="00B05AF6" w:rsidP="003174D8">
            <w:pPr>
              <w:pStyle w:val="ColorfulList-Accent11"/>
              <w:spacing w:after="0" w:line="240" w:lineRule="auto"/>
              <w:ind w:left="0"/>
              <w:jc w:val="both"/>
              <w:rPr>
                <w:rFonts w:ascii="Times New Roman" w:hAnsi="Times New Roman"/>
                <w:sz w:val="20"/>
                <w:szCs w:val="20"/>
                <w:shd w:val="clear" w:color="auto" w:fill="FFFFFF"/>
                <w:lang w:val="ro-RO"/>
              </w:rPr>
            </w:pPr>
          </w:p>
          <w:p w14:paraId="18AA49C5" w14:textId="763F8E84" w:rsidR="008F5636" w:rsidRPr="00745D9A" w:rsidRDefault="003174D8" w:rsidP="003174D8">
            <w:pPr>
              <w:pStyle w:val="ColorfulList-Accent11"/>
              <w:spacing w:after="0" w:line="240" w:lineRule="auto"/>
              <w:ind w:left="0"/>
              <w:jc w:val="both"/>
              <w:rPr>
                <w:lang w:val="fr-FR"/>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719485BF" w14:textId="77777777" w:rsidR="00AA07C4" w:rsidRPr="003F755D" w:rsidRDefault="00AA07C4" w:rsidP="00AA07C4">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57DCD02C" w14:textId="77777777" w:rsidR="008F5636" w:rsidRPr="00745D9A" w:rsidRDefault="008F5636" w:rsidP="008F5636">
            <w:pPr>
              <w:pStyle w:val="ColorfulList-Accent11"/>
              <w:spacing w:after="0" w:line="240" w:lineRule="auto"/>
              <w:ind w:left="0"/>
              <w:jc w:val="both"/>
              <w:rPr>
                <w:lang w:val="fr-FR"/>
              </w:rPr>
            </w:pPr>
          </w:p>
        </w:tc>
      </w:tr>
      <w:tr w:rsidR="008F5636" w:rsidRPr="00F61C21" w14:paraId="3FBAEC09" w14:textId="77777777" w:rsidTr="00A90105">
        <w:tc>
          <w:tcPr>
            <w:tcW w:w="4945" w:type="dxa"/>
          </w:tcPr>
          <w:p w14:paraId="737C2D39" w14:textId="77777777" w:rsidR="008F5636" w:rsidRPr="007363A1" w:rsidRDefault="008F5636" w:rsidP="003174D8">
            <w:pPr>
              <w:spacing w:after="0" w:line="240" w:lineRule="auto"/>
              <w:jc w:val="center"/>
              <w:rPr>
                <w:rFonts w:ascii="Times New Roman" w:hAnsi="Times New Roman"/>
                <w:b/>
                <w:bCs/>
                <w:sz w:val="20"/>
                <w:szCs w:val="20"/>
                <w:lang w:eastAsia="ru-RU"/>
              </w:rPr>
            </w:pPr>
            <w:r w:rsidRPr="007363A1">
              <w:rPr>
                <w:rFonts w:ascii="Times New Roman" w:hAnsi="Times New Roman"/>
                <w:b/>
                <w:bCs/>
                <w:sz w:val="20"/>
                <w:szCs w:val="20"/>
                <w:lang w:eastAsia="ru-RU"/>
              </w:rPr>
              <w:t>CAPITOLUL 5</w:t>
            </w:r>
          </w:p>
          <w:p w14:paraId="7DDFEAB9" w14:textId="77777777" w:rsidR="008F5636" w:rsidRPr="007363A1" w:rsidRDefault="008F5636" w:rsidP="003174D8">
            <w:pPr>
              <w:spacing w:after="0" w:line="240" w:lineRule="auto"/>
              <w:jc w:val="center"/>
              <w:rPr>
                <w:rFonts w:ascii="Times New Roman" w:hAnsi="Times New Roman"/>
                <w:b/>
                <w:bCs/>
                <w:sz w:val="20"/>
                <w:szCs w:val="20"/>
                <w:lang w:eastAsia="ru-RU"/>
              </w:rPr>
            </w:pPr>
            <w:proofErr w:type="spellStart"/>
            <w:r w:rsidRPr="007363A1">
              <w:rPr>
                <w:rFonts w:ascii="Times New Roman" w:hAnsi="Times New Roman"/>
                <w:b/>
                <w:bCs/>
                <w:sz w:val="20"/>
                <w:szCs w:val="20"/>
                <w:lang w:eastAsia="ru-RU"/>
              </w:rPr>
              <w:t>Evaluare</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globală</w:t>
            </w:r>
            <w:proofErr w:type="spellEnd"/>
            <w:r w:rsidRPr="007363A1">
              <w:rPr>
                <w:rFonts w:ascii="Times New Roman" w:hAnsi="Times New Roman"/>
                <w:b/>
                <w:bCs/>
                <w:sz w:val="20"/>
                <w:szCs w:val="20"/>
                <w:lang w:eastAsia="ru-RU"/>
              </w:rPr>
              <w:t xml:space="preserve"> a </w:t>
            </w:r>
            <w:proofErr w:type="spellStart"/>
            <w:r w:rsidRPr="007363A1">
              <w:rPr>
                <w:rFonts w:ascii="Times New Roman" w:hAnsi="Times New Roman"/>
                <w:b/>
                <w:bCs/>
                <w:sz w:val="20"/>
                <w:szCs w:val="20"/>
                <w:lang w:eastAsia="ru-RU"/>
              </w:rPr>
              <w:t>progreselor</w:t>
            </w:r>
            <w:proofErr w:type="spellEnd"/>
            <w:r w:rsidRPr="007363A1">
              <w:rPr>
                <w:rFonts w:ascii="Times New Roman" w:hAnsi="Times New Roman"/>
                <w:b/>
                <w:bCs/>
                <w:sz w:val="20"/>
                <w:szCs w:val="20"/>
                <w:lang w:eastAsia="ru-RU"/>
              </w:rPr>
              <w:t xml:space="preserve"> și a </w:t>
            </w:r>
            <w:proofErr w:type="spellStart"/>
            <w:r w:rsidRPr="007363A1">
              <w:rPr>
                <w:rFonts w:ascii="Times New Roman" w:hAnsi="Times New Roman"/>
                <w:b/>
                <w:bCs/>
                <w:sz w:val="20"/>
                <w:szCs w:val="20"/>
                <w:lang w:eastAsia="ru-RU"/>
              </w:rPr>
              <w:t>măsurilor</w:t>
            </w:r>
            <w:proofErr w:type="spellEnd"/>
            <w:r w:rsidRPr="007363A1">
              <w:rPr>
                <w:rFonts w:ascii="Times New Roman" w:hAnsi="Times New Roman"/>
                <w:b/>
                <w:bCs/>
                <w:sz w:val="20"/>
                <w:szCs w:val="20"/>
                <w:lang w:eastAsia="ru-RU"/>
              </w:rPr>
              <w:t xml:space="preserve"> de </w:t>
            </w:r>
            <w:proofErr w:type="spellStart"/>
            <w:r w:rsidRPr="007363A1">
              <w:rPr>
                <w:rFonts w:ascii="Times New Roman" w:hAnsi="Times New Roman"/>
                <w:b/>
                <w:bCs/>
                <w:sz w:val="20"/>
                <w:szCs w:val="20"/>
                <w:lang w:eastAsia="ru-RU"/>
              </w:rPr>
              <w:t>politică</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luate</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pentru</w:t>
            </w:r>
            <w:proofErr w:type="spellEnd"/>
            <w:r w:rsidRPr="007363A1">
              <w:rPr>
                <w:rFonts w:ascii="Times New Roman" w:hAnsi="Times New Roman"/>
                <w:b/>
                <w:bCs/>
                <w:sz w:val="20"/>
                <w:szCs w:val="20"/>
                <w:lang w:eastAsia="ru-RU"/>
              </w:rPr>
              <w:t xml:space="preserve"> </w:t>
            </w:r>
            <w:proofErr w:type="gramStart"/>
            <w:r w:rsidRPr="007363A1">
              <w:rPr>
                <w:rFonts w:ascii="Times New Roman" w:hAnsi="Times New Roman"/>
                <w:b/>
                <w:bCs/>
                <w:sz w:val="20"/>
                <w:szCs w:val="20"/>
                <w:lang w:eastAsia="ru-RU"/>
              </w:rPr>
              <w:t>a</w:t>
            </w:r>
            <w:proofErr w:type="gram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asigura</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realizarea</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obiectivelor</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Uniunii</w:t>
            </w:r>
            <w:proofErr w:type="spellEnd"/>
            <w:r w:rsidRPr="007363A1">
              <w:rPr>
                <w:rFonts w:ascii="Times New Roman" w:hAnsi="Times New Roman"/>
                <w:b/>
                <w:bCs/>
                <w:sz w:val="20"/>
                <w:szCs w:val="20"/>
                <w:lang w:eastAsia="ru-RU"/>
              </w:rPr>
              <w:t xml:space="preserve"> – </w:t>
            </w:r>
            <w:proofErr w:type="spellStart"/>
            <w:r w:rsidRPr="007363A1">
              <w:rPr>
                <w:rFonts w:ascii="Times New Roman" w:hAnsi="Times New Roman"/>
                <w:b/>
                <w:bCs/>
                <w:sz w:val="20"/>
                <w:szCs w:val="20"/>
                <w:lang w:eastAsia="ru-RU"/>
              </w:rPr>
              <w:t>monitorizare</w:t>
            </w:r>
            <w:proofErr w:type="spellEnd"/>
            <w:r w:rsidRPr="007363A1">
              <w:rPr>
                <w:rFonts w:ascii="Times New Roman" w:hAnsi="Times New Roman"/>
                <w:b/>
                <w:bCs/>
                <w:sz w:val="20"/>
                <w:szCs w:val="20"/>
                <w:lang w:eastAsia="ru-RU"/>
              </w:rPr>
              <w:t xml:space="preserve"> de </w:t>
            </w:r>
            <w:proofErr w:type="spellStart"/>
            <w:r w:rsidRPr="007363A1">
              <w:rPr>
                <w:rFonts w:ascii="Times New Roman" w:hAnsi="Times New Roman"/>
                <w:b/>
                <w:bCs/>
                <w:sz w:val="20"/>
                <w:szCs w:val="20"/>
                <w:lang w:eastAsia="ru-RU"/>
              </w:rPr>
              <w:t>către</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Comisie</w:t>
            </w:r>
            <w:proofErr w:type="spellEnd"/>
          </w:p>
          <w:p w14:paraId="123CC7B3" w14:textId="77777777" w:rsidR="008F5636" w:rsidRPr="007363A1" w:rsidRDefault="008F5636" w:rsidP="003174D8">
            <w:pPr>
              <w:spacing w:after="0" w:line="240" w:lineRule="auto"/>
              <w:jc w:val="center"/>
              <w:rPr>
                <w:rFonts w:ascii="Times New Roman" w:hAnsi="Times New Roman"/>
                <w:sz w:val="20"/>
                <w:szCs w:val="20"/>
                <w:lang w:eastAsia="ru-RU"/>
              </w:rPr>
            </w:pPr>
            <w:proofErr w:type="spellStart"/>
            <w:r w:rsidRPr="007363A1">
              <w:rPr>
                <w:rFonts w:ascii="Times New Roman" w:hAnsi="Times New Roman"/>
                <w:sz w:val="20"/>
                <w:szCs w:val="20"/>
                <w:lang w:eastAsia="ru-RU"/>
              </w:rPr>
              <w:t>Articolul</w:t>
            </w:r>
            <w:proofErr w:type="spellEnd"/>
            <w:r w:rsidRPr="007363A1">
              <w:rPr>
                <w:rFonts w:ascii="Times New Roman" w:hAnsi="Times New Roman"/>
                <w:sz w:val="20"/>
                <w:szCs w:val="20"/>
                <w:lang w:eastAsia="ru-RU"/>
              </w:rPr>
              <w:t xml:space="preserve"> 29</w:t>
            </w:r>
          </w:p>
          <w:p w14:paraId="40C5E7AF" w14:textId="77777777" w:rsidR="008F5636" w:rsidRPr="007363A1" w:rsidRDefault="008F5636" w:rsidP="003174D8">
            <w:pPr>
              <w:spacing w:after="0" w:line="240" w:lineRule="auto"/>
              <w:jc w:val="center"/>
              <w:rPr>
                <w:rFonts w:ascii="Times New Roman" w:hAnsi="Times New Roman"/>
                <w:b/>
                <w:bCs/>
                <w:sz w:val="20"/>
                <w:szCs w:val="20"/>
                <w:lang w:eastAsia="ru-RU"/>
              </w:rPr>
            </w:pPr>
            <w:proofErr w:type="spellStart"/>
            <w:r w:rsidRPr="007363A1">
              <w:rPr>
                <w:rFonts w:ascii="Times New Roman" w:hAnsi="Times New Roman"/>
                <w:b/>
                <w:bCs/>
                <w:sz w:val="20"/>
                <w:szCs w:val="20"/>
                <w:lang w:eastAsia="ru-RU"/>
              </w:rPr>
              <w:t>Evaluarea</w:t>
            </w:r>
            <w:proofErr w:type="spellEnd"/>
            <w:r w:rsidRPr="007363A1">
              <w:rPr>
                <w:rFonts w:ascii="Times New Roman" w:hAnsi="Times New Roman"/>
                <w:b/>
                <w:bCs/>
                <w:sz w:val="20"/>
                <w:szCs w:val="20"/>
                <w:lang w:eastAsia="ru-RU"/>
              </w:rPr>
              <w:t xml:space="preserve"> </w:t>
            </w:r>
            <w:proofErr w:type="spellStart"/>
            <w:r w:rsidRPr="007363A1">
              <w:rPr>
                <w:rFonts w:ascii="Times New Roman" w:hAnsi="Times New Roman"/>
                <w:b/>
                <w:bCs/>
                <w:sz w:val="20"/>
                <w:szCs w:val="20"/>
                <w:lang w:eastAsia="ru-RU"/>
              </w:rPr>
              <w:t>progreselor</w:t>
            </w:r>
            <w:proofErr w:type="spellEnd"/>
          </w:p>
          <w:p w14:paraId="0355ED42" w14:textId="4DC1001C" w:rsidR="008F5636" w:rsidRPr="007363A1" w:rsidRDefault="008F5636" w:rsidP="00373D90">
            <w:pPr>
              <w:spacing w:after="0" w:line="240" w:lineRule="auto"/>
              <w:jc w:val="both"/>
              <w:rPr>
                <w:rFonts w:ascii="Times New Roman" w:hAnsi="Times New Roman"/>
                <w:sz w:val="20"/>
                <w:szCs w:val="20"/>
                <w:lang w:eastAsia="ru-RU"/>
              </w:rPr>
            </w:pPr>
            <w:r w:rsidRPr="007363A1">
              <w:rPr>
                <w:rFonts w:ascii="Times New Roman" w:hAnsi="Times New Roman"/>
                <w:sz w:val="20"/>
                <w:szCs w:val="20"/>
                <w:lang w:eastAsia="ru-RU"/>
              </w:rPr>
              <w:lastRenderedPageBreak/>
              <w:t>(</w:t>
            </w:r>
            <w:proofErr w:type="gramStart"/>
            <w:r w:rsidRPr="007363A1">
              <w:rPr>
                <w:rFonts w:ascii="Times New Roman" w:hAnsi="Times New Roman"/>
                <w:sz w:val="20"/>
                <w:szCs w:val="20"/>
                <w:lang w:eastAsia="ru-RU"/>
              </w:rPr>
              <w:t>1)</w:t>
            </w:r>
            <w:proofErr w:type="spellStart"/>
            <w:r w:rsidRPr="007363A1">
              <w:rPr>
                <w:rFonts w:ascii="Times New Roman" w:hAnsi="Times New Roman"/>
                <w:sz w:val="20"/>
                <w:szCs w:val="20"/>
                <w:lang w:eastAsia="ru-RU"/>
              </w:rPr>
              <w:t>Până</w:t>
            </w:r>
            <w:proofErr w:type="spellEnd"/>
            <w:proofErr w:type="gramEnd"/>
            <w:r w:rsidRPr="007363A1">
              <w:rPr>
                <w:rFonts w:ascii="Times New Roman" w:hAnsi="Times New Roman"/>
                <w:sz w:val="20"/>
                <w:szCs w:val="20"/>
                <w:lang w:eastAsia="ru-RU"/>
              </w:rPr>
              <w:t xml:space="preserve"> la</w:t>
            </w:r>
            <w:r w:rsidR="00051CA5" w:rsidRPr="007363A1">
              <w:rPr>
                <w:rFonts w:ascii="Times New Roman" w:hAnsi="Times New Roman"/>
                <w:sz w:val="20"/>
                <w:szCs w:val="20"/>
                <w:lang w:eastAsia="ru-RU"/>
              </w:rPr>
              <w:t xml:space="preserve"> </w:t>
            </w:r>
            <w:r w:rsidRPr="007363A1">
              <w:rPr>
                <w:rFonts w:ascii="Times New Roman" w:hAnsi="Times New Roman"/>
                <w:sz w:val="20"/>
                <w:szCs w:val="20"/>
                <w:lang w:eastAsia="ru-RU"/>
              </w:rPr>
              <w:t>31</w:t>
            </w:r>
            <w:r w:rsidR="00051CA5"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octombrie</w:t>
            </w:r>
            <w:proofErr w:type="spellEnd"/>
            <w:r w:rsidR="00051CA5" w:rsidRPr="007363A1">
              <w:rPr>
                <w:rFonts w:ascii="Times New Roman" w:hAnsi="Times New Roman"/>
                <w:sz w:val="20"/>
                <w:szCs w:val="20"/>
                <w:lang w:eastAsia="ru-RU"/>
              </w:rPr>
              <w:t xml:space="preserve"> </w:t>
            </w:r>
            <w:r w:rsidRPr="007363A1">
              <w:rPr>
                <w:rFonts w:ascii="Times New Roman" w:hAnsi="Times New Roman"/>
                <w:sz w:val="20"/>
                <w:szCs w:val="20"/>
                <w:lang w:eastAsia="ru-RU"/>
              </w:rPr>
              <w:t xml:space="preserve">2021 și, ulterior, la </w:t>
            </w:r>
            <w:proofErr w:type="spellStart"/>
            <w:r w:rsidRPr="007363A1">
              <w:rPr>
                <w:rFonts w:ascii="Times New Roman" w:hAnsi="Times New Roman"/>
                <w:sz w:val="20"/>
                <w:szCs w:val="20"/>
                <w:lang w:eastAsia="ru-RU"/>
              </w:rPr>
              <w:t>fiecare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doi</w:t>
            </w:r>
            <w:proofErr w:type="spellEnd"/>
            <w:r w:rsidRPr="007363A1">
              <w:rPr>
                <w:rFonts w:ascii="Times New Roman" w:hAnsi="Times New Roman"/>
                <w:sz w:val="20"/>
                <w:szCs w:val="20"/>
                <w:lang w:eastAsia="ru-RU"/>
              </w:rPr>
              <w:t xml:space="preserve"> ani, </w:t>
            </w:r>
            <w:proofErr w:type="spellStart"/>
            <w:r w:rsidRPr="007363A1">
              <w:rPr>
                <w:rFonts w:ascii="Times New Roman" w:hAnsi="Times New Roman"/>
                <w:sz w:val="20"/>
                <w:szCs w:val="20"/>
                <w:lang w:eastAsia="ru-RU"/>
              </w:rPr>
              <w:t>Comisia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evaluează</w:t>
            </w:r>
            <w:proofErr w:type="spellEnd"/>
            <w:r w:rsidRPr="007363A1">
              <w:rPr>
                <w:rFonts w:ascii="Times New Roman" w:hAnsi="Times New Roman"/>
                <w:sz w:val="20"/>
                <w:szCs w:val="20"/>
                <w:lang w:eastAsia="ru-RU"/>
              </w:rPr>
              <w:t xml:space="preserve">, în special pe </w:t>
            </w:r>
            <w:proofErr w:type="spellStart"/>
            <w:r w:rsidRPr="007363A1">
              <w:rPr>
                <w:rFonts w:ascii="Times New Roman" w:hAnsi="Times New Roman"/>
                <w:sz w:val="20"/>
                <w:szCs w:val="20"/>
                <w:lang w:eastAsia="ru-RU"/>
              </w:rPr>
              <w:t>baza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rapoartelor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naționale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intermediare</w:t>
            </w:r>
            <w:proofErr w:type="spellEnd"/>
            <w:r w:rsidRPr="007363A1">
              <w:rPr>
                <w:rFonts w:ascii="Times New Roman" w:hAnsi="Times New Roman"/>
                <w:sz w:val="20"/>
                <w:szCs w:val="20"/>
                <w:lang w:eastAsia="ru-RU"/>
              </w:rPr>
              <w:t xml:space="preserve"> integrate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energia</w:t>
            </w:r>
            <w:proofErr w:type="spellEnd"/>
            <w:r w:rsidRPr="007363A1">
              <w:rPr>
                <w:rFonts w:ascii="Times New Roman" w:hAnsi="Times New Roman"/>
                <w:sz w:val="20"/>
                <w:szCs w:val="20"/>
                <w:lang w:eastAsia="ru-RU"/>
              </w:rPr>
              <w:t xml:space="preserve"> și </w:t>
            </w:r>
            <w:proofErr w:type="spellStart"/>
            <w:r w:rsidRPr="007363A1">
              <w:rPr>
                <w:rFonts w:ascii="Times New Roman" w:hAnsi="Times New Roman"/>
                <w:sz w:val="20"/>
                <w:szCs w:val="20"/>
                <w:lang w:eastAsia="ru-RU"/>
              </w:rPr>
              <w:t>clima</w:t>
            </w:r>
            <w:proofErr w:type="spellEnd"/>
            <w:r w:rsidRPr="007363A1">
              <w:rPr>
                <w:rFonts w:ascii="Times New Roman" w:hAnsi="Times New Roman"/>
                <w:sz w:val="20"/>
                <w:szCs w:val="20"/>
                <w:lang w:eastAsia="ru-RU"/>
              </w:rPr>
              <w:t xml:space="preserve">, a </w:t>
            </w:r>
            <w:proofErr w:type="spellStart"/>
            <w:r w:rsidRPr="007363A1">
              <w:rPr>
                <w:rFonts w:ascii="Times New Roman" w:hAnsi="Times New Roman"/>
                <w:sz w:val="20"/>
                <w:szCs w:val="20"/>
                <w:lang w:eastAsia="ru-RU"/>
              </w:rPr>
              <w:t>altor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informații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raportate</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temeiul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prezentului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regulament</w:t>
            </w:r>
            <w:proofErr w:type="spellEnd"/>
            <w:r w:rsidRPr="007363A1">
              <w:rPr>
                <w:rFonts w:ascii="Times New Roman" w:hAnsi="Times New Roman"/>
                <w:sz w:val="20"/>
                <w:szCs w:val="20"/>
                <w:lang w:eastAsia="ru-RU"/>
              </w:rPr>
              <w:t xml:space="preserve">, a </w:t>
            </w:r>
            <w:proofErr w:type="spellStart"/>
            <w:r w:rsidRPr="007363A1">
              <w:rPr>
                <w:rFonts w:ascii="Times New Roman" w:hAnsi="Times New Roman"/>
                <w:sz w:val="20"/>
                <w:szCs w:val="20"/>
                <w:lang w:eastAsia="ru-RU"/>
              </w:rPr>
              <w:t>indicatorilor</w:t>
            </w:r>
            <w:proofErr w:type="spellEnd"/>
            <w:r w:rsidRPr="007363A1">
              <w:rPr>
                <w:rFonts w:ascii="Times New Roman" w:hAnsi="Times New Roman"/>
                <w:sz w:val="20"/>
                <w:szCs w:val="20"/>
                <w:lang w:eastAsia="ru-RU"/>
              </w:rPr>
              <w:t xml:space="preserve"> și a </w:t>
            </w:r>
            <w:proofErr w:type="spellStart"/>
            <w:r w:rsidRPr="007363A1">
              <w:rPr>
                <w:rFonts w:ascii="Times New Roman" w:hAnsi="Times New Roman"/>
                <w:sz w:val="20"/>
                <w:szCs w:val="20"/>
                <w:lang w:eastAsia="ru-RU"/>
              </w:rPr>
              <w:t>statisticilor</w:t>
            </w:r>
            <w:proofErr w:type="spellEnd"/>
            <w:r w:rsidRPr="007363A1">
              <w:rPr>
                <w:rFonts w:ascii="Times New Roman" w:hAnsi="Times New Roman"/>
                <w:sz w:val="20"/>
                <w:szCs w:val="20"/>
                <w:lang w:eastAsia="ru-RU"/>
              </w:rPr>
              <w:t xml:space="preserve"> și </w:t>
            </w:r>
            <w:proofErr w:type="spellStart"/>
            <w:r w:rsidRPr="007363A1">
              <w:rPr>
                <w:rFonts w:ascii="Times New Roman" w:hAnsi="Times New Roman"/>
                <w:sz w:val="20"/>
                <w:szCs w:val="20"/>
                <w:lang w:eastAsia="ru-RU"/>
              </w:rPr>
              <w:t>datelor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europene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dacă</w:t>
            </w:r>
            <w:proofErr w:type="spellEnd"/>
            <w:r w:rsidRPr="007363A1">
              <w:rPr>
                <w:rFonts w:ascii="Times New Roman" w:hAnsi="Times New Roman"/>
                <w:sz w:val="20"/>
                <w:szCs w:val="20"/>
                <w:lang w:eastAsia="ru-RU"/>
              </w:rPr>
              <w:t xml:space="preserve"> sunt </w:t>
            </w:r>
            <w:proofErr w:type="spellStart"/>
            <w:r w:rsidRPr="007363A1">
              <w:rPr>
                <w:rFonts w:ascii="Times New Roman" w:hAnsi="Times New Roman"/>
                <w:sz w:val="20"/>
                <w:szCs w:val="20"/>
                <w:lang w:eastAsia="ru-RU"/>
              </w:rPr>
              <w:t>disponibile</w:t>
            </w:r>
            <w:proofErr w:type="spellEnd"/>
            <w:r w:rsidRPr="007363A1">
              <w:rPr>
                <w:rFonts w:ascii="Times New Roman" w:hAnsi="Times New Roman"/>
                <w:sz w:val="20"/>
                <w:szCs w:val="20"/>
                <w:lang w:eastAsia="ru-RU"/>
              </w:rPr>
              <w:t>:</w:t>
            </w:r>
          </w:p>
          <w:p w14:paraId="002E1F92" w14:textId="0AD9A451" w:rsidR="00CA04DE" w:rsidRDefault="00CA04DE" w:rsidP="000C5A3B">
            <w:pPr>
              <w:pStyle w:val="af3"/>
              <w:numPr>
                <w:ilvl w:val="0"/>
                <w:numId w:val="123"/>
              </w:numPr>
              <w:spacing w:after="0" w:line="240" w:lineRule="auto"/>
              <w:ind w:left="227"/>
              <w:jc w:val="both"/>
              <w:rPr>
                <w:rFonts w:ascii="Times New Roman" w:hAnsi="Times New Roman"/>
                <w:sz w:val="20"/>
                <w:szCs w:val="20"/>
                <w:lang w:eastAsia="ru-RU"/>
              </w:rPr>
            </w:pPr>
            <w:proofErr w:type="spellStart"/>
            <w:r w:rsidRPr="007363A1">
              <w:rPr>
                <w:rFonts w:ascii="Times New Roman" w:hAnsi="Times New Roman"/>
                <w:sz w:val="20"/>
                <w:szCs w:val="20"/>
                <w:lang w:eastAsia="ru-RU"/>
              </w:rPr>
              <w:t>progresele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realizate</w:t>
            </w:r>
            <w:proofErr w:type="spellEnd"/>
            <w:r w:rsidRPr="007363A1">
              <w:rPr>
                <w:rFonts w:ascii="Times New Roman" w:hAnsi="Times New Roman"/>
                <w:sz w:val="20"/>
                <w:szCs w:val="20"/>
                <w:lang w:eastAsia="ru-RU"/>
              </w:rPr>
              <w:t xml:space="preserve"> la </w:t>
            </w:r>
            <w:proofErr w:type="spellStart"/>
            <w:r w:rsidRPr="007363A1">
              <w:rPr>
                <w:rFonts w:ascii="Times New Roman" w:hAnsi="Times New Roman"/>
                <w:sz w:val="20"/>
                <w:szCs w:val="20"/>
                <w:lang w:eastAsia="ru-RU"/>
              </w:rPr>
              <w:t>nivelul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Uniunii</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direcția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îndeplinirii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obiectivelor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uniunii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energetice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inclusiv</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pentru</w:t>
            </w:r>
            <w:proofErr w:type="spellEnd"/>
            <w:r w:rsidRPr="007363A1">
              <w:rPr>
                <w:rFonts w:ascii="Times New Roman" w:hAnsi="Times New Roman"/>
                <w:sz w:val="20"/>
                <w:szCs w:val="20"/>
                <w:lang w:eastAsia="ru-RU"/>
              </w:rPr>
              <w:t xml:space="preserve"> prima </w:t>
            </w:r>
            <w:proofErr w:type="spellStart"/>
            <w:r w:rsidRPr="007363A1">
              <w:rPr>
                <w:rFonts w:ascii="Times New Roman" w:hAnsi="Times New Roman"/>
                <w:sz w:val="20"/>
                <w:szCs w:val="20"/>
                <w:lang w:eastAsia="ru-RU"/>
              </w:rPr>
              <w:t>perioadă</w:t>
            </w:r>
            <w:proofErr w:type="spellEnd"/>
            <w:r w:rsidRPr="007363A1">
              <w:rPr>
                <w:rFonts w:ascii="Times New Roman" w:hAnsi="Times New Roman"/>
                <w:sz w:val="20"/>
                <w:szCs w:val="20"/>
                <w:lang w:eastAsia="ru-RU"/>
              </w:rPr>
              <w:t xml:space="preserve"> de </w:t>
            </w:r>
            <w:proofErr w:type="spellStart"/>
            <w:r w:rsidRPr="007363A1">
              <w:rPr>
                <w:rFonts w:ascii="Times New Roman" w:hAnsi="Times New Roman"/>
                <w:sz w:val="20"/>
                <w:szCs w:val="20"/>
                <w:lang w:eastAsia="ru-RU"/>
              </w:rPr>
              <w:t>zece</w:t>
            </w:r>
            <w:proofErr w:type="spellEnd"/>
            <w:r w:rsidRPr="007363A1">
              <w:rPr>
                <w:rFonts w:ascii="Times New Roman" w:hAnsi="Times New Roman"/>
                <w:sz w:val="20"/>
                <w:szCs w:val="20"/>
                <w:lang w:eastAsia="ru-RU"/>
              </w:rPr>
              <w:t xml:space="preserve"> ani, </w:t>
            </w:r>
            <w:proofErr w:type="spellStart"/>
            <w:r w:rsidRPr="007363A1">
              <w:rPr>
                <w:rFonts w:ascii="Times New Roman" w:hAnsi="Times New Roman"/>
                <w:sz w:val="20"/>
                <w:szCs w:val="20"/>
                <w:lang w:eastAsia="ru-RU"/>
              </w:rPr>
              <w:t>obiectivele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Uniunii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energia</w:t>
            </w:r>
            <w:proofErr w:type="spellEnd"/>
            <w:r w:rsidRPr="007363A1">
              <w:rPr>
                <w:rFonts w:ascii="Times New Roman" w:hAnsi="Times New Roman"/>
                <w:sz w:val="20"/>
                <w:szCs w:val="20"/>
                <w:lang w:eastAsia="ru-RU"/>
              </w:rPr>
              <w:t xml:space="preserve"> și </w:t>
            </w:r>
            <w:proofErr w:type="spellStart"/>
            <w:r w:rsidRPr="007363A1">
              <w:rPr>
                <w:rFonts w:ascii="Times New Roman" w:hAnsi="Times New Roman"/>
                <w:sz w:val="20"/>
                <w:szCs w:val="20"/>
                <w:lang w:eastAsia="ru-RU"/>
              </w:rPr>
              <w:t>clima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pentru</w:t>
            </w:r>
            <w:proofErr w:type="spellEnd"/>
            <w:r w:rsidRPr="007363A1">
              <w:rPr>
                <w:rFonts w:ascii="Times New Roman" w:hAnsi="Times New Roman"/>
                <w:sz w:val="20"/>
                <w:szCs w:val="20"/>
                <w:lang w:eastAsia="ru-RU"/>
              </w:rPr>
              <w:t xml:space="preserve"> 2030, în special în </w:t>
            </w:r>
            <w:proofErr w:type="spellStart"/>
            <w:r w:rsidRPr="007363A1">
              <w:rPr>
                <w:rFonts w:ascii="Times New Roman" w:hAnsi="Times New Roman"/>
                <w:sz w:val="20"/>
                <w:szCs w:val="20"/>
                <w:lang w:eastAsia="ru-RU"/>
              </w:rPr>
              <w:t>vederea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evitării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oricărei</w:t>
            </w:r>
            <w:proofErr w:type="spellEnd"/>
            <w:r w:rsidRPr="007363A1">
              <w:rPr>
                <w:rFonts w:ascii="Times New Roman" w:hAnsi="Times New Roman"/>
                <w:sz w:val="20"/>
                <w:szCs w:val="20"/>
                <w:lang w:eastAsia="ru-RU"/>
              </w:rPr>
              <w:t xml:space="preserve"> lacune în </w:t>
            </w:r>
            <w:proofErr w:type="spellStart"/>
            <w:r w:rsidRPr="007363A1">
              <w:rPr>
                <w:rFonts w:ascii="Times New Roman" w:hAnsi="Times New Roman"/>
                <w:sz w:val="20"/>
                <w:szCs w:val="20"/>
                <w:lang w:eastAsia="ru-RU"/>
              </w:rPr>
              <w:t>ceea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ce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privește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obiectivele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Uniunii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pentru</w:t>
            </w:r>
            <w:proofErr w:type="spellEnd"/>
            <w:r w:rsidRPr="007363A1">
              <w:rPr>
                <w:rFonts w:ascii="Times New Roman" w:hAnsi="Times New Roman"/>
                <w:sz w:val="20"/>
                <w:szCs w:val="20"/>
                <w:lang w:eastAsia="ru-RU"/>
              </w:rPr>
              <w:t xml:space="preserve"> 2030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energia</w:t>
            </w:r>
            <w:proofErr w:type="spellEnd"/>
            <w:r w:rsidRPr="007363A1">
              <w:rPr>
                <w:rFonts w:ascii="Times New Roman" w:hAnsi="Times New Roman"/>
                <w:sz w:val="20"/>
                <w:szCs w:val="20"/>
                <w:lang w:eastAsia="ru-RU"/>
              </w:rPr>
              <w:t xml:space="preserve"> din surse </w:t>
            </w:r>
            <w:proofErr w:type="spellStart"/>
            <w:r w:rsidRPr="007363A1">
              <w:rPr>
                <w:rFonts w:ascii="Times New Roman" w:hAnsi="Times New Roman"/>
                <w:sz w:val="20"/>
                <w:szCs w:val="20"/>
                <w:lang w:eastAsia="ru-RU"/>
              </w:rPr>
              <w:t>regenerabile</w:t>
            </w:r>
            <w:proofErr w:type="spellEnd"/>
            <w:r w:rsidRPr="007363A1">
              <w:rPr>
                <w:rFonts w:ascii="Times New Roman" w:hAnsi="Times New Roman"/>
                <w:sz w:val="20"/>
                <w:szCs w:val="20"/>
                <w:lang w:eastAsia="ru-RU"/>
              </w:rPr>
              <w:t xml:space="preserve"> și </w:t>
            </w:r>
            <w:proofErr w:type="spellStart"/>
            <w:r w:rsidRPr="007363A1">
              <w:rPr>
                <w:rFonts w:ascii="Times New Roman" w:hAnsi="Times New Roman"/>
                <w:sz w:val="20"/>
                <w:szCs w:val="20"/>
                <w:lang w:eastAsia="ru-RU"/>
              </w:rPr>
              <w:t>eficiența</w:t>
            </w:r>
            <w:proofErr w:type="spellEnd"/>
            <w:r w:rsidRPr="007363A1">
              <w:rPr>
                <w:rFonts w:ascii="Times New Roman" w:hAnsi="Times New Roman"/>
                <w:sz w:val="20"/>
                <w:szCs w:val="20"/>
                <w:lang w:eastAsia="ru-RU"/>
              </w:rPr>
              <w:t xml:space="preserve"> </w:t>
            </w:r>
            <w:proofErr w:type="spellStart"/>
            <w:proofErr w:type="gramStart"/>
            <w:r w:rsidRPr="007363A1">
              <w:rPr>
                <w:rFonts w:ascii="Times New Roman" w:hAnsi="Times New Roman"/>
                <w:sz w:val="20"/>
                <w:szCs w:val="20"/>
                <w:lang w:eastAsia="ru-RU"/>
              </w:rPr>
              <w:t>energetică</w:t>
            </w:r>
            <w:proofErr w:type="spellEnd"/>
            <w:r w:rsidRPr="007363A1">
              <w:rPr>
                <w:rFonts w:ascii="Times New Roman" w:hAnsi="Times New Roman"/>
                <w:sz w:val="20"/>
                <w:szCs w:val="20"/>
                <w:lang w:eastAsia="ru-RU"/>
              </w:rPr>
              <w:t>;</w:t>
            </w:r>
            <w:proofErr w:type="gramEnd"/>
          </w:p>
          <w:p w14:paraId="6C6C90F3" w14:textId="3629C458" w:rsidR="00373D90" w:rsidRPr="00373D90" w:rsidRDefault="00000000" w:rsidP="00373D90">
            <w:pPr>
              <w:spacing w:after="0" w:line="240" w:lineRule="auto"/>
              <w:ind w:left="-133"/>
              <w:jc w:val="both"/>
              <w:rPr>
                <w:rFonts w:ascii="Times New Roman" w:hAnsi="Times New Roman"/>
                <w:sz w:val="20"/>
                <w:szCs w:val="20"/>
                <w:lang w:eastAsia="ru-RU"/>
              </w:rPr>
            </w:pPr>
            <w:hyperlink r:id="rId36" w:tooltip="32021R1119: REPLACED" w:history="1">
              <w:r w:rsidR="00373D90" w:rsidRPr="00373D90">
                <w:rPr>
                  <w:rStyle w:val="af6"/>
                  <w:rFonts w:ascii="Times New Roman" w:eastAsia="Arial Unicode MS" w:hAnsi="Times New Roman"/>
                  <w:b/>
                  <w:bCs/>
                  <w:color w:val="23527C"/>
                  <w:sz w:val="20"/>
                  <w:szCs w:val="20"/>
                  <w:shd w:val="clear" w:color="auto" w:fill="FFFFFF"/>
                </w:rPr>
                <w:t>▼M2</w:t>
              </w:r>
            </w:hyperlink>
          </w:p>
          <w:p w14:paraId="5A815C37" w14:textId="3D0BE2FD" w:rsidR="00CA04DE" w:rsidRDefault="00CA04DE" w:rsidP="000C5A3B">
            <w:pPr>
              <w:pStyle w:val="af3"/>
              <w:numPr>
                <w:ilvl w:val="0"/>
                <w:numId w:val="123"/>
              </w:numPr>
              <w:spacing w:after="0" w:line="240" w:lineRule="auto"/>
              <w:ind w:left="227"/>
              <w:jc w:val="both"/>
              <w:rPr>
                <w:rFonts w:ascii="Times New Roman" w:hAnsi="Times New Roman"/>
                <w:sz w:val="20"/>
                <w:szCs w:val="20"/>
                <w:lang w:eastAsia="ru-RU"/>
              </w:rPr>
            </w:pPr>
            <w:proofErr w:type="spellStart"/>
            <w:r w:rsidRPr="007363A1">
              <w:rPr>
                <w:rFonts w:ascii="Times New Roman" w:hAnsi="Times New Roman"/>
                <w:sz w:val="20"/>
                <w:szCs w:val="20"/>
                <w:lang w:eastAsia="ru-RU"/>
              </w:rPr>
              <w:t>progresele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realizate</w:t>
            </w:r>
            <w:proofErr w:type="spellEnd"/>
            <w:r w:rsidRPr="007363A1">
              <w:rPr>
                <w:rFonts w:ascii="Times New Roman" w:hAnsi="Times New Roman"/>
                <w:sz w:val="20"/>
                <w:szCs w:val="20"/>
                <w:lang w:eastAsia="ru-RU"/>
              </w:rPr>
              <w:t xml:space="preserve"> de </w:t>
            </w:r>
            <w:proofErr w:type="spellStart"/>
            <w:r w:rsidRPr="007363A1">
              <w:rPr>
                <w:rFonts w:ascii="Times New Roman" w:hAnsi="Times New Roman"/>
                <w:sz w:val="20"/>
                <w:szCs w:val="20"/>
                <w:lang w:eastAsia="ru-RU"/>
              </w:rPr>
              <w:t>fiecare</w:t>
            </w:r>
            <w:proofErr w:type="spellEnd"/>
            <w:r w:rsidRPr="007363A1">
              <w:rPr>
                <w:rFonts w:ascii="Times New Roman" w:hAnsi="Times New Roman"/>
                <w:sz w:val="20"/>
                <w:szCs w:val="20"/>
                <w:lang w:eastAsia="ru-RU"/>
              </w:rPr>
              <w:t xml:space="preserve"> stat </w:t>
            </w:r>
            <w:proofErr w:type="spellStart"/>
            <w:r w:rsidRPr="007363A1">
              <w:rPr>
                <w:rFonts w:ascii="Times New Roman" w:hAnsi="Times New Roman"/>
                <w:sz w:val="20"/>
                <w:szCs w:val="20"/>
                <w:lang w:eastAsia="ru-RU"/>
              </w:rPr>
              <w:t>membru</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direcția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îndeplinirii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propriilor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obiective</w:t>
            </w:r>
            <w:proofErr w:type="spellEnd"/>
            <w:r w:rsidR="00373D90">
              <w:rPr>
                <w:rFonts w:ascii="Times New Roman" w:hAnsi="Times New Roman"/>
                <w:sz w:val="20"/>
                <w:szCs w:val="20"/>
                <w:lang w:eastAsia="ru-RU"/>
              </w:rPr>
              <w:t xml:space="preserve">, </w:t>
            </w:r>
            <w:proofErr w:type="spellStart"/>
            <w:r w:rsidR="00373D90" w:rsidRPr="00373D90">
              <w:rPr>
                <w:rFonts w:ascii="Times New Roman" w:eastAsia="Arial Unicode MS" w:hAnsi="Times New Roman"/>
                <w:sz w:val="20"/>
                <w:szCs w:val="20"/>
                <w:shd w:val="clear" w:color="auto" w:fill="FFFFFF"/>
              </w:rPr>
              <w:t>inclusiv</w:t>
            </w:r>
            <w:proofErr w:type="spellEnd"/>
            <w:r w:rsidR="00373D90" w:rsidRPr="00373D90">
              <w:rPr>
                <w:rFonts w:ascii="Times New Roman" w:eastAsia="Arial Unicode MS" w:hAnsi="Times New Roman"/>
                <w:sz w:val="20"/>
                <w:szCs w:val="20"/>
                <w:shd w:val="clear" w:color="auto" w:fill="FFFFFF"/>
              </w:rPr>
              <w:t xml:space="preserve"> </w:t>
            </w:r>
            <w:proofErr w:type="gramStart"/>
            <w:r w:rsidR="00373D90" w:rsidRPr="00373D90">
              <w:rPr>
                <w:rFonts w:ascii="Times New Roman" w:eastAsia="Arial Unicode MS" w:hAnsi="Times New Roman"/>
                <w:sz w:val="20"/>
                <w:szCs w:val="20"/>
                <w:shd w:val="clear" w:color="auto" w:fill="FFFFFF"/>
              </w:rPr>
              <w:t>a</w:t>
            </w:r>
            <w:proofErr w:type="gram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obiectivului</w:t>
            </w:r>
            <w:proofErr w:type="spell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Uniunii</w:t>
            </w:r>
            <w:proofErr w:type="spell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privind</w:t>
            </w:r>
            <w:proofErr w:type="spell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neutralitatea</w:t>
            </w:r>
            <w:proofErr w:type="spell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climatică</w:t>
            </w:r>
            <w:proofErr w:type="spellEnd"/>
            <w:r w:rsidR="00373D90" w:rsidRPr="00373D90">
              <w:rPr>
                <w:rFonts w:ascii="Times New Roman" w:eastAsia="Arial Unicode MS" w:hAnsi="Times New Roman"/>
                <w:sz w:val="20"/>
                <w:szCs w:val="20"/>
                <w:shd w:val="clear" w:color="auto" w:fill="FFFFFF"/>
              </w:rPr>
              <w:t xml:space="preserve"> </w:t>
            </w:r>
            <w:proofErr w:type="spellStart"/>
            <w:r w:rsidR="00373D90" w:rsidRPr="00373D90">
              <w:rPr>
                <w:rFonts w:ascii="Times New Roman" w:eastAsia="Arial Unicode MS" w:hAnsi="Times New Roman"/>
                <w:sz w:val="20"/>
                <w:szCs w:val="20"/>
                <w:shd w:val="clear" w:color="auto" w:fill="FFFFFF"/>
              </w:rPr>
              <w:t>prevăzut</w:t>
            </w:r>
            <w:proofErr w:type="spellEnd"/>
            <w:r w:rsidR="00373D90" w:rsidRPr="00373D90">
              <w:rPr>
                <w:rFonts w:ascii="Times New Roman" w:eastAsia="Arial Unicode MS" w:hAnsi="Times New Roman"/>
                <w:sz w:val="20"/>
                <w:szCs w:val="20"/>
                <w:shd w:val="clear" w:color="auto" w:fill="FFFFFF"/>
              </w:rPr>
              <w:t xml:space="preserve"> la </w:t>
            </w:r>
            <w:proofErr w:type="spellStart"/>
            <w:r w:rsidR="00373D90" w:rsidRPr="00373D90">
              <w:rPr>
                <w:rFonts w:ascii="Times New Roman" w:eastAsia="Arial Unicode MS" w:hAnsi="Times New Roman"/>
                <w:sz w:val="20"/>
                <w:szCs w:val="20"/>
                <w:shd w:val="clear" w:color="auto" w:fill="FFFFFF"/>
              </w:rPr>
              <w:t>articolul</w:t>
            </w:r>
            <w:proofErr w:type="spellEnd"/>
            <w:r w:rsidR="00373D90">
              <w:rPr>
                <w:rFonts w:ascii="Times New Roman" w:eastAsia="Arial Unicode MS" w:hAnsi="Times New Roman"/>
                <w:sz w:val="20"/>
                <w:szCs w:val="20"/>
                <w:shd w:val="clear" w:color="auto" w:fill="FFFFFF"/>
              </w:rPr>
              <w:t xml:space="preserve"> </w:t>
            </w:r>
            <w:r w:rsidR="00373D90" w:rsidRPr="00373D90">
              <w:rPr>
                <w:rFonts w:ascii="Times New Roman" w:eastAsia="Arial Unicode MS" w:hAnsi="Times New Roman"/>
                <w:sz w:val="20"/>
                <w:szCs w:val="20"/>
                <w:shd w:val="clear" w:color="auto" w:fill="FFFFFF"/>
              </w:rPr>
              <w:t xml:space="preserve">2 </w:t>
            </w:r>
            <w:proofErr w:type="spellStart"/>
            <w:r w:rsidR="00373D90" w:rsidRPr="00373D90">
              <w:rPr>
                <w:rFonts w:ascii="Times New Roman" w:eastAsia="Arial Unicode MS" w:hAnsi="Times New Roman"/>
                <w:sz w:val="20"/>
                <w:szCs w:val="20"/>
                <w:shd w:val="clear" w:color="auto" w:fill="FFFFFF"/>
              </w:rPr>
              <w:t>alineatul</w:t>
            </w:r>
            <w:proofErr w:type="spellEnd"/>
            <w:r w:rsidR="00373D90" w:rsidRPr="00373D90">
              <w:rPr>
                <w:rFonts w:ascii="Times New Roman" w:eastAsia="Arial Unicode MS" w:hAnsi="Times New Roman"/>
                <w:sz w:val="20"/>
                <w:szCs w:val="20"/>
                <w:shd w:val="clear" w:color="auto" w:fill="FFFFFF"/>
              </w:rPr>
              <w:t xml:space="preserve"> (1) din </w:t>
            </w:r>
            <w:proofErr w:type="spellStart"/>
            <w:r w:rsidR="00373D90" w:rsidRPr="00373D90">
              <w:rPr>
                <w:rFonts w:ascii="Times New Roman" w:eastAsia="Arial Unicode MS" w:hAnsi="Times New Roman"/>
                <w:sz w:val="20"/>
                <w:szCs w:val="20"/>
                <w:shd w:val="clear" w:color="auto" w:fill="FFFFFF"/>
              </w:rPr>
              <w:t>Regulamentul</w:t>
            </w:r>
            <w:proofErr w:type="spellEnd"/>
            <w:r w:rsidR="00373D90" w:rsidRPr="00373D90">
              <w:rPr>
                <w:rFonts w:ascii="Times New Roman" w:eastAsia="Arial Unicode MS" w:hAnsi="Times New Roman"/>
                <w:sz w:val="20"/>
                <w:szCs w:val="20"/>
                <w:shd w:val="clear" w:color="auto" w:fill="FFFFFF"/>
              </w:rPr>
              <w:t xml:space="preserve"> (UE) 2021/1119</w:t>
            </w:r>
            <w:r w:rsidRPr="00373D90">
              <w:rPr>
                <w:rFonts w:ascii="Times New Roman" w:hAnsi="Times New Roman"/>
                <w:sz w:val="20"/>
                <w:szCs w:val="20"/>
                <w:lang w:eastAsia="ru-RU"/>
              </w:rPr>
              <w:t xml:space="preserve"> </w:t>
            </w:r>
            <w:r w:rsidRPr="007363A1">
              <w:rPr>
                <w:rFonts w:ascii="Times New Roman" w:hAnsi="Times New Roman"/>
                <w:sz w:val="20"/>
                <w:szCs w:val="20"/>
                <w:lang w:eastAsia="ru-RU"/>
              </w:rPr>
              <w:t xml:space="preserve">și </w:t>
            </w:r>
            <w:proofErr w:type="spellStart"/>
            <w:r w:rsidRPr="007363A1">
              <w:rPr>
                <w:rFonts w:ascii="Times New Roman" w:hAnsi="Times New Roman"/>
                <w:sz w:val="20"/>
                <w:szCs w:val="20"/>
                <w:lang w:eastAsia="ru-RU"/>
              </w:rPr>
              <w:t>contribuții</w:t>
            </w:r>
            <w:proofErr w:type="spellEnd"/>
            <w:r w:rsidRPr="007363A1">
              <w:rPr>
                <w:rFonts w:ascii="Times New Roman" w:hAnsi="Times New Roman"/>
                <w:sz w:val="20"/>
                <w:szCs w:val="20"/>
                <w:lang w:eastAsia="ru-RU"/>
              </w:rPr>
              <w:t xml:space="preserve"> și în </w:t>
            </w:r>
            <w:proofErr w:type="spellStart"/>
            <w:r w:rsidRPr="007363A1">
              <w:rPr>
                <w:rFonts w:ascii="Times New Roman" w:hAnsi="Times New Roman"/>
                <w:sz w:val="20"/>
                <w:szCs w:val="20"/>
                <w:lang w:eastAsia="ru-RU"/>
              </w:rPr>
              <w:t>direcția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punerii</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aplicare</w:t>
            </w:r>
            <w:proofErr w:type="spellEnd"/>
            <w:r w:rsidRPr="007363A1">
              <w:rPr>
                <w:rFonts w:ascii="Times New Roman" w:hAnsi="Times New Roman"/>
                <w:sz w:val="20"/>
                <w:szCs w:val="20"/>
                <w:lang w:eastAsia="ru-RU"/>
              </w:rPr>
              <w:t xml:space="preserve"> a </w:t>
            </w:r>
            <w:proofErr w:type="spellStart"/>
            <w:r w:rsidRPr="007363A1">
              <w:rPr>
                <w:rFonts w:ascii="Times New Roman" w:hAnsi="Times New Roman"/>
                <w:sz w:val="20"/>
                <w:szCs w:val="20"/>
                <w:lang w:eastAsia="ru-RU"/>
              </w:rPr>
              <w:t>politicilor</w:t>
            </w:r>
            <w:proofErr w:type="spellEnd"/>
            <w:r w:rsidRPr="007363A1">
              <w:rPr>
                <w:rFonts w:ascii="Times New Roman" w:hAnsi="Times New Roman"/>
                <w:sz w:val="20"/>
                <w:szCs w:val="20"/>
                <w:lang w:eastAsia="ru-RU"/>
              </w:rPr>
              <w:t xml:space="preserve"> și a </w:t>
            </w:r>
            <w:proofErr w:type="spellStart"/>
            <w:r w:rsidRPr="007363A1">
              <w:rPr>
                <w:rFonts w:ascii="Times New Roman" w:hAnsi="Times New Roman"/>
                <w:sz w:val="20"/>
                <w:szCs w:val="20"/>
                <w:lang w:eastAsia="ru-RU"/>
              </w:rPr>
              <w:t>măsurilor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stabilite</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planul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său</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național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integrat</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energia</w:t>
            </w:r>
            <w:proofErr w:type="spellEnd"/>
            <w:r w:rsidRPr="007363A1">
              <w:rPr>
                <w:rFonts w:ascii="Times New Roman" w:hAnsi="Times New Roman"/>
                <w:sz w:val="20"/>
                <w:szCs w:val="20"/>
                <w:lang w:eastAsia="ru-RU"/>
              </w:rPr>
              <w:t xml:space="preserve"> și </w:t>
            </w:r>
            <w:proofErr w:type="spellStart"/>
            <w:r w:rsidRPr="007363A1">
              <w:rPr>
                <w:rFonts w:ascii="Times New Roman" w:hAnsi="Times New Roman"/>
                <w:sz w:val="20"/>
                <w:szCs w:val="20"/>
                <w:lang w:eastAsia="ru-RU"/>
              </w:rPr>
              <w:t>clima</w:t>
            </w:r>
            <w:proofErr w:type="spellEnd"/>
            <w:r w:rsidRPr="007363A1">
              <w:rPr>
                <w:rFonts w:ascii="Times New Roman" w:hAnsi="Times New Roman"/>
                <w:sz w:val="20"/>
                <w:szCs w:val="20"/>
                <w:lang w:eastAsia="ru-RU"/>
              </w:rPr>
              <w:t>;</w:t>
            </w:r>
          </w:p>
          <w:p w14:paraId="0FFA313D" w14:textId="68E3E899" w:rsidR="00374889" w:rsidRPr="00374889" w:rsidRDefault="00000000" w:rsidP="00374889">
            <w:pPr>
              <w:spacing w:after="0" w:line="240" w:lineRule="auto"/>
              <w:ind w:left="-133"/>
              <w:rPr>
                <w:rFonts w:ascii="Times New Roman" w:hAnsi="Times New Roman"/>
                <w:sz w:val="20"/>
                <w:szCs w:val="20"/>
                <w:lang w:eastAsia="ru-RU"/>
              </w:rPr>
            </w:pPr>
            <w:hyperlink r:id="rId37" w:tooltip="32018R1999" w:history="1">
              <w:r w:rsidR="00374889" w:rsidRPr="00374889">
                <w:rPr>
                  <w:rStyle w:val="af6"/>
                  <w:rFonts w:ascii="Times New Roman" w:eastAsia="Arial Unicode MS" w:hAnsi="Times New Roman"/>
                  <w:b/>
                  <w:bCs/>
                  <w:color w:val="23527C"/>
                  <w:sz w:val="20"/>
                  <w:szCs w:val="20"/>
                  <w:shd w:val="clear" w:color="auto" w:fill="FFFFFF"/>
                </w:rPr>
                <w:t>▼B</w:t>
              </w:r>
            </w:hyperlink>
          </w:p>
          <w:p w14:paraId="39FD67A2" w14:textId="5F3538FD" w:rsidR="00CA04DE" w:rsidRPr="007363A1" w:rsidRDefault="00CA04DE" w:rsidP="000C5A3B">
            <w:pPr>
              <w:pStyle w:val="af3"/>
              <w:numPr>
                <w:ilvl w:val="0"/>
                <w:numId w:val="123"/>
              </w:numPr>
              <w:spacing w:after="0" w:line="240" w:lineRule="auto"/>
              <w:ind w:left="227"/>
              <w:jc w:val="both"/>
              <w:rPr>
                <w:rFonts w:ascii="Times New Roman" w:hAnsi="Times New Roman"/>
                <w:sz w:val="20"/>
                <w:szCs w:val="20"/>
                <w:lang w:eastAsia="ru-RU"/>
              </w:rPr>
            </w:pPr>
            <w:proofErr w:type="spellStart"/>
            <w:r w:rsidRPr="007363A1">
              <w:rPr>
                <w:rFonts w:ascii="Times New Roman" w:hAnsi="Times New Roman"/>
                <w:sz w:val="20"/>
                <w:szCs w:val="20"/>
                <w:lang w:eastAsia="ru-RU"/>
              </w:rPr>
              <w:t>impactul</w:t>
            </w:r>
            <w:proofErr w:type="spellEnd"/>
            <w:r w:rsidRPr="007363A1">
              <w:rPr>
                <w:rFonts w:ascii="Times New Roman" w:hAnsi="Times New Roman"/>
                <w:sz w:val="20"/>
                <w:szCs w:val="20"/>
                <w:lang w:eastAsia="ru-RU"/>
              </w:rPr>
              <w:t xml:space="preserve"> general al </w:t>
            </w:r>
            <w:proofErr w:type="spellStart"/>
            <w:r w:rsidRPr="007363A1">
              <w:rPr>
                <w:rFonts w:ascii="Times New Roman" w:hAnsi="Times New Roman"/>
                <w:sz w:val="20"/>
                <w:szCs w:val="20"/>
                <w:lang w:eastAsia="ru-RU"/>
              </w:rPr>
              <w:t>activităților</w:t>
            </w:r>
            <w:proofErr w:type="spellEnd"/>
            <w:r w:rsidRPr="007363A1">
              <w:rPr>
                <w:rFonts w:ascii="Times New Roman" w:hAnsi="Times New Roman"/>
                <w:sz w:val="20"/>
                <w:szCs w:val="20"/>
                <w:lang w:eastAsia="ru-RU"/>
              </w:rPr>
              <w:t xml:space="preserve"> de </w:t>
            </w:r>
            <w:proofErr w:type="spellStart"/>
            <w:r w:rsidRPr="007363A1">
              <w:rPr>
                <w:rFonts w:ascii="Times New Roman" w:hAnsi="Times New Roman"/>
                <w:sz w:val="20"/>
                <w:szCs w:val="20"/>
                <w:lang w:eastAsia="ru-RU"/>
              </w:rPr>
              <w:t>aviație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asupra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climei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globale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inclusiv</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urma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altor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efecte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sau</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emisii</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decât</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cele</w:t>
            </w:r>
            <w:proofErr w:type="spellEnd"/>
            <w:r w:rsidRPr="007363A1">
              <w:rPr>
                <w:rFonts w:ascii="Times New Roman" w:hAnsi="Times New Roman"/>
                <w:sz w:val="20"/>
                <w:szCs w:val="20"/>
                <w:lang w:eastAsia="ru-RU"/>
              </w:rPr>
              <w:t xml:space="preserve"> de CO</w:t>
            </w:r>
            <w:r w:rsidRPr="007363A1">
              <w:rPr>
                <w:rFonts w:ascii="Times New Roman" w:hAnsi="Times New Roman"/>
                <w:sz w:val="20"/>
                <w:szCs w:val="20"/>
                <w:vertAlign w:val="subscript"/>
                <w:lang w:eastAsia="ru-RU"/>
              </w:rPr>
              <w:t>2</w:t>
            </w:r>
            <w:r w:rsidRPr="007363A1">
              <w:rPr>
                <w:rFonts w:ascii="Times New Roman" w:hAnsi="Times New Roman"/>
                <w:sz w:val="20"/>
                <w:szCs w:val="20"/>
                <w:lang w:eastAsia="ru-RU"/>
              </w:rPr>
              <w:t xml:space="preserve">, pe </w:t>
            </w:r>
            <w:proofErr w:type="spellStart"/>
            <w:r w:rsidRPr="007363A1">
              <w:rPr>
                <w:rFonts w:ascii="Times New Roman" w:hAnsi="Times New Roman"/>
                <w:sz w:val="20"/>
                <w:szCs w:val="20"/>
                <w:lang w:eastAsia="ru-RU"/>
              </w:rPr>
              <w:t>baza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datelor</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emisiile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furnizate</w:t>
            </w:r>
            <w:proofErr w:type="spellEnd"/>
            <w:r w:rsidRPr="007363A1">
              <w:rPr>
                <w:rFonts w:ascii="Times New Roman" w:hAnsi="Times New Roman"/>
                <w:sz w:val="20"/>
                <w:szCs w:val="20"/>
                <w:lang w:eastAsia="ru-RU"/>
              </w:rPr>
              <w:t xml:space="preserve"> de </w:t>
            </w:r>
            <w:proofErr w:type="spellStart"/>
            <w:r w:rsidRPr="007363A1">
              <w:rPr>
                <w:rFonts w:ascii="Times New Roman" w:hAnsi="Times New Roman"/>
                <w:sz w:val="20"/>
                <w:szCs w:val="20"/>
                <w:lang w:eastAsia="ru-RU"/>
              </w:rPr>
              <w:t>statele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membre</w:t>
            </w:r>
            <w:proofErr w:type="spellEnd"/>
            <w:r w:rsidRPr="007363A1">
              <w:rPr>
                <w:rFonts w:ascii="Times New Roman" w:hAnsi="Times New Roman"/>
                <w:sz w:val="20"/>
                <w:szCs w:val="20"/>
                <w:lang w:eastAsia="ru-RU"/>
              </w:rPr>
              <w:t xml:space="preserve"> în </w:t>
            </w:r>
            <w:proofErr w:type="spellStart"/>
            <w:r w:rsidRPr="007363A1">
              <w:rPr>
                <w:rFonts w:ascii="Times New Roman" w:hAnsi="Times New Roman"/>
                <w:sz w:val="20"/>
                <w:szCs w:val="20"/>
                <w:lang w:eastAsia="ru-RU"/>
              </w:rPr>
              <w:t>temeiul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articolului</w:t>
            </w:r>
            <w:proofErr w:type="spellEnd"/>
            <w:r w:rsidRPr="007363A1">
              <w:rPr>
                <w:rFonts w:ascii="Times New Roman" w:hAnsi="Times New Roman"/>
                <w:sz w:val="20"/>
                <w:szCs w:val="20"/>
                <w:lang w:eastAsia="ru-RU"/>
              </w:rPr>
              <w:t xml:space="preserve"> 26, </w:t>
            </w:r>
            <w:proofErr w:type="spellStart"/>
            <w:r w:rsidRPr="007363A1">
              <w:rPr>
                <w:rFonts w:ascii="Times New Roman" w:hAnsi="Times New Roman"/>
                <w:sz w:val="20"/>
                <w:szCs w:val="20"/>
                <w:lang w:eastAsia="ru-RU"/>
              </w:rPr>
              <w:t>îmbunătățind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respectiva</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evaluare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prin</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trimitere</w:t>
            </w:r>
            <w:proofErr w:type="spellEnd"/>
            <w:r w:rsidRPr="007363A1">
              <w:rPr>
                <w:rFonts w:ascii="Times New Roman" w:hAnsi="Times New Roman"/>
                <w:sz w:val="20"/>
                <w:szCs w:val="20"/>
                <w:lang w:eastAsia="ru-RU"/>
              </w:rPr>
              <w:t xml:space="preserve"> la </w:t>
            </w:r>
            <w:proofErr w:type="spellStart"/>
            <w:r w:rsidRPr="007363A1">
              <w:rPr>
                <w:rFonts w:ascii="Times New Roman" w:hAnsi="Times New Roman"/>
                <w:sz w:val="20"/>
                <w:szCs w:val="20"/>
                <w:lang w:eastAsia="ru-RU"/>
              </w:rPr>
              <w:t>progresele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științifice</w:t>
            </w:r>
            <w:proofErr w:type="spellEnd"/>
            <w:r w:rsidRPr="007363A1">
              <w:rPr>
                <w:rFonts w:ascii="Times New Roman" w:hAnsi="Times New Roman"/>
                <w:sz w:val="20"/>
                <w:szCs w:val="20"/>
                <w:lang w:eastAsia="ru-RU"/>
              </w:rPr>
              <w:t xml:space="preserve"> și la </w:t>
            </w:r>
            <w:proofErr w:type="spellStart"/>
            <w:r w:rsidRPr="007363A1">
              <w:rPr>
                <w:rFonts w:ascii="Times New Roman" w:hAnsi="Times New Roman"/>
                <w:sz w:val="20"/>
                <w:szCs w:val="20"/>
                <w:lang w:eastAsia="ru-RU"/>
              </w:rPr>
              <w:t>datele</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privind</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traficul</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aerian</w:t>
            </w:r>
            <w:proofErr w:type="spellEnd"/>
            <w:r w:rsidRPr="007363A1">
              <w:rPr>
                <w:rFonts w:ascii="Times New Roman" w:hAnsi="Times New Roman"/>
                <w:sz w:val="20"/>
                <w:szCs w:val="20"/>
                <w:lang w:eastAsia="ru-RU"/>
              </w:rPr>
              <w:t xml:space="preserve">, </w:t>
            </w:r>
            <w:proofErr w:type="spellStart"/>
            <w:r w:rsidRPr="007363A1">
              <w:rPr>
                <w:rFonts w:ascii="Times New Roman" w:hAnsi="Times New Roman"/>
                <w:sz w:val="20"/>
                <w:szCs w:val="20"/>
                <w:lang w:eastAsia="ru-RU"/>
              </w:rPr>
              <w:t>după</w:t>
            </w:r>
            <w:proofErr w:type="spellEnd"/>
            <w:r w:rsidRPr="007363A1">
              <w:rPr>
                <w:rFonts w:ascii="Times New Roman" w:hAnsi="Times New Roman"/>
                <w:sz w:val="20"/>
                <w:szCs w:val="20"/>
                <w:lang w:eastAsia="ru-RU"/>
              </w:rPr>
              <w:t xml:space="preserve"> </w:t>
            </w:r>
            <w:proofErr w:type="spellStart"/>
            <w:proofErr w:type="gramStart"/>
            <w:r w:rsidRPr="007363A1">
              <w:rPr>
                <w:rFonts w:ascii="Times New Roman" w:hAnsi="Times New Roman"/>
                <w:sz w:val="20"/>
                <w:szCs w:val="20"/>
                <w:lang w:eastAsia="ru-RU"/>
              </w:rPr>
              <w:t>caz</w:t>
            </w:r>
            <w:proofErr w:type="spellEnd"/>
            <w:r w:rsidRPr="007363A1">
              <w:rPr>
                <w:rFonts w:ascii="Times New Roman" w:hAnsi="Times New Roman"/>
                <w:sz w:val="20"/>
                <w:szCs w:val="20"/>
                <w:lang w:eastAsia="ru-RU"/>
              </w:rPr>
              <w:t>;</w:t>
            </w:r>
            <w:proofErr w:type="gramEnd"/>
          </w:p>
          <w:p w14:paraId="17D81FF3" w14:textId="37557813" w:rsidR="00CA04DE" w:rsidRPr="007363A1" w:rsidRDefault="00CA04DE" w:rsidP="000C5A3B">
            <w:pPr>
              <w:pStyle w:val="af3"/>
              <w:numPr>
                <w:ilvl w:val="0"/>
                <w:numId w:val="123"/>
              </w:numPr>
              <w:spacing w:after="0" w:line="240" w:lineRule="auto"/>
              <w:ind w:left="227"/>
              <w:jc w:val="both"/>
              <w:rPr>
                <w:rFonts w:ascii="Times New Roman" w:hAnsi="Times New Roman"/>
                <w:sz w:val="20"/>
                <w:szCs w:val="20"/>
                <w:lang w:val="en-US" w:eastAsia="ru-RU"/>
              </w:rPr>
            </w:pPr>
            <w:proofErr w:type="spellStart"/>
            <w:r w:rsidRPr="007363A1">
              <w:rPr>
                <w:rFonts w:ascii="Times New Roman" w:hAnsi="Times New Roman"/>
                <w:sz w:val="20"/>
                <w:szCs w:val="20"/>
                <w:lang w:val="en-US" w:eastAsia="ru-RU"/>
              </w:rPr>
              <w:t>impactul</w:t>
            </w:r>
            <w:proofErr w:type="spellEnd"/>
            <w:r w:rsidRPr="007363A1">
              <w:rPr>
                <w:rFonts w:ascii="Times New Roman" w:hAnsi="Times New Roman"/>
                <w:sz w:val="20"/>
                <w:szCs w:val="20"/>
                <w:lang w:val="en-US" w:eastAsia="ru-RU"/>
              </w:rPr>
              <w:t xml:space="preserve"> general al </w:t>
            </w:r>
            <w:proofErr w:type="spellStart"/>
            <w:r w:rsidRPr="007363A1">
              <w:rPr>
                <w:rFonts w:ascii="Times New Roman" w:hAnsi="Times New Roman"/>
                <w:sz w:val="20"/>
                <w:szCs w:val="20"/>
                <w:lang w:val="en-US" w:eastAsia="ru-RU"/>
              </w:rPr>
              <w:t>politicilor</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măsurilor</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planurilor</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naționale</w:t>
            </w:r>
            <w:proofErr w:type="spellEnd"/>
            <w:r w:rsidRPr="007363A1">
              <w:rPr>
                <w:rFonts w:ascii="Times New Roman" w:hAnsi="Times New Roman"/>
                <w:sz w:val="20"/>
                <w:szCs w:val="20"/>
                <w:lang w:val="en-US" w:eastAsia="ru-RU"/>
              </w:rPr>
              <w:t xml:space="preserve"> integrate </w:t>
            </w:r>
            <w:proofErr w:type="spellStart"/>
            <w:r w:rsidRPr="007363A1">
              <w:rPr>
                <w:rFonts w:ascii="Times New Roman" w:hAnsi="Times New Roman"/>
                <w:sz w:val="20"/>
                <w:szCs w:val="20"/>
                <w:lang w:val="en-US" w:eastAsia="ru-RU"/>
              </w:rPr>
              <w:t>privind</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energia</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clima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asupra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funcționării</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măsurilor</w:t>
            </w:r>
            <w:proofErr w:type="spellEnd"/>
            <w:r w:rsidRPr="007363A1">
              <w:rPr>
                <w:rFonts w:ascii="Times New Roman" w:hAnsi="Times New Roman"/>
                <w:sz w:val="20"/>
                <w:szCs w:val="20"/>
                <w:lang w:val="en-US" w:eastAsia="ru-RU"/>
              </w:rPr>
              <w:t xml:space="preserve"> de </w:t>
            </w:r>
            <w:proofErr w:type="spellStart"/>
            <w:r w:rsidRPr="007363A1">
              <w:rPr>
                <w:rFonts w:ascii="Times New Roman" w:hAnsi="Times New Roman"/>
                <w:sz w:val="20"/>
                <w:szCs w:val="20"/>
                <w:lang w:val="en-US" w:eastAsia="ru-RU"/>
              </w:rPr>
              <w:t>politică</w:t>
            </w:r>
            <w:proofErr w:type="spellEnd"/>
            <w:r w:rsidRPr="007363A1">
              <w:rPr>
                <w:rFonts w:ascii="Times New Roman" w:hAnsi="Times New Roman"/>
                <w:sz w:val="20"/>
                <w:szCs w:val="20"/>
                <w:lang w:val="en-US" w:eastAsia="ru-RU"/>
              </w:rPr>
              <w:t xml:space="preserve"> ale </w:t>
            </w:r>
            <w:proofErr w:type="spellStart"/>
            <w:r w:rsidRPr="007363A1">
              <w:rPr>
                <w:rFonts w:ascii="Times New Roman" w:hAnsi="Times New Roman"/>
                <w:sz w:val="20"/>
                <w:szCs w:val="20"/>
                <w:lang w:val="en-US" w:eastAsia="ru-RU"/>
              </w:rPr>
              <w:t>Uniunii</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privind</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clima</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energia</w:t>
            </w:r>
            <w:proofErr w:type="spellEnd"/>
            <w:r w:rsidRPr="007363A1">
              <w:rPr>
                <w:rFonts w:ascii="Times New Roman" w:hAnsi="Times New Roman"/>
                <w:sz w:val="20"/>
                <w:szCs w:val="20"/>
                <w:lang w:val="en-US" w:eastAsia="ru-RU"/>
              </w:rPr>
              <w:t>;</w:t>
            </w:r>
          </w:p>
          <w:p w14:paraId="4A800C10" w14:textId="20B79CAE" w:rsidR="00CA04DE" w:rsidRPr="007363A1" w:rsidRDefault="00CA04DE" w:rsidP="000C5A3B">
            <w:pPr>
              <w:pStyle w:val="af3"/>
              <w:numPr>
                <w:ilvl w:val="0"/>
                <w:numId w:val="123"/>
              </w:numPr>
              <w:spacing w:after="0" w:line="240" w:lineRule="auto"/>
              <w:ind w:left="227"/>
              <w:jc w:val="both"/>
              <w:rPr>
                <w:rFonts w:ascii="Times New Roman" w:hAnsi="Times New Roman"/>
                <w:sz w:val="20"/>
                <w:szCs w:val="20"/>
                <w:lang w:val="en-US" w:eastAsia="ru-RU"/>
              </w:rPr>
            </w:pPr>
            <w:proofErr w:type="spellStart"/>
            <w:r w:rsidRPr="007363A1">
              <w:rPr>
                <w:rFonts w:ascii="Times New Roman" w:hAnsi="Times New Roman"/>
                <w:sz w:val="20"/>
                <w:szCs w:val="20"/>
                <w:lang w:val="en-US" w:eastAsia="ru-RU"/>
              </w:rPr>
              <w:t>impactul</w:t>
            </w:r>
            <w:proofErr w:type="spellEnd"/>
            <w:r w:rsidRPr="007363A1">
              <w:rPr>
                <w:rFonts w:ascii="Times New Roman" w:hAnsi="Times New Roman"/>
                <w:sz w:val="20"/>
                <w:szCs w:val="20"/>
                <w:lang w:val="en-US" w:eastAsia="ru-RU"/>
              </w:rPr>
              <w:t xml:space="preserve"> general al </w:t>
            </w:r>
            <w:proofErr w:type="spellStart"/>
            <w:r w:rsidRPr="007363A1">
              <w:rPr>
                <w:rFonts w:ascii="Times New Roman" w:hAnsi="Times New Roman"/>
                <w:sz w:val="20"/>
                <w:szCs w:val="20"/>
                <w:lang w:val="en-US" w:eastAsia="ru-RU"/>
              </w:rPr>
              <w:t>politicilor</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măsurilor</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incluse</w:t>
            </w:r>
            <w:proofErr w:type="spellEnd"/>
            <w:r w:rsidRPr="007363A1">
              <w:rPr>
                <w:rFonts w:ascii="Times New Roman" w:hAnsi="Times New Roman"/>
                <w:sz w:val="20"/>
                <w:szCs w:val="20"/>
                <w:lang w:val="en-US" w:eastAsia="ru-RU"/>
              </w:rPr>
              <w:t xml:space="preserve"> în </w:t>
            </w:r>
            <w:proofErr w:type="spellStart"/>
            <w:r w:rsidRPr="007363A1">
              <w:rPr>
                <w:rFonts w:ascii="Times New Roman" w:hAnsi="Times New Roman"/>
                <w:sz w:val="20"/>
                <w:szCs w:val="20"/>
                <w:lang w:val="en-US" w:eastAsia="ru-RU"/>
              </w:rPr>
              <w:t>planurile</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naționale</w:t>
            </w:r>
            <w:proofErr w:type="spellEnd"/>
            <w:r w:rsidRPr="007363A1">
              <w:rPr>
                <w:rFonts w:ascii="Times New Roman" w:hAnsi="Times New Roman"/>
                <w:sz w:val="20"/>
                <w:szCs w:val="20"/>
                <w:lang w:val="en-US" w:eastAsia="ru-RU"/>
              </w:rPr>
              <w:t xml:space="preserve"> integrate </w:t>
            </w:r>
            <w:proofErr w:type="spellStart"/>
            <w:r w:rsidRPr="007363A1">
              <w:rPr>
                <w:rFonts w:ascii="Times New Roman" w:hAnsi="Times New Roman"/>
                <w:sz w:val="20"/>
                <w:szCs w:val="20"/>
                <w:lang w:val="en-US" w:eastAsia="ru-RU"/>
              </w:rPr>
              <w:t>privind</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energia</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clima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asupra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funcționării</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sistemului</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Uniunii</w:t>
            </w:r>
            <w:proofErr w:type="spellEnd"/>
            <w:r w:rsidRPr="007363A1">
              <w:rPr>
                <w:rFonts w:ascii="Times New Roman" w:hAnsi="Times New Roman"/>
                <w:sz w:val="20"/>
                <w:szCs w:val="20"/>
                <w:lang w:val="en-US" w:eastAsia="ru-RU"/>
              </w:rPr>
              <w:t xml:space="preserve"> de </w:t>
            </w:r>
            <w:proofErr w:type="spellStart"/>
            <w:r w:rsidRPr="007363A1">
              <w:rPr>
                <w:rFonts w:ascii="Times New Roman" w:hAnsi="Times New Roman"/>
                <w:sz w:val="20"/>
                <w:szCs w:val="20"/>
                <w:lang w:val="en-US" w:eastAsia="ru-RU"/>
              </w:rPr>
              <w:t>comercializare</w:t>
            </w:r>
            <w:proofErr w:type="spellEnd"/>
            <w:r w:rsidRPr="007363A1">
              <w:rPr>
                <w:rFonts w:ascii="Times New Roman" w:hAnsi="Times New Roman"/>
                <w:sz w:val="20"/>
                <w:szCs w:val="20"/>
                <w:lang w:val="en-US" w:eastAsia="ru-RU"/>
              </w:rPr>
              <w:t xml:space="preserve"> a </w:t>
            </w:r>
            <w:proofErr w:type="spellStart"/>
            <w:r w:rsidRPr="007363A1">
              <w:rPr>
                <w:rFonts w:ascii="Times New Roman" w:hAnsi="Times New Roman"/>
                <w:sz w:val="20"/>
                <w:szCs w:val="20"/>
                <w:lang w:val="en-US" w:eastAsia="ru-RU"/>
              </w:rPr>
              <w:t>certificatelor</w:t>
            </w:r>
            <w:proofErr w:type="spellEnd"/>
            <w:r w:rsidRPr="007363A1">
              <w:rPr>
                <w:rFonts w:ascii="Times New Roman" w:hAnsi="Times New Roman"/>
                <w:sz w:val="20"/>
                <w:szCs w:val="20"/>
                <w:lang w:val="en-US" w:eastAsia="ru-RU"/>
              </w:rPr>
              <w:t xml:space="preserve"> de </w:t>
            </w:r>
            <w:proofErr w:type="spellStart"/>
            <w:r w:rsidRPr="007363A1">
              <w:rPr>
                <w:rFonts w:ascii="Times New Roman" w:hAnsi="Times New Roman"/>
                <w:sz w:val="20"/>
                <w:szCs w:val="20"/>
                <w:lang w:val="en-US" w:eastAsia="ru-RU"/>
              </w:rPr>
              <w:t>emisii</w:t>
            </w:r>
            <w:proofErr w:type="spellEnd"/>
            <w:r w:rsidRPr="007363A1">
              <w:rPr>
                <w:rFonts w:ascii="Times New Roman" w:hAnsi="Times New Roman"/>
                <w:sz w:val="20"/>
                <w:szCs w:val="20"/>
                <w:lang w:val="en-US" w:eastAsia="ru-RU"/>
              </w:rPr>
              <w:t xml:space="preserve"> (EU ETS) și </w:t>
            </w:r>
            <w:proofErr w:type="spellStart"/>
            <w:r w:rsidRPr="007363A1">
              <w:rPr>
                <w:rFonts w:ascii="Times New Roman" w:hAnsi="Times New Roman"/>
                <w:sz w:val="20"/>
                <w:szCs w:val="20"/>
                <w:lang w:val="en-US" w:eastAsia="ru-RU"/>
              </w:rPr>
              <w:t>asupra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echilibrului</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dintre</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cererea</w:t>
            </w:r>
            <w:proofErr w:type="spellEnd"/>
            <w:r w:rsidRPr="007363A1">
              <w:rPr>
                <w:rFonts w:ascii="Times New Roman" w:hAnsi="Times New Roman"/>
                <w:sz w:val="20"/>
                <w:szCs w:val="20"/>
                <w:lang w:val="en-US" w:eastAsia="ru-RU"/>
              </w:rPr>
              <w:t xml:space="preserve"> și </w:t>
            </w:r>
            <w:proofErr w:type="spellStart"/>
            <w:r w:rsidRPr="007363A1">
              <w:rPr>
                <w:rFonts w:ascii="Times New Roman" w:hAnsi="Times New Roman"/>
                <w:sz w:val="20"/>
                <w:szCs w:val="20"/>
                <w:lang w:val="en-US" w:eastAsia="ru-RU"/>
              </w:rPr>
              <w:t>oferta</w:t>
            </w:r>
            <w:proofErr w:type="spellEnd"/>
            <w:r w:rsidRPr="007363A1">
              <w:rPr>
                <w:rFonts w:ascii="Times New Roman" w:hAnsi="Times New Roman"/>
                <w:sz w:val="20"/>
                <w:szCs w:val="20"/>
                <w:lang w:val="en-US" w:eastAsia="ru-RU"/>
              </w:rPr>
              <w:t xml:space="preserve"> de certificate de </w:t>
            </w:r>
            <w:proofErr w:type="spellStart"/>
            <w:r w:rsidRPr="007363A1">
              <w:rPr>
                <w:rFonts w:ascii="Times New Roman" w:hAnsi="Times New Roman"/>
                <w:sz w:val="20"/>
                <w:szCs w:val="20"/>
                <w:lang w:val="en-US" w:eastAsia="ru-RU"/>
              </w:rPr>
              <w:t>emisii</w:t>
            </w:r>
            <w:proofErr w:type="spellEnd"/>
            <w:r w:rsidRPr="007363A1">
              <w:rPr>
                <w:rFonts w:ascii="Times New Roman" w:hAnsi="Times New Roman"/>
                <w:sz w:val="20"/>
                <w:szCs w:val="20"/>
                <w:lang w:val="en-US" w:eastAsia="ru-RU"/>
              </w:rPr>
              <w:t xml:space="preserve"> pe </w:t>
            </w:r>
            <w:proofErr w:type="spellStart"/>
            <w:r w:rsidRPr="007363A1">
              <w:rPr>
                <w:rFonts w:ascii="Times New Roman" w:hAnsi="Times New Roman"/>
                <w:sz w:val="20"/>
                <w:szCs w:val="20"/>
                <w:lang w:val="en-US" w:eastAsia="ru-RU"/>
              </w:rPr>
              <w:t>piața</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europeană</w:t>
            </w:r>
            <w:proofErr w:type="spellEnd"/>
            <w:r w:rsidRPr="007363A1">
              <w:rPr>
                <w:rFonts w:ascii="Times New Roman" w:hAnsi="Times New Roman"/>
                <w:sz w:val="20"/>
                <w:szCs w:val="20"/>
                <w:lang w:val="en-US" w:eastAsia="ru-RU"/>
              </w:rPr>
              <w:t xml:space="preserve"> a carbonului.</w:t>
            </w:r>
          </w:p>
          <w:p w14:paraId="3935034F" w14:textId="6E2D538E" w:rsidR="008F5636" w:rsidRDefault="00CA04DE" w:rsidP="008F5636">
            <w:pPr>
              <w:pStyle w:val="ColorfulList-Accent11"/>
              <w:spacing w:after="0" w:line="240" w:lineRule="auto"/>
              <w:ind w:left="0"/>
              <w:jc w:val="both"/>
              <w:rPr>
                <w:rFonts w:ascii="Times New Roman" w:hAnsi="Times New Roman"/>
                <w:sz w:val="20"/>
                <w:szCs w:val="20"/>
                <w:shd w:val="clear" w:color="auto" w:fill="FFFFFF"/>
                <w:lang w:val="ro-RO"/>
              </w:rPr>
            </w:pPr>
            <w:r w:rsidRPr="007363A1">
              <w:rPr>
                <w:rFonts w:ascii="Times New Roman" w:hAnsi="Times New Roman"/>
                <w:sz w:val="20"/>
                <w:szCs w:val="20"/>
                <w:shd w:val="clear" w:color="auto" w:fill="FFFFFF"/>
                <w:lang w:val="ro-RO"/>
              </w:rPr>
              <w:t xml:space="preserve">(2)În domeniul energiei din surse regenerabile, în cadrul evaluării sale menționate la alineatul (1), Comisia evaluează progresele înregistrate în ceea ce privește ponderea energiei din surse regenerabile în consumul final brut al Uniunii, pe baza unei traiectorii orientative a Uniunii care pornește de la 20 % în 2020, atinge puncte de referință de cel puțin 18 % în 2022, 43 % în 2025 și 65 % în 2027 din creșterea totală a ponderii energiei din surse regenerabile între obiectivul Uniunii în materie de energie din surse regenerabile pentru 2020 și obiectivul Uniunii în </w:t>
            </w:r>
            <w:r w:rsidRPr="007363A1">
              <w:rPr>
                <w:rFonts w:ascii="Times New Roman" w:hAnsi="Times New Roman"/>
                <w:sz w:val="20"/>
                <w:szCs w:val="20"/>
                <w:shd w:val="clear" w:color="auto" w:fill="FFFFFF"/>
                <w:lang w:val="ro-RO"/>
              </w:rPr>
              <w:lastRenderedPageBreak/>
              <w:t>materie de energie din surse regenerabile pentru 2030, și atinge obiectivul Uniunii în materie de energie din surse regenerabile pentru 2030 de cel puțin 32 % în 2030.</w:t>
            </w:r>
          </w:p>
          <w:p w14:paraId="4874AF1C" w14:textId="0E307ED1" w:rsidR="00374889" w:rsidRPr="00374889" w:rsidRDefault="00000000" w:rsidP="008F5636">
            <w:pPr>
              <w:pStyle w:val="ColorfulList-Accent11"/>
              <w:spacing w:after="0" w:line="240" w:lineRule="auto"/>
              <w:ind w:left="0"/>
              <w:jc w:val="both"/>
              <w:rPr>
                <w:rFonts w:ascii="Times New Roman" w:hAnsi="Times New Roman"/>
                <w:sz w:val="20"/>
                <w:szCs w:val="20"/>
                <w:shd w:val="clear" w:color="auto" w:fill="FFFFFF"/>
                <w:lang w:val="ro-RO"/>
              </w:rPr>
            </w:pPr>
            <w:hyperlink r:id="rId38" w:tooltip="32019D0504: REPLACED" w:history="1">
              <w:r w:rsidR="00374889" w:rsidRPr="00374889">
                <w:rPr>
                  <w:rStyle w:val="af6"/>
                  <w:rFonts w:ascii="Times New Roman" w:eastAsia="Arial Unicode MS" w:hAnsi="Times New Roman"/>
                  <w:b/>
                  <w:bCs/>
                  <w:color w:val="23527C"/>
                  <w:sz w:val="20"/>
                  <w:szCs w:val="20"/>
                  <w:shd w:val="clear" w:color="auto" w:fill="FFFFFF"/>
                  <w:lang w:val="ro-RO"/>
                </w:rPr>
                <w:t>▼M1</w:t>
              </w:r>
            </w:hyperlink>
          </w:p>
          <w:p w14:paraId="58D80654" w14:textId="677C080A" w:rsidR="00CA04DE" w:rsidRDefault="00CA04DE" w:rsidP="00CA04DE">
            <w:pPr>
              <w:spacing w:after="0" w:line="240" w:lineRule="auto"/>
              <w:jc w:val="both"/>
              <w:rPr>
                <w:rFonts w:ascii="Times New Roman" w:hAnsi="Times New Roman"/>
                <w:sz w:val="20"/>
                <w:szCs w:val="20"/>
                <w:lang w:val="ro-RO" w:eastAsia="ru-RU"/>
              </w:rPr>
            </w:pPr>
            <w:r w:rsidRPr="007363A1">
              <w:rPr>
                <w:rFonts w:ascii="Times New Roman" w:hAnsi="Times New Roman"/>
                <w:sz w:val="20"/>
                <w:szCs w:val="20"/>
                <w:lang w:val="ro-RO" w:eastAsia="ru-RU"/>
              </w:rPr>
              <w:t xml:space="preserve">(3)În domeniul eficienței energetice, în cadrul evaluării sale menționate la alineatul (1), Comisia evaluează progresele înregistrate în direcția atingerii în mod colectiv a unui consum maxim de energie la nivelul Uniunii de 1 </w:t>
            </w:r>
            <w:r w:rsidR="00374889">
              <w:rPr>
                <w:rFonts w:ascii="Times New Roman" w:hAnsi="Times New Roman"/>
                <w:sz w:val="20"/>
                <w:szCs w:val="20"/>
                <w:lang w:val="ro-RO" w:eastAsia="ru-RU"/>
              </w:rPr>
              <w:t>128</w:t>
            </w:r>
            <w:r w:rsidRPr="007363A1">
              <w:rPr>
                <w:rFonts w:ascii="Times New Roman" w:hAnsi="Times New Roman"/>
                <w:sz w:val="20"/>
                <w:szCs w:val="20"/>
                <w:lang w:val="ro-RO" w:eastAsia="ru-RU"/>
              </w:rPr>
              <w:t xml:space="preserve"> </w:t>
            </w:r>
            <w:proofErr w:type="spellStart"/>
            <w:r w:rsidRPr="007363A1">
              <w:rPr>
                <w:rFonts w:ascii="Times New Roman" w:hAnsi="Times New Roman"/>
                <w:sz w:val="20"/>
                <w:szCs w:val="20"/>
                <w:lang w:val="ro-RO" w:eastAsia="ru-RU"/>
              </w:rPr>
              <w:t>Mtep</w:t>
            </w:r>
            <w:proofErr w:type="spellEnd"/>
            <w:r w:rsidRPr="007363A1">
              <w:rPr>
                <w:rFonts w:ascii="Times New Roman" w:hAnsi="Times New Roman"/>
                <w:sz w:val="20"/>
                <w:szCs w:val="20"/>
                <w:lang w:val="ro-RO" w:eastAsia="ru-RU"/>
              </w:rPr>
              <w:t xml:space="preserve"> energie primară și de </w:t>
            </w:r>
            <w:r w:rsidR="00374889">
              <w:rPr>
                <w:rFonts w:ascii="Times New Roman" w:hAnsi="Times New Roman"/>
                <w:sz w:val="20"/>
                <w:szCs w:val="20"/>
                <w:lang w:val="ro-RO" w:eastAsia="ru-RU"/>
              </w:rPr>
              <w:t>846</w:t>
            </w:r>
            <w:r w:rsidRPr="007363A1">
              <w:rPr>
                <w:rFonts w:ascii="Times New Roman" w:hAnsi="Times New Roman"/>
                <w:sz w:val="20"/>
                <w:szCs w:val="20"/>
                <w:lang w:val="ro-RO" w:eastAsia="ru-RU"/>
              </w:rPr>
              <w:t xml:space="preserve"> </w:t>
            </w:r>
            <w:proofErr w:type="spellStart"/>
            <w:r w:rsidRPr="007363A1">
              <w:rPr>
                <w:rFonts w:ascii="Times New Roman" w:hAnsi="Times New Roman"/>
                <w:sz w:val="20"/>
                <w:szCs w:val="20"/>
                <w:lang w:val="ro-RO" w:eastAsia="ru-RU"/>
              </w:rPr>
              <w:t>Mtep</w:t>
            </w:r>
            <w:proofErr w:type="spellEnd"/>
            <w:r w:rsidRPr="007363A1">
              <w:rPr>
                <w:rFonts w:ascii="Times New Roman" w:hAnsi="Times New Roman"/>
                <w:sz w:val="20"/>
                <w:szCs w:val="20"/>
                <w:lang w:val="ro-RO" w:eastAsia="ru-RU"/>
              </w:rPr>
              <w:t xml:space="preserve"> energie finală în 20</w:t>
            </w:r>
            <w:r w:rsidR="00374889">
              <w:rPr>
                <w:rFonts w:ascii="Times New Roman" w:hAnsi="Times New Roman"/>
                <w:sz w:val="20"/>
                <w:szCs w:val="20"/>
                <w:lang w:val="ro-RO" w:eastAsia="ru-RU"/>
              </w:rPr>
              <w:t>30</w:t>
            </w:r>
            <w:r w:rsidRPr="007363A1">
              <w:rPr>
                <w:rFonts w:ascii="Times New Roman" w:hAnsi="Times New Roman"/>
                <w:sz w:val="20"/>
                <w:szCs w:val="20"/>
                <w:lang w:val="ro-RO" w:eastAsia="ru-RU"/>
              </w:rPr>
              <w:t xml:space="preserve"> în conformitate cu articolul 3 alineatul (5) din Directiva 2012/27/UE.</w:t>
            </w:r>
          </w:p>
          <w:p w14:paraId="438BC7D0" w14:textId="35997B91" w:rsidR="00374889" w:rsidRPr="00263A32" w:rsidRDefault="00000000" w:rsidP="00374889">
            <w:pPr>
              <w:spacing w:after="0" w:line="240" w:lineRule="auto"/>
              <w:ind w:left="-133"/>
              <w:rPr>
                <w:rFonts w:ascii="Times New Roman" w:hAnsi="Times New Roman"/>
                <w:sz w:val="20"/>
                <w:szCs w:val="20"/>
                <w:lang w:val="fr-FR" w:eastAsia="ru-RU"/>
              </w:rPr>
            </w:pPr>
            <w:hyperlink r:id="rId39" w:tooltip="32018R1999" w:history="1">
              <w:r w:rsidR="00374889" w:rsidRPr="00263A32">
                <w:rPr>
                  <w:rStyle w:val="af6"/>
                  <w:rFonts w:ascii="Times New Roman" w:eastAsia="Arial Unicode MS" w:hAnsi="Times New Roman"/>
                  <w:b/>
                  <w:bCs/>
                  <w:color w:val="23527C"/>
                  <w:sz w:val="20"/>
                  <w:szCs w:val="20"/>
                  <w:shd w:val="clear" w:color="auto" w:fill="FFFFFF"/>
                  <w:lang w:val="fr-FR"/>
                </w:rPr>
                <w:t>▼B</w:t>
              </w:r>
            </w:hyperlink>
          </w:p>
          <w:p w14:paraId="1AF418F1" w14:textId="77777777" w:rsidR="00CA04DE" w:rsidRPr="007363A1" w:rsidRDefault="00CA04DE" w:rsidP="00CA04DE">
            <w:pPr>
              <w:spacing w:after="0" w:line="240" w:lineRule="auto"/>
              <w:jc w:val="both"/>
              <w:rPr>
                <w:rFonts w:ascii="Times New Roman" w:hAnsi="Times New Roman"/>
                <w:sz w:val="20"/>
                <w:szCs w:val="20"/>
                <w:lang w:val="fr-FR" w:eastAsia="ru-RU"/>
              </w:rPr>
            </w:pPr>
            <w:r w:rsidRPr="007363A1">
              <w:rPr>
                <w:rFonts w:ascii="Times New Roman" w:hAnsi="Times New Roman"/>
                <w:sz w:val="20"/>
                <w:szCs w:val="20"/>
                <w:lang w:val="fr-FR" w:eastAsia="ru-RU"/>
              </w:rPr>
              <w:t xml:space="preserve">În </w:t>
            </w:r>
            <w:proofErr w:type="spellStart"/>
            <w:r w:rsidRPr="007363A1">
              <w:rPr>
                <w:rFonts w:ascii="Times New Roman" w:hAnsi="Times New Roman"/>
                <w:sz w:val="20"/>
                <w:szCs w:val="20"/>
                <w:lang w:val="fr-FR" w:eastAsia="ru-RU"/>
              </w:rPr>
              <w:t>cadrul</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evaluării</w:t>
            </w:r>
            <w:proofErr w:type="spellEnd"/>
            <w:r w:rsidRPr="007363A1">
              <w:rPr>
                <w:rFonts w:ascii="Times New Roman" w:hAnsi="Times New Roman"/>
                <w:sz w:val="20"/>
                <w:szCs w:val="20"/>
                <w:lang w:val="fr-FR" w:eastAsia="ru-RU"/>
              </w:rPr>
              <w:t xml:space="preserve"> sale, </w:t>
            </w:r>
            <w:proofErr w:type="spellStart"/>
            <w:r w:rsidRPr="007363A1">
              <w:rPr>
                <w:rFonts w:ascii="Times New Roman" w:hAnsi="Times New Roman"/>
                <w:sz w:val="20"/>
                <w:szCs w:val="20"/>
                <w:lang w:val="fr-FR" w:eastAsia="ru-RU"/>
              </w:rPr>
              <w:t>Comisia</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întreprinde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următoarele</w:t>
            </w:r>
            <w:proofErr w:type="spellEnd"/>
            <w:r w:rsidRPr="007363A1">
              <w:rPr>
                <w:rFonts w:ascii="Times New Roman" w:hAnsi="Times New Roman"/>
                <w:sz w:val="20"/>
                <w:szCs w:val="20"/>
                <w:lang w:val="fr-FR" w:eastAsia="ru-RU"/>
              </w:rPr>
              <w:t xml:space="preserve"> </w:t>
            </w:r>
            <w:proofErr w:type="spellStart"/>
            <w:proofErr w:type="gramStart"/>
            <w:r w:rsidRPr="007363A1">
              <w:rPr>
                <w:rFonts w:ascii="Times New Roman" w:hAnsi="Times New Roman"/>
                <w:sz w:val="20"/>
                <w:szCs w:val="20"/>
                <w:lang w:val="fr-FR" w:eastAsia="ru-RU"/>
              </w:rPr>
              <w:t>acțiuni</w:t>
            </w:r>
            <w:proofErr w:type="spellEnd"/>
            <w:r w:rsidRPr="007363A1">
              <w:rPr>
                <w:rFonts w:ascii="Times New Roman" w:hAnsi="Times New Roman"/>
                <w:sz w:val="20"/>
                <w:szCs w:val="20"/>
                <w:lang w:val="fr-FR" w:eastAsia="ru-RU"/>
              </w:rPr>
              <w:t>:</w:t>
            </w:r>
            <w:proofErr w:type="gramEnd"/>
          </w:p>
          <w:p w14:paraId="5F5EA95B" w14:textId="77777777" w:rsidR="00CA04DE" w:rsidRPr="007363A1" w:rsidRDefault="00CA04DE" w:rsidP="000C5A3B">
            <w:pPr>
              <w:pStyle w:val="af3"/>
              <w:numPr>
                <w:ilvl w:val="0"/>
                <w:numId w:val="124"/>
              </w:numPr>
              <w:spacing w:after="0" w:line="240" w:lineRule="auto"/>
              <w:ind w:left="113" w:firstLine="0"/>
              <w:jc w:val="both"/>
              <w:rPr>
                <w:rFonts w:ascii="Times New Roman" w:hAnsi="Times New Roman"/>
                <w:sz w:val="20"/>
                <w:szCs w:val="20"/>
                <w:lang w:val="ro-RO" w:eastAsia="ru-RU"/>
              </w:rPr>
            </w:pPr>
            <w:proofErr w:type="spellStart"/>
            <w:proofErr w:type="gramStart"/>
            <w:r w:rsidRPr="007363A1">
              <w:rPr>
                <w:rFonts w:ascii="Times New Roman" w:hAnsi="Times New Roman"/>
                <w:sz w:val="20"/>
                <w:szCs w:val="20"/>
                <w:lang w:val="fr-FR" w:eastAsia="ru-RU"/>
              </w:rPr>
              <w:t>analizează</w:t>
            </w:r>
            <w:proofErr w:type="spellEnd"/>
            <w:proofErr w:type="gram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măsura</w:t>
            </w:r>
            <w:proofErr w:type="spellEnd"/>
            <w:r w:rsidRPr="007363A1">
              <w:rPr>
                <w:rFonts w:ascii="Times New Roman" w:hAnsi="Times New Roman"/>
                <w:sz w:val="20"/>
                <w:szCs w:val="20"/>
                <w:lang w:val="fr-FR" w:eastAsia="ru-RU"/>
              </w:rPr>
              <w:t xml:space="preserve"> în care a </w:t>
            </w:r>
            <w:proofErr w:type="spellStart"/>
            <w:r w:rsidRPr="007363A1">
              <w:rPr>
                <w:rFonts w:ascii="Times New Roman" w:hAnsi="Times New Roman"/>
                <w:sz w:val="20"/>
                <w:szCs w:val="20"/>
                <w:lang w:val="fr-FR" w:eastAsia="ru-RU"/>
              </w:rPr>
              <w:t>fost</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atins</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reperul</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Uniunii</w:t>
            </w:r>
            <w:proofErr w:type="spellEnd"/>
            <w:r w:rsidRPr="007363A1">
              <w:rPr>
                <w:rFonts w:ascii="Times New Roman" w:hAnsi="Times New Roman"/>
                <w:sz w:val="20"/>
                <w:szCs w:val="20"/>
                <w:lang w:val="fr-FR" w:eastAsia="ru-RU"/>
              </w:rPr>
              <w:t xml:space="preserve"> de maximum 1 483 Mtep de </w:t>
            </w:r>
            <w:proofErr w:type="spellStart"/>
            <w:r w:rsidRPr="007363A1">
              <w:rPr>
                <w:rFonts w:ascii="Times New Roman" w:hAnsi="Times New Roman"/>
                <w:sz w:val="20"/>
                <w:szCs w:val="20"/>
                <w:lang w:val="fr-FR" w:eastAsia="ru-RU"/>
              </w:rPr>
              <w:t>energie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primară</w:t>
            </w:r>
            <w:proofErr w:type="spellEnd"/>
            <w:r w:rsidRPr="007363A1">
              <w:rPr>
                <w:rFonts w:ascii="Times New Roman" w:hAnsi="Times New Roman"/>
                <w:sz w:val="20"/>
                <w:szCs w:val="20"/>
                <w:lang w:val="fr-FR" w:eastAsia="ru-RU"/>
              </w:rPr>
              <w:t xml:space="preserve"> și de maximum 1 086 Mtep de </w:t>
            </w:r>
            <w:proofErr w:type="spellStart"/>
            <w:r w:rsidRPr="007363A1">
              <w:rPr>
                <w:rFonts w:ascii="Times New Roman" w:hAnsi="Times New Roman"/>
                <w:sz w:val="20"/>
                <w:szCs w:val="20"/>
                <w:lang w:val="fr-FR" w:eastAsia="ru-RU"/>
              </w:rPr>
              <w:t>energie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finală</w:t>
            </w:r>
            <w:proofErr w:type="spellEnd"/>
            <w:r w:rsidRPr="007363A1">
              <w:rPr>
                <w:rFonts w:ascii="Times New Roman" w:hAnsi="Times New Roman"/>
                <w:sz w:val="20"/>
                <w:szCs w:val="20"/>
                <w:lang w:val="fr-FR" w:eastAsia="ru-RU"/>
              </w:rPr>
              <w:t xml:space="preserve"> în 2020;</w:t>
            </w:r>
          </w:p>
          <w:p w14:paraId="72552CE8" w14:textId="77777777" w:rsidR="00CA04DE" w:rsidRPr="007363A1" w:rsidRDefault="00CA04DE" w:rsidP="000C5A3B">
            <w:pPr>
              <w:pStyle w:val="af3"/>
              <w:numPr>
                <w:ilvl w:val="0"/>
                <w:numId w:val="124"/>
              </w:numPr>
              <w:spacing w:after="0" w:line="240" w:lineRule="auto"/>
              <w:ind w:left="113" w:firstLine="0"/>
              <w:jc w:val="both"/>
              <w:rPr>
                <w:rFonts w:ascii="Times New Roman" w:hAnsi="Times New Roman"/>
                <w:sz w:val="20"/>
                <w:szCs w:val="20"/>
                <w:lang w:val="ro-RO" w:eastAsia="ru-RU"/>
              </w:rPr>
            </w:pPr>
            <w:r w:rsidRPr="007363A1">
              <w:rPr>
                <w:rFonts w:ascii="Times New Roman" w:hAnsi="Times New Roman"/>
                <w:sz w:val="20"/>
                <w:szCs w:val="20"/>
                <w:lang w:val="ro-RO" w:eastAsia="ru-RU"/>
              </w:rPr>
              <w:t>evaluează măsura în care progresele statelor membre indică faptul că Uniunea în ansamblul său este în grafic pentru a putea să atingă nivelul consumului de energie în 2030 menționat la primul paragraf, ținând seama de evaluarea informațiilor furnizate de statele membre în cadrul rapoartelor naționale intermediare integrate privind energia și clima;</w:t>
            </w:r>
          </w:p>
          <w:p w14:paraId="5667DA7E" w14:textId="77777777" w:rsidR="00CA04DE" w:rsidRPr="007363A1" w:rsidRDefault="00CA04DE" w:rsidP="000C5A3B">
            <w:pPr>
              <w:pStyle w:val="af3"/>
              <w:numPr>
                <w:ilvl w:val="0"/>
                <w:numId w:val="124"/>
              </w:numPr>
              <w:spacing w:after="0" w:line="240" w:lineRule="auto"/>
              <w:ind w:left="113" w:firstLine="0"/>
              <w:jc w:val="both"/>
              <w:rPr>
                <w:rFonts w:ascii="Times New Roman" w:hAnsi="Times New Roman"/>
                <w:sz w:val="20"/>
                <w:szCs w:val="20"/>
                <w:lang w:val="ro-RO" w:eastAsia="ru-RU"/>
              </w:rPr>
            </w:pPr>
            <w:proofErr w:type="spellStart"/>
            <w:proofErr w:type="gramStart"/>
            <w:r w:rsidRPr="007363A1">
              <w:rPr>
                <w:rFonts w:ascii="Times New Roman" w:hAnsi="Times New Roman"/>
                <w:sz w:val="20"/>
                <w:szCs w:val="20"/>
                <w:lang w:val="fr-FR" w:eastAsia="ru-RU"/>
              </w:rPr>
              <w:t>utilizează</w:t>
            </w:r>
            <w:proofErr w:type="spellEnd"/>
            <w:proofErr w:type="gram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rezultatele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obținute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din</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exercițiile</w:t>
            </w:r>
            <w:proofErr w:type="spellEnd"/>
            <w:r w:rsidRPr="007363A1">
              <w:rPr>
                <w:rFonts w:ascii="Times New Roman" w:hAnsi="Times New Roman"/>
                <w:sz w:val="20"/>
                <w:szCs w:val="20"/>
                <w:lang w:val="fr-FR" w:eastAsia="ru-RU"/>
              </w:rPr>
              <w:t xml:space="preserve"> de </w:t>
            </w:r>
            <w:proofErr w:type="spellStart"/>
            <w:r w:rsidRPr="007363A1">
              <w:rPr>
                <w:rFonts w:ascii="Times New Roman" w:hAnsi="Times New Roman"/>
                <w:sz w:val="20"/>
                <w:szCs w:val="20"/>
                <w:lang w:val="fr-FR" w:eastAsia="ru-RU"/>
              </w:rPr>
              <w:t>modelare</w:t>
            </w:r>
            <w:proofErr w:type="spellEnd"/>
            <w:r w:rsidRPr="007363A1">
              <w:rPr>
                <w:rFonts w:ascii="Times New Roman" w:hAnsi="Times New Roman"/>
                <w:sz w:val="20"/>
                <w:szCs w:val="20"/>
                <w:lang w:val="fr-FR" w:eastAsia="ru-RU"/>
              </w:rPr>
              <w:t xml:space="preserve"> în </w:t>
            </w:r>
            <w:proofErr w:type="spellStart"/>
            <w:r w:rsidRPr="007363A1">
              <w:rPr>
                <w:rFonts w:ascii="Times New Roman" w:hAnsi="Times New Roman"/>
                <w:sz w:val="20"/>
                <w:szCs w:val="20"/>
                <w:lang w:val="fr-FR" w:eastAsia="ru-RU"/>
              </w:rPr>
              <w:t>ceea</w:t>
            </w:r>
            <w:proofErr w:type="spellEnd"/>
            <w:r w:rsidRPr="007363A1">
              <w:rPr>
                <w:rFonts w:ascii="Times New Roman" w:hAnsi="Times New Roman"/>
                <w:sz w:val="20"/>
                <w:szCs w:val="20"/>
                <w:lang w:val="fr-FR" w:eastAsia="ru-RU"/>
              </w:rPr>
              <w:t xml:space="preserve"> ce </w:t>
            </w:r>
            <w:proofErr w:type="spellStart"/>
            <w:r w:rsidRPr="007363A1">
              <w:rPr>
                <w:rFonts w:ascii="Times New Roman" w:hAnsi="Times New Roman"/>
                <w:sz w:val="20"/>
                <w:szCs w:val="20"/>
                <w:lang w:val="fr-FR" w:eastAsia="ru-RU"/>
              </w:rPr>
              <w:t>privește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tendințele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viitoare</w:t>
            </w:r>
            <w:proofErr w:type="spellEnd"/>
            <w:r w:rsidRPr="007363A1">
              <w:rPr>
                <w:rFonts w:ascii="Times New Roman" w:hAnsi="Times New Roman"/>
                <w:sz w:val="20"/>
                <w:szCs w:val="20"/>
                <w:lang w:val="fr-FR" w:eastAsia="ru-RU"/>
              </w:rPr>
              <w:t xml:space="preserve"> ale </w:t>
            </w:r>
            <w:proofErr w:type="spellStart"/>
            <w:r w:rsidRPr="007363A1">
              <w:rPr>
                <w:rFonts w:ascii="Times New Roman" w:hAnsi="Times New Roman"/>
                <w:sz w:val="20"/>
                <w:szCs w:val="20"/>
                <w:lang w:val="fr-FR" w:eastAsia="ru-RU"/>
              </w:rPr>
              <w:t>consumului</w:t>
            </w:r>
            <w:proofErr w:type="spellEnd"/>
            <w:r w:rsidRPr="007363A1">
              <w:rPr>
                <w:rFonts w:ascii="Times New Roman" w:hAnsi="Times New Roman"/>
                <w:sz w:val="20"/>
                <w:szCs w:val="20"/>
                <w:lang w:val="fr-FR" w:eastAsia="ru-RU"/>
              </w:rPr>
              <w:t xml:space="preserve"> de </w:t>
            </w:r>
            <w:proofErr w:type="spellStart"/>
            <w:r w:rsidRPr="007363A1">
              <w:rPr>
                <w:rFonts w:ascii="Times New Roman" w:hAnsi="Times New Roman"/>
                <w:sz w:val="20"/>
                <w:szCs w:val="20"/>
                <w:lang w:val="fr-FR" w:eastAsia="ru-RU"/>
              </w:rPr>
              <w:t>energie</w:t>
            </w:r>
            <w:proofErr w:type="spellEnd"/>
            <w:r w:rsidRPr="007363A1">
              <w:rPr>
                <w:rFonts w:ascii="Times New Roman" w:hAnsi="Times New Roman"/>
                <w:sz w:val="20"/>
                <w:szCs w:val="20"/>
                <w:lang w:val="fr-FR" w:eastAsia="ru-RU"/>
              </w:rPr>
              <w:t xml:space="preserve"> la </w:t>
            </w:r>
            <w:proofErr w:type="spellStart"/>
            <w:r w:rsidRPr="007363A1">
              <w:rPr>
                <w:rFonts w:ascii="Times New Roman" w:hAnsi="Times New Roman"/>
                <w:sz w:val="20"/>
                <w:szCs w:val="20"/>
                <w:lang w:val="fr-FR" w:eastAsia="ru-RU"/>
              </w:rPr>
              <w:t>nivelul</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Uniunii</w:t>
            </w:r>
            <w:proofErr w:type="spellEnd"/>
            <w:r w:rsidRPr="007363A1">
              <w:rPr>
                <w:rFonts w:ascii="Times New Roman" w:hAnsi="Times New Roman"/>
                <w:sz w:val="20"/>
                <w:szCs w:val="20"/>
                <w:lang w:val="fr-FR" w:eastAsia="ru-RU"/>
              </w:rPr>
              <w:t xml:space="preserve"> și la </w:t>
            </w:r>
            <w:proofErr w:type="spellStart"/>
            <w:r w:rsidRPr="007363A1">
              <w:rPr>
                <w:rFonts w:ascii="Times New Roman" w:hAnsi="Times New Roman"/>
                <w:sz w:val="20"/>
                <w:szCs w:val="20"/>
                <w:lang w:val="fr-FR" w:eastAsia="ru-RU"/>
              </w:rPr>
              <w:t>nivel</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național</w:t>
            </w:r>
            <w:proofErr w:type="spellEnd"/>
            <w:r w:rsidRPr="007363A1">
              <w:rPr>
                <w:rFonts w:ascii="Times New Roman" w:hAnsi="Times New Roman"/>
                <w:sz w:val="20"/>
                <w:szCs w:val="20"/>
                <w:lang w:val="fr-FR" w:eastAsia="ru-RU"/>
              </w:rPr>
              <w:t xml:space="preserve"> și </w:t>
            </w:r>
            <w:proofErr w:type="spellStart"/>
            <w:r w:rsidRPr="007363A1">
              <w:rPr>
                <w:rFonts w:ascii="Times New Roman" w:hAnsi="Times New Roman"/>
                <w:sz w:val="20"/>
                <w:szCs w:val="20"/>
                <w:lang w:val="fr-FR" w:eastAsia="ru-RU"/>
              </w:rPr>
              <w:t>utilizează</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alte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analize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complementare</w:t>
            </w:r>
            <w:proofErr w:type="spellEnd"/>
            <w:r w:rsidRPr="007363A1">
              <w:rPr>
                <w:rFonts w:ascii="Times New Roman" w:hAnsi="Times New Roman"/>
                <w:sz w:val="20"/>
                <w:szCs w:val="20"/>
                <w:lang w:val="fr-FR" w:eastAsia="ru-RU"/>
              </w:rPr>
              <w:t>;</w:t>
            </w:r>
          </w:p>
          <w:p w14:paraId="7C6881CD" w14:textId="77777777" w:rsidR="00CA04DE" w:rsidRPr="007363A1" w:rsidRDefault="00CA04DE" w:rsidP="000C5A3B">
            <w:pPr>
              <w:pStyle w:val="af3"/>
              <w:numPr>
                <w:ilvl w:val="0"/>
                <w:numId w:val="124"/>
              </w:numPr>
              <w:spacing w:after="0" w:line="240" w:lineRule="auto"/>
              <w:ind w:left="113" w:firstLine="0"/>
              <w:jc w:val="both"/>
              <w:rPr>
                <w:rFonts w:ascii="Times New Roman" w:hAnsi="Times New Roman"/>
                <w:sz w:val="20"/>
                <w:szCs w:val="20"/>
                <w:lang w:val="ro-RO" w:eastAsia="ru-RU"/>
              </w:rPr>
            </w:pPr>
            <w:r w:rsidRPr="007363A1">
              <w:rPr>
                <w:rFonts w:ascii="Times New Roman" w:hAnsi="Times New Roman"/>
                <w:sz w:val="20"/>
                <w:szCs w:val="20"/>
                <w:lang w:val="ro-RO" w:eastAsia="ru-RU"/>
              </w:rPr>
              <w:t>ține seama în mod corespunzător de circumstanțele relevante care afectează consumul de energie primară și finală indicat de statele membre în planurile lor naționale integrate privind energia și clima, în conformitate cu articolul 6 alineatul (2).</w:t>
            </w:r>
          </w:p>
          <w:p w14:paraId="18FFA372" w14:textId="77777777" w:rsidR="00CA04DE" w:rsidRPr="007363A1" w:rsidRDefault="00CA04DE" w:rsidP="00CA04DE">
            <w:pPr>
              <w:spacing w:after="0" w:line="240" w:lineRule="auto"/>
              <w:ind w:left="113"/>
              <w:jc w:val="both"/>
              <w:rPr>
                <w:rFonts w:ascii="Times New Roman" w:hAnsi="Times New Roman"/>
                <w:sz w:val="20"/>
                <w:szCs w:val="20"/>
                <w:shd w:val="clear" w:color="auto" w:fill="FFFFFF"/>
                <w:lang w:val="ro-RO"/>
              </w:rPr>
            </w:pPr>
            <w:r w:rsidRPr="007363A1">
              <w:rPr>
                <w:rFonts w:ascii="Times New Roman" w:hAnsi="Times New Roman"/>
                <w:sz w:val="20"/>
                <w:szCs w:val="20"/>
                <w:shd w:val="clear" w:color="auto" w:fill="FFFFFF"/>
                <w:lang w:val="ro-RO"/>
              </w:rPr>
              <w:t xml:space="preserve">(4)În domeniul pieței interne a energiei, în cadrul evaluării sale prevăzute la alineatul (1), Comisia evaluează progresele înregistrate în direcția obținerii nivelului de </w:t>
            </w:r>
            <w:proofErr w:type="spellStart"/>
            <w:r w:rsidRPr="007363A1">
              <w:rPr>
                <w:rFonts w:ascii="Times New Roman" w:hAnsi="Times New Roman"/>
                <w:sz w:val="20"/>
                <w:szCs w:val="20"/>
                <w:shd w:val="clear" w:color="auto" w:fill="FFFFFF"/>
                <w:lang w:val="ro-RO"/>
              </w:rPr>
              <w:t>interconectivitate</w:t>
            </w:r>
            <w:proofErr w:type="spellEnd"/>
            <w:r w:rsidRPr="007363A1">
              <w:rPr>
                <w:rFonts w:ascii="Times New Roman" w:hAnsi="Times New Roman"/>
                <w:sz w:val="20"/>
                <w:szCs w:val="20"/>
                <w:shd w:val="clear" w:color="auto" w:fill="FFFFFF"/>
                <w:lang w:val="ro-RO"/>
              </w:rPr>
              <w:t xml:space="preserve"> a rețelelor electrice la care aspiră statul membru în 2030.</w:t>
            </w:r>
          </w:p>
          <w:p w14:paraId="68872483" w14:textId="77777777" w:rsidR="00CA04DE" w:rsidRPr="007363A1" w:rsidRDefault="00CA04DE" w:rsidP="00CA04DE">
            <w:pPr>
              <w:spacing w:after="0" w:line="240" w:lineRule="auto"/>
              <w:ind w:left="113"/>
              <w:jc w:val="both"/>
              <w:rPr>
                <w:rFonts w:ascii="Times New Roman" w:hAnsi="Times New Roman"/>
                <w:sz w:val="20"/>
                <w:szCs w:val="20"/>
                <w:lang w:val="ro-RO" w:eastAsia="ru-RU"/>
              </w:rPr>
            </w:pPr>
            <w:r w:rsidRPr="007363A1">
              <w:rPr>
                <w:rFonts w:ascii="Times New Roman" w:hAnsi="Times New Roman"/>
                <w:sz w:val="20"/>
                <w:szCs w:val="20"/>
                <w:lang w:val="ro-RO" w:eastAsia="ru-RU"/>
              </w:rPr>
              <w:t>(5)Până la 31 octombrie 2021 și, ulterior, în fiecare an, Comisia evaluează, îndeosebi pe baza informațiilor raportate în temeiul prezentului regulament, dacă Uniunea și statele sale membre au înregistrat progrese suficiente în direcția îndeplinirii următoarelor cerințe:</w:t>
            </w:r>
          </w:p>
          <w:p w14:paraId="5DC4CBEC" w14:textId="77777777" w:rsidR="00CA04DE" w:rsidRPr="007363A1" w:rsidRDefault="00CA04DE" w:rsidP="000C5A3B">
            <w:pPr>
              <w:pStyle w:val="af3"/>
              <w:numPr>
                <w:ilvl w:val="0"/>
                <w:numId w:val="125"/>
              </w:numPr>
              <w:spacing w:after="0" w:line="240" w:lineRule="auto"/>
              <w:ind w:left="527" w:hanging="357"/>
              <w:jc w:val="both"/>
              <w:rPr>
                <w:rFonts w:ascii="Times New Roman" w:hAnsi="Times New Roman"/>
                <w:sz w:val="20"/>
                <w:szCs w:val="20"/>
                <w:lang w:val="ro-RO" w:eastAsia="ru-RU"/>
              </w:rPr>
            </w:pPr>
            <w:proofErr w:type="spellStart"/>
            <w:proofErr w:type="gramStart"/>
            <w:r w:rsidRPr="007363A1">
              <w:rPr>
                <w:rFonts w:ascii="Times New Roman" w:hAnsi="Times New Roman"/>
                <w:sz w:val="20"/>
                <w:szCs w:val="20"/>
                <w:lang w:val="fr-FR" w:eastAsia="ru-RU"/>
              </w:rPr>
              <w:t>angajamentele</w:t>
            </w:r>
            <w:proofErr w:type="spellEnd"/>
            <w:proofErr w:type="gram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asumate</w:t>
            </w:r>
            <w:proofErr w:type="spellEnd"/>
            <w:r w:rsidRPr="007363A1">
              <w:rPr>
                <w:rFonts w:ascii="Times New Roman" w:hAnsi="Times New Roman"/>
                <w:sz w:val="20"/>
                <w:szCs w:val="20"/>
                <w:lang w:val="fr-FR" w:eastAsia="ru-RU"/>
              </w:rPr>
              <w:t xml:space="preserve"> în </w:t>
            </w:r>
            <w:proofErr w:type="spellStart"/>
            <w:r w:rsidRPr="007363A1">
              <w:rPr>
                <w:rFonts w:ascii="Times New Roman" w:hAnsi="Times New Roman"/>
                <w:sz w:val="20"/>
                <w:szCs w:val="20"/>
                <w:lang w:val="fr-FR" w:eastAsia="ru-RU"/>
              </w:rPr>
              <w:t>temeiul</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articolului</w:t>
            </w:r>
            <w:proofErr w:type="spellEnd"/>
            <w:r w:rsidRPr="007363A1">
              <w:rPr>
                <w:rFonts w:ascii="Times New Roman" w:hAnsi="Times New Roman"/>
                <w:sz w:val="20"/>
                <w:szCs w:val="20"/>
                <w:lang w:val="fr-FR" w:eastAsia="ru-RU"/>
              </w:rPr>
              <w:t xml:space="preserve"> 4 </w:t>
            </w:r>
            <w:proofErr w:type="spellStart"/>
            <w:r w:rsidRPr="007363A1">
              <w:rPr>
                <w:rFonts w:ascii="Times New Roman" w:hAnsi="Times New Roman"/>
                <w:sz w:val="20"/>
                <w:szCs w:val="20"/>
                <w:lang w:val="fr-FR" w:eastAsia="ru-RU"/>
              </w:rPr>
              <w:t>din</w:t>
            </w:r>
            <w:proofErr w:type="spellEnd"/>
            <w:r w:rsidRPr="007363A1">
              <w:rPr>
                <w:rFonts w:ascii="Times New Roman" w:hAnsi="Times New Roman"/>
                <w:sz w:val="20"/>
                <w:szCs w:val="20"/>
                <w:lang w:val="fr-FR" w:eastAsia="ru-RU"/>
              </w:rPr>
              <w:t xml:space="preserve"> CCONUSC și al </w:t>
            </w:r>
            <w:proofErr w:type="spellStart"/>
            <w:r w:rsidRPr="007363A1">
              <w:rPr>
                <w:rFonts w:ascii="Times New Roman" w:hAnsi="Times New Roman"/>
                <w:sz w:val="20"/>
                <w:szCs w:val="20"/>
                <w:lang w:val="fr-FR" w:eastAsia="ru-RU"/>
              </w:rPr>
              <w:t>articolului</w:t>
            </w:r>
            <w:proofErr w:type="spellEnd"/>
            <w:r w:rsidRPr="007363A1">
              <w:rPr>
                <w:rFonts w:ascii="Times New Roman" w:hAnsi="Times New Roman"/>
                <w:sz w:val="20"/>
                <w:szCs w:val="20"/>
                <w:lang w:val="fr-FR" w:eastAsia="ru-RU"/>
              </w:rPr>
              <w:t xml:space="preserve"> 3 </w:t>
            </w:r>
            <w:proofErr w:type="spellStart"/>
            <w:r w:rsidRPr="007363A1">
              <w:rPr>
                <w:rFonts w:ascii="Times New Roman" w:hAnsi="Times New Roman"/>
                <w:sz w:val="20"/>
                <w:szCs w:val="20"/>
                <w:lang w:val="fr-FR" w:eastAsia="ru-RU"/>
              </w:rPr>
              <w:t>din</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Acordul</w:t>
            </w:r>
            <w:proofErr w:type="spellEnd"/>
            <w:r w:rsidRPr="007363A1">
              <w:rPr>
                <w:rFonts w:ascii="Times New Roman" w:hAnsi="Times New Roman"/>
                <w:sz w:val="20"/>
                <w:szCs w:val="20"/>
                <w:lang w:val="fr-FR" w:eastAsia="ru-RU"/>
              </w:rPr>
              <w:t xml:space="preserve"> de la Paris, </w:t>
            </w:r>
            <w:proofErr w:type="spellStart"/>
            <w:r w:rsidRPr="007363A1">
              <w:rPr>
                <w:rFonts w:ascii="Times New Roman" w:hAnsi="Times New Roman"/>
                <w:sz w:val="20"/>
                <w:szCs w:val="20"/>
                <w:lang w:val="fr-FR" w:eastAsia="ru-RU"/>
              </w:rPr>
              <w:t>astfel</w:t>
            </w:r>
            <w:proofErr w:type="spellEnd"/>
            <w:r w:rsidRPr="007363A1">
              <w:rPr>
                <w:rFonts w:ascii="Times New Roman" w:hAnsi="Times New Roman"/>
                <w:sz w:val="20"/>
                <w:szCs w:val="20"/>
                <w:lang w:val="fr-FR" w:eastAsia="ru-RU"/>
              </w:rPr>
              <w:t xml:space="preserve"> cum au </w:t>
            </w:r>
            <w:proofErr w:type="spellStart"/>
            <w:r w:rsidRPr="007363A1">
              <w:rPr>
                <w:rFonts w:ascii="Times New Roman" w:hAnsi="Times New Roman"/>
                <w:sz w:val="20"/>
                <w:szCs w:val="20"/>
                <w:lang w:val="fr-FR" w:eastAsia="ru-RU"/>
              </w:rPr>
              <w:t>fost</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stabilite</w:t>
            </w:r>
            <w:proofErr w:type="spellEnd"/>
            <w:r w:rsidRPr="007363A1">
              <w:rPr>
                <w:rFonts w:ascii="Times New Roman" w:hAnsi="Times New Roman"/>
                <w:sz w:val="20"/>
                <w:szCs w:val="20"/>
                <w:lang w:val="fr-FR" w:eastAsia="ru-RU"/>
              </w:rPr>
              <w:t xml:space="preserve"> în </w:t>
            </w:r>
            <w:proofErr w:type="spellStart"/>
            <w:r w:rsidRPr="007363A1">
              <w:rPr>
                <w:rFonts w:ascii="Times New Roman" w:hAnsi="Times New Roman"/>
                <w:sz w:val="20"/>
                <w:szCs w:val="20"/>
                <w:lang w:val="fr-FR" w:eastAsia="ru-RU"/>
              </w:rPr>
              <w:t>deciziile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adoptate</w:t>
            </w:r>
            <w:proofErr w:type="spellEnd"/>
            <w:r w:rsidRPr="007363A1">
              <w:rPr>
                <w:rFonts w:ascii="Times New Roman" w:hAnsi="Times New Roman"/>
                <w:sz w:val="20"/>
                <w:szCs w:val="20"/>
                <w:lang w:val="fr-FR" w:eastAsia="ru-RU"/>
              </w:rPr>
              <w:t xml:space="preserve"> de </w:t>
            </w:r>
            <w:proofErr w:type="spellStart"/>
            <w:r w:rsidRPr="007363A1">
              <w:rPr>
                <w:rFonts w:ascii="Times New Roman" w:hAnsi="Times New Roman"/>
                <w:sz w:val="20"/>
                <w:szCs w:val="20"/>
                <w:lang w:val="fr-FR" w:eastAsia="ru-RU"/>
              </w:rPr>
              <w:t>Conferința</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părților</w:t>
            </w:r>
            <w:proofErr w:type="spellEnd"/>
            <w:r w:rsidRPr="007363A1">
              <w:rPr>
                <w:rFonts w:ascii="Times New Roman" w:hAnsi="Times New Roman"/>
                <w:sz w:val="20"/>
                <w:szCs w:val="20"/>
                <w:lang w:val="fr-FR" w:eastAsia="ru-RU"/>
              </w:rPr>
              <w:t xml:space="preserve"> la CCONUSC </w:t>
            </w:r>
            <w:proofErr w:type="spellStart"/>
            <w:r w:rsidRPr="007363A1">
              <w:rPr>
                <w:rFonts w:ascii="Times New Roman" w:hAnsi="Times New Roman"/>
                <w:sz w:val="20"/>
                <w:szCs w:val="20"/>
                <w:lang w:val="fr-FR" w:eastAsia="ru-RU"/>
              </w:rPr>
              <w:t>sau</w:t>
            </w:r>
            <w:proofErr w:type="spellEnd"/>
            <w:r w:rsidRPr="007363A1">
              <w:rPr>
                <w:rFonts w:ascii="Times New Roman" w:hAnsi="Times New Roman"/>
                <w:sz w:val="20"/>
                <w:szCs w:val="20"/>
                <w:lang w:val="fr-FR" w:eastAsia="ru-RU"/>
              </w:rPr>
              <w:t xml:space="preserve"> de </w:t>
            </w:r>
            <w:proofErr w:type="spellStart"/>
            <w:r w:rsidRPr="007363A1">
              <w:rPr>
                <w:rFonts w:ascii="Times New Roman" w:hAnsi="Times New Roman"/>
                <w:sz w:val="20"/>
                <w:szCs w:val="20"/>
                <w:lang w:val="fr-FR" w:eastAsia="ru-RU"/>
              </w:rPr>
              <w:t>Conferința</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lastRenderedPageBreak/>
              <w:t>părților</w:t>
            </w:r>
            <w:proofErr w:type="spellEnd"/>
            <w:r w:rsidRPr="007363A1">
              <w:rPr>
                <w:rFonts w:ascii="Times New Roman" w:hAnsi="Times New Roman"/>
                <w:sz w:val="20"/>
                <w:szCs w:val="20"/>
                <w:lang w:val="fr-FR" w:eastAsia="ru-RU"/>
              </w:rPr>
              <w:t xml:space="preserve"> la CCONUSC care </w:t>
            </w:r>
            <w:proofErr w:type="spellStart"/>
            <w:r w:rsidRPr="007363A1">
              <w:rPr>
                <w:rFonts w:ascii="Times New Roman" w:hAnsi="Times New Roman"/>
                <w:sz w:val="20"/>
                <w:szCs w:val="20"/>
                <w:lang w:val="fr-FR" w:eastAsia="ru-RU"/>
              </w:rPr>
              <w:t>servește</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drept</w:t>
            </w:r>
            <w:proofErr w:type="spellEnd"/>
            <w:r w:rsidRPr="007363A1">
              <w:rPr>
                <w:rFonts w:ascii="Times New Roman" w:hAnsi="Times New Roman"/>
                <w:sz w:val="20"/>
                <w:szCs w:val="20"/>
                <w:lang w:val="fr-FR" w:eastAsia="ru-RU"/>
              </w:rPr>
              <w:t xml:space="preserve"> </w:t>
            </w:r>
            <w:proofErr w:type="spellStart"/>
            <w:r w:rsidRPr="007363A1">
              <w:rPr>
                <w:rFonts w:ascii="Times New Roman" w:hAnsi="Times New Roman"/>
                <w:sz w:val="20"/>
                <w:szCs w:val="20"/>
                <w:lang w:val="fr-FR" w:eastAsia="ru-RU"/>
              </w:rPr>
              <w:t>reuniune</w:t>
            </w:r>
            <w:proofErr w:type="spellEnd"/>
            <w:r w:rsidRPr="007363A1">
              <w:rPr>
                <w:rFonts w:ascii="Times New Roman" w:hAnsi="Times New Roman"/>
                <w:sz w:val="20"/>
                <w:szCs w:val="20"/>
                <w:lang w:val="fr-FR" w:eastAsia="ru-RU"/>
              </w:rPr>
              <w:t xml:space="preserve"> a </w:t>
            </w:r>
            <w:proofErr w:type="spellStart"/>
            <w:r w:rsidRPr="007363A1">
              <w:rPr>
                <w:rFonts w:ascii="Times New Roman" w:hAnsi="Times New Roman"/>
                <w:sz w:val="20"/>
                <w:szCs w:val="20"/>
                <w:lang w:val="fr-FR" w:eastAsia="ru-RU"/>
              </w:rPr>
              <w:t>părților</w:t>
            </w:r>
            <w:proofErr w:type="spellEnd"/>
            <w:r w:rsidRPr="007363A1">
              <w:rPr>
                <w:rFonts w:ascii="Times New Roman" w:hAnsi="Times New Roman"/>
                <w:sz w:val="20"/>
                <w:szCs w:val="20"/>
                <w:lang w:val="fr-FR" w:eastAsia="ru-RU"/>
              </w:rPr>
              <w:t xml:space="preserve"> la </w:t>
            </w:r>
            <w:proofErr w:type="spellStart"/>
            <w:r w:rsidRPr="007363A1">
              <w:rPr>
                <w:rFonts w:ascii="Times New Roman" w:hAnsi="Times New Roman"/>
                <w:sz w:val="20"/>
                <w:szCs w:val="20"/>
                <w:lang w:val="fr-FR" w:eastAsia="ru-RU"/>
              </w:rPr>
              <w:t>Acordul</w:t>
            </w:r>
            <w:proofErr w:type="spellEnd"/>
            <w:r w:rsidRPr="007363A1">
              <w:rPr>
                <w:rFonts w:ascii="Times New Roman" w:hAnsi="Times New Roman"/>
                <w:sz w:val="20"/>
                <w:szCs w:val="20"/>
                <w:lang w:val="fr-FR" w:eastAsia="ru-RU"/>
              </w:rPr>
              <w:t xml:space="preserve"> de la Paris;</w:t>
            </w:r>
          </w:p>
          <w:p w14:paraId="2F96B39B" w14:textId="77777777" w:rsidR="00CA04DE" w:rsidRPr="007363A1" w:rsidRDefault="00CA04DE" w:rsidP="000C5A3B">
            <w:pPr>
              <w:pStyle w:val="af3"/>
              <w:numPr>
                <w:ilvl w:val="0"/>
                <w:numId w:val="125"/>
              </w:numPr>
              <w:spacing w:after="0" w:line="240" w:lineRule="auto"/>
              <w:ind w:left="527" w:hanging="357"/>
              <w:jc w:val="both"/>
              <w:rPr>
                <w:rFonts w:ascii="Times New Roman" w:hAnsi="Times New Roman"/>
                <w:sz w:val="20"/>
                <w:szCs w:val="20"/>
                <w:lang w:val="ro-RO" w:eastAsia="ru-RU"/>
              </w:rPr>
            </w:pPr>
            <w:proofErr w:type="spellStart"/>
            <w:r w:rsidRPr="007363A1">
              <w:rPr>
                <w:rFonts w:ascii="Times New Roman" w:hAnsi="Times New Roman"/>
                <w:sz w:val="20"/>
                <w:szCs w:val="20"/>
                <w:lang w:val="en-US" w:eastAsia="ru-RU"/>
              </w:rPr>
              <w:t>obligațiile</w:t>
            </w:r>
            <w:proofErr w:type="spellEnd"/>
            <w:r w:rsidRPr="007363A1">
              <w:rPr>
                <w:rFonts w:ascii="Times New Roman" w:hAnsi="Times New Roman"/>
                <w:sz w:val="20"/>
                <w:szCs w:val="20"/>
                <w:lang w:val="en-US" w:eastAsia="ru-RU"/>
              </w:rPr>
              <w:t xml:space="preserve"> </w:t>
            </w:r>
            <w:proofErr w:type="spellStart"/>
            <w:r w:rsidRPr="007363A1">
              <w:rPr>
                <w:rFonts w:ascii="Times New Roman" w:hAnsi="Times New Roman"/>
                <w:sz w:val="20"/>
                <w:szCs w:val="20"/>
                <w:lang w:val="en-US" w:eastAsia="ru-RU"/>
              </w:rPr>
              <w:t>stabilite</w:t>
            </w:r>
            <w:proofErr w:type="spellEnd"/>
            <w:r w:rsidRPr="007363A1">
              <w:rPr>
                <w:rFonts w:ascii="Times New Roman" w:hAnsi="Times New Roman"/>
                <w:sz w:val="20"/>
                <w:szCs w:val="20"/>
                <w:lang w:val="en-US" w:eastAsia="ru-RU"/>
              </w:rPr>
              <w:t xml:space="preserve"> la </w:t>
            </w:r>
            <w:proofErr w:type="spellStart"/>
            <w:r w:rsidRPr="007363A1">
              <w:rPr>
                <w:rFonts w:ascii="Times New Roman" w:hAnsi="Times New Roman"/>
                <w:sz w:val="20"/>
                <w:szCs w:val="20"/>
                <w:lang w:val="en-US" w:eastAsia="ru-RU"/>
              </w:rPr>
              <w:t>articolul</w:t>
            </w:r>
            <w:proofErr w:type="spellEnd"/>
            <w:r w:rsidRPr="007363A1">
              <w:rPr>
                <w:rFonts w:ascii="Times New Roman" w:hAnsi="Times New Roman"/>
                <w:sz w:val="20"/>
                <w:szCs w:val="20"/>
                <w:lang w:val="en-US" w:eastAsia="ru-RU"/>
              </w:rPr>
              <w:t xml:space="preserve"> 4 din </w:t>
            </w:r>
            <w:proofErr w:type="spellStart"/>
            <w:r w:rsidRPr="007363A1">
              <w:rPr>
                <w:rFonts w:ascii="Times New Roman" w:hAnsi="Times New Roman"/>
                <w:sz w:val="20"/>
                <w:szCs w:val="20"/>
                <w:lang w:val="en-US" w:eastAsia="ru-RU"/>
              </w:rPr>
              <w:t>Regulamentul</w:t>
            </w:r>
            <w:proofErr w:type="spellEnd"/>
            <w:r w:rsidRPr="007363A1">
              <w:rPr>
                <w:rFonts w:ascii="Times New Roman" w:hAnsi="Times New Roman"/>
                <w:sz w:val="20"/>
                <w:szCs w:val="20"/>
                <w:lang w:val="en-US" w:eastAsia="ru-RU"/>
              </w:rPr>
              <w:t xml:space="preserve"> (UE) 2018/842 și la </w:t>
            </w:r>
            <w:proofErr w:type="spellStart"/>
            <w:r w:rsidRPr="007363A1">
              <w:rPr>
                <w:rFonts w:ascii="Times New Roman" w:hAnsi="Times New Roman"/>
                <w:sz w:val="20"/>
                <w:szCs w:val="20"/>
                <w:lang w:val="en-US" w:eastAsia="ru-RU"/>
              </w:rPr>
              <w:t>articolul</w:t>
            </w:r>
            <w:proofErr w:type="spellEnd"/>
            <w:r w:rsidRPr="007363A1">
              <w:rPr>
                <w:rFonts w:ascii="Times New Roman" w:hAnsi="Times New Roman"/>
                <w:sz w:val="20"/>
                <w:szCs w:val="20"/>
                <w:lang w:val="en-US" w:eastAsia="ru-RU"/>
              </w:rPr>
              <w:t xml:space="preserve"> 4 din </w:t>
            </w:r>
            <w:proofErr w:type="spellStart"/>
            <w:r w:rsidRPr="007363A1">
              <w:rPr>
                <w:rFonts w:ascii="Times New Roman" w:hAnsi="Times New Roman"/>
                <w:sz w:val="20"/>
                <w:szCs w:val="20"/>
                <w:lang w:val="en-US" w:eastAsia="ru-RU"/>
              </w:rPr>
              <w:t>Regulamentul</w:t>
            </w:r>
            <w:proofErr w:type="spellEnd"/>
            <w:r w:rsidRPr="007363A1">
              <w:rPr>
                <w:rFonts w:ascii="Times New Roman" w:hAnsi="Times New Roman"/>
                <w:sz w:val="20"/>
                <w:szCs w:val="20"/>
                <w:lang w:val="en-US" w:eastAsia="ru-RU"/>
              </w:rPr>
              <w:t xml:space="preserve"> (UE) 2018/841;</w:t>
            </w:r>
          </w:p>
          <w:p w14:paraId="66C9639F" w14:textId="77777777" w:rsidR="00CA04DE" w:rsidRPr="007363A1" w:rsidRDefault="00CA04DE" w:rsidP="000C5A3B">
            <w:pPr>
              <w:pStyle w:val="af3"/>
              <w:numPr>
                <w:ilvl w:val="0"/>
                <w:numId w:val="125"/>
              </w:numPr>
              <w:spacing w:after="0" w:line="240" w:lineRule="auto"/>
              <w:ind w:left="527" w:hanging="357"/>
              <w:jc w:val="both"/>
              <w:rPr>
                <w:rFonts w:ascii="Times New Roman" w:hAnsi="Times New Roman"/>
                <w:sz w:val="20"/>
                <w:szCs w:val="20"/>
                <w:lang w:val="ro-RO" w:eastAsia="ru-RU"/>
              </w:rPr>
            </w:pPr>
            <w:r w:rsidRPr="007363A1">
              <w:rPr>
                <w:rFonts w:ascii="Times New Roman" w:hAnsi="Times New Roman"/>
                <w:sz w:val="20"/>
                <w:szCs w:val="20"/>
                <w:lang w:val="ro-RO" w:eastAsia="ru-RU"/>
              </w:rPr>
              <w:t>obiectivele stabilite în planul național integrat privind energia și clima în vederea realizării obiectivelor uniunii energetice și, pentru prima perioadă de zece ani, în vederea atingerii obiectivelor privind energia și clima pentru 2030.</w:t>
            </w:r>
          </w:p>
          <w:p w14:paraId="24510E81" w14:textId="77777777" w:rsidR="00B40113" w:rsidRPr="007363A1" w:rsidRDefault="00B40113" w:rsidP="00B40113">
            <w:pPr>
              <w:spacing w:after="0" w:line="240" w:lineRule="auto"/>
              <w:jc w:val="both"/>
              <w:rPr>
                <w:rFonts w:ascii="Times New Roman" w:hAnsi="Times New Roman"/>
                <w:sz w:val="20"/>
                <w:szCs w:val="20"/>
                <w:shd w:val="clear" w:color="auto" w:fill="FFFFFF"/>
                <w:lang w:val="ro-RO"/>
              </w:rPr>
            </w:pPr>
            <w:r w:rsidRPr="007363A1">
              <w:rPr>
                <w:rFonts w:ascii="Times New Roman" w:hAnsi="Times New Roman"/>
                <w:sz w:val="20"/>
                <w:szCs w:val="20"/>
                <w:shd w:val="clear" w:color="auto" w:fill="FFFFFF"/>
                <w:lang w:val="ro-RO"/>
              </w:rPr>
              <w:t>(6)În cadrul evaluării sale, Comisia ar trebui să ia în considerare cele mai recente recomandări specifice fiecărei țări emise în contextul semestrului european.</w:t>
            </w:r>
          </w:p>
          <w:p w14:paraId="0FEC01C7" w14:textId="25D0393A" w:rsidR="00B40113" w:rsidRPr="00B40113" w:rsidRDefault="00B40113" w:rsidP="00B40113">
            <w:pPr>
              <w:pStyle w:val="Normal3"/>
              <w:shd w:val="clear" w:color="auto" w:fill="FFFFFF"/>
              <w:spacing w:before="0" w:beforeAutospacing="0" w:after="0" w:afterAutospacing="0"/>
              <w:jc w:val="both"/>
              <w:rPr>
                <w:sz w:val="20"/>
                <w:szCs w:val="20"/>
                <w:lang w:val="fr-FR"/>
              </w:rPr>
            </w:pPr>
            <w:r w:rsidRPr="007363A1">
              <w:rPr>
                <w:sz w:val="20"/>
                <w:szCs w:val="20"/>
                <w:lang w:val="fr-FR"/>
              </w:rPr>
              <w:t xml:space="preserve">(7) </w:t>
            </w:r>
            <w:proofErr w:type="spellStart"/>
            <w:r w:rsidRPr="007363A1">
              <w:rPr>
                <w:sz w:val="20"/>
                <w:szCs w:val="20"/>
                <w:lang w:val="fr-FR"/>
              </w:rPr>
              <w:t>Comisia</w:t>
            </w:r>
            <w:proofErr w:type="spellEnd"/>
            <w:r w:rsidRPr="007363A1">
              <w:rPr>
                <w:sz w:val="20"/>
                <w:szCs w:val="20"/>
                <w:lang w:val="fr-FR"/>
              </w:rPr>
              <w:t xml:space="preserve"> </w:t>
            </w:r>
            <w:proofErr w:type="spellStart"/>
            <w:r w:rsidRPr="007363A1">
              <w:rPr>
                <w:sz w:val="20"/>
                <w:szCs w:val="20"/>
                <w:lang w:val="fr-FR"/>
              </w:rPr>
              <w:t>raportează</w:t>
            </w:r>
            <w:proofErr w:type="spellEnd"/>
            <w:r w:rsidRPr="007363A1">
              <w:rPr>
                <w:sz w:val="20"/>
                <w:szCs w:val="20"/>
                <w:lang w:val="fr-FR"/>
              </w:rPr>
              <w:t xml:space="preserve"> </w:t>
            </w:r>
            <w:proofErr w:type="spellStart"/>
            <w:r w:rsidRPr="007363A1">
              <w:rPr>
                <w:sz w:val="20"/>
                <w:szCs w:val="20"/>
                <w:lang w:val="fr-FR"/>
              </w:rPr>
              <w:t>cu</w:t>
            </w:r>
            <w:proofErr w:type="spellEnd"/>
            <w:r w:rsidRPr="007363A1">
              <w:rPr>
                <w:sz w:val="20"/>
                <w:szCs w:val="20"/>
                <w:lang w:val="fr-FR"/>
              </w:rPr>
              <w:t xml:space="preserve"> </w:t>
            </w:r>
            <w:proofErr w:type="spellStart"/>
            <w:r w:rsidRPr="007363A1">
              <w:rPr>
                <w:sz w:val="20"/>
                <w:szCs w:val="20"/>
                <w:lang w:val="fr-FR"/>
              </w:rPr>
              <w:t>privire</w:t>
            </w:r>
            <w:proofErr w:type="spellEnd"/>
            <w:r w:rsidRPr="007363A1">
              <w:rPr>
                <w:sz w:val="20"/>
                <w:szCs w:val="20"/>
                <w:lang w:val="fr-FR"/>
              </w:rPr>
              <w:t xml:space="preserve"> la </w:t>
            </w:r>
            <w:proofErr w:type="spellStart"/>
            <w:r w:rsidRPr="007363A1">
              <w:rPr>
                <w:sz w:val="20"/>
                <w:szCs w:val="20"/>
                <w:lang w:val="fr-FR"/>
              </w:rPr>
              <w:t>evaluarea</w:t>
            </w:r>
            <w:proofErr w:type="spellEnd"/>
            <w:r w:rsidRPr="007363A1">
              <w:rPr>
                <w:sz w:val="20"/>
                <w:szCs w:val="20"/>
                <w:lang w:val="fr-FR"/>
              </w:rPr>
              <w:t xml:space="preserve"> sa în conformitate </w:t>
            </w:r>
            <w:proofErr w:type="spellStart"/>
            <w:r w:rsidRPr="007363A1">
              <w:rPr>
                <w:sz w:val="20"/>
                <w:szCs w:val="20"/>
                <w:lang w:val="fr-FR"/>
              </w:rPr>
              <w:t>cu</w:t>
            </w:r>
            <w:proofErr w:type="spellEnd"/>
            <w:r w:rsidRPr="007363A1">
              <w:rPr>
                <w:sz w:val="20"/>
                <w:szCs w:val="20"/>
                <w:lang w:val="fr-FR"/>
              </w:rPr>
              <w:t xml:space="preserve"> </w:t>
            </w:r>
            <w:proofErr w:type="spellStart"/>
            <w:r w:rsidRPr="007363A1">
              <w:rPr>
                <w:sz w:val="20"/>
                <w:szCs w:val="20"/>
                <w:lang w:val="fr-FR"/>
              </w:rPr>
              <w:t>prezentul</w:t>
            </w:r>
            <w:proofErr w:type="spellEnd"/>
            <w:r w:rsidRPr="007363A1">
              <w:rPr>
                <w:sz w:val="20"/>
                <w:szCs w:val="20"/>
                <w:lang w:val="fr-FR"/>
              </w:rPr>
              <w:t xml:space="preserve"> </w:t>
            </w:r>
            <w:proofErr w:type="spellStart"/>
            <w:r w:rsidRPr="007363A1">
              <w:rPr>
                <w:sz w:val="20"/>
                <w:szCs w:val="20"/>
                <w:lang w:val="fr-FR"/>
              </w:rPr>
              <w:t>articol</w:t>
            </w:r>
            <w:proofErr w:type="spellEnd"/>
            <w:r w:rsidRPr="007363A1">
              <w:rPr>
                <w:sz w:val="20"/>
                <w:szCs w:val="20"/>
                <w:lang w:val="fr-FR"/>
              </w:rPr>
              <w:t xml:space="preserve"> în </w:t>
            </w:r>
            <w:proofErr w:type="spellStart"/>
            <w:r w:rsidRPr="007363A1">
              <w:rPr>
                <w:sz w:val="20"/>
                <w:szCs w:val="20"/>
                <w:lang w:val="fr-FR"/>
              </w:rPr>
              <w:t>cadrul</w:t>
            </w:r>
            <w:proofErr w:type="spellEnd"/>
            <w:r w:rsidRPr="007363A1">
              <w:rPr>
                <w:sz w:val="20"/>
                <w:szCs w:val="20"/>
                <w:lang w:val="fr-FR"/>
              </w:rPr>
              <w:t xml:space="preserve"> </w:t>
            </w:r>
            <w:proofErr w:type="spellStart"/>
            <w:r w:rsidRPr="007363A1">
              <w:rPr>
                <w:sz w:val="20"/>
                <w:szCs w:val="20"/>
                <w:lang w:val="fr-FR"/>
              </w:rPr>
              <w:t>raportului</w:t>
            </w:r>
            <w:proofErr w:type="spellEnd"/>
            <w:r w:rsidRPr="007363A1">
              <w:rPr>
                <w:sz w:val="20"/>
                <w:szCs w:val="20"/>
                <w:lang w:val="fr-FR"/>
              </w:rPr>
              <w:t xml:space="preserve"> </w:t>
            </w:r>
            <w:proofErr w:type="spellStart"/>
            <w:r w:rsidRPr="007363A1">
              <w:rPr>
                <w:sz w:val="20"/>
                <w:szCs w:val="20"/>
                <w:lang w:val="fr-FR"/>
              </w:rPr>
              <w:t>privind</w:t>
            </w:r>
            <w:proofErr w:type="spellEnd"/>
            <w:r w:rsidRPr="007363A1">
              <w:rPr>
                <w:sz w:val="20"/>
                <w:szCs w:val="20"/>
                <w:lang w:val="fr-FR"/>
              </w:rPr>
              <w:t xml:space="preserve"> </w:t>
            </w:r>
            <w:proofErr w:type="spellStart"/>
            <w:r w:rsidRPr="007363A1">
              <w:rPr>
                <w:sz w:val="20"/>
                <w:szCs w:val="20"/>
                <w:lang w:val="fr-FR"/>
              </w:rPr>
              <w:t>starea</w:t>
            </w:r>
            <w:proofErr w:type="spellEnd"/>
            <w:r w:rsidRPr="007363A1">
              <w:rPr>
                <w:sz w:val="20"/>
                <w:szCs w:val="20"/>
                <w:lang w:val="fr-FR"/>
              </w:rPr>
              <w:t xml:space="preserve"> </w:t>
            </w:r>
            <w:proofErr w:type="spellStart"/>
            <w:r w:rsidRPr="007363A1">
              <w:rPr>
                <w:sz w:val="20"/>
                <w:szCs w:val="20"/>
                <w:lang w:val="fr-FR"/>
              </w:rPr>
              <w:t>uniunii</w:t>
            </w:r>
            <w:proofErr w:type="spellEnd"/>
            <w:r w:rsidRPr="007363A1">
              <w:rPr>
                <w:sz w:val="20"/>
                <w:szCs w:val="20"/>
                <w:lang w:val="fr-FR"/>
              </w:rPr>
              <w:t xml:space="preserve"> </w:t>
            </w:r>
            <w:proofErr w:type="spellStart"/>
            <w:r w:rsidRPr="007363A1">
              <w:rPr>
                <w:sz w:val="20"/>
                <w:szCs w:val="20"/>
                <w:lang w:val="fr-FR"/>
              </w:rPr>
              <w:t>energetice</w:t>
            </w:r>
            <w:proofErr w:type="spellEnd"/>
            <w:r w:rsidRPr="007363A1">
              <w:rPr>
                <w:sz w:val="20"/>
                <w:szCs w:val="20"/>
                <w:lang w:val="fr-FR"/>
              </w:rPr>
              <w:t xml:space="preserve"> </w:t>
            </w:r>
            <w:proofErr w:type="spellStart"/>
            <w:r w:rsidRPr="007363A1">
              <w:rPr>
                <w:sz w:val="20"/>
                <w:szCs w:val="20"/>
                <w:lang w:val="fr-FR"/>
              </w:rPr>
              <w:t>menționat</w:t>
            </w:r>
            <w:proofErr w:type="spellEnd"/>
            <w:r w:rsidRPr="007363A1">
              <w:rPr>
                <w:sz w:val="20"/>
                <w:szCs w:val="20"/>
                <w:lang w:val="fr-FR"/>
              </w:rPr>
              <w:t xml:space="preserve"> la </w:t>
            </w:r>
            <w:proofErr w:type="spellStart"/>
            <w:r w:rsidRPr="007363A1">
              <w:rPr>
                <w:sz w:val="20"/>
                <w:szCs w:val="20"/>
                <w:lang w:val="fr-FR"/>
              </w:rPr>
              <w:t>articolul</w:t>
            </w:r>
            <w:proofErr w:type="spellEnd"/>
            <w:r w:rsidRPr="007363A1">
              <w:rPr>
                <w:sz w:val="20"/>
                <w:szCs w:val="20"/>
                <w:lang w:val="fr-FR"/>
              </w:rPr>
              <w:t xml:space="preserve"> 35.</w:t>
            </w:r>
          </w:p>
        </w:tc>
        <w:tc>
          <w:tcPr>
            <w:tcW w:w="4440" w:type="dxa"/>
          </w:tcPr>
          <w:p w14:paraId="6C0CE0F8" w14:textId="0540F182" w:rsidR="008F5636" w:rsidRPr="00077DF7" w:rsidRDefault="008F5636" w:rsidP="00077DF7">
            <w:pPr>
              <w:suppressAutoHyphens w:val="0"/>
              <w:autoSpaceDN/>
              <w:spacing w:after="0" w:line="240" w:lineRule="auto"/>
              <w:jc w:val="both"/>
              <w:textAlignment w:val="auto"/>
              <w:rPr>
                <w:rFonts w:ascii="Times New Roman" w:eastAsia="Times New Roman" w:hAnsi="Times New Roman"/>
                <w:vanish/>
                <w:sz w:val="20"/>
                <w:szCs w:val="20"/>
                <w:lang w:val="ro-MD" w:eastAsia="ro-MD"/>
              </w:rPr>
            </w:pPr>
          </w:p>
        </w:tc>
        <w:tc>
          <w:tcPr>
            <w:tcW w:w="1276" w:type="dxa"/>
          </w:tcPr>
          <w:p w14:paraId="451F7458" w14:textId="7BA2A8A3" w:rsidR="008F5636" w:rsidRPr="004A2039" w:rsidRDefault="00F61C21" w:rsidP="008F5636">
            <w:pPr>
              <w:pStyle w:val="ColorfulList-Accent11"/>
              <w:spacing w:after="0" w:line="240" w:lineRule="auto"/>
              <w:ind w:left="0"/>
              <w:jc w:val="both"/>
              <w:rPr>
                <w:lang w:val="ru-RU"/>
              </w:rPr>
            </w:pPr>
            <w:r>
              <w:rPr>
                <w:rFonts w:ascii="Times New Roman" w:hAnsi="Times New Roman"/>
                <w:sz w:val="20"/>
                <w:szCs w:val="20"/>
                <w:lang w:val="ro-RO"/>
              </w:rPr>
              <w:t>C</w:t>
            </w:r>
            <w:r w:rsidR="00CA04DE" w:rsidRPr="00C951E7">
              <w:rPr>
                <w:rFonts w:ascii="Times New Roman" w:hAnsi="Times New Roman"/>
                <w:sz w:val="20"/>
                <w:szCs w:val="20"/>
                <w:lang w:val="ro-RO"/>
              </w:rPr>
              <w:t>ompatibil</w:t>
            </w:r>
          </w:p>
        </w:tc>
        <w:tc>
          <w:tcPr>
            <w:tcW w:w="1276" w:type="dxa"/>
          </w:tcPr>
          <w:p w14:paraId="62BF1D52" w14:textId="77777777" w:rsidR="008F5636" w:rsidRPr="004A2039" w:rsidRDefault="008F5636" w:rsidP="008F5636">
            <w:pPr>
              <w:pStyle w:val="ColorfulList-Accent11"/>
              <w:spacing w:after="0" w:line="240" w:lineRule="auto"/>
              <w:ind w:left="0"/>
              <w:jc w:val="both"/>
              <w:rPr>
                <w:lang w:val="ru-RU"/>
              </w:rPr>
            </w:pPr>
          </w:p>
        </w:tc>
        <w:tc>
          <w:tcPr>
            <w:tcW w:w="1701" w:type="dxa"/>
          </w:tcPr>
          <w:p w14:paraId="77EB35F6" w14:textId="15DC7F05" w:rsidR="00F61C21" w:rsidRPr="00F13819" w:rsidRDefault="00F61C21" w:rsidP="00F61C21">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lastRenderedPageBreak/>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821CF8">
              <w:rPr>
                <w:rFonts w:ascii="Times New Roman" w:eastAsia="Times New Roman" w:hAnsi="Times New Roman"/>
                <w:sz w:val="20"/>
                <w:szCs w:val="20"/>
                <w:lang w:val="ro-RO"/>
              </w:rPr>
              <w:t xml:space="preserve"> și </w:t>
            </w:r>
            <w:r w:rsidR="00821CF8" w:rsidRPr="00F13819">
              <w:rPr>
                <w:rFonts w:ascii="Times New Roman" w:eastAsia="Times New Roman" w:hAnsi="Times New Roman"/>
                <w:sz w:val="20"/>
                <w:szCs w:val="20"/>
                <w:lang w:val="ro-RO"/>
              </w:rPr>
              <w:t>D/202</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w:t>
            </w:r>
            <w:r w:rsidR="00821CF8">
              <w:rPr>
                <w:rFonts w:ascii="Times New Roman" w:eastAsia="Times New Roman" w:hAnsi="Times New Roman"/>
                <w:sz w:val="20"/>
                <w:szCs w:val="20"/>
                <w:lang w:val="ro-RO"/>
              </w:rPr>
              <w:t>02</w:t>
            </w:r>
            <w:r w:rsidR="00821CF8" w:rsidRPr="00F13819">
              <w:rPr>
                <w:rFonts w:ascii="Times New Roman" w:eastAsia="Times New Roman" w:hAnsi="Times New Roman"/>
                <w:sz w:val="20"/>
                <w:szCs w:val="20"/>
                <w:lang w:val="ro-RO"/>
              </w:rPr>
              <w:t>/MC-</w:t>
            </w:r>
            <w:proofErr w:type="spellStart"/>
            <w:r w:rsidR="00821CF8" w:rsidRPr="00F13819">
              <w:rPr>
                <w:rFonts w:ascii="Times New Roman" w:eastAsia="Times New Roman" w:hAnsi="Times New Roman"/>
                <w:sz w:val="20"/>
                <w:szCs w:val="20"/>
                <w:lang w:val="ro-RO"/>
              </w:rPr>
              <w:t>EnC</w:t>
            </w:r>
            <w:proofErr w:type="spellEnd"/>
            <w:r w:rsidR="00821CF8" w:rsidRPr="00F13819">
              <w:rPr>
                <w:rFonts w:ascii="Times New Roman" w:eastAsia="Times New Roman" w:hAnsi="Times New Roman"/>
                <w:sz w:val="20"/>
                <w:szCs w:val="20"/>
                <w:lang w:val="ro-RO"/>
              </w:rPr>
              <w:t xml:space="preserve"> din </w:t>
            </w:r>
            <w:r w:rsidR="00821CF8">
              <w:rPr>
                <w:rFonts w:ascii="Times New Roman" w:eastAsia="Times New Roman" w:hAnsi="Times New Roman"/>
                <w:sz w:val="20"/>
                <w:szCs w:val="20"/>
                <w:lang w:val="ro-RO"/>
              </w:rPr>
              <w:t>15</w:t>
            </w:r>
            <w:r w:rsidR="00821CF8" w:rsidRPr="00F13819">
              <w:rPr>
                <w:rFonts w:ascii="Times New Roman" w:eastAsia="Times New Roman" w:hAnsi="Times New Roman"/>
                <w:sz w:val="20"/>
                <w:szCs w:val="20"/>
                <w:lang w:val="ro-RO"/>
              </w:rPr>
              <w:t>.1</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r>
              <w:rPr>
                <w:rFonts w:ascii="Times New Roman" w:eastAsia="Times New Roman" w:hAnsi="Times New Roman"/>
                <w:sz w:val="20"/>
                <w:szCs w:val="20"/>
                <w:lang w:val="ro-RO"/>
              </w:rPr>
              <w:t xml:space="preserve"> </w:t>
            </w:r>
          </w:p>
          <w:p w14:paraId="3BAC3830" w14:textId="77777777" w:rsidR="008F5636" w:rsidRDefault="008F5636" w:rsidP="00CA04DE">
            <w:pPr>
              <w:pStyle w:val="ColorfulList-Accent11"/>
              <w:spacing w:after="0" w:line="240" w:lineRule="auto"/>
              <w:ind w:left="0"/>
              <w:jc w:val="both"/>
              <w:rPr>
                <w:lang w:val="ro-RO"/>
              </w:rPr>
            </w:pPr>
          </w:p>
          <w:p w14:paraId="58F456FD" w14:textId="666E7E2A"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pct.63-68 din</w:t>
            </w:r>
            <w:r>
              <w:rPr>
                <w:rFonts w:ascii="Times New Roman" w:eastAsia="Times New Roman" w:hAnsi="Times New Roman"/>
                <w:sz w:val="20"/>
                <w:szCs w:val="20"/>
                <w:lang w:val="ro-RO" w:eastAsia="ru-RU"/>
              </w:rPr>
              <w:t xml:space="preserve"> </w:t>
            </w:r>
          </w:p>
          <w:p w14:paraId="30BA01AD"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58D4CC52" w14:textId="2A2C7A5D" w:rsidR="00077DF7" w:rsidRPr="00CA04DE" w:rsidRDefault="00077DF7" w:rsidP="00CA04DE">
            <w:pPr>
              <w:pStyle w:val="ColorfulList-Accent11"/>
              <w:spacing w:after="0" w:line="240" w:lineRule="auto"/>
              <w:ind w:left="0"/>
              <w:jc w:val="both"/>
              <w:rPr>
                <w:lang w:val="ro-RO"/>
              </w:rPr>
            </w:pPr>
          </w:p>
        </w:tc>
        <w:tc>
          <w:tcPr>
            <w:tcW w:w="1460" w:type="dxa"/>
          </w:tcPr>
          <w:p w14:paraId="29059099" w14:textId="77777777" w:rsidR="00905298" w:rsidRPr="003F755D" w:rsidRDefault="00CA04DE" w:rsidP="00905298">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905298" w:rsidRPr="00A81801">
              <w:rPr>
                <w:rFonts w:ascii="Times New Roman" w:hAnsi="Times New Roman"/>
                <w:color w:val="000000" w:themeColor="text1"/>
                <w:sz w:val="20"/>
                <w:szCs w:val="20"/>
              </w:rPr>
              <w:t>Energiei</w:t>
            </w:r>
          </w:p>
          <w:p w14:paraId="5FB56A6F" w14:textId="65E1F875" w:rsidR="00CA04DE" w:rsidRPr="003F755D" w:rsidRDefault="00CA04DE" w:rsidP="00CA04DE">
            <w:pPr>
              <w:autoSpaceDE w:val="0"/>
              <w:spacing w:after="0" w:line="240" w:lineRule="auto"/>
              <w:rPr>
                <w:rFonts w:ascii="Times New Roman" w:hAnsi="Times New Roman"/>
                <w:sz w:val="20"/>
                <w:szCs w:val="20"/>
                <w:shd w:val="clear" w:color="auto" w:fill="FFFFFF"/>
                <w:lang w:val="ro-RO"/>
              </w:rPr>
            </w:pPr>
          </w:p>
          <w:p w14:paraId="76AF5774" w14:textId="77777777" w:rsidR="008F5636" w:rsidRPr="00CA04DE" w:rsidRDefault="008F5636" w:rsidP="008F5636">
            <w:pPr>
              <w:pStyle w:val="ColorfulList-Accent11"/>
              <w:spacing w:after="0" w:line="240" w:lineRule="auto"/>
              <w:ind w:left="0"/>
              <w:jc w:val="both"/>
              <w:rPr>
                <w:lang w:val="ro-RO"/>
              </w:rPr>
            </w:pPr>
          </w:p>
        </w:tc>
      </w:tr>
      <w:tr w:rsidR="008F5636" w:rsidRPr="000B2510" w14:paraId="4901EC52" w14:textId="77777777" w:rsidTr="00A90105">
        <w:tc>
          <w:tcPr>
            <w:tcW w:w="4945" w:type="dxa"/>
          </w:tcPr>
          <w:p w14:paraId="53323D4F" w14:textId="77777777" w:rsidR="008F5636" w:rsidRPr="0065475C" w:rsidRDefault="008F5636" w:rsidP="00B40113">
            <w:pPr>
              <w:spacing w:after="0" w:line="240" w:lineRule="auto"/>
              <w:jc w:val="center"/>
              <w:rPr>
                <w:rFonts w:ascii="Times New Roman" w:hAnsi="Times New Roman"/>
                <w:sz w:val="20"/>
                <w:szCs w:val="20"/>
                <w:lang w:eastAsia="ru-RU"/>
              </w:rPr>
            </w:pPr>
            <w:proofErr w:type="spellStart"/>
            <w:r w:rsidRPr="0065475C">
              <w:rPr>
                <w:rFonts w:ascii="Times New Roman" w:hAnsi="Times New Roman"/>
                <w:sz w:val="20"/>
                <w:szCs w:val="20"/>
                <w:lang w:eastAsia="ru-RU"/>
              </w:rPr>
              <w:lastRenderedPageBreak/>
              <w:t>Articolul</w:t>
            </w:r>
            <w:proofErr w:type="spellEnd"/>
            <w:r w:rsidRPr="0065475C">
              <w:rPr>
                <w:rFonts w:ascii="Times New Roman" w:hAnsi="Times New Roman"/>
                <w:sz w:val="20"/>
                <w:szCs w:val="20"/>
                <w:lang w:eastAsia="ru-RU"/>
              </w:rPr>
              <w:t xml:space="preserve"> 30</w:t>
            </w:r>
          </w:p>
          <w:p w14:paraId="4966CEAC" w14:textId="4A67BA96" w:rsidR="008F5636" w:rsidRPr="0065475C" w:rsidRDefault="008F5636" w:rsidP="00B40113">
            <w:pPr>
              <w:spacing w:after="0" w:line="240" w:lineRule="auto"/>
              <w:jc w:val="center"/>
              <w:rPr>
                <w:rFonts w:ascii="Times New Roman" w:hAnsi="Times New Roman"/>
                <w:b/>
                <w:bCs/>
                <w:sz w:val="20"/>
                <w:szCs w:val="20"/>
                <w:lang w:eastAsia="ru-RU"/>
              </w:rPr>
            </w:pPr>
            <w:proofErr w:type="spellStart"/>
            <w:r w:rsidRPr="0065475C">
              <w:rPr>
                <w:rFonts w:ascii="Times New Roman" w:hAnsi="Times New Roman"/>
                <w:b/>
                <w:bCs/>
                <w:sz w:val="20"/>
                <w:szCs w:val="20"/>
                <w:lang w:eastAsia="ru-RU"/>
              </w:rPr>
              <w:t>Neconcordanțele</w:t>
            </w:r>
            <w:proofErr w:type="spellEnd"/>
            <w:r w:rsidRPr="0065475C">
              <w:rPr>
                <w:rFonts w:ascii="Times New Roman" w:hAnsi="Times New Roman"/>
                <w:b/>
                <w:bCs/>
                <w:sz w:val="20"/>
                <w:szCs w:val="20"/>
                <w:lang w:eastAsia="ru-RU"/>
              </w:rPr>
              <w:t xml:space="preserve"> cu </w:t>
            </w:r>
            <w:proofErr w:type="spellStart"/>
            <w:r w:rsidRPr="0065475C">
              <w:rPr>
                <w:rFonts w:ascii="Times New Roman" w:hAnsi="Times New Roman"/>
                <w:b/>
                <w:bCs/>
                <w:sz w:val="20"/>
                <w:szCs w:val="20"/>
                <w:lang w:eastAsia="ru-RU"/>
              </w:rPr>
              <w:t>obiectivele</w:t>
            </w:r>
            <w:proofErr w:type="spellEnd"/>
            <w:r w:rsidRPr="0065475C">
              <w:rPr>
                <w:rFonts w:ascii="Times New Roman" w:hAnsi="Times New Roman"/>
                <w:b/>
                <w:bCs/>
                <w:sz w:val="20"/>
                <w:szCs w:val="20"/>
                <w:lang w:eastAsia="ru-RU"/>
              </w:rPr>
              <w:t xml:space="preserve"> </w:t>
            </w:r>
            <w:proofErr w:type="spellStart"/>
            <w:r w:rsidRPr="0065475C">
              <w:rPr>
                <w:rFonts w:ascii="Times New Roman" w:hAnsi="Times New Roman"/>
                <w:b/>
                <w:bCs/>
                <w:sz w:val="20"/>
                <w:szCs w:val="20"/>
                <w:lang w:eastAsia="ru-RU"/>
              </w:rPr>
              <w:t>generale</w:t>
            </w:r>
            <w:proofErr w:type="spellEnd"/>
            <w:r w:rsidRPr="0065475C">
              <w:rPr>
                <w:rFonts w:ascii="Times New Roman" w:hAnsi="Times New Roman"/>
                <w:b/>
                <w:bCs/>
                <w:sz w:val="20"/>
                <w:szCs w:val="20"/>
                <w:lang w:eastAsia="ru-RU"/>
              </w:rPr>
              <w:t xml:space="preserve"> ale </w:t>
            </w:r>
            <w:proofErr w:type="spellStart"/>
            <w:r w:rsidRPr="0065475C">
              <w:rPr>
                <w:rFonts w:ascii="Times New Roman" w:hAnsi="Times New Roman"/>
                <w:b/>
                <w:bCs/>
                <w:sz w:val="20"/>
                <w:szCs w:val="20"/>
                <w:lang w:eastAsia="ru-RU"/>
              </w:rPr>
              <w:t>uniunii</w:t>
            </w:r>
            <w:proofErr w:type="spellEnd"/>
            <w:r w:rsidRPr="0065475C">
              <w:rPr>
                <w:rFonts w:ascii="Times New Roman" w:hAnsi="Times New Roman"/>
                <w:b/>
                <w:bCs/>
                <w:sz w:val="20"/>
                <w:szCs w:val="20"/>
                <w:lang w:eastAsia="ru-RU"/>
              </w:rPr>
              <w:t xml:space="preserve"> </w:t>
            </w:r>
            <w:proofErr w:type="spellStart"/>
            <w:r w:rsidRPr="0065475C">
              <w:rPr>
                <w:rFonts w:ascii="Times New Roman" w:hAnsi="Times New Roman"/>
                <w:b/>
                <w:bCs/>
                <w:sz w:val="20"/>
                <w:szCs w:val="20"/>
                <w:lang w:eastAsia="ru-RU"/>
              </w:rPr>
              <w:t>energetice</w:t>
            </w:r>
            <w:proofErr w:type="spellEnd"/>
            <w:r w:rsidRPr="0065475C">
              <w:rPr>
                <w:rFonts w:ascii="Times New Roman" w:hAnsi="Times New Roman"/>
                <w:b/>
                <w:bCs/>
                <w:sz w:val="20"/>
                <w:szCs w:val="20"/>
                <w:lang w:eastAsia="ru-RU"/>
              </w:rPr>
              <w:t xml:space="preserve"> și cu </w:t>
            </w:r>
            <w:proofErr w:type="spellStart"/>
            <w:r w:rsidRPr="0065475C">
              <w:rPr>
                <w:rFonts w:ascii="Times New Roman" w:hAnsi="Times New Roman"/>
                <w:b/>
                <w:bCs/>
                <w:sz w:val="20"/>
                <w:szCs w:val="20"/>
                <w:lang w:eastAsia="ru-RU"/>
              </w:rPr>
              <w:t>obiectivele</w:t>
            </w:r>
            <w:proofErr w:type="spellEnd"/>
            <w:r w:rsidRPr="0065475C">
              <w:rPr>
                <w:rFonts w:ascii="Times New Roman" w:hAnsi="Times New Roman"/>
                <w:b/>
                <w:bCs/>
                <w:sz w:val="20"/>
                <w:szCs w:val="20"/>
                <w:lang w:eastAsia="ru-RU"/>
              </w:rPr>
              <w:t xml:space="preserve"> </w:t>
            </w:r>
            <w:proofErr w:type="spellStart"/>
            <w:r w:rsidRPr="0065475C">
              <w:rPr>
                <w:rFonts w:ascii="Times New Roman" w:hAnsi="Times New Roman"/>
                <w:b/>
                <w:bCs/>
                <w:sz w:val="20"/>
                <w:szCs w:val="20"/>
                <w:lang w:eastAsia="ru-RU"/>
              </w:rPr>
              <w:t>asumate</w:t>
            </w:r>
            <w:proofErr w:type="spellEnd"/>
            <w:r w:rsidRPr="0065475C">
              <w:rPr>
                <w:rFonts w:ascii="Times New Roman" w:hAnsi="Times New Roman"/>
                <w:b/>
                <w:bCs/>
                <w:sz w:val="20"/>
                <w:szCs w:val="20"/>
                <w:lang w:eastAsia="ru-RU"/>
              </w:rPr>
              <w:t xml:space="preserve"> în </w:t>
            </w:r>
            <w:proofErr w:type="spellStart"/>
            <w:r w:rsidRPr="0065475C">
              <w:rPr>
                <w:rFonts w:ascii="Times New Roman" w:hAnsi="Times New Roman"/>
                <w:b/>
                <w:bCs/>
                <w:sz w:val="20"/>
                <w:szCs w:val="20"/>
                <w:lang w:eastAsia="ru-RU"/>
              </w:rPr>
              <w:t>temeiul</w:t>
            </w:r>
            <w:proofErr w:type="spellEnd"/>
            <w:r w:rsidRPr="0065475C">
              <w:rPr>
                <w:rFonts w:ascii="Times New Roman" w:hAnsi="Times New Roman"/>
                <w:b/>
                <w:bCs/>
                <w:sz w:val="20"/>
                <w:szCs w:val="20"/>
                <w:lang w:eastAsia="ru-RU"/>
              </w:rPr>
              <w:t xml:space="preserve"> </w:t>
            </w:r>
            <w:proofErr w:type="spellStart"/>
            <w:r w:rsidRPr="0065475C">
              <w:rPr>
                <w:rFonts w:ascii="Times New Roman" w:hAnsi="Times New Roman"/>
                <w:b/>
                <w:bCs/>
                <w:sz w:val="20"/>
                <w:szCs w:val="20"/>
                <w:lang w:eastAsia="ru-RU"/>
              </w:rPr>
              <w:t>Regulamentului</w:t>
            </w:r>
            <w:proofErr w:type="spellEnd"/>
            <w:r w:rsidRPr="0065475C">
              <w:rPr>
                <w:rFonts w:ascii="Times New Roman" w:hAnsi="Times New Roman"/>
                <w:b/>
                <w:bCs/>
                <w:sz w:val="20"/>
                <w:szCs w:val="20"/>
                <w:lang w:eastAsia="ru-RU"/>
              </w:rPr>
              <w:t xml:space="preserve"> (UE)</w:t>
            </w:r>
            <w:r w:rsidR="00B40113" w:rsidRPr="0065475C">
              <w:rPr>
                <w:rFonts w:ascii="Times New Roman" w:hAnsi="Times New Roman"/>
                <w:b/>
                <w:bCs/>
                <w:sz w:val="20"/>
                <w:szCs w:val="20"/>
                <w:lang w:eastAsia="ru-RU"/>
              </w:rPr>
              <w:t xml:space="preserve"> </w:t>
            </w:r>
            <w:r w:rsidRPr="0065475C">
              <w:rPr>
                <w:rFonts w:ascii="Times New Roman" w:hAnsi="Times New Roman"/>
                <w:b/>
                <w:bCs/>
                <w:sz w:val="20"/>
                <w:szCs w:val="20"/>
                <w:lang w:eastAsia="ru-RU"/>
              </w:rPr>
              <w:t>2018/842</w:t>
            </w:r>
          </w:p>
          <w:p w14:paraId="08138790" w14:textId="67DA6E03" w:rsidR="008F5636" w:rsidRPr="0065475C" w:rsidRDefault="008F5636" w:rsidP="00B40113">
            <w:pPr>
              <w:spacing w:after="0" w:line="240" w:lineRule="auto"/>
              <w:jc w:val="both"/>
              <w:rPr>
                <w:rFonts w:ascii="Times New Roman" w:hAnsi="Times New Roman"/>
                <w:sz w:val="20"/>
                <w:szCs w:val="20"/>
                <w:lang w:eastAsia="ru-RU"/>
              </w:rPr>
            </w:pPr>
            <w:r w:rsidRPr="0065475C">
              <w:rPr>
                <w:rFonts w:ascii="Times New Roman" w:hAnsi="Times New Roman"/>
                <w:sz w:val="20"/>
                <w:szCs w:val="20"/>
                <w:lang w:eastAsia="ru-RU"/>
              </w:rPr>
              <w:t>(</w:t>
            </w:r>
            <w:proofErr w:type="gramStart"/>
            <w:r w:rsidRPr="0065475C">
              <w:rPr>
                <w:rFonts w:ascii="Times New Roman" w:hAnsi="Times New Roman"/>
                <w:sz w:val="20"/>
                <w:szCs w:val="20"/>
                <w:lang w:eastAsia="ru-RU"/>
              </w:rPr>
              <w:t>1)Pe</w:t>
            </w:r>
            <w:proofErr w:type="gram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baza</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evaluării</w:t>
            </w:r>
            <w:proofErr w:type="spellEnd"/>
            <w:r w:rsidRPr="0065475C">
              <w:rPr>
                <w:rFonts w:ascii="Times New Roman" w:hAnsi="Times New Roman"/>
                <w:sz w:val="20"/>
                <w:szCs w:val="20"/>
                <w:lang w:eastAsia="ru-RU"/>
              </w:rPr>
              <w:t xml:space="preserve"> în </w:t>
            </w:r>
            <w:proofErr w:type="spellStart"/>
            <w:r w:rsidRPr="0065475C">
              <w:rPr>
                <w:rFonts w:ascii="Times New Roman" w:hAnsi="Times New Roman"/>
                <w:sz w:val="20"/>
                <w:szCs w:val="20"/>
                <w:lang w:eastAsia="ru-RU"/>
              </w:rPr>
              <w:t>temeiul</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articolului</w:t>
            </w:r>
            <w:proofErr w:type="spellEnd"/>
            <w:r w:rsidR="00B40113" w:rsidRPr="0065475C">
              <w:rPr>
                <w:rFonts w:ascii="Times New Roman" w:hAnsi="Times New Roman"/>
                <w:sz w:val="20"/>
                <w:szCs w:val="20"/>
                <w:lang w:eastAsia="ru-RU"/>
              </w:rPr>
              <w:t xml:space="preserve"> </w:t>
            </w:r>
            <w:r w:rsidRPr="0065475C">
              <w:rPr>
                <w:rFonts w:ascii="Times New Roman" w:hAnsi="Times New Roman"/>
                <w:sz w:val="20"/>
                <w:szCs w:val="20"/>
                <w:lang w:eastAsia="ru-RU"/>
              </w:rPr>
              <w:t xml:space="preserve">29, </w:t>
            </w:r>
            <w:proofErr w:type="spellStart"/>
            <w:r w:rsidRPr="0065475C">
              <w:rPr>
                <w:rFonts w:ascii="Times New Roman" w:hAnsi="Times New Roman"/>
                <w:sz w:val="20"/>
                <w:szCs w:val="20"/>
                <w:lang w:eastAsia="ru-RU"/>
              </w:rPr>
              <w:t>Comisia</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emite</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recomandări</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către</w:t>
            </w:r>
            <w:proofErr w:type="spellEnd"/>
            <w:r w:rsidRPr="0065475C">
              <w:rPr>
                <w:rFonts w:ascii="Times New Roman" w:hAnsi="Times New Roman"/>
                <w:sz w:val="20"/>
                <w:szCs w:val="20"/>
                <w:lang w:eastAsia="ru-RU"/>
              </w:rPr>
              <w:t xml:space="preserve"> un stat</w:t>
            </w:r>
            <w:r w:rsidR="00B40113"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membru</w:t>
            </w:r>
            <w:proofErr w:type="spellEnd"/>
            <w:r w:rsidRPr="0065475C">
              <w:rPr>
                <w:rFonts w:ascii="Times New Roman" w:hAnsi="Times New Roman"/>
                <w:sz w:val="20"/>
                <w:szCs w:val="20"/>
                <w:lang w:eastAsia="ru-RU"/>
              </w:rPr>
              <w:t xml:space="preserve">, în </w:t>
            </w:r>
            <w:proofErr w:type="spellStart"/>
            <w:r w:rsidRPr="0065475C">
              <w:rPr>
                <w:rFonts w:ascii="Times New Roman" w:hAnsi="Times New Roman"/>
                <w:sz w:val="20"/>
                <w:szCs w:val="20"/>
                <w:lang w:eastAsia="ru-RU"/>
              </w:rPr>
              <w:t>temeiul</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articolului</w:t>
            </w:r>
            <w:proofErr w:type="spellEnd"/>
            <w:r w:rsidR="00B40113" w:rsidRPr="0065475C">
              <w:rPr>
                <w:rFonts w:ascii="Times New Roman" w:hAnsi="Times New Roman"/>
                <w:sz w:val="20"/>
                <w:szCs w:val="20"/>
                <w:lang w:eastAsia="ru-RU"/>
              </w:rPr>
              <w:t xml:space="preserve"> </w:t>
            </w:r>
            <w:r w:rsidRPr="0065475C">
              <w:rPr>
                <w:rFonts w:ascii="Times New Roman" w:hAnsi="Times New Roman"/>
                <w:sz w:val="20"/>
                <w:szCs w:val="20"/>
                <w:lang w:eastAsia="ru-RU"/>
              </w:rPr>
              <w:t xml:space="preserve">34, în </w:t>
            </w:r>
            <w:proofErr w:type="spellStart"/>
            <w:r w:rsidRPr="0065475C">
              <w:rPr>
                <w:rFonts w:ascii="Times New Roman" w:hAnsi="Times New Roman"/>
                <w:sz w:val="20"/>
                <w:szCs w:val="20"/>
                <w:lang w:eastAsia="ru-RU"/>
              </w:rPr>
              <w:t>cazul</w:t>
            </w:r>
            <w:proofErr w:type="spellEnd"/>
            <w:r w:rsidRPr="0065475C">
              <w:rPr>
                <w:rFonts w:ascii="Times New Roman" w:hAnsi="Times New Roman"/>
                <w:sz w:val="20"/>
                <w:szCs w:val="20"/>
                <w:lang w:eastAsia="ru-RU"/>
              </w:rPr>
              <w:t xml:space="preserve"> în care </w:t>
            </w:r>
            <w:proofErr w:type="spellStart"/>
            <w:r w:rsidRPr="0065475C">
              <w:rPr>
                <w:rFonts w:ascii="Times New Roman" w:hAnsi="Times New Roman"/>
                <w:sz w:val="20"/>
                <w:szCs w:val="20"/>
                <w:lang w:eastAsia="ru-RU"/>
              </w:rPr>
              <w:t>evoluțiile</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politicilor</w:t>
            </w:r>
            <w:proofErr w:type="spellEnd"/>
            <w:r w:rsidRPr="0065475C">
              <w:rPr>
                <w:rFonts w:ascii="Times New Roman" w:hAnsi="Times New Roman"/>
                <w:sz w:val="20"/>
                <w:szCs w:val="20"/>
                <w:lang w:eastAsia="ru-RU"/>
              </w:rPr>
              <w:t xml:space="preserve"> din </w:t>
            </w:r>
            <w:proofErr w:type="spellStart"/>
            <w:r w:rsidRPr="0065475C">
              <w:rPr>
                <w:rFonts w:ascii="Times New Roman" w:hAnsi="Times New Roman"/>
                <w:sz w:val="20"/>
                <w:szCs w:val="20"/>
                <w:lang w:eastAsia="ru-RU"/>
              </w:rPr>
              <w:t>statul</w:t>
            </w:r>
            <w:proofErr w:type="spellEnd"/>
            <w:r w:rsidR="00B40113"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membru</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respectiv</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prezintă</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neconcordanțe</w:t>
            </w:r>
            <w:proofErr w:type="spellEnd"/>
            <w:r w:rsidRPr="0065475C">
              <w:rPr>
                <w:rFonts w:ascii="Times New Roman" w:hAnsi="Times New Roman"/>
                <w:sz w:val="20"/>
                <w:szCs w:val="20"/>
                <w:lang w:eastAsia="ru-RU"/>
              </w:rPr>
              <w:t xml:space="preserve"> cu </w:t>
            </w:r>
            <w:proofErr w:type="spellStart"/>
            <w:r w:rsidRPr="0065475C">
              <w:rPr>
                <w:rFonts w:ascii="Times New Roman" w:hAnsi="Times New Roman"/>
                <w:sz w:val="20"/>
                <w:szCs w:val="20"/>
                <w:lang w:eastAsia="ru-RU"/>
              </w:rPr>
              <w:t>obiectivele</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generale</w:t>
            </w:r>
            <w:proofErr w:type="spellEnd"/>
            <w:r w:rsidRPr="0065475C">
              <w:rPr>
                <w:rFonts w:ascii="Times New Roman" w:hAnsi="Times New Roman"/>
                <w:sz w:val="20"/>
                <w:szCs w:val="20"/>
                <w:lang w:eastAsia="ru-RU"/>
              </w:rPr>
              <w:t xml:space="preserve"> ale </w:t>
            </w:r>
            <w:proofErr w:type="spellStart"/>
            <w:r w:rsidRPr="0065475C">
              <w:rPr>
                <w:rFonts w:ascii="Times New Roman" w:hAnsi="Times New Roman"/>
                <w:sz w:val="20"/>
                <w:szCs w:val="20"/>
                <w:lang w:eastAsia="ru-RU"/>
              </w:rPr>
              <w:t>uniunii</w:t>
            </w:r>
            <w:proofErr w:type="spellEnd"/>
            <w:r w:rsidRPr="0065475C">
              <w:rPr>
                <w:rFonts w:ascii="Times New Roman" w:hAnsi="Times New Roman"/>
                <w:sz w:val="20"/>
                <w:szCs w:val="20"/>
                <w:lang w:eastAsia="ru-RU"/>
              </w:rPr>
              <w:t xml:space="preserve"> </w:t>
            </w:r>
            <w:proofErr w:type="spellStart"/>
            <w:r w:rsidRPr="0065475C">
              <w:rPr>
                <w:rFonts w:ascii="Times New Roman" w:hAnsi="Times New Roman"/>
                <w:sz w:val="20"/>
                <w:szCs w:val="20"/>
                <w:lang w:eastAsia="ru-RU"/>
              </w:rPr>
              <w:t>energetice</w:t>
            </w:r>
            <w:proofErr w:type="spellEnd"/>
            <w:r w:rsidRPr="0065475C">
              <w:rPr>
                <w:rFonts w:ascii="Times New Roman" w:hAnsi="Times New Roman"/>
                <w:sz w:val="20"/>
                <w:szCs w:val="20"/>
                <w:lang w:eastAsia="ru-RU"/>
              </w:rPr>
              <w:t>.</w:t>
            </w:r>
          </w:p>
          <w:p w14:paraId="312DBDAD" w14:textId="719746FE" w:rsidR="008F5636" w:rsidRPr="00B40113" w:rsidRDefault="00B40113" w:rsidP="00B40113">
            <w:pPr>
              <w:jc w:val="both"/>
              <w:rPr>
                <w:rFonts w:ascii="Times New Roman" w:hAnsi="Times New Roman"/>
                <w:sz w:val="20"/>
                <w:szCs w:val="20"/>
                <w:lang w:val="fr-FR"/>
              </w:rPr>
            </w:pPr>
            <w:r w:rsidRPr="0065475C">
              <w:rPr>
                <w:rFonts w:ascii="Times New Roman" w:hAnsi="Times New Roman"/>
                <w:sz w:val="20"/>
                <w:szCs w:val="20"/>
                <w:lang w:val="fr-FR"/>
              </w:rPr>
              <w:t>(</w:t>
            </w:r>
            <w:proofErr w:type="gramStart"/>
            <w:r w:rsidRPr="0065475C">
              <w:rPr>
                <w:rFonts w:ascii="Times New Roman" w:hAnsi="Times New Roman"/>
                <w:sz w:val="20"/>
                <w:szCs w:val="20"/>
                <w:lang w:val="fr-FR"/>
              </w:rPr>
              <w:t>2)Un</w:t>
            </w:r>
            <w:proofErr w:type="gramEnd"/>
            <w:r w:rsidRPr="0065475C">
              <w:rPr>
                <w:rFonts w:ascii="Times New Roman" w:hAnsi="Times New Roman"/>
                <w:sz w:val="20"/>
                <w:szCs w:val="20"/>
                <w:lang w:val="fr-FR"/>
              </w:rPr>
              <w:t xml:space="preserve"> stat membru care </w:t>
            </w:r>
            <w:proofErr w:type="spellStart"/>
            <w:r w:rsidRPr="0065475C">
              <w:rPr>
                <w:rFonts w:ascii="Times New Roman" w:hAnsi="Times New Roman"/>
                <w:sz w:val="20"/>
                <w:szCs w:val="20"/>
                <w:lang w:val="fr-FR"/>
              </w:rPr>
              <w:t>intenționează</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să</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recurgă</w:t>
            </w:r>
            <w:proofErr w:type="spellEnd"/>
            <w:r w:rsidRPr="0065475C">
              <w:rPr>
                <w:rFonts w:ascii="Times New Roman" w:hAnsi="Times New Roman"/>
                <w:sz w:val="20"/>
                <w:szCs w:val="20"/>
                <w:lang w:val="fr-FR"/>
              </w:rPr>
              <w:t xml:space="preserve"> la </w:t>
            </w:r>
            <w:proofErr w:type="spellStart"/>
            <w:r w:rsidRPr="0065475C">
              <w:rPr>
                <w:rFonts w:ascii="Times New Roman" w:hAnsi="Times New Roman"/>
                <w:sz w:val="20"/>
                <w:szCs w:val="20"/>
                <w:lang w:val="fr-FR"/>
              </w:rPr>
              <w:t>mecanismul</w:t>
            </w:r>
            <w:proofErr w:type="spellEnd"/>
            <w:r w:rsidRPr="0065475C">
              <w:rPr>
                <w:rFonts w:ascii="Times New Roman" w:hAnsi="Times New Roman"/>
                <w:sz w:val="20"/>
                <w:szCs w:val="20"/>
                <w:lang w:val="fr-FR"/>
              </w:rPr>
              <w:t xml:space="preserve"> de </w:t>
            </w:r>
            <w:proofErr w:type="spellStart"/>
            <w:r w:rsidRPr="0065475C">
              <w:rPr>
                <w:rFonts w:ascii="Times New Roman" w:hAnsi="Times New Roman"/>
                <w:sz w:val="20"/>
                <w:szCs w:val="20"/>
                <w:lang w:val="fr-FR"/>
              </w:rPr>
              <w:t>flexibilitate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prevăzut</w:t>
            </w:r>
            <w:proofErr w:type="spellEnd"/>
            <w:r w:rsidRPr="0065475C">
              <w:rPr>
                <w:rFonts w:ascii="Times New Roman" w:hAnsi="Times New Roman"/>
                <w:sz w:val="20"/>
                <w:szCs w:val="20"/>
                <w:lang w:val="fr-FR"/>
              </w:rPr>
              <w:t xml:space="preserve"> la </w:t>
            </w:r>
            <w:proofErr w:type="spellStart"/>
            <w:r w:rsidRPr="0065475C">
              <w:rPr>
                <w:rFonts w:ascii="Times New Roman" w:hAnsi="Times New Roman"/>
                <w:sz w:val="20"/>
                <w:szCs w:val="20"/>
                <w:lang w:val="fr-FR"/>
              </w:rPr>
              <w:t>articolul</w:t>
            </w:r>
            <w:proofErr w:type="spellEnd"/>
            <w:r w:rsidRPr="0065475C">
              <w:rPr>
                <w:rFonts w:ascii="Times New Roman" w:hAnsi="Times New Roman"/>
                <w:sz w:val="20"/>
                <w:szCs w:val="20"/>
                <w:lang w:val="fr-FR"/>
              </w:rPr>
              <w:t xml:space="preserve"> 7 </w:t>
            </w:r>
            <w:proofErr w:type="spellStart"/>
            <w:r w:rsidRPr="0065475C">
              <w:rPr>
                <w:rFonts w:ascii="Times New Roman" w:hAnsi="Times New Roman"/>
                <w:sz w:val="20"/>
                <w:szCs w:val="20"/>
                <w:lang w:val="fr-FR"/>
              </w:rPr>
              <w:t>din</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Regulamentul</w:t>
            </w:r>
            <w:proofErr w:type="spellEnd"/>
            <w:r w:rsidRPr="0065475C">
              <w:rPr>
                <w:rFonts w:ascii="Times New Roman" w:hAnsi="Times New Roman"/>
                <w:sz w:val="20"/>
                <w:szCs w:val="20"/>
                <w:lang w:val="fr-FR"/>
              </w:rPr>
              <w:t xml:space="preserve"> (UE) 2018/842 </w:t>
            </w:r>
            <w:proofErr w:type="spellStart"/>
            <w:r w:rsidRPr="0065475C">
              <w:rPr>
                <w:rFonts w:ascii="Times New Roman" w:hAnsi="Times New Roman"/>
                <w:sz w:val="20"/>
                <w:szCs w:val="20"/>
                <w:lang w:val="fr-FR"/>
              </w:rPr>
              <w:t>include</w:t>
            </w:r>
            <w:proofErr w:type="spellEnd"/>
            <w:r w:rsidRPr="0065475C">
              <w:rPr>
                <w:rFonts w:ascii="Times New Roman" w:hAnsi="Times New Roman"/>
                <w:sz w:val="20"/>
                <w:szCs w:val="20"/>
                <w:lang w:val="fr-FR"/>
              </w:rPr>
              <w:t xml:space="preserve"> în </w:t>
            </w:r>
            <w:proofErr w:type="spellStart"/>
            <w:r w:rsidRPr="0065475C">
              <w:rPr>
                <w:rFonts w:ascii="Times New Roman" w:hAnsi="Times New Roman"/>
                <w:sz w:val="20"/>
                <w:szCs w:val="20"/>
                <w:lang w:val="fr-FR"/>
              </w:rPr>
              <w:t>planul</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național</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integrat</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privind</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energia</w:t>
            </w:r>
            <w:proofErr w:type="spellEnd"/>
            <w:r w:rsidRPr="0065475C">
              <w:rPr>
                <w:rFonts w:ascii="Times New Roman" w:hAnsi="Times New Roman"/>
                <w:sz w:val="20"/>
                <w:szCs w:val="20"/>
                <w:lang w:val="fr-FR"/>
              </w:rPr>
              <w:t xml:space="preserve"> și </w:t>
            </w:r>
            <w:proofErr w:type="spellStart"/>
            <w:r w:rsidRPr="0065475C">
              <w:rPr>
                <w:rFonts w:ascii="Times New Roman" w:hAnsi="Times New Roman"/>
                <w:sz w:val="20"/>
                <w:szCs w:val="20"/>
                <w:lang w:val="fr-FR"/>
              </w:rPr>
              <w:t>clima</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odată</w:t>
            </w:r>
            <w:proofErr w:type="spellEnd"/>
            <w:r w:rsidRPr="0065475C">
              <w:rPr>
                <w:rFonts w:ascii="Times New Roman" w:hAnsi="Times New Roman"/>
                <w:sz w:val="20"/>
                <w:szCs w:val="20"/>
                <w:lang w:val="fr-FR"/>
              </w:rPr>
              <w:t xml:space="preserve"> ce </w:t>
            </w:r>
            <w:proofErr w:type="spellStart"/>
            <w:r w:rsidRPr="0065475C">
              <w:rPr>
                <w:rFonts w:ascii="Times New Roman" w:hAnsi="Times New Roman"/>
                <w:sz w:val="20"/>
                <w:szCs w:val="20"/>
                <w:lang w:val="fr-FR"/>
              </w:rPr>
              <w:t>informațiile</w:t>
            </w:r>
            <w:proofErr w:type="spellEnd"/>
            <w:r w:rsidRPr="0065475C">
              <w:rPr>
                <w:rFonts w:ascii="Times New Roman" w:hAnsi="Times New Roman"/>
                <w:sz w:val="20"/>
                <w:szCs w:val="20"/>
                <w:lang w:val="fr-FR"/>
              </w:rPr>
              <w:t xml:space="preserve"> devin </w:t>
            </w:r>
            <w:proofErr w:type="spellStart"/>
            <w:r w:rsidRPr="0065475C">
              <w:rPr>
                <w:rFonts w:ascii="Times New Roman" w:hAnsi="Times New Roman"/>
                <w:sz w:val="20"/>
                <w:szCs w:val="20"/>
                <w:lang w:val="fr-FR"/>
              </w:rPr>
              <w:t>disponibile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nivelul</w:t>
            </w:r>
            <w:proofErr w:type="spellEnd"/>
            <w:r w:rsidRPr="0065475C">
              <w:rPr>
                <w:rFonts w:ascii="Times New Roman" w:hAnsi="Times New Roman"/>
                <w:sz w:val="20"/>
                <w:szCs w:val="20"/>
                <w:lang w:val="fr-FR"/>
              </w:rPr>
              <w:t xml:space="preserve"> de </w:t>
            </w:r>
            <w:proofErr w:type="spellStart"/>
            <w:r w:rsidRPr="0065475C">
              <w:rPr>
                <w:rFonts w:ascii="Times New Roman" w:hAnsi="Times New Roman"/>
                <w:sz w:val="20"/>
                <w:szCs w:val="20"/>
                <w:lang w:val="fr-FR"/>
              </w:rPr>
              <w:t>utilizare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preconizat</w:t>
            </w:r>
            <w:proofErr w:type="spellEnd"/>
            <w:r w:rsidRPr="0065475C">
              <w:rPr>
                <w:rFonts w:ascii="Times New Roman" w:hAnsi="Times New Roman"/>
                <w:sz w:val="20"/>
                <w:szCs w:val="20"/>
                <w:lang w:val="fr-FR"/>
              </w:rPr>
              <w:t xml:space="preserve"> și </w:t>
            </w:r>
            <w:proofErr w:type="spellStart"/>
            <w:r w:rsidRPr="0065475C">
              <w:rPr>
                <w:rFonts w:ascii="Times New Roman" w:hAnsi="Times New Roman"/>
                <w:sz w:val="20"/>
                <w:szCs w:val="20"/>
                <w:lang w:val="fr-FR"/>
              </w:rPr>
              <w:t>politicile</w:t>
            </w:r>
            <w:proofErr w:type="spellEnd"/>
            <w:r w:rsidRPr="0065475C">
              <w:rPr>
                <w:rFonts w:ascii="Times New Roman" w:hAnsi="Times New Roman"/>
                <w:sz w:val="20"/>
                <w:szCs w:val="20"/>
                <w:lang w:val="fr-FR"/>
              </w:rPr>
              <w:t xml:space="preserve"> și </w:t>
            </w:r>
            <w:proofErr w:type="spellStart"/>
            <w:r w:rsidRPr="0065475C">
              <w:rPr>
                <w:rFonts w:ascii="Times New Roman" w:hAnsi="Times New Roman"/>
                <w:sz w:val="20"/>
                <w:szCs w:val="20"/>
                <w:lang w:val="fr-FR"/>
              </w:rPr>
              <w:t>măsurile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planificate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pentru</w:t>
            </w:r>
            <w:proofErr w:type="spellEnd"/>
            <w:r w:rsidRPr="0065475C">
              <w:rPr>
                <w:rFonts w:ascii="Times New Roman" w:hAnsi="Times New Roman"/>
                <w:sz w:val="20"/>
                <w:szCs w:val="20"/>
                <w:lang w:val="fr-FR"/>
              </w:rPr>
              <w:t xml:space="preserve"> a </w:t>
            </w:r>
            <w:proofErr w:type="spellStart"/>
            <w:r w:rsidRPr="0065475C">
              <w:rPr>
                <w:rFonts w:ascii="Times New Roman" w:hAnsi="Times New Roman"/>
                <w:sz w:val="20"/>
                <w:szCs w:val="20"/>
                <w:lang w:val="fr-FR"/>
              </w:rPr>
              <w:t>îndeplini</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cerințele</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stabilite</w:t>
            </w:r>
            <w:proofErr w:type="spellEnd"/>
            <w:r w:rsidRPr="0065475C">
              <w:rPr>
                <w:rFonts w:ascii="Times New Roman" w:hAnsi="Times New Roman"/>
                <w:sz w:val="20"/>
                <w:szCs w:val="20"/>
                <w:lang w:val="fr-FR"/>
              </w:rPr>
              <w:t xml:space="preserve"> la </w:t>
            </w:r>
            <w:proofErr w:type="spellStart"/>
            <w:r w:rsidRPr="0065475C">
              <w:rPr>
                <w:rFonts w:ascii="Times New Roman" w:hAnsi="Times New Roman"/>
                <w:sz w:val="20"/>
                <w:szCs w:val="20"/>
                <w:lang w:val="fr-FR"/>
              </w:rPr>
              <w:t>articolul</w:t>
            </w:r>
            <w:proofErr w:type="spellEnd"/>
            <w:r w:rsidRPr="0065475C">
              <w:rPr>
                <w:rFonts w:ascii="Times New Roman" w:hAnsi="Times New Roman"/>
                <w:sz w:val="20"/>
                <w:szCs w:val="20"/>
                <w:lang w:val="fr-FR"/>
              </w:rPr>
              <w:t xml:space="preserve"> 4 </w:t>
            </w:r>
            <w:proofErr w:type="spellStart"/>
            <w:r w:rsidRPr="0065475C">
              <w:rPr>
                <w:rFonts w:ascii="Times New Roman" w:hAnsi="Times New Roman"/>
                <w:sz w:val="20"/>
                <w:szCs w:val="20"/>
                <w:lang w:val="fr-FR"/>
              </w:rPr>
              <w:t>din</w:t>
            </w:r>
            <w:proofErr w:type="spellEnd"/>
            <w:r w:rsidRPr="0065475C">
              <w:rPr>
                <w:rFonts w:ascii="Times New Roman" w:hAnsi="Times New Roman"/>
                <w:sz w:val="20"/>
                <w:szCs w:val="20"/>
                <w:lang w:val="fr-FR"/>
              </w:rPr>
              <w:t xml:space="preserve"> </w:t>
            </w:r>
            <w:proofErr w:type="spellStart"/>
            <w:r w:rsidRPr="0065475C">
              <w:rPr>
                <w:rFonts w:ascii="Times New Roman" w:hAnsi="Times New Roman"/>
                <w:sz w:val="20"/>
                <w:szCs w:val="20"/>
                <w:lang w:val="fr-FR"/>
              </w:rPr>
              <w:t>Regulamentul</w:t>
            </w:r>
            <w:proofErr w:type="spellEnd"/>
            <w:r w:rsidRPr="0065475C">
              <w:rPr>
                <w:rFonts w:ascii="Times New Roman" w:hAnsi="Times New Roman"/>
                <w:sz w:val="20"/>
                <w:szCs w:val="20"/>
                <w:lang w:val="fr-FR"/>
              </w:rPr>
              <w:t xml:space="preserve"> (UE) 2018/841 </w:t>
            </w:r>
            <w:proofErr w:type="spellStart"/>
            <w:r w:rsidRPr="0065475C">
              <w:rPr>
                <w:rFonts w:ascii="Times New Roman" w:hAnsi="Times New Roman"/>
                <w:sz w:val="20"/>
                <w:szCs w:val="20"/>
                <w:lang w:val="fr-FR"/>
              </w:rPr>
              <w:t>pentru</w:t>
            </w:r>
            <w:proofErr w:type="spellEnd"/>
            <w:r w:rsidRPr="0065475C">
              <w:rPr>
                <w:rFonts w:ascii="Times New Roman" w:hAnsi="Times New Roman"/>
                <w:sz w:val="20"/>
                <w:szCs w:val="20"/>
                <w:lang w:val="fr-FR"/>
              </w:rPr>
              <w:t xml:space="preserve"> perioada 2021-2030.</w:t>
            </w:r>
          </w:p>
        </w:tc>
        <w:tc>
          <w:tcPr>
            <w:tcW w:w="4440" w:type="dxa"/>
          </w:tcPr>
          <w:p w14:paraId="42D271C9" w14:textId="77777777" w:rsidR="008F5636" w:rsidRPr="000B2510" w:rsidRDefault="008F5636" w:rsidP="00077DF7">
            <w:pPr>
              <w:suppressAutoHyphens w:val="0"/>
              <w:autoSpaceDN/>
              <w:spacing w:after="0" w:line="240" w:lineRule="auto"/>
              <w:jc w:val="both"/>
              <w:textAlignment w:val="auto"/>
              <w:rPr>
                <w:lang w:val="ro-MD"/>
              </w:rPr>
            </w:pPr>
          </w:p>
        </w:tc>
        <w:tc>
          <w:tcPr>
            <w:tcW w:w="1276" w:type="dxa"/>
          </w:tcPr>
          <w:p w14:paraId="1E6400FE" w14:textId="057169F4" w:rsidR="008F5636" w:rsidRPr="00745D9A" w:rsidRDefault="000B2510" w:rsidP="008F5636">
            <w:pPr>
              <w:pStyle w:val="ColorfulList-Accent11"/>
              <w:spacing w:after="0" w:line="240" w:lineRule="auto"/>
              <w:ind w:left="0"/>
              <w:jc w:val="both"/>
              <w:rPr>
                <w:lang w:val="fr-FR"/>
              </w:rPr>
            </w:pPr>
            <w:r>
              <w:rPr>
                <w:rFonts w:ascii="Times New Roman" w:hAnsi="Times New Roman"/>
                <w:sz w:val="20"/>
                <w:szCs w:val="20"/>
                <w:lang w:val="ro-RO"/>
              </w:rPr>
              <w:t>Parțial c</w:t>
            </w:r>
            <w:r w:rsidR="00B40113" w:rsidRPr="00C951E7">
              <w:rPr>
                <w:rFonts w:ascii="Times New Roman" w:hAnsi="Times New Roman"/>
                <w:sz w:val="20"/>
                <w:szCs w:val="20"/>
                <w:lang w:val="ro-RO"/>
              </w:rPr>
              <w:t>ompatibil</w:t>
            </w:r>
          </w:p>
        </w:tc>
        <w:tc>
          <w:tcPr>
            <w:tcW w:w="1276" w:type="dxa"/>
          </w:tcPr>
          <w:p w14:paraId="7D86C2FF" w14:textId="77777777" w:rsidR="008F5636" w:rsidRPr="00745D9A" w:rsidRDefault="008F5636" w:rsidP="008F5636">
            <w:pPr>
              <w:pStyle w:val="ColorfulList-Accent11"/>
              <w:spacing w:after="0" w:line="240" w:lineRule="auto"/>
              <w:ind w:left="0"/>
              <w:jc w:val="both"/>
              <w:rPr>
                <w:lang w:val="fr-FR"/>
              </w:rPr>
            </w:pPr>
          </w:p>
        </w:tc>
        <w:tc>
          <w:tcPr>
            <w:tcW w:w="1701" w:type="dxa"/>
          </w:tcPr>
          <w:p w14:paraId="0688C5A3" w14:textId="678D75DD"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pct.70 din</w:t>
            </w:r>
            <w:r>
              <w:rPr>
                <w:rFonts w:ascii="Times New Roman" w:eastAsia="Times New Roman" w:hAnsi="Times New Roman"/>
                <w:sz w:val="20"/>
                <w:szCs w:val="20"/>
                <w:lang w:val="ro-RO" w:eastAsia="ru-RU"/>
              </w:rPr>
              <w:t xml:space="preserve"> </w:t>
            </w:r>
          </w:p>
          <w:p w14:paraId="4812BF2D"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4364CCF9" w14:textId="77777777" w:rsidR="00077DF7" w:rsidRDefault="00077DF7" w:rsidP="00B40113">
            <w:pPr>
              <w:pStyle w:val="ColorfulList-Accent11"/>
              <w:spacing w:after="0" w:line="240" w:lineRule="auto"/>
              <w:ind w:left="0"/>
              <w:jc w:val="both"/>
              <w:rPr>
                <w:rFonts w:ascii="Times New Roman" w:hAnsi="Times New Roman"/>
                <w:sz w:val="20"/>
                <w:szCs w:val="20"/>
                <w:shd w:val="clear" w:color="auto" w:fill="FFFFFF"/>
                <w:lang w:val="ro-RO"/>
              </w:rPr>
            </w:pPr>
          </w:p>
          <w:p w14:paraId="75C0F520" w14:textId="77777777" w:rsidR="00077DF7" w:rsidRDefault="00077DF7" w:rsidP="00B40113">
            <w:pPr>
              <w:pStyle w:val="ColorfulList-Accent11"/>
              <w:spacing w:after="0" w:line="240" w:lineRule="auto"/>
              <w:ind w:left="0"/>
              <w:jc w:val="both"/>
              <w:rPr>
                <w:rFonts w:ascii="Times New Roman" w:hAnsi="Times New Roman"/>
                <w:sz w:val="20"/>
                <w:szCs w:val="20"/>
                <w:shd w:val="clear" w:color="auto" w:fill="FFFFFF"/>
                <w:lang w:val="ro-RO"/>
              </w:rPr>
            </w:pPr>
          </w:p>
          <w:p w14:paraId="35F3AFB7" w14:textId="65632269" w:rsidR="00077DF7" w:rsidRPr="00077DF7" w:rsidRDefault="000B2510" w:rsidP="00B40113">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7AE694DD" w14:textId="77777777" w:rsidR="0065475C" w:rsidRPr="003F755D" w:rsidRDefault="00B40113" w:rsidP="0065475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65475C" w:rsidRPr="00A81801">
              <w:rPr>
                <w:rFonts w:ascii="Times New Roman" w:hAnsi="Times New Roman"/>
                <w:color w:val="000000" w:themeColor="text1"/>
                <w:sz w:val="20"/>
                <w:szCs w:val="20"/>
              </w:rPr>
              <w:t>Energiei</w:t>
            </w:r>
          </w:p>
          <w:p w14:paraId="60A8DBB7" w14:textId="4B0E33D0" w:rsidR="008F5636" w:rsidRPr="00B40113" w:rsidRDefault="008F5636" w:rsidP="0065475C">
            <w:pPr>
              <w:autoSpaceDE w:val="0"/>
              <w:spacing w:after="0" w:line="240" w:lineRule="auto"/>
              <w:rPr>
                <w:lang w:val="ro-RO"/>
              </w:rPr>
            </w:pPr>
          </w:p>
        </w:tc>
      </w:tr>
      <w:tr w:rsidR="008F5636" w:rsidRPr="000B2510" w14:paraId="3AECB9DB" w14:textId="77777777" w:rsidTr="00A90105">
        <w:tc>
          <w:tcPr>
            <w:tcW w:w="4945" w:type="dxa"/>
          </w:tcPr>
          <w:p w14:paraId="4021F0AA" w14:textId="77777777" w:rsidR="008F5636" w:rsidRPr="00C41275" w:rsidRDefault="008F5636" w:rsidP="003E7DF2">
            <w:pPr>
              <w:spacing w:after="0" w:line="240" w:lineRule="auto"/>
              <w:jc w:val="center"/>
              <w:rPr>
                <w:rFonts w:ascii="Times New Roman" w:hAnsi="Times New Roman"/>
                <w:sz w:val="20"/>
                <w:szCs w:val="20"/>
                <w:lang w:eastAsia="ru-RU"/>
              </w:rPr>
            </w:pPr>
            <w:proofErr w:type="spellStart"/>
            <w:r w:rsidRPr="00C41275">
              <w:rPr>
                <w:rFonts w:ascii="Times New Roman" w:hAnsi="Times New Roman"/>
                <w:sz w:val="20"/>
                <w:szCs w:val="20"/>
                <w:lang w:eastAsia="ru-RU"/>
              </w:rPr>
              <w:t>Articolul</w:t>
            </w:r>
            <w:proofErr w:type="spellEnd"/>
            <w:r w:rsidRPr="00C41275">
              <w:rPr>
                <w:rFonts w:ascii="Times New Roman" w:hAnsi="Times New Roman"/>
                <w:sz w:val="20"/>
                <w:szCs w:val="20"/>
                <w:lang w:eastAsia="ru-RU"/>
              </w:rPr>
              <w:t xml:space="preserve"> 31</w:t>
            </w:r>
          </w:p>
          <w:p w14:paraId="711A7AD4" w14:textId="77777777" w:rsidR="008F5636" w:rsidRPr="00C41275" w:rsidRDefault="008F5636" w:rsidP="003E7DF2">
            <w:pPr>
              <w:spacing w:after="0" w:line="240" w:lineRule="auto"/>
              <w:jc w:val="center"/>
              <w:rPr>
                <w:rFonts w:ascii="Times New Roman" w:hAnsi="Times New Roman"/>
                <w:b/>
                <w:bCs/>
                <w:sz w:val="20"/>
                <w:szCs w:val="20"/>
                <w:lang w:eastAsia="ru-RU"/>
              </w:rPr>
            </w:pPr>
            <w:proofErr w:type="spellStart"/>
            <w:r w:rsidRPr="00C41275">
              <w:rPr>
                <w:rFonts w:ascii="Times New Roman" w:hAnsi="Times New Roman"/>
                <w:b/>
                <w:bCs/>
                <w:sz w:val="20"/>
                <w:szCs w:val="20"/>
                <w:lang w:eastAsia="ru-RU"/>
              </w:rPr>
              <w:t>Reacții</w:t>
            </w:r>
            <w:proofErr w:type="spellEnd"/>
            <w:r w:rsidRPr="00C41275">
              <w:rPr>
                <w:rFonts w:ascii="Times New Roman" w:hAnsi="Times New Roman"/>
                <w:b/>
                <w:bCs/>
                <w:sz w:val="20"/>
                <w:szCs w:val="20"/>
                <w:lang w:eastAsia="ru-RU"/>
              </w:rPr>
              <w:t xml:space="preserve"> la </w:t>
            </w:r>
            <w:proofErr w:type="spellStart"/>
            <w:r w:rsidRPr="00C41275">
              <w:rPr>
                <w:rFonts w:ascii="Times New Roman" w:hAnsi="Times New Roman"/>
                <w:b/>
                <w:bCs/>
                <w:sz w:val="20"/>
                <w:szCs w:val="20"/>
                <w:lang w:eastAsia="ru-RU"/>
              </w:rPr>
              <w:t>nivelul</w:t>
            </w:r>
            <w:proofErr w:type="spellEnd"/>
            <w:r w:rsidRPr="00C41275">
              <w:rPr>
                <w:rFonts w:ascii="Times New Roman" w:hAnsi="Times New Roman"/>
                <w:b/>
                <w:bCs/>
                <w:sz w:val="20"/>
                <w:szCs w:val="20"/>
                <w:lang w:eastAsia="ru-RU"/>
              </w:rPr>
              <w:t xml:space="preserve"> </w:t>
            </w:r>
            <w:proofErr w:type="spellStart"/>
            <w:r w:rsidRPr="00C41275">
              <w:rPr>
                <w:rFonts w:ascii="Times New Roman" w:hAnsi="Times New Roman"/>
                <w:b/>
                <w:bCs/>
                <w:sz w:val="20"/>
                <w:szCs w:val="20"/>
                <w:lang w:eastAsia="ru-RU"/>
              </w:rPr>
              <w:t>insuficient</w:t>
            </w:r>
            <w:proofErr w:type="spellEnd"/>
            <w:r w:rsidRPr="00C41275">
              <w:rPr>
                <w:rFonts w:ascii="Times New Roman" w:hAnsi="Times New Roman"/>
                <w:b/>
                <w:bCs/>
                <w:sz w:val="20"/>
                <w:szCs w:val="20"/>
                <w:lang w:eastAsia="ru-RU"/>
              </w:rPr>
              <w:t xml:space="preserve"> de </w:t>
            </w:r>
            <w:proofErr w:type="spellStart"/>
            <w:r w:rsidRPr="00C41275">
              <w:rPr>
                <w:rFonts w:ascii="Times New Roman" w:hAnsi="Times New Roman"/>
                <w:b/>
                <w:bCs/>
                <w:sz w:val="20"/>
                <w:szCs w:val="20"/>
                <w:lang w:eastAsia="ru-RU"/>
              </w:rPr>
              <w:t>ambiție</w:t>
            </w:r>
            <w:proofErr w:type="spellEnd"/>
            <w:r w:rsidRPr="00C41275">
              <w:rPr>
                <w:rFonts w:ascii="Times New Roman" w:hAnsi="Times New Roman"/>
                <w:b/>
                <w:bCs/>
                <w:sz w:val="20"/>
                <w:szCs w:val="20"/>
                <w:lang w:eastAsia="ru-RU"/>
              </w:rPr>
              <w:t xml:space="preserve"> al </w:t>
            </w:r>
            <w:proofErr w:type="spellStart"/>
            <w:r w:rsidRPr="00C41275">
              <w:rPr>
                <w:rFonts w:ascii="Times New Roman" w:hAnsi="Times New Roman"/>
                <w:b/>
                <w:bCs/>
                <w:sz w:val="20"/>
                <w:szCs w:val="20"/>
                <w:lang w:eastAsia="ru-RU"/>
              </w:rPr>
              <w:t>planurilor</w:t>
            </w:r>
            <w:proofErr w:type="spellEnd"/>
            <w:r w:rsidRPr="00C41275">
              <w:rPr>
                <w:rFonts w:ascii="Times New Roman" w:hAnsi="Times New Roman"/>
                <w:b/>
                <w:bCs/>
                <w:sz w:val="20"/>
                <w:szCs w:val="20"/>
                <w:lang w:eastAsia="ru-RU"/>
              </w:rPr>
              <w:t xml:space="preserve"> </w:t>
            </w:r>
            <w:proofErr w:type="spellStart"/>
            <w:r w:rsidRPr="00C41275">
              <w:rPr>
                <w:rFonts w:ascii="Times New Roman" w:hAnsi="Times New Roman"/>
                <w:b/>
                <w:bCs/>
                <w:sz w:val="20"/>
                <w:szCs w:val="20"/>
                <w:lang w:eastAsia="ru-RU"/>
              </w:rPr>
              <w:t>naționale</w:t>
            </w:r>
            <w:proofErr w:type="spellEnd"/>
            <w:r w:rsidRPr="00C41275">
              <w:rPr>
                <w:rFonts w:ascii="Times New Roman" w:hAnsi="Times New Roman"/>
                <w:b/>
                <w:bCs/>
                <w:sz w:val="20"/>
                <w:szCs w:val="20"/>
                <w:lang w:eastAsia="ru-RU"/>
              </w:rPr>
              <w:t xml:space="preserve"> integrate </w:t>
            </w:r>
            <w:proofErr w:type="spellStart"/>
            <w:r w:rsidRPr="00C41275">
              <w:rPr>
                <w:rFonts w:ascii="Times New Roman" w:hAnsi="Times New Roman"/>
                <w:b/>
                <w:bCs/>
                <w:sz w:val="20"/>
                <w:szCs w:val="20"/>
                <w:lang w:eastAsia="ru-RU"/>
              </w:rPr>
              <w:t>privind</w:t>
            </w:r>
            <w:proofErr w:type="spellEnd"/>
            <w:r w:rsidRPr="00C41275">
              <w:rPr>
                <w:rFonts w:ascii="Times New Roman" w:hAnsi="Times New Roman"/>
                <w:b/>
                <w:bCs/>
                <w:sz w:val="20"/>
                <w:szCs w:val="20"/>
                <w:lang w:eastAsia="ru-RU"/>
              </w:rPr>
              <w:t xml:space="preserve"> </w:t>
            </w:r>
            <w:proofErr w:type="spellStart"/>
            <w:r w:rsidRPr="00C41275">
              <w:rPr>
                <w:rFonts w:ascii="Times New Roman" w:hAnsi="Times New Roman"/>
                <w:b/>
                <w:bCs/>
                <w:sz w:val="20"/>
                <w:szCs w:val="20"/>
                <w:lang w:eastAsia="ru-RU"/>
              </w:rPr>
              <w:t>energia</w:t>
            </w:r>
            <w:proofErr w:type="spellEnd"/>
            <w:r w:rsidRPr="00C41275">
              <w:rPr>
                <w:rFonts w:ascii="Times New Roman" w:hAnsi="Times New Roman"/>
                <w:b/>
                <w:bCs/>
                <w:sz w:val="20"/>
                <w:szCs w:val="20"/>
                <w:lang w:eastAsia="ru-RU"/>
              </w:rPr>
              <w:t xml:space="preserve"> și </w:t>
            </w:r>
            <w:proofErr w:type="spellStart"/>
            <w:proofErr w:type="gramStart"/>
            <w:r w:rsidRPr="00C41275">
              <w:rPr>
                <w:rFonts w:ascii="Times New Roman" w:hAnsi="Times New Roman"/>
                <w:b/>
                <w:bCs/>
                <w:sz w:val="20"/>
                <w:szCs w:val="20"/>
                <w:lang w:eastAsia="ru-RU"/>
              </w:rPr>
              <w:t>clima</w:t>
            </w:r>
            <w:proofErr w:type="spellEnd"/>
            <w:proofErr w:type="gramEnd"/>
          </w:p>
          <w:p w14:paraId="642F71E6" w14:textId="77777777" w:rsidR="003E7DF2" w:rsidRPr="00C41275" w:rsidRDefault="008F5636" w:rsidP="003E7DF2">
            <w:pPr>
              <w:spacing w:after="0" w:line="240" w:lineRule="auto"/>
              <w:jc w:val="both"/>
              <w:rPr>
                <w:rFonts w:ascii="Times New Roman" w:hAnsi="Times New Roman"/>
                <w:sz w:val="20"/>
                <w:szCs w:val="20"/>
                <w:lang w:eastAsia="ru-RU"/>
              </w:rPr>
            </w:pPr>
            <w:r w:rsidRPr="00C41275">
              <w:rPr>
                <w:rFonts w:ascii="Times New Roman" w:hAnsi="Times New Roman"/>
                <w:sz w:val="20"/>
                <w:szCs w:val="20"/>
                <w:lang w:eastAsia="ru-RU"/>
              </w:rPr>
              <w:t xml:space="preserve">(1)În </w:t>
            </w:r>
            <w:proofErr w:type="spellStart"/>
            <w:r w:rsidRPr="00C41275">
              <w:rPr>
                <w:rFonts w:ascii="Times New Roman" w:hAnsi="Times New Roman"/>
                <w:sz w:val="20"/>
                <w:szCs w:val="20"/>
                <w:lang w:eastAsia="ru-RU"/>
              </w:rPr>
              <w:t>cazul</w:t>
            </w:r>
            <w:proofErr w:type="spellEnd"/>
            <w:r w:rsidRPr="00C41275">
              <w:rPr>
                <w:rFonts w:ascii="Times New Roman" w:hAnsi="Times New Roman"/>
                <w:sz w:val="20"/>
                <w:szCs w:val="20"/>
                <w:lang w:eastAsia="ru-RU"/>
              </w:rPr>
              <w:t xml:space="preserve"> în care, pe </w:t>
            </w:r>
            <w:proofErr w:type="spellStart"/>
            <w:r w:rsidRPr="00C41275">
              <w:rPr>
                <w:rFonts w:ascii="Times New Roman" w:hAnsi="Times New Roman"/>
                <w:sz w:val="20"/>
                <w:szCs w:val="20"/>
                <w:lang w:eastAsia="ru-RU"/>
              </w:rPr>
              <w:t>baza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evaluării</w:t>
            </w:r>
            <w:proofErr w:type="spellEnd"/>
            <w:r w:rsidRPr="00C41275">
              <w:rPr>
                <w:rFonts w:ascii="Times New Roman" w:hAnsi="Times New Roman"/>
                <w:sz w:val="20"/>
                <w:szCs w:val="20"/>
                <w:lang w:eastAsia="ru-RU"/>
              </w:rPr>
              <w:t xml:space="preserve"> sale a </w:t>
            </w:r>
            <w:proofErr w:type="spellStart"/>
            <w:r w:rsidRPr="00C41275">
              <w:rPr>
                <w:rFonts w:ascii="Times New Roman" w:hAnsi="Times New Roman"/>
                <w:sz w:val="20"/>
                <w:szCs w:val="20"/>
                <w:lang w:eastAsia="ru-RU"/>
              </w:rPr>
              <w:t>proiectelor</w:t>
            </w:r>
            <w:proofErr w:type="spellEnd"/>
            <w:r w:rsidRPr="00C41275">
              <w:rPr>
                <w:rFonts w:ascii="Times New Roman" w:hAnsi="Times New Roman"/>
                <w:sz w:val="20"/>
                <w:szCs w:val="20"/>
                <w:lang w:eastAsia="ru-RU"/>
              </w:rPr>
              <w:t xml:space="preserve"> de </w:t>
            </w:r>
            <w:proofErr w:type="spellStart"/>
            <w:r w:rsidRPr="00C41275">
              <w:rPr>
                <w:rFonts w:ascii="Times New Roman" w:hAnsi="Times New Roman"/>
                <w:sz w:val="20"/>
                <w:szCs w:val="20"/>
                <w:lang w:eastAsia="ru-RU"/>
              </w:rPr>
              <w:t>planuri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naționale</w:t>
            </w:r>
            <w:proofErr w:type="spellEnd"/>
            <w:r w:rsidRPr="00C41275">
              <w:rPr>
                <w:rFonts w:ascii="Times New Roman" w:hAnsi="Times New Roman"/>
                <w:sz w:val="20"/>
                <w:szCs w:val="20"/>
                <w:lang w:eastAsia="ru-RU"/>
              </w:rPr>
              <w:t xml:space="preserve"> integrate </w:t>
            </w:r>
            <w:proofErr w:type="spellStart"/>
            <w:r w:rsidRPr="00C41275">
              <w:rPr>
                <w:rFonts w:ascii="Times New Roman" w:hAnsi="Times New Roman"/>
                <w:sz w:val="20"/>
                <w:szCs w:val="20"/>
                <w:lang w:eastAsia="ru-RU"/>
              </w:rPr>
              <w:t>privind</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energia</w:t>
            </w:r>
            <w:proofErr w:type="spellEnd"/>
            <w:r w:rsidRPr="00C41275">
              <w:rPr>
                <w:rFonts w:ascii="Times New Roman" w:hAnsi="Times New Roman"/>
                <w:sz w:val="20"/>
                <w:szCs w:val="20"/>
                <w:lang w:eastAsia="ru-RU"/>
              </w:rPr>
              <w:t xml:space="preserve"> și </w:t>
            </w:r>
            <w:proofErr w:type="spellStart"/>
            <w:r w:rsidRPr="00C41275">
              <w:rPr>
                <w:rFonts w:ascii="Times New Roman" w:hAnsi="Times New Roman"/>
                <w:sz w:val="20"/>
                <w:szCs w:val="20"/>
                <w:lang w:eastAsia="ru-RU"/>
              </w:rPr>
              <w:t>clima</w:t>
            </w:r>
            <w:proofErr w:type="spellEnd"/>
            <w:r w:rsidRPr="00C41275">
              <w:rPr>
                <w:rFonts w:ascii="Times New Roman" w:hAnsi="Times New Roman"/>
                <w:sz w:val="20"/>
                <w:szCs w:val="20"/>
                <w:lang w:eastAsia="ru-RU"/>
              </w:rPr>
              <w:t xml:space="preserve"> în </w:t>
            </w:r>
            <w:proofErr w:type="spellStart"/>
            <w:r w:rsidRPr="00C41275">
              <w:rPr>
                <w:rFonts w:ascii="Times New Roman" w:hAnsi="Times New Roman"/>
                <w:sz w:val="20"/>
                <w:szCs w:val="20"/>
                <w:lang w:eastAsia="ru-RU"/>
              </w:rPr>
              <w:t>temeiul</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articolului</w:t>
            </w:r>
            <w:proofErr w:type="spellEnd"/>
            <w:r w:rsidR="003E7DF2" w:rsidRPr="00C41275">
              <w:rPr>
                <w:rFonts w:ascii="Times New Roman" w:hAnsi="Times New Roman"/>
                <w:sz w:val="20"/>
                <w:szCs w:val="20"/>
                <w:lang w:eastAsia="ru-RU"/>
              </w:rPr>
              <w:t xml:space="preserve"> </w:t>
            </w:r>
            <w:r w:rsidRPr="00C41275">
              <w:rPr>
                <w:rFonts w:ascii="Times New Roman" w:hAnsi="Times New Roman"/>
                <w:sz w:val="20"/>
                <w:szCs w:val="20"/>
                <w:lang w:eastAsia="ru-RU"/>
              </w:rPr>
              <w:t xml:space="preserve">9 </w:t>
            </w:r>
            <w:proofErr w:type="spellStart"/>
            <w:r w:rsidRPr="00C41275">
              <w:rPr>
                <w:rFonts w:ascii="Times New Roman" w:hAnsi="Times New Roman"/>
                <w:sz w:val="20"/>
                <w:szCs w:val="20"/>
                <w:lang w:eastAsia="ru-RU"/>
              </w:rPr>
              <w:t>sau</w:t>
            </w:r>
            <w:proofErr w:type="spellEnd"/>
            <w:r w:rsidRPr="00C41275">
              <w:rPr>
                <w:rFonts w:ascii="Times New Roman" w:hAnsi="Times New Roman"/>
                <w:sz w:val="20"/>
                <w:szCs w:val="20"/>
                <w:lang w:eastAsia="ru-RU"/>
              </w:rPr>
              <w:t xml:space="preserve"> pe </w:t>
            </w:r>
            <w:proofErr w:type="spellStart"/>
            <w:r w:rsidRPr="00C41275">
              <w:rPr>
                <w:rFonts w:ascii="Times New Roman" w:hAnsi="Times New Roman"/>
                <w:sz w:val="20"/>
                <w:szCs w:val="20"/>
                <w:lang w:eastAsia="ru-RU"/>
              </w:rPr>
              <w:t>baza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evaluării</w:t>
            </w:r>
            <w:proofErr w:type="spellEnd"/>
            <w:r w:rsidRPr="00C41275">
              <w:rPr>
                <w:rFonts w:ascii="Times New Roman" w:hAnsi="Times New Roman"/>
                <w:sz w:val="20"/>
                <w:szCs w:val="20"/>
                <w:lang w:eastAsia="ru-RU"/>
              </w:rPr>
              <w:t xml:space="preserve"> sale a </w:t>
            </w:r>
            <w:proofErr w:type="spellStart"/>
            <w:r w:rsidRPr="00C41275">
              <w:rPr>
                <w:rFonts w:ascii="Times New Roman" w:hAnsi="Times New Roman"/>
                <w:sz w:val="20"/>
                <w:szCs w:val="20"/>
                <w:lang w:eastAsia="ru-RU"/>
              </w:rPr>
              <w:t>proiectelor</w:t>
            </w:r>
            <w:proofErr w:type="spellEnd"/>
            <w:r w:rsidRPr="00C41275">
              <w:rPr>
                <w:rFonts w:ascii="Times New Roman" w:hAnsi="Times New Roman"/>
                <w:sz w:val="20"/>
                <w:szCs w:val="20"/>
                <w:lang w:eastAsia="ru-RU"/>
              </w:rPr>
              <w:t xml:space="preserve"> de </w:t>
            </w:r>
            <w:proofErr w:type="spellStart"/>
            <w:r w:rsidRPr="00C41275">
              <w:rPr>
                <w:rFonts w:ascii="Times New Roman" w:hAnsi="Times New Roman"/>
                <w:sz w:val="20"/>
                <w:szCs w:val="20"/>
                <w:lang w:eastAsia="ru-RU"/>
              </w:rPr>
              <w:t>actualizare</w:t>
            </w:r>
            <w:proofErr w:type="spellEnd"/>
            <w:r w:rsidRPr="00C41275">
              <w:rPr>
                <w:rFonts w:ascii="Times New Roman" w:hAnsi="Times New Roman"/>
                <w:sz w:val="20"/>
                <w:szCs w:val="20"/>
                <w:lang w:eastAsia="ru-RU"/>
              </w:rPr>
              <w:t xml:space="preserve"> a </w:t>
            </w:r>
            <w:proofErr w:type="spellStart"/>
            <w:r w:rsidRPr="00C41275">
              <w:rPr>
                <w:rFonts w:ascii="Times New Roman" w:hAnsi="Times New Roman"/>
                <w:sz w:val="20"/>
                <w:szCs w:val="20"/>
                <w:lang w:eastAsia="ru-RU"/>
              </w:rPr>
              <w:t>planurilor</w:t>
            </w:r>
            <w:proofErr w:type="spellEnd"/>
            <w:r w:rsidRPr="00C41275">
              <w:rPr>
                <w:rFonts w:ascii="Times New Roman" w:hAnsi="Times New Roman"/>
                <w:sz w:val="20"/>
                <w:szCs w:val="20"/>
                <w:lang w:eastAsia="ru-RU"/>
              </w:rPr>
              <w:t xml:space="preserve"> finale în </w:t>
            </w:r>
            <w:proofErr w:type="spellStart"/>
            <w:r w:rsidRPr="00C41275">
              <w:rPr>
                <w:rFonts w:ascii="Times New Roman" w:hAnsi="Times New Roman"/>
                <w:sz w:val="20"/>
                <w:szCs w:val="20"/>
                <w:lang w:eastAsia="ru-RU"/>
              </w:rPr>
              <w:t>temeiul</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articolului</w:t>
            </w:r>
            <w:proofErr w:type="spellEnd"/>
            <w:r w:rsidR="003E7DF2" w:rsidRPr="00C41275">
              <w:rPr>
                <w:rFonts w:ascii="Times New Roman" w:hAnsi="Times New Roman"/>
                <w:sz w:val="20"/>
                <w:szCs w:val="20"/>
                <w:lang w:eastAsia="ru-RU"/>
              </w:rPr>
              <w:t xml:space="preserve"> </w:t>
            </w:r>
            <w:r w:rsidRPr="00C41275">
              <w:rPr>
                <w:rFonts w:ascii="Times New Roman" w:hAnsi="Times New Roman"/>
                <w:sz w:val="20"/>
                <w:szCs w:val="20"/>
                <w:lang w:eastAsia="ru-RU"/>
              </w:rPr>
              <w:t xml:space="preserve">14 și ca </w:t>
            </w:r>
            <w:proofErr w:type="spellStart"/>
            <w:r w:rsidRPr="00C41275">
              <w:rPr>
                <w:rFonts w:ascii="Times New Roman" w:hAnsi="Times New Roman"/>
                <w:sz w:val="20"/>
                <w:szCs w:val="20"/>
                <w:lang w:eastAsia="ru-RU"/>
              </w:rPr>
              <w:t>parte</w:t>
            </w:r>
            <w:proofErr w:type="spellEnd"/>
            <w:r w:rsidRPr="00C41275">
              <w:rPr>
                <w:rFonts w:ascii="Times New Roman" w:hAnsi="Times New Roman"/>
                <w:sz w:val="20"/>
                <w:szCs w:val="20"/>
                <w:lang w:eastAsia="ru-RU"/>
              </w:rPr>
              <w:t xml:space="preserve"> a </w:t>
            </w:r>
            <w:proofErr w:type="spellStart"/>
            <w:r w:rsidRPr="00C41275">
              <w:rPr>
                <w:rFonts w:ascii="Times New Roman" w:hAnsi="Times New Roman"/>
                <w:sz w:val="20"/>
                <w:szCs w:val="20"/>
                <w:lang w:eastAsia="ru-RU"/>
              </w:rPr>
              <w:t>procesului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iterativ</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Comisia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conchide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că</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obiectivele</w:t>
            </w:r>
            <w:proofErr w:type="spellEnd"/>
            <w:r w:rsidRPr="00C41275">
              <w:rPr>
                <w:rFonts w:ascii="Times New Roman" w:hAnsi="Times New Roman"/>
                <w:sz w:val="20"/>
                <w:szCs w:val="20"/>
                <w:lang w:eastAsia="ru-RU"/>
              </w:rPr>
              <w:t xml:space="preserve"> și </w:t>
            </w:r>
            <w:proofErr w:type="spellStart"/>
            <w:r w:rsidRPr="00C41275">
              <w:rPr>
                <w:rFonts w:ascii="Times New Roman" w:hAnsi="Times New Roman"/>
                <w:sz w:val="20"/>
                <w:szCs w:val="20"/>
                <w:lang w:eastAsia="ru-RU"/>
              </w:rPr>
              <w:t>contribuțiile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statelor</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membre</w:t>
            </w:r>
            <w:proofErr w:type="spellEnd"/>
            <w:r w:rsidRPr="00C41275">
              <w:rPr>
                <w:rFonts w:ascii="Times New Roman" w:hAnsi="Times New Roman"/>
                <w:sz w:val="20"/>
                <w:szCs w:val="20"/>
                <w:lang w:eastAsia="ru-RU"/>
              </w:rPr>
              <w:t xml:space="preserve"> sunt </w:t>
            </w:r>
            <w:proofErr w:type="spellStart"/>
            <w:r w:rsidRPr="00C41275">
              <w:rPr>
                <w:rFonts w:ascii="Times New Roman" w:hAnsi="Times New Roman"/>
                <w:sz w:val="20"/>
                <w:szCs w:val="20"/>
                <w:lang w:eastAsia="ru-RU"/>
              </w:rPr>
              <w:t>insuficiente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pentru</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realizarea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colectivă</w:t>
            </w:r>
            <w:proofErr w:type="spellEnd"/>
            <w:r w:rsidRPr="00C41275">
              <w:rPr>
                <w:rFonts w:ascii="Times New Roman" w:hAnsi="Times New Roman"/>
                <w:sz w:val="20"/>
                <w:szCs w:val="20"/>
                <w:lang w:eastAsia="ru-RU"/>
              </w:rPr>
              <w:t xml:space="preserve"> a </w:t>
            </w:r>
            <w:proofErr w:type="spellStart"/>
            <w:r w:rsidRPr="00C41275">
              <w:rPr>
                <w:rFonts w:ascii="Times New Roman" w:hAnsi="Times New Roman"/>
                <w:sz w:val="20"/>
                <w:szCs w:val="20"/>
                <w:lang w:eastAsia="ru-RU"/>
              </w:rPr>
              <w:t>obiectivelor</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uniunii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energetice</w:t>
            </w:r>
            <w:proofErr w:type="spellEnd"/>
            <w:r w:rsidRPr="00C41275">
              <w:rPr>
                <w:rFonts w:ascii="Times New Roman" w:hAnsi="Times New Roman"/>
                <w:sz w:val="20"/>
                <w:szCs w:val="20"/>
                <w:lang w:eastAsia="ru-RU"/>
              </w:rPr>
              <w:t xml:space="preserve"> și, în special, </w:t>
            </w:r>
            <w:proofErr w:type="spellStart"/>
            <w:r w:rsidRPr="00C41275">
              <w:rPr>
                <w:rFonts w:ascii="Times New Roman" w:hAnsi="Times New Roman"/>
                <w:sz w:val="20"/>
                <w:szCs w:val="20"/>
                <w:lang w:eastAsia="ru-RU"/>
              </w:rPr>
              <w:t>pentru</w:t>
            </w:r>
            <w:proofErr w:type="spellEnd"/>
            <w:r w:rsidRPr="00C41275">
              <w:rPr>
                <w:rFonts w:ascii="Times New Roman" w:hAnsi="Times New Roman"/>
                <w:sz w:val="20"/>
                <w:szCs w:val="20"/>
                <w:lang w:eastAsia="ru-RU"/>
              </w:rPr>
              <w:t xml:space="preserve"> prima </w:t>
            </w:r>
            <w:proofErr w:type="spellStart"/>
            <w:r w:rsidRPr="00C41275">
              <w:rPr>
                <w:rFonts w:ascii="Times New Roman" w:hAnsi="Times New Roman"/>
                <w:sz w:val="20"/>
                <w:szCs w:val="20"/>
                <w:lang w:eastAsia="ru-RU"/>
              </w:rPr>
              <w:t>perioadă</w:t>
            </w:r>
            <w:proofErr w:type="spellEnd"/>
            <w:r w:rsidRPr="00C41275">
              <w:rPr>
                <w:rFonts w:ascii="Times New Roman" w:hAnsi="Times New Roman"/>
                <w:sz w:val="20"/>
                <w:szCs w:val="20"/>
                <w:lang w:eastAsia="ru-RU"/>
              </w:rPr>
              <w:t xml:space="preserve"> de </w:t>
            </w:r>
            <w:proofErr w:type="spellStart"/>
            <w:r w:rsidRPr="00C41275">
              <w:rPr>
                <w:rFonts w:ascii="Times New Roman" w:hAnsi="Times New Roman"/>
                <w:sz w:val="20"/>
                <w:szCs w:val="20"/>
                <w:lang w:eastAsia="ru-RU"/>
              </w:rPr>
              <w:t>zece</w:t>
            </w:r>
            <w:proofErr w:type="spellEnd"/>
            <w:r w:rsidRPr="00C41275">
              <w:rPr>
                <w:rFonts w:ascii="Times New Roman" w:hAnsi="Times New Roman"/>
                <w:sz w:val="20"/>
                <w:szCs w:val="20"/>
                <w:lang w:eastAsia="ru-RU"/>
              </w:rPr>
              <w:t xml:space="preserve"> ani, a </w:t>
            </w:r>
            <w:proofErr w:type="spellStart"/>
            <w:r w:rsidRPr="00C41275">
              <w:rPr>
                <w:rFonts w:ascii="Times New Roman" w:hAnsi="Times New Roman"/>
                <w:sz w:val="20"/>
                <w:szCs w:val="20"/>
                <w:lang w:eastAsia="ru-RU"/>
              </w:rPr>
              <w:lastRenderedPageBreak/>
              <w:t>obiectivului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obligatoriu</w:t>
            </w:r>
            <w:proofErr w:type="spellEnd"/>
            <w:r w:rsidRPr="00C41275">
              <w:rPr>
                <w:rFonts w:ascii="Times New Roman" w:hAnsi="Times New Roman"/>
                <w:sz w:val="20"/>
                <w:szCs w:val="20"/>
                <w:lang w:eastAsia="ru-RU"/>
              </w:rPr>
              <w:t xml:space="preserve"> al </w:t>
            </w:r>
            <w:proofErr w:type="spellStart"/>
            <w:r w:rsidRPr="00C41275">
              <w:rPr>
                <w:rFonts w:ascii="Times New Roman" w:hAnsi="Times New Roman"/>
                <w:sz w:val="20"/>
                <w:szCs w:val="20"/>
                <w:lang w:eastAsia="ru-RU"/>
              </w:rPr>
              <w:t>Uniunii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privind</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energia</w:t>
            </w:r>
            <w:proofErr w:type="spellEnd"/>
            <w:r w:rsidRPr="00C41275">
              <w:rPr>
                <w:rFonts w:ascii="Times New Roman" w:hAnsi="Times New Roman"/>
                <w:sz w:val="20"/>
                <w:szCs w:val="20"/>
                <w:lang w:eastAsia="ru-RU"/>
              </w:rPr>
              <w:t xml:space="preserve"> din surse </w:t>
            </w:r>
            <w:proofErr w:type="spellStart"/>
            <w:r w:rsidRPr="00C41275">
              <w:rPr>
                <w:rFonts w:ascii="Times New Roman" w:hAnsi="Times New Roman"/>
                <w:sz w:val="20"/>
                <w:szCs w:val="20"/>
                <w:lang w:eastAsia="ru-RU"/>
              </w:rPr>
              <w:t>regenerabile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pentru</w:t>
            </w:r>
            <w:proofErr w:type="spellEnd"/>
            <w:r w:rsidR="003E7DF2" w:rsidRPr="00C41275">
              <w:rPr>
                <w:rFonts w:ascii="Times New Roman" w:hAnsi="Times New Roman"/>
                <w:sz w:val="20"/>
                <w:szCs w:val="20"/>
                <w:lang w:eastAsia="ru-RU"/>
              </w:rPr>
              <w:t xml:space="preserve"> </w:t>
            </w:r>
            <w:r w:rsidRPr="00C41275">
              <w:rPr>
                <w:rFonts w:ascii="Times New Roman" w:hAnsi="Times New Roman"/>
                <w:sz w:val="20"/>
                <w:szCs w:val="20"/>
                <w:lang w:eastAsia="ru-RU"/>
              </w:rPr>
              <w:t xml:space="preserve">2030 și a </w:t>
            </w:r>
            <w:proofErr w:type="spellStart"/>
            <w:r w:rsidRPr="00C41275">
              <w:rPr>
                <w:rFonts w:ascii="Times New Roman" w:hAnsi="Times New Roman"/>
                <w:sz w:val="20"/>
                <w:szCs w:val="20"/>
                <w:lang w:eastAsia="ru-RU"/>
              </w:rPr>
              <w:t>obiectivului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Uniunii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privind</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eficiența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energetică</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pentru</w:t>
            </w:r>
            <w:proofErr w:type="spellEnd"/>
            <w:r w:rsidR="003E7DF2" w:rsidRPr="00C41275">
              <w:rPr>
                <w:rFonts w:ascii="Times New Roman" w:hAnsi="Times New Roman"/>
                <w:sz w:val="20"/>
                <w:szCs w:val="20"/>
                <w:lang w:eastAsia="ru-RU"/>
              </w:rPr>
              <w:t xml:space="preserve"> </w:t>
            </w:r>
            <w:r w:rsidRPr="00C41275">
              <w:rPr>
                <w:rFonts w:ascii="Times New Roman" w:hAnsi="Times New Roman"/>
                <w:sz w:val="20"/>
                <w:szCs w:val="20"/>
                <w:lang w:eastAsia="ru-RU"/>
              </w:rPr>
              <w:t xml:space="preserve">2030, </w:t>
            </w:r>
            <w:proofErr w:type="spellStart"/>
            <w:r w:rsidRPr="00C41275">
              <w:rPr>
                <w:rFonts w:ascii="Times New Roman" w:hAnsi="Times New Roman"/>
                <w:sz w:val="20"/>
                <w:szCs w:val="20"/>
                <w:lang w:eastAsia="ru-RU"/>
              </w:rPr>
              <w:t>aceasta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emite</w:t>
            </w:r>
            <w:proofErr w:type="spellEnd"/>
            <w:r w:rsidRPr="00C41275">
              <w:rPr>
                <w:rFonts w:ascii="Times New Roman" w:hAnsi="Times New Roman"/>
                <w:sz w:val="20"/>
                <w:szCs w:val="20"/>
                <w:lang w:eastAsia="ru-RU"/>
              </w:rPr>
              <w:t xml:space="preserve"> – în </w:t>
            </w:r>
            <w:proofErr w:type="spellStart"/>
            <w:r w:rsidRPr="00C41275">
              <w:rPr>
                <w:rFonts w:ascii="Times New Roman" w:hAnsi="Times New Roman"/>
                <w:sz w:val="20"/>
                <w:szCs w:val="20"/>
                <w:lang w:eastAsia="ru-RU"/>
              </w:rPr>
              <w:t>ceea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privește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obiectivul</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Uniunii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privind</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energia</w:t>
            </w:r>
            <w:proofErr w:type="spellEnd"/>
            <w:r w:rsidRPr="00C41275">
              <w:rPr>
                <w:rFonts w:ascii="Times New Roman" w:hAnsi="Times New Roman"/>
                <w:sz w:val="20"/>
                <w:szCs w:val="20"/>
                <w:lang w:eastAsia="ru-RU"/>
              </w:rPr>
              <w:t xml:space="preserve"> din surse </w:t>
            </w:r>
            <w:proofErr w:type="spellStart"/>
            <w:r w:rsidRPr="00C41275">
              <w:rPr>
                <w:rFonts w:ascii="Times New Roman" w:hAnsi="Times New Roman"/>
                <w:sz w:val="20"/>
                <w:szCs w:val="20"/>
                <w:lang w:eastAsia="ru-RU"/>
              </w:rPr>
              <w:t>regenerabile</w:t>
            </w:r>
            <w:proofErr w:type="spellEnd"/>
            <w:r w:rsidRPr="00C41275">
              <w:rPr>
                <w:rFonts w:ascii="Times New Roman" w:hAnsi="Times New Roman"/>
                <w:sz w:val="20"/>
                <w:szCs w:val="20"/>
                <w:lang w:eastAsia="ru-RU"/>
              </w:rPr>
              <w:t xml:space="preserve"> – și </w:t>
            </w:r>
            <w:proofErr w:type="spellStart"/>
            <w:r w:rsidRPr="00C41275">
              <w:rPr>
                <w:rFonts w:ascii="Times New Roman" w:hAnsi="Times New Roman"/>
                <w:sz w:val="20"/>
                <w:szCs w:val="20"/>
                <w:lang w:eastAsia="ru-RU"/>
              </w:rPr>
              <w:t>poate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emite</w:t>
            </w:r>
            <w:proofErr w:type="spellEnd"/>
            <w:r w:rsidRPr="00C41275">
              <w:rPr>
                <w:rFonts w:ascii="Times New Roman" w:hAnsi="Times New Roman"/>
                <w:sz w:val="20"/>
                <w:szCs w:val="20"/>
                <w:lang w:eastAsia="ru-RU"/>
              </w:rPr>
              <w:t xml:space="preserve"> – în </w:t>
            </w:r>
            <w:proofErr w:type="spellStart"/>
            <w:r w:rsidRPr="00C41275">
              <w:rPr>
                <w:rFonts w:ascii="Times New Roman" w:hAnsi="Times New Roman"/>
                <w:sz w:val="20"/>
                <w:szCs w:val="20"/>
                <w:lang w:eastAsia="ru-RU"/>
              </w:rPr>
              <w:t>ceea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privește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celelalte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obiective</w:t>
            </w:r>
            <w:proofErr w:type="spellEnd"/>
            <w:r w:rsidRPr="00C41275">
              <w:rPr>
                <w:rFonts w:ascii="Times New Roman" w:hAnsi="Times New Roman"/>
                <w:sz w:val="20"/>
                <w:szCs w:val="20"/>
                <w:lang w:eastAsia="ru-RU"/>
              </w:rPr>
              <w:t xml:space="preserve"> ale </w:t>
            </w:r>
            <w:proofErr w:type="spellStart"/>
            <w:r w:rsidRPr="00C41275">
              <w:rPr>
                <w:rFonts w:ascii="Times New Roman" w:hAnsi="Times New Roman"/>
                <w:sz w:val="20"/>
                <w:szCs w:val="20"/>
                <w:lang w:eastAsia="ru-RU"/>
              </w:rPr>
              <w:t>uniunii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energetice</w:t>
            </w:r>
            <w:proofErr w:type="spellEnd"/>
            <w:r w:rsidRPr="00C41275">
              <w:rPr>
                <w:rFonts w:ascii="Times New Roman" w:hAnsi="Times New Roman"/>
                <w:sz w:val="20"/>
                <w:szCs w:val="20"/>
                <w:lang w:eastAsia="ru-RU"/>
              </w:rPr>
              <w:t xml:space="preserve"> – </w:t>
            </w:r>
            <w:proofErr w:type="spellStart"/>
            <w:r w:rsidRPr="00C41275">
              <w:rPr>
                <w:rFonts w:ascii="Times New Roman" w:hAnsi="Times New Roman"/>
                <w:sz w:val="20"/>
                <w:szCs w:val="20"/>
                <w:lang w:eastAsia="ru-RU"/>
              </w:rPr>
              <w:t>recomandări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statelor</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membre</w:t>
            </w:r>
            <w:proofErr w:type="spellEnd"/>
            <w:r w:rsidRPr="00C41275">
              <w:rPr>
                <w:rFonts w:ascii="Times New Roman" w:hAnsi="Times New Roman"/>
                <w:sz w:val="20"/>
                <w:szCs w:val="20"/>
                <w:lang w:eastAsia="ru-RU"/>
              </w:rPr>
              <w:t xml:space="preserve"> ale </w:t>
            </w:r>
            <w:proofErr w:type="spellStart"/>
            <w:r w:rsidRPr="00C41275">
              <w:rPr>
                <w:rFonts w:ascii="Times New Roman" w:hAnsi="Times New Roman"/>
                <w:sz w:val="20"/>
                <w:szCs w:val="20"/>
                <w:lang w:eastAsia="ru-RU"/>
              </w:rPr>
              <w:t>căror</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contribuții</w:t>
            </w:r>
            <w:proofErr w:type="spellEnd"/>
            <w:r w:rsidRPr="00C41275">
              <w:rPr>
                <w:rFonts w:ascii="Times New Roman" w:hAnsi="Times New Roman"/>
                <w:sz w:val="20"/>
                <w:szCs w:val="20"/>
                <w:lang w:eastAsia="ru-RU"/>
              </w:rPr>
              <w:t xml:space="preserve"> le </w:t>
            </w:r>
            <w:proofErr w:type="spellStart"/>
            <w:r w:rsidRPr="00C41275">
              <w:rPr>
                <w:rFonts w:ascii="Times New Roman" w:hAnsi="Times New Roman"/>
                <w:sz w:val="20"/>
                <w:szCs w:val="20"/>
                <w:lang w:eastAsia="ru-RU"/>
              </w:rPr>
              <w:t>consideră</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insuficiente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pentru</w:t>
            </w:r>
            <w:proofErr w:type="spellEnd"/>
            <w:r w:rsidRPr="00C41275">
              <w:rPr>
                <w:rFonts w:ascii="Times New Roman" w:hAnsi="Times New Roman"/>
                <w:sz w:val="20"/>
                <w:szCs w:val="20"/>
                <w:lang w:eastAsia="ru-RU"/>
              </w:rPr>
              <w:t xml:space="preserve"> ca </w:t>
            </w:r>
            <w:proofErr w:type="spellStart"/>
            <w:r w:rsidRPr="00C41275">
              <w:rPr>
                <w:rFonts w:ascii="Times New Roman" w:hAnsi="Times New Roman"/>
                <w:sz w:val="20"/>
                <w:szCs w:val="20"/>
                <w:lang w:eastAsia="ru-RU"/>
              </w:rPr>
              <w:t>acestea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să</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își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sporească</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nivelul</w:t>
            </w:r>
            <w:proofErr w:type="spellEnd"/>
            <w:r w:rsidRPr="00C41275">
              <w:rPr>
                <w:rFonts w:ascii="Times New Roman" w:hAnsi="Times New Roman"/>
                <w:sz w:val="20"/>
                <w:szCs w:val="20"/>
                <w:lang w:eastAsia="ru-RU"/>
              </w:rPr>
              <w:t xml:space="preserve"> de </w:t>
            </w:r>
            <w:proofErr w:type="spellStart"/>
            <w:r w:rsidRPr="00C41275">
              <w:rPr>
                <w:rFonts w:ascii="Times New Roman" w:hAnsi="Times New Roman"/>
                <w:sz w:val="20"/>
                <w:szCs w:val="20"/>
                <w:lang w:eastAsia="ru-RU"/>
              </w:rPr>
              <w:t>ambiție</w:t>
            </w:r>
            <w:proofErr w:type="spellEnd"/>
            <w:r w:rsidRPr="00C41275">
              <w:rPr>
                <w:rFonts w:ascii="Times New Roman" w:hAnsi="Times New Roman"/>
                <w:sz w:val="20"/>
                <w:szCs w:val="20"/>
                <w:lang w:eastAsia="ru-RU"/>
              </w:rPr>
              <w:t xml:space="preserve">, în </w:t>
            </w:r>
            <w:proofErr w:type="spellStart"/>
            <w:r w:rsidRPr="00C41275">
              <w:rPr>
                <w:rFonts w:ascii="Times New Roman" w:hAnsi="Times New Roman"/>
                <w:sz w:val="20"/>
                <w:szCs w:val="20"/>
                <w:lang w:eastAsia="ru-RU"/>
              </w:rPr>
              <w:t>vederea</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asigurării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unui</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nivel</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suficient</w:t>
            </w:r>
            <w:proofErr w:type="spellEnd"/>
            <w:r w:rsidRPr="00C41275">
              <w:rPr>
                <w:rFonts w:ascii="Times New Roman" w:hAnsi="Times New Roman"/>
                <w:sz w:val="20"/>
                <w:szCs w:val="20"/>
                <w:lang w:eastAsia="ru-RU"/>
              </w:rPr>
              <w:t xml:space="preserve"> de </w:t>
            </w:r>
            <w:proofErr w:type="spellStart"/>
            <w:r w:rsidRPr="00C41275">
              <w:rPr>
                <w:rFonts w:ascii="Times New Roman" w:hAnsi="Times New Roman"/>
                <w:sz w:val="20"/>
                <w:szCs w:val="20"/>
                <w:lang w:eastAsia="ru-RU"/>
              </w:rPr>
              <w:t>ambiție</w:t>
            </w:r>
            <w:proofErr w:type="spellEnd"/>
            <w:r w:rsidRPr="00C41275">
              <w:rPr>
                <w:rFonts w:ascii="Times New Roman" w:hAnsi="Times New Roman"/>
                <w:sz w:val="20"/>
                <w:szCs w:val="20"/>
                <w:lang w:eastAsia="ru-RU"/>
              </w:rPr>
              <w:t xml:space="preserve"> </w:t>
            </w:r>
            <w:proofErr w:type="spellStart"/>
            <w:r w:rsidRPr="00C41275">
              <w:rPr>
                <w:rFonts w:ascii="Times New Roman" w:hAnsi="Times New Roman"/>
                <w:sz w:val="20"/>
                <w:szCs w:val="20"/>
                <w:lang w:eastAsia="ru-RU"/>
              </w:rPr>
              <w:t>colectivă</w:t>
            </w:r>
            <w:proofErr w:type="spellEnd"/>
          </w:p>
          <w:p w14:paraId="21EE13DA" w14:textId="0B3179E5" w:rsidR="003E7DF2" w:rsidRPr="00C41275" w:rsidRDefault="003E7DF2" w:rsidP="003E7DF2">
            <w:pPr>
              <w:spacing w:after="0" w:line="240" w:lineRule="auto"/>
              <w:jc w:val="both"/>
              <w:rPr>
                <w:rFonts w:ascii="Times New Roman" w:hAnsi="Times New Roman"/>
                <w:sz w:val="20"/>
                <w:szCs w:val="20"/>
                <w:lang w:eastAsia="ru-RU"/>
              </w:rPr>
            </w:pPr>
            <w:r w:rsidRPr="00C41275">
              <w:rPr>
                <w:rFonts w:ascii="Times New Roman" w:hAnsi="Times New Roman"/>
                <w:sz w:val="20"/>
                <w:szCs w:val="20"/>
              </w:rPr>
              <w:t>(2)</w:t>
            </w:r>
            <w:proofErr w:type="spellStart"/>
            <w:r w:rsidRPr="00C41275">
              <w:rPr>
                <w:rFonts w:ascii="Times New Roman" w:hAnsi="Times New Roman"/>
                <w:sz w:val="20"/>
                <w:szCs w:val="20"/>
              </w:rPr>
              <w:t>Atunci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când</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apare</w:t>
            </w:r>
            <w:proofErr w:type="spellEnd"/>
            <w:r w:rsidRPr="00C41275">
              <w:rPr>
                <w:rFonts w:ascii="Times New Roman" w:hAnsi="Times New Roman"/>
                <w:sz w:val="20"/>
                <w:szCs w:val="20"/>
              </w:rPr>
              <w:t xml:space="preserve"> un </w:t>
            </w:r>
            <w:proofErr w:type="spellStart"/>
            <w:r w:rsidRPr="00C41275">
              <w:rPr>
                <w:rFonts w:ascii="Times New Roman" w:hAnsi="Times New Roman"/>
                <w:sz w:val="20"/>
                <w:szCs w:val="20"/>
              </w:rPr>
              <w:t>decalaj</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între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obiectivul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Uniunii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pentru</w:t>
            </w:r>
            <w:proofErr w:type="spellEnd"/>
            <w:r w:rsidRPr="00C41275">
              <w:rPr>
                <w:rFonts w:ascii="Times New Roman" w:hAnsi="Times New Roman"/>
                <w:sz w:val="20"/>
                <w:szCs w:val="20"/>
              </w:rPr>
              <w:t xml:space="preserve"> 2030 și </w:t>
            </w:r>
            <w:proofErr w:type="spellStart"/>
            <w:r w:rsidRPr="00C41275">
              <w:rPr>
                <w:rFonts w:ascii="Times New Roman" w:hAnsi="Times New Roman"/>
                <w:sz w:val="20"/>
                <w:szCs w:val="20"/>
              </w:rPr>
              <w:t>contribuțiile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colective</w:t>
            </w:r>
            <w:proofErr w:type="spellEnd"/>
            <w:r w:rsidRPr="00C41275">
              <w:rPr>
                <w:rFonts w:ascii="Times New Roman" w:hAnsi="Times New Roman"/>
                <w:sz w:val="20"/>
                <w:szCs w:val="20"/>
              </w:rPr>
              <w:t xml:space="preserve"> ale </w:t>
            </w:r>
            <w:proofErr w:type="spellStart"/>
            <w:r w:rsidRPr="00C41275">
              <w:rPr>
                <w:rFonts w:ascii="Times New Roman" w:hAnsi="Times New Roman"/>
                <w:sz w:val="20"/>
                <w:szCs w:val="20"/>
              </w:rPr>
              <w:t>statelor</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membre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domeniul</w:t>
            </w:r>
            <w:proofErr w:type="spellEnd"/>
            <w:r w:rsidRPr="00C41275">
              <w:rPr>
                <w:rFonts w:ascii="Times New Roman" w:hAnsi="Times New Roman"/>
                <w:sz w:val="20"/>
                <w:szCs w:val="20"/>
              </w:rPr>
              <w:t xml:space="preserve"> energiei din surse </w:t>
            </w:r>
            <w:proofErr w:type="spellStart"/>
            <w:r w:rsidRPr="00C41275">
              <w:rPr>
                <w:rFonts w:ascii="Times New Roman" w:hAnsi="Times New Roman"/>
                <w:sz w:val="20"/>
                <w:szCs w:val="20"/>
              </w:rPr>
              <w:t>regenerabile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Comisia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își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bazează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evaluarea</w:t>
            </w:r>
            <w:proofErr w:type="spellEnd"/>
            <w:r w:rsidRPr="00C41275">
              <w:rPr>
                <w:rFonts w:ascii="Times New Roman" w:hAnsi="Times New Roman"/>
                <w:sz w:val="20"/>
                <w:szCs w:val="20"/>
              </w:rPr>
              <w:t xml:space="preserve"> pe formula </w:t>
            </w:r>
            <w:proofErr w:type="spellStart"/>
            <w:r w:rsidRPr="00C41275">
              <w:rPr>
                <w:rFonts w:ascii="Times New Roman" w:hAnsi="Times New Roman"/>
                <w:sz w:val="20"/>
                <w:szCs w:val="20"/>
              </w:rPr>
              <w:t>stabilită</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anexa</w:t>
            </w:r>
            <w:proofErr w:type="spellEnd"/>
            <w:r w:rsidRPr="00C41275">
              <w:rPr>
                <w:rFonts w:ascii="Times New Roman" w:hAnsi="Times New Roman"/>
                <w:sz w:val="20"/>
                <w:szCs w:val="20"/>
              </w:rPr>
              <w:t xml:space="preserve"> II care are la </w:t>
            </w:r>
            <w:proofErr w:type="spellStart"/>
            <w:r w:rsidRPr="00C41275">
              <w:rPr>
                <w:rFonts w:ascii="Times New Roman" w:hAnsi="Times New Roman"/>
                <w:sz w:val="20"/>
                <w:szCs w:val="20"/>
              </w:rPr>
              <w:t>bază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criteriile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obiective</w:t>
            </w:r>
            <w:proofErr w:type="spellEnd"/>
            <w:r w:rsidRPr="00C41275">
              <w:rPr>
                <w:rFonts w:ascii="Times New Roman" w:hAnsi="Times New Roman"/>
                <w:sz w:val="20"/>
                <w:szCs w:val="20"/>
              </w:rPr>
              <w:t xml:space="preserve"> enumerate la </w:t>
            </w:r>
            <w:proofErr w:type="spellStart"/>
            <w:r w:rsidRPr="00C41275">
              <w:rPr>
                <w:rFonts w:ascii="Times New Roman" w:hAnsi="Times New Roman"/>
                <w:sz w:val="20"/>
                <w:szCs w:val="20"/>
              </w:rPr>
              <w:t>articolul</w:t>
            </w:r>
            <w:proofErr w:type="spellEnd"/>
            <w:r w:rsidRPr="00C41275">
              <w:rPr>
                <w:rFonts w:ascii="Times New Roman" w:hAnsi="Times New Roman"/>
                <w:sz w:val="20"/>
                <w:szCs w:val="20"/>
              </w:rPr>
              <w:t xml:space="preserve"> 5 </w:t>
            </w:r>
            <w:proofErr w:type="spellStart"/>
            <w:r w:rsidRPr="00C41275">
              <w:rPr>
                <w:rFonts w:ascii="Times New Roman" w:hAnsi="Times New Roman"/>
                <w:sz w:val="20"/>
                <w:szCs w:val="20"/>
              </w:rPr>
              <w:t>alineatul</w:t>
            </w:r>
            <w:proofErr w:type="spellEnd"/>
            <w:r w:rsidRPr="00C41275">
              <w:rPr>
                <w:rFonts w:ascii="Times New Roman" w:hAnsi="Times New Roman"/>
                <w:sz w:val="20"/>
                <w:szCs w:val="20"/>
              </w:rPr>
              <w:t xml:space="preserve"> (1) </w:t>
            </w:r>
            <w:proofErr w:type="spellStart"/>
            <w:r w:rsidRPr="00C41275">
              <w:rPr>
                <w:rFonts w:ascii="Times New Roman" w:hAnsi="Times New Roman"/>
                <w:sz w:val="20"/>
                <w:szCs w:val="20"/>
              </w:rPr>
              <w:t>primul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paragraf</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litera</w:t>
            </w:r>
            <w:proofErr w:type="spellEnd"/>
            <w:r w:rsidRPr="00C41275">
              <w:rPr>
                <w:rFonts w:ascii="Times New Roman" w:hAnsi="Times New Roman"/>
                <w:sz w:val="20"/>
                <w:szCs w:val="20"/>
              </w:rPr>
              <w:t xml:space="preserve"> (e) </w:t>
            </w:r>
            <w:proofErr w:type="spellStart"/>
            <w:r w:rsidRPr="00C41275">
              <w:rPr>
                <w:rFonts w:ascii="Times New Roman" w:hAnsi="Times New Roman"/>
                <w:sz w:val="20"/>
                <w:szCs w:val="20"/>
              </w:rPr>
              <w:t>punctele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i</w:t>
            </w:r>
            <w:proofErr w:type="spellEnd"/>
            <w:r w:rsidRPr="00C41275">
              <w:rPr>
                <w:rFonts w:ascii="Times New Roman" w:hAnsi="Times New Roman"/>
                <w:sz w:val="20"/>
                <w:szCs w:val="20"/>
              </w:rPr>
              <w:t xml:space="preserve">)-(v), </w:t>
            </w:r>
            <w:proofErr w:type="spellStart"/>
            <w:r w:rsidRPr="00C41275">
              <w:rPr>
                <w:rFonts w:ascii="Times New Roman" w:hAnsi="Times New Roman"/>
                <w:sz w:val="20"/>
                <w:szCs w:val="20"/>
              </w:rPr>
              <w:t>ținând</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seama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totodată</w:t>
            </w:r>
            <w:proofErr w:type="spellEnd"/>
            <w:r w:rsidRPr="00C41275">
              <w:rPr>
                <w:rFonts w:ascii="Times New Roman" w:hAnsi="Times New Roman"/>
                <w:sz w:val="20"/>
                <w:szCs w:val="20"/>
              </w:rPr>
              <w:t xml:space="preserve"> în mod </w:t>
            </w:r>
            <w:proofErr w:type="spellStart"/>
            <w:r w:rsidRPr="00C41275">
              <w:rPr>
                <w:rFonts w:ascii="Times New Roman" w:hAnsi="Times New Roman"/>
                <w:sz w:val="20"/>
                <w:szCs w:val="20"/>
              </w:rPr>
              <w:t>corespunzător</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circumstanțele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relevante</w:t>
            </w:r>
            <w:proofErr w:type="spellEnd"/>
            <w:r w:rsidRPr="00C41275">
              <w:rPr>
                <w:rFonts w:ascii="Times New Roman" w:hAnsi="Times New Roman"/>
                <w:sz w:val="20"/>
                <w:szCs w:val="20"/>
              </w:rPr>
              <w:t xml:space="preserve"> care </w:t>
            </w:r>
            <w:proofErr w:type="spellStart"/>
            <w:r w:rsidRPr="00C41275">
              <w:rPr>
                <w:rFonts w:ascii="Times New Roman" w:hAnsi="Times New Roman"/>
                <w:sz w:val="20"/>
                <w:szCs w:val="20"/>
              </w:rPr>
              <w:t>afectează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utilizarea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surselor</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regenerabile</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energie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astfel</w:t>
            </w:r>
            <w:proofErr w:type="spellEnd"/>
            <w:r w:rsidRPr="00C41275">
              <w:rPr>
                <w:rFonts w:ascii="Times New Roman" w:hAnsi="Times New Roman"/>
                <w:sz w:val="20"/>
                <w:szCs w:val="20"/>
              </w:rPr>
              <w:t xml:space="preserve"> cum se </w:t>
            </w:r>
            <w:proofErr w:type="spellStart"/>
            <w:r w:rsidRPr="00C41275">
              <w:rPr>
                <w:rFonts w:ascii="Times New Roman" w:hAnsi="Times New Roman"/>
                <w:sz w:val="20"/>
                <w:szCs w:val="20"/>
              </w:rPr>
              <w:t>precizează</w:t>
            </w:r>
            <w:proofErr w:type="spellEnd"/>
            <w:r w:rsidRPr="00C41275">
              <w:rPr>
                <w:rFonts w:ascii="Times New Roman" w:hAnsi="Times New Roman"/>
                <w:sz w:val="20"/>
                <w:szCs w:val="20"/>
              </w:rPr>
              <w:t xml:space="preserve"> la </w:t>
            </w:r>
            <w:proofErr w:type="spellStart"/>
            <w:r w:rsidRPr="00C41275">
              <w:rPr>
                <w:rFonts w:ascii="Times New Roman" w:hAnsi="Times New Roman"/>
                <w:sz w:val="20"/>
                <w:szCs w:val="20"/>
              </w:rPr>
              <w:t>articolul</w:t>
            </w:r>
            <w:proofErr w:type="spellEnd"/>
            <w:r w:rsidRPr="00C41275">
              <w:rPr>
                <w:rFonts w:ascii="Times New Roman" w:hAnsi="Times New Roman"/>
                <w:sz w:val="20"/>
                <w:szCs w:val="20"/>
              </w:rPr>
              <w:t xml:space="preserve"> 5 </w:t>
            </w:r>
            <w:proofErr w:type="spellStart"/>
            <w:r w:rsidRPr="00C41275">
              <w:rPr>
                <w:rFonts w:ascii="Times New Roman" w:hAnsi="Times New Roman"/>
                <w:sz w:val="20"/>
                <w:szCs w:val="20"/>
              </w:rPr>
              <w:t>alineatul</w:t>
            </w:r>
            <w:proofErr w:type="spellEnd"/>
            <w:r w:rsidRPr="00C41275">
              <w:rPr>
                <w:rFonts w:ascii="Times New Roman" w:hAnsi="Times New Roman"/>
                <w:sz w:val="20"/>
                <w:szCs w:val="20"/>
              </w:rPr>
              <w:t xml:space="preserve"> (1) al </w:t>
            </w:r>
            <w:proofErr w:type="spellStart"/>
            <w:r w:rsidRPr="00C41275">
              <w:rPr>
                <w:rFonts w:ascii="Times New Roman" w:hAnsi="Times New Roman"/>
                <w:sz w:val="20"/>
                <w:szCs w:val="20"/>
              </w:rPr>
              <w:t>doilea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paragraf</w:t>
            </w:r>
            <w:proofErr w:type="spellEnd"/>
            <w:r w:rsidRPr="00C41275">
              <w:rPr>
                <w:rFonts w:ascii="Times New Roman" w:hAnsi="Times New Roman"/>
                <w:sz w:val="20"/>
                <w:szCs w:val="20"/>
              </w:rPr>
              <w:t>.</w:t>
            </w:r>
          </w:p>
          <w:p w14:paraId="457C5508" w14:textId="77777777" w:rsidR="003E7DF2" w:rsidRPr="00C41275" w:rsidRDefault="003E7DF2" w:rsidP="003E7DF2">
            <w:pPr>
              <w:spacing w:after="0" w:line="240" w:lineRule="auto"/>
              <w:jc w:val="both"/>
              <w:rPr>
                <w:rFonts w:ascii="Times New Roman" w:hAnsi="Times New Roman"/>
                <w:sz w:val="20"/>
                <w:szCs w:val="20"/>
              </w:rPr>
            </w:pPr>
            <w:proofErr w:type="spellStart"/>
            <w:r w:rsidRPr="00C41275">
              <w:rPr>
                <w:rFonts w:ascii="Times New Roman" w:hAnsi="Times New Roman"/>
                <w:sz w:val="20"/>
                <w:szCs w:val="20"/>
              </w:rPr>
              <w:t>Dacă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apare</w:t>
            </w:r>
            <w:proofErr w:type="spellEnd"/>
            <w:r w:rsidRPr="00C41275">
              <w:rPr>
                <w:rFonts w:ascii="Times New Roman" w:hAnsi="Times New Roman"/>
                <w:sz w:val="20"/>
                <w:szCs w:val="20"/>
              </w:rPr>
              <w:t xml:space="preserve"> un </w:t>
            </w:r>
            <w:proofErr w:type="spellStart"/>
            <w:r w:rsidRPr="00C41275">
              <w:rPr>
                <w:rFonts w:ascii="Times New Roman" w:hAnsi="Times New Roman"/>
                <w:sz w:val="20"/>
                <w:szCs w:val="20"/>
              </w:rPr>
              <w:t>decalaj</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între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obiectivul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Uniunii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pentru</w:t>
            </w:r>
            <w:proofErr w:type="spellEnd"/>
            <w:r w:rsidRPr="00C41275">
              <w:rPr>
                <w:rFonts w:ascii="Times New Roman" w:hAnsi="Times New Roman"/>
                <w:sz w:val="20"/>
                <w:szCs w:val="20"/>
              </w:rPr>
              <w:t xml:space="preserve"> 2030 și </w:t>
            </w:r>
            <w:proofErr w:type="spellStart"/>
            <w:r w:rsidRPr="00C41275">
              <w:rPr>
                <w:rFonts w:ascii="Times New Roman" w:hAnsi="Times New Roman"/>
                <w:sz w:val="20"/>
                <w:szCs w:val="20"/>
              </w:rPr>
              <w:t>suma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contribuțiilor</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naționale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domeniul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eficienței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energetice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Comisia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evaluează</w:t>
            </w:r>
            <w:proofErr w:type="spellEnd"/>
            <w:r w:rsidRPr="00C41275">
              <w:rPr>
                <w:rFonts w:ascii="Times New Roman" w:hAnsi="Times New Roman"/>
                <w:sz w:val="20"/>
                <w:szCs w:val="20"/>
              </w:rPr>
              <w:t xml:space="preserve">, în special, </w:t>
            </w:r>
            <w:proofErr w:type="spellStart"/>
            <w:r w:rsidRPr="00C41275">
              <w:rPr>
                <w:rFonts w:ascii="Times New Roman" w:hAnsi="Times New Roman"/>
                <w:sz w:val="20"/>
                <w:szCs w:val="20"/>
              </w:rPr>
              <w:t>circumstanțele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relevante</w:t>
            </w:r>
            <w:proofErr w:type="spellEnd"/>
            <w:r w:rsidRPr="00C41275">
              <w:rPr>
                <w:rFonts w:ascii="Times New Roman" w:hAnsi="Times New Roman"/>
                <w:sz w:val="20"/>
                <w:szCs w:val="20"/>
              </w:rPr>
              <w:t xml:space="preserve"> enumerate la </w:t>
            </w:r>
            <w:proofErr w:type="spellStart"/>
            <w:r w:rsidRPr="00C41275">
              <w:rPr>
                <w:rFonts w:ascii="Times New Roman" w:hAnsi="Times New Roman"/>
                <w:sz w:val="20"/>
                <w:szCs w:val="20"/>
              </w:rPr>
              <w:t>articolul</w:t>
            </w:r>
            <w:proofErr w:type="spellEnd"/>
            <w:r w:rsidRPr="00C41275">
              <w:rPr>
                <w:rFonts w:ascii="Times New Roman" w:hAnsi="Times New Roman"/>
                <w:sz w:val="20"/>
                <w:szCs w:val="20"/>
              </w:rPr>
              <w:t xml:space="preserve"> 6 </w:t>
            </w:r>
            <w:proofErr w:type="spellStart"/>
            <w:r w:rsidRPr="00C41275">
              <w:rPr>
                <w:rFonts w:ascii="Times New Roman" w:hAnsi="Times New Roman"/>
                <w:sz w:val="20"/>
                <w:szCs w:val="20"/>
              </w:rPr>
              <w:t>alineatul</w:t>
            </w:r>
            <w:proofErr w:type="spellEnd"/>
            <w:r w:rsidRPr="00C41275">
              <w:rPr>
                <w:rFonts w:ascii="Times New Roman" w:hAnsi="Times New Roman"/>
                <w:sz w:val="20"/>
                <w:szCs w:val="20"/>
              </w:rPr>
              <w:t xml:space="preserve"> (2), </w:t>
            </w:r>
            <w:proofErr w:type="spellStart"/>
            <w:r w:rsidRPr="00C41275">
              <w:rPr>
                <w:rFonts w:ascii="Times New Roman" w:hAnsi="Times New Roman"/>
                <w:sz w:val="20"/>
                <w:szCs w:val="20"/>
              </w:rPr>
              <w:t>informațiile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furnizate</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statele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membre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planurile</w:t>
            </w:r>
            <w:proofErr w:type="spellEnd"/>
            <w:r w:rsidRPr="00C41275">
              <w:rPr>
                <w:rFonts w:ascii="Times New Roman" w:hAnsi="Times New Roman"/>
                <w:sz w:val="20"/>
                <w:szCs w:val="20"/>
              </w:rPr>
              <w:t xml:space="preserve"> lor </w:t>
            </w:r>
            <w:proofErr w:type="spellStart"/>
            <w:r w:rsidRPr="00C41275">
              <w:rPr>
                <w:rFonts w:ascii="Times New Roman" w:hAnsi="Times New Roman"/>
                <w:sz w:val="20"/>
                <w:szCs w:val="20"/>
              </w:rPr>
              <w:t>naționale</w:t>
            </w:r>
            <w:proofErr w:type="spellEnd"/>
            <w:r w:rsidRPr="00C41275">
              <w:rPr>
                <w:rFonts w:ascii="Times New Roman" w:hAnsi="Times New Roman"/>
                <w:sz w:val="20"/>
                <w:szCs w:val="20"/>
              </w:rPr>
              <w:t xml:space="preserve"> integrate </w:t>
            </w:r>
            <w:proofErr w:type="spellStart"/>
            <w:r w:rsidRPr="00C41275">
              <w:rPr>
                <w:rFonts w:ascii="Times New Roman" w:hAnsi="Times New Roman"/>
                <w:sz w:val="20"/>
                <w:szCs w:val="20"/>
              </w:rPr>
              <w:t>privind</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energia</w:t>
            </w:r>
            <w:proofErr w:type="spellEnd"/>
            <w:r w:rsidRPr="00C41275">
              <w:rPr>
                <w:rFonts w:ascii="Times New Roman" w:hAnsi="Times New Roman"/>
                <w:sz w:val="20"/>
                <w:szCs w:val="20"/>
              </w:rPr>
              <w:t xml:space="preserve"> și </w:t>
            </w:r>
            <w:proofErr w:type="spellStart"/>
            <w:r w:rsidRPr="00C41275">
              <w:rPr>
                <w:rFonts w:ascii="Times New Roman" w:hAnsi="Times New Roman"/>
                <w:sz w:val="20"/>
                <w:szCs w:val="20"/>
              </w:rPr>
              <w:t>clima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rezultatele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obținute</w:t>
            </w:r>
            <w:proofErr w:type="spellEnd"/>
            <w:r w:rsidRPr="00C41275">
              <w:rPr>
                <w:rFonts w:ascii="Times New Roman" w:hAnsi="Times New Roman"/>
                <w:sz w:val="20"/>
                <w:szCs w:val="20"/>
              </w:rPr>
              <w:t xml:space="preserve"> din </w:t>
            </w:r>
            <w:proofErr w:type="spellStart"/>
            <w:r w:rsidRPr="00C41275">
              <w:rPr>
                <w:rFonts w:ascii="Times New Roman" w:hAnsi="Times New Roman"/>
                <w:sz w:val="20"/>
                <w:szCs w:val="20"/>
              </w:rPr>
              <w:t>exercițiile</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modelare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ceea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privește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tendințele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viitoare</w:t>
            </w:r>
            <w:proofErr w:type="spellEnd"/>
            <w:r w:rsidRPr="00C41275">
              <w:rPr>
                <w:rFonts w:ascii="Times New Roman" w:hAnsi="Times New Roman"/>
                <w:sz w:val="20"/>
                <w:szCs w:val="20"/>
              </w:rPr>
              <w:t xml:space="preserve"> ale </w:t>
            </w:r>
            <w:proofErr w:type="spellStart"/>
            <w:r w:rsidRPr="00C41275">
              <w:rPr>
                <w:rFonts w:ascii="Times New Roman" w:hAnsi="Times New Roman"/>
                <w:sz w:val="20"/>
                <w:szCs w:val="20"/>
              </w:rPr>
              <w:t>consumului</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energie</w:t>
            </w:r>
            <w:proofErr w:type="spellEnd"/>
            <w:r w:rsidRPr="00C41275">
              <w:rPr>
                <w:rFonts w:ascii="Times New Roman" w:hAnsi="Times New Roman"/>
                <w:sz w:val="20"/>
                <w:szCs w:val="20"/>
              </w:rPr>
              <w:t xml:space="preserve"> și </w:t>
            </w:r>
            <w:proofErr w:type="spellStart"/>
            <w:r w:rsidRPr="00C41275">
              <w:rPr>
                <w:rFonts w:ascii="Times New Roman" w:hAnsi="Times New Roman"/>
                <w:sz w:val="20"/>
                <w:szCs w:val="20"/>
              </w:rPr>
              <w:t>alte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analize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complementare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după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caz</w:t>
            </w:r>
            <w:proofErr w:type="spellEnd"/>
            <w:r w:rsidRPr="00C41275">
              <w:rPr>
                <w:rFonts w:ascii="Times New Roman" w:hAnsi="Times New Roman"/>
                <w:sz w:val="20"/>
                <w:szCs w:val="20"/>
              </w:rPr>
              <w:t>.</w:t>
            </w:r>
          </w:p>
          <w:p w14:paraId="4DD6EEA5" w14:textId="77777777" w:rsidR="003E7DF2" w:rsidRPr="00C41275" w:rsidRDefault="003E7DF2" w:rsidP="003E7DF2">
            <w:pPr>
              <w:spacing w:after="0" w:line="240" w:lineRule="auto"/>
              <w:jc w:val="both"/>
              <w:rPr>
                <w:rFonts w:ascii="Times New Roman" w:hAnsi="Times New Roman"/>
                <w:sz w:val="20"/>
                <w:szCs w:val="20"/>
              </w:rPr>
            </w:pPr>
            <w:proofErr w:type="spellStart"/>
            <w:r w:rsidRPr="00C41275">
              <w:rPr>
                <w:rFonts w:ascii="Times New Roman" w:hAnsi="Times New Roman"/>
                <w:sz w:val="20"/>
                <w:szCs w:val="20"/>
              </w:rPr>
              <w:t>Fără</w:t>
            </w:r>
            <w:proofErr w:type="spellEnd"/>
            <w:r w:rsidRPr="00C41275">
              <w:rPr>
                <w:rFonts w:ascii="Times New Roman" w:hAnsi="Times New Roman"/>
                <w:sz w:val="20"/>
                <w:szCs w:val="20"/>
              </w:rPr>
              <w:t xml:space="preserve"> </w:t>
            </w:r>
            <w:proofErr w:type="gramStart"/>
            <w:r w:rsidRPr="00C41275">
              <w:rPr>
                <w:rFonts w:ascii="Times New Roman" w:hAnsi="Times New Roman"/>
                <w:sz w:val="20"/>
                <w:szCs w:val="20"/>
              </w:rPr>
              <w:t>a</w:t>
            </w:r>
            <w:proofErr w:type="gramEnd"/>
            <w:r w:rsidRPr="00C41275">
              <w:rPr>
                <w:rFonts w:ascii="Times New Roman" w:hAnsi="Times New Roman"/>
                <w:sz w:val="20"/>
                <w:szCs w:val="20"/>
              </w:rPr>
              <w:t xml:space="preserve"> </w:t>
            </w:r>
            <w:proofErr w:type="spellStart"/>
            <w:r w:rsidRPr="00C41275">
              <w:rPr>
                <w:rFonts w:ascii="Times New Roman" w:hAnsi="Times New Roman"/>
                <w:sz w:val="20"/>
                <w:szCs w:val="20"/>
              </w:rPr>
              <w:t>aduce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atingere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celorlalte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dispoziții</w:t>
            </w:r>
            <w:proofErr w:type="spellEnd"/>
            <w:r w:rsidRPr="00C41275">
              <w:rPr>
                <w:rFonts w:ascii="Times New Roman" w:hAnsi="Times New Roman"/>
                <w:sz w:val="20"/>
                <w:szCs w:val="20"/>
              </w:rPr>
              <w:t xml:space="preserve"> ale </w:t>
            </w:r>
            <w:proofErr w:type="spellStart"/>
            <w:r w:rsidRPr="00C41275">
              <w:rPr>
                <w:rFonts w:ascii="Times New Roman" w:hAnsi="Times New Roman"/>
                <w:sz w:val="20"/>
                <w:szCs w:val="20"/>
              </w:rPr>
              <w:t>prezentului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articol</w:t>
            </w:r>
            <w:proofErr w:type="spellEnd"/>
            <w:r w:rsidRPr="00C41275">
              <w:rPr>
                <w:rFonts w:ascii="Times New Roman" w:hAnsi="Times New Roman"/>
                <w:sz w:val="20"/>
                <w:szCs w:val="20"/>
              </w:rPr>
              <w:t xml:space="preserve"> și în </w:t>
            </w:r>
            <w:proofErr w:type="spellStart"/>
            <w:r w:rsidRPr="00C41275">
              <w:rPr>
                <w:rFonts w:ascii="Times New Roman" w:hAnsi="Times New Roman"/>
                <w:sz w:val="20"/>
                <w:szCs w:val="20"/>
              </w:rPr>
              <w:t>unicul</w:t>
            </w:r>
            <w:proofErr w:type="spellEnd"/>
            <w:r w:rsidRPr="00C41275">
              <w:rPr>
                <w:rFonts w:ascii="Times New Roman" w:hAnsi="Times New Roman"/>
                <w:sz w:val="20"/>
                <w:szCs w:val="20"/>
              </w:rPr>
              <w:t xml:space="preserve"> scop de a </w:t>
            </w:r>
            <w:proofErr w:type="spellStart"/>
            <w:r w:rsidRPr="00C41275">
              <w:rPr>
                <w:rFonts w:ascii="Times New Roman" w:hAnsi="Times New Roman"/>
                <w:sz w:val="20"/>
                <w:szCs w:val="20"/>
              </w:rPr>
              <w:t>evalua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dacă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apare</w:t>
            </w:r>
            <w:proofErr w:type="spellEnd"/>
            <w:r w:rsidRPr="00C41275">
              <w:rPr>
                <w:rFonts w:ascii="Times New Roman" w:hAnsi="Times New Roman"/>
                <w:sz w:val="20"/>
                <w:szCs w:val="20"/>
              </w:rPr>
              <w:t xml:space="preserve"> un </w:t>
            </w:r>
            <w:proofErr w:type="spellStart"/>
            <w:r w:rsidRPr="00C41275">
              <w:rPr>
                <w:rFonts w:ascii="Times New Roman" w:hAnsi="Times New Roman"/>
                <w:sz w:val="20"/>
                <w:szCs w:val="20"/>
              </w:rPr>
              <w:t>decalaj</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între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obiectivul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Uniunii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pentru</w:t>
            </w:r>
            <w:proofErr w:type="spellEnd"/>
            <w:r w:rsidRPr="00C41275">
              <w:rPr>
                <w:rFonts w:ascii="Times New Roman" w:hAnsi="Times New Roman"/>
                <w:sz w:val="20"/>
                <w:szCs w:val="20"/>
              </w:rPr>
              <w:t xml:space="preserve"> 2030 și </w:t>
            </w:r>
            <w:proofErr w:type="spellStart"/>
            <w:r w:rsidRPr="00C41275">
              <w:rPr>
                <w:rFonts w:ascii="Times New Roman" w:hAnsi="Times New Roman"/>
                <w:sz w:val="20"/>
                <w:szCs w:val="20"/>
              </w:rPr>
              <w:t>contribuțiile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colective</w:t>
            </w:r>
            <w:proofErr w:type="spellEnd"/>
            <w:r w:rsidRPr="00C41275">
              <w:rPr>
                <w:rFonts w:ascii="Times New Roman" w:hAnsi="Times New Roman"/>
                <w:sz w:val="20"/>
                <w:szCs w:val="20"/>
              </w:rPr>
              <w:t xml:space="preserve"> ale </w:t>
            </w:r>
            <w:proofErr w:type="spellStart"/>
            <w:r w:rsidRPr="00C41275">
              <w:rPr>
                <w:rFonts w:ascii="Times New Roman" w:hAnsi="Times New Roman"/>
                <w:sz w:val="20"/>
                <w:szCs w:val="20"/>
              </w:rPr>
              <w:t>statelor</w:t>
            </w:r>
            <w:proofErr w:type="spellEnd"/>
            <w:r w:rsidRPr="00C41275">
              <w:rPr>
                <w:rFonts w:ascii="Times New Roman" w:hAnsi="Times New Roman"/>
                <w:sz w:val="20"/>
                <w:szCs w:val="20"/>
              </w:rPr>
              <w:t> </w:t>
            </w:r>
            <w:proofErr w:type="spellStart"/>
            <w:r w:rsidRPr="00C41275">
              <w:rPr>
                <w:rFonts w:ascii="Times New Roman" w:hAnsi="Times New Roman"/>
                <w:sz w:val="20"/>
                <w:szCs w:val="20"/>
              </w:rPr>
              <w:t>membre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Comisia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emite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cadrul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evaluării</w:t>
            </w:r>
            <w:proofErr w:type="spellEnd"/>
            <w:r w:rsidRPr="00C41275">
              <w:rPr>
                <w:rFonts w:ascii="Times New Roman" w:hAnsi="Times New Roman"/>
                <w:sz w:val="20"/>
                <w:szCs w:val="20"/>
              </w:rPr>
              <w:t xml:space="preserve"> sale, o </w:t>
            </w:r>
            <w:proofErr w:type="spellStart"/>
            <w:r w:rsidRPr="00C41275">
              <w:rPr>
                <w:rFonts w:ascii="Times New Roman" w:hAnsi="Times New Roman"/>
                <w:sz w:val="20"/>
                <w:szCs w:val="20"/>
              </w:rPr>
              <w:t>ipoteză</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privind</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contribuția</w:t>
            </w:r>
            <w:proofErr w:type="spellEnd"/>
            <w:r w:rsidRPr="00C41275">
              <w:rPr>
                <w:rFonts w:ascii="Times New Roman" w:hAnsi="Times New Roman"/>
                <w:sz w:val="20"/>
                <w:szCs w:val="20"/>
              </w:rPr>
              <w:t xml:space="preserve"> națională a </w:t>
            </w:r>
            <w:proofErr w:type="spellStart"/>
            <w:r w:rsidRPr="00C41275">
              <w:rPr>
                <w:rFonts w:ascii="Times New Roman" w:hAnsi="Times New Roman"/>
                <w:sz w:val="20"/>
                <w:szCs w:val="20"/>
              </w:rPr>
              <w:t>statelor</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membre</w:t>
            </w:r>
            <w:proofErr w:type="spellEnd"/>
            <w:r w:rsidRPr="00C41275">
              <w:rPr>
                <w:rFonts w:ascii="Times New Roman" w:hAnsi="Times New Roman"/>
                <w:sz w:val="20"/>
                <w:szCs w:val="20"/>
              </w:rPr>
              <w:t xml:space="preserve"> care nu au </w:t>
            </w:r>
            <w:proofErr w:type="spellStart"/>
            <w:r w:rsidRPr="00C41275">
              <w:rPr>
                <w:rFonts w:ascii="Times New Roman" w:hAnsi="Times New Roman"/>
                <w:sz w:val="20"/>
                <w:szCs w:val="20"/>
              </w:rPr>
              <w:t>transmis</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proiectele</w:t>
            </w:r>
            <w:proofErr w:type="spellEnd"/>
            <w:r w:rsidRPr="00C41275">
              <w:rPr>
                <w:rFonts w:ascii="Times New Roman" w:hAnsi="Times New Roman"/>
                <w:sz w:val="20"/>
                <w:szCs w:val="20"/>
              </w:rPr>
              <w:t xml:space="preserve"> lor de plan </w:t>
            </w:r>
            <w:proofErr w:type="spellStart"/>
            <w:r w:rsidRPr="00C41275">
              <w:rPr>
                <w:rFonts w:ascii="Times New Roman" w:hAnsi="Times New Roman"/>
                <w:sz w:val="20"/>
                <w:szCs w:val="20"/>
              </w:rPr>
              <w:t>național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integrat</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privind</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energia</w:t>
            </w:r>
            <w:proofErr w:type="spellEnd"/>
            <w:r w:rsidRPr="00C41275">
              <w:rPr>
                <w:rFonts w:ascii="Times New Roman" w:hAnsi="Times New Roman"/>
                <w:sz w:val="20"/>
                <w:szCs w:val="20"/>
              </w:rPr>
              <w:t xml:space="preserve"> și </w:t>
            </w:r>
            <w:proofErr w:type="spellStart"/>
            <w:r w:rsidRPr="00C41275">
              <w:rPr>
                <w:rFonts w:ascii="Times New Roman" w:hAnsi="Times New Roman"/>
                <w:sz w:val="20"/>
                <w:szCs w:val="20"/>
              </w:rPr>
              <w:t>clima</w:t>
            </w:r>
            <w:proofErr w:type="spellEnd"/>
            <w:r w:rsidRPr="00C41275">
              <w:rPr>
                <w:rFonts w:ascii="Times New Roman" w:hAnsi="Times New Roman"/>
                <w:sz w:val="20"/>
                <w:szCs w:val="20"/>
              </w:rPr>
              <w:t xml:space="preserve"> în conformitate cu </w:t>
            </w:r>
            <w:proofErr w:type="spellStart"/>
            <w:r w:rsidRPr="00C41275">
              <w:rPr>
                <w:rFonts w:ascii="Times New Roman" w:hAnsi="Times New Roman"/>
                <w:sz w:val="20"/>
                <w:szCs w:val="20"/>
              </w:rPr>
              <w:t>articolul</w:t>
            </w:r>
            <w:proofErr w:type="spellEnd"/>
            <w:r w:rsidRPr="00C41275">
              <w:rPr>
                <w:rFonts w:ascii="Times New Roman" w:hAnsi="Times New Roman"/>
                <w:sz w:val="20"/>
                <w:szCs w:val="20"/>
              </w:rPr>
              <w:t xml:space="preserve"> 9 </w:t>
            </w:r>
            <w:proofErr w:type="spellStart"/>
            <w:r w:rsidRPr="00C41275">
              <w:rPr>
                <w:rFonts w:ascii="Times New Roman" w:hAnsi="Times New Roman"/>
                <w:sz w:val="20"/>
                <w:szCs w:val="20"/>
              </w:rPr>
              <w:t>alineatul</w:t>
            </w:r>
            <w:proofErr w:type="spellEnd"/>
            <w:r w:rsidRPr="00C41275">
              <w:rPr>
                <w:rFonts w:ascii="Times New Roman" w:hAnsi="Times New Roman"/>
                <w:sz w:val="20"/>
                <w:szCs w:val="20"/>
              </w:rPr>
              <w:t xml:space="preserve"> (1).</w:t>
            </w:r>
          </w:p>
          <w:p w14:paraId="498E0882" w14:textId="77777777" w:rsidR="003E7DF2" w:rsidRPr="00C41275" w:rsidRDefault="003E7DF2" w:rsidP="003E7DF2">
            <w:pPr>
              <w:spacing w:after="0" w:line="240" w:lineRule="auto"/>
              <w:jc w:val="both"/>
              <w:rPr>
                <w:rFonts w:ascii="Times New Roman" w:hAnsi="Times New Roman"/>
                <w:sz w:val="20"/>
                <w:szCs w:val="20"/>
                <w:lang w:val="fr-FR"/>
              </w:rPr>
            </w:pPr>
            <w:r w:rsidRPr="00C41275">
              <w:rPr>
                <w:rFonts w:ascii="Times New Roman" w:hAnsi="Times New Roman"/>
                <w:sz w:val="20"/>
                <w:szCs w:val="20"/>
              </w:rPr>
              <w:t xml:space="preserve">În </w:t>
            </w:r>
            <w:proofErr w:type="spellStart"/>
            <w:r w:rsidRPr="00C41275">
              <w:rPr>
                <w:rFonts w:ascii="Times New Roman" w:hAnsi="Times New Roman"/>
                <w:sz w:val="20"/>
                <w:szCs w:val="20"/>
              </w:rPr>
              <w:t>ipoteza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sa</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domeniul</w:t>
            </w:r>
            <w:proofErr w:type="spellEnd"/>
            <w:r w:rsidRPr="00C41275">
              <w:rPr>
                <w:rFonts w:ascii="Times New Roman" w:hAnsi="Times New Roman"/>
                <w:sz w:val="20"/>
                <w:szCs w:val="20"/>
              </w:rPr>
              <w:t xml:space="preserve"> energiei din surse </w:t>
            </w:r>
            <w:proofErr w:type="spellStart"/>
            <w:r w:rsidRPr="00C41275">
              <w:rPr>
                <w:rFonts w:ascii="Times New Roman" w:hAnsi="Times New Roman"/>
                <w:sz w:val="20"/>
                <w:szCs w:val="20"/>
              </w:rPr>
              <w:t>regenerabile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Comisia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ține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seama</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obiectivul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național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obligatoriu</w:t>
            </w:r>
            <w:proofErr w:type="spellEnd"/>
            <w:r w:rsidRPr="00C41275">
              <w:rPr>
                <w:rFonts w:ascii="Times New Roman" w:hAnsi="Times New Roman"/>
                <w:sz w:val="20"/>
                <w:szCs w:val="20"/>
              </w:rPr>
              <w:t xml:space="preserve"> al </w:t>
            </w:r>
            <w:proofErr w:type="spellStart"/>
            <w:r w:rsidRPr="00C41275">
              <w:rPr>
                <w:rFonts w:ascii="Times New Roman" w:hAnsi="Times New Roman"/>
                <w:sz w:val="20"/>
                <w:szCs w:val="20"/>
              </w:rPr>
              <w:t>statului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membru</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pentru</w:t>
            </w:r>
            <w:proofErr w:type="spellEnd"/>
            <w:r w:rsidRPr="00C41275">
              <w:rPr>
                <w:rFonts w:ascii="Times New Roman" w:hAnsi="Times New Roman"/>
                <w:sz w:val="20"/>
                <w:szCs w:val="20"/>
              </w:rPr>
              <w:t xml:space="preserve"> 2020 </w:t>
            </w:r>
            <w:proofErr w:type="spellStart"/>
            <w:r w:rsidRPr="00C41275">
              <w:rPr>
                <w:rFonts w:ascii="Times New Roman" w:hAnsi="Times New Roman"/>
                <w:sz w:val="20"/>
                <w:szCs w:val="20"/>
              </w:rPr>
              <w:t>astfel</w:t>
            </w:r>
            <w:proofErr w:type="spellEnd"/>
            <w:r w:rsidRPr="00C41275">
              <w:rPr>
                <w:rFonts w:ascii="Times New Roman" w:hAnsi="Times New Roman"/>
                <w:sz w:val="20"/>
                <w:szCs w:val="20"/>
              </w:rPr>
              <w:t xml:space="preserve"> cum </w:t>
            </w:r>
            <w:proofErr w:type="spellStart"/>
            <w:r w:rsidRPr="00C41275">
              <w:rPr>
                <w:rFonts w:ascii="Times New Roman" w:hAnsi="Times New Roman"/>
                <w:sz w:val="20"/>
                <w:szCs w:val="20"/>
              </w:rPr>
              <w:t>este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stabilit</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anexa</w:t>
            </w:r>
            <w:proofErr w:type="spellEnd"/>
            <w:r w:rsidRPr="00C41275">
              <w:rPr>
                <w:rFonts w:ascii="Times New Roman" w:hAnsi="Times New Roman"/>
                <w:sz w:val="20"/>
                <w:szCs w:val="20"/>
              </w:rPr>
              <w:t xml:space="preserve"> I la </w:t>
            </w:r>
            <w:proofErr w:type="spellStart"/>
            <w:r w:rsidRPr="00C41275">
              <w:rPr>
                <w:rFonts w:ascii="Times New Roman" w:hAnsi="Times New Roman"/>
                <w:sz w:val="20"/>
                <w:szCs w:val="20"/>
              </w:rPr>
              <w:t>Directiva</w:t>
            </w:r>
            <w:proofErr w:type="spellEnd"/>
            <w:r w:rsidRPr="00C41275">
              <w:rPr>
                <w:rFonts w:ascii="Times New Roman" w:hAnsi="Times New Roman"/>
                <w:sz w:val="20"/>
                <w:szCs w:val="20"/>
              </w:rPr>
              <w:t xml:space="preserve"> (UE) 2018/2001, de </w:t>
            </w:r>
            <w:proofErr w:type="spellStart"/>
            <w:r w:rsidRPr="00C41275">
              <w:rPr>
                <w:rFonts w:ascii="Times New Roman" w:hAnsi="Times New Roman"/>
                <w:sz w:val="20"/>
                <w:szCs w:val="20"/>
              </w:rPr>
              <w:t>rezultatele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obținute</w:t>
            </w:r>
            <w:proofErr w:type="spellEnd"/>
            <w:r w:rsidRPr="00C41275">
              <w:rPr>
                <w:rFonts w:ascii="Times New Roman" w:hAnsi="Times New Roman"/>
                <w:sz w:val="20"/>
                <w:szCs w:val="20"/>
              </w:rPr>
              <w:t xml:space="preserve"> din </w:t>
            </w:r>
            <w:proofErr w:type="spellStart"/>
            <w:r w:rsidRPr="00C41275">
              <w:rPr>
                <w:rFonts w:ascii="Times New Roman" w:hAnsi="Times New Roman"/>
                <w:sz w:val="20"/>
                <w:szCs w:val="20"/>
              </w:rPr>
              <w:t>exercițiile</w:t>
            </w:r>
            <w:proofErr w:type="spellEnd"/>
            <w:r w:rsidRPr="00C41275">
              <w:rPr>
                <w:rFonts w:ascii="Times New Roman" w:hAnsi="Times New Roman"/>
                <w:sz w:val="20"/>
                <w:szCs w:val="20"/>
              </w:rPr>
              <w:t xml:space="preserve"> de </w:t>
            </w:r>
            <w:proofErr w:type="spellStart"/>
            <w:r w:rsidRPr="00C41275">
              <w:rPr>
                <w:rFonts w:ascii="Times New Roman" w:hAnsi="Times New Roman"/>
                <w:sz w:val="20"/>
                <w:szCs w:val="20"/>
              </w:rPr>
              <w:t>modelare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ceea</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ce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privește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dezvoltarea</w:t>
            </w:r>
            <w:proofErr w:type="spellEnd"/>
            <w:r w:rsidRPr="00C41275">
              <w:rPr>
                <w:rFonts w:ascii="Times New Roman" w:hAnsi="Times New Roman"/>
                <w:sz w:val="20"/>
                <w:szCs w:val="20"/>
              </w:rPr>
              <w:t xml:space="preserve"> energiei din surse </w:t>
            </w:r>
            <w:proofErr w:type="spellStart"/>
            <w:r w:rsidRPr="00C41275">
              <w:rPr>
                <w:rFonts w:ascii="Times New Roman" w:hAnsi="Times New Roman"/>
                <w:sz w:val="20"/>
                <w:szCs w:val="20"/>
              </w:rPr>
              <w:t>regenerabile</w:t>
            </w:r>
            <w:proofErr w:type="spellEnd"/>
            <w:r w:rsidRPr="00C41275">
              <w:rPr>
                <w:rFonts w:ascii="Times New Roman" w:hAnsi="Times New Roman"/>
                <w:sz w:val="20"/>
                <w:szCs w:val="20"/>
              </w:rPr>
              <w:t xml:space="preserve"> și de </w:t>
            </w:r>
            <w:proofErr w:type="spellStart"/>
            <w:r w:rsidRPr="00C41275">
              <w:rPr>
                <w:rFonts w:ascii="Times New Roman" w:hAnsi="Times New Roman"/>
                <w:sz w:val="20"/>
                <w:szCs w:val="20"/>
              </w:rPr>
              <w:t>rezultatele</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formulei</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prevăzute</w:t>
            </w:r>
            <w:proofErr w:type="spellEnd"/>
            <w:r w:rsidRPr="00C41275">
              <w:rPr>
                <w:rFonts w:ascii="Times New Roman" w:hAnsi="Times New Roman"/>
                <w:sz w:val="20"/>
                <w:szCs w:val="20"/>
              </w:rPr>
              <w:t xml:space="preserve"> în </w:t>
            </w:r>
            <w:proofErr w:type="spellStart"/>
            <w:r w:rsidRPr="00C41275">
              <w:rPr>
                <w:rFonts w:ascii="Times New Roman" w:hAnsi="Times New Roman"/>
                <w:sz w:val="20"/>
                <w:szCs w:val="20"/>
              </w:rPr>
              <w:t>anexa</w:t>
            </w:r>
            <w:proofErr w:type="spellEnd"/>
            <w:r w:rsidRPr="00C41275">
              <w:rPr>
                <w:rFonts w:ascii="Times New Roman" w:hAnsi="Times New Roman"/>
                <w:sz w:val="20"/>
                <w:szCs w:val="20"/>
              </w:rPr>
              <w:t xml:space="preserve"> II la </w:t>
            </w:r>
            <w:proofErr w:type="spellStart"/>
            <w:r w:rsidRPr="00C41275">
              <w:rPr>
                <w:rFonts w:ascii="Times New Roman" w:hAnsi="Times New Roman"/>
                <w:sz w:val="20"/>
                <w:szCs w:val="20"/>
              </w:rPr>
              <w:t>prezentul</w:t>
            </w:r>
            <w:proofErr w:type="spellEnd"/>
            <w:r w:rsidRPr="00C41275">
              <w:rPr>
                <w:rFonts w:ascii="Times New Roman" w:hAnsi="Times New Roman"/>
                <w:sz w:val="20"/>
                <w:szCs w:val="20"/>
              </w:rPr>
              <w:t xml:space="preserve"> </w:t>
            </w:r>
            <w:proofErr w:type="spellStart"/>
            <w:r w:rsidRPr="00C41275">
              <w:rPr>
                <w:rFonts w:ascii="Times New Roman" w:hAnsi="Times New Roman"/>
                <w:sz w:val="20"/>
                <w:szCs w:val="20"/>
              </w:rPr>
              <w:t>regulament</w:t>
            </w:r>
            <w:proofErr w:type="spellEnd"/>
            <w:r w:rsidRPr="00C41275">
              <w:rPr>
                <w:rFonts w:ascii="Times New Roman" w:hAnsi="Times New Roman"/>
                <w:sz w:val="20"/>
                <w:szCs w:val="20"/>
              </w:rPr>
              <w:t xml:space="preserve">. </w:t>
            </w:r>
            <w:r w:rsidRPr="00C41275">
              <w:rPr>
                <w:rFonts w:ascii="Times New Roman" w:hAnsi="Times New Roman"/>
                <w:sz w:val="20"/>
                <w:szCs w:val="20"/>
                <w:lang w:val="fr-FR"/>
              </w:rPr>
              <w:t xml:space="preserve">În </w:t>
            </w:r>
            <w:proofErr w:type="spellStart"/>
            <w:r w:rsidRPr="00C41275">
              <w:rPr>
                <w:rFonts w:ascii="Times New Roman" w:hAnsi="Times New Roman"/>
                <w:sz w:val="20"/>
                <w:szCs w:val="20"/>
                <w:lang w:val="fr-FR"/>
              </w:rPr>
              <w:t>domeniul</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eficienței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energetice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Comisia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ține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seama</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exercițiile</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modelare</w:t>
            </w:r>
            <w:proofErr w:type="spellEnd"/>
            <w:r w:rsidRPr="00C41275">
              <w:rPr>
                <w:rFonts w:ascii="Times New Roman" w:hAnsi="Times New Roman"/>
                <w:sz w:val="20"/>
                <w:szCs w:val="20"/>
                <w:lang w:val="fr-FR"/>
              </w:rPr>
              <w:t xml:space="preserve"> în </w:t>
            </w:r>
            <w:proofErr w:type="spellStart"/>
            <w:r w:rsidRPr="00C41275">
              <w:rPr>
                <w:rFonts w:ascii="Times New Roman" w:hAnsi="Times New Roman"/>
                <w:sz w:val="20"/>
                <w:szCs w:val="20"/>
                <w:lang w:val="fr-FR"/>
              </w:rPr>
              <w:t>ceea</w:t>
            </w:r>
            <w:proofErr w:type="spellEnd"/>
            <w:r w:rsidRPr="00C41275">
              <w:rPr>
                <w:rFonts w:ascii="Times New Roman" w:hAnsi="Times New Roman"/>
                <w:sz w:val="20"/>
                <w:szCs w:val="20"/>
                <w:lang w:val="fr-FR"/>
              </w:rPr>
              <w:t xml:space="preserve"> ce </w:t>
            </w:r>
            <w:proofErr w:type="spellStart"/>
            <w:r w:rsidRPr="00C41275">
              <w:rPr>
                <w:rFonts w:ascii="Times New Roman" w:hAnsi="Times New Roman"/>
                <w:sz w:val="20"/>
                <w:szCs w:val="20"/>
                <w:lang w:val="fr-FR"/>
              </w:rPr>
              <w:t>privește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tendințele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viitoare</w:t>
            </w:r>
            <w:proofErr w:type="spellEnd"/>
            <w:r w:rsidRPr="00C41275">
              <w:rPr>
                <w:rFonts w:ascii="Times New Roman" w:hAnsi="Times New Roman"/>
                <w:sz w:val="20"/>
                <w:szCs w:val="20"/>
                <w:lang w:val="fr-FR"/>
              </w:rPr>
              <w:t xml:space="preserve"> ale </w:t>
            </w:r>
            <w:proofErr w:type="spellStart"/>
            <w:r w:rsidRPr="00C41275">
              <w:rPr>
                <w:rFonts w:ascii="Times New Roman" w:hAnsi="Times New Roman"/>
                <w:sz w:val="20"/>
                <w:szCs w:val="20"/>
                <w:lang w:val="fr-FR"/>
              </w:rPr>
              <w:t>consumului</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energie</w:t>
            </w:r>
            <w:proofErr w:type="spellEnd"/>
            <w:r w:rsidRPr="00C41275">
              <w:rPr>
                <w:rFonts w:ascii="Times New Roman" w:hAnsi="Times New Roman"/>
                <w:sz w:val="20"/>
                <w:szCs w:val="20"/>
                <w:lang w:val="fr-FR"/>
              </w:rPr>
              <w:t xml:space="preserve"> și de </w:t>
            </w:r>
            <w:proofErr w:type="spellStart"/>
            <w:r w:rsidRPr="00C41275">
              <w:rPr>
                <w:rFonts w:ascii="Times New Roman" w:hAnsi="Times New Roman"/>
                <w:sz w:val="20"/>
                <w:szCs w:val="20"/>
                <w:lang w:val="fr-FR"/>
              </w:rPr>
              <w:t>alte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analize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complementare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după</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caz</w:t>
            </w:r>
            <w:proofErr w:type="spellEnd"/>
            <w:r w:rsidRPr="00C41275">
              <w:rPr>
                <w:rFonts w:ascii="Times New Roman" w:hAnsi="Times New Roman"/>
                <w:sz w:val="20"/>
                <w:szCs w:val="20"/>
                <w:lang w:val="fr-FR"/>
              </w:rPr>
              <w:t>.</w:t>
            </w:r>
          </w:p>
          <w:p w14:paraId="68E93186" w14:textId="77777777" w:rsidR="003E7DF2" w:rsidRPr="00C41275" w:rsidRDefault="003E7DF2" w:rsidP="003E7DF2">
            <w:pPr>
              <w:spacing w:after="0" w:line="240" w:lineRule="auto"/>
              <w:jc w:val="both"/>
              <w:rPr>
                <w:rFonts w:ascii="Times New Roman" w:hAnsi="Times New Roman"/>
                <w:sz w:val="20"/>
                <w:szCs w:val="20"/>
                <w:lang w:val="fr-FR"/>
              </w:rPr>
            </w:pPr>
            <w:r w:rsidRPr="00C41275">
              <w:rPr>
                <w:rFonts w:ascii="Times New Roman" w:hAnsi="Times New Roman"/>
                <w:sz w:val="20"/>
                <w:szCs w:val="20"/>
                <w:lang w:val="fr-FR"/>
              </w:rPr>
              <w:lastRenderedPageBreak/>
              <w:t xml:space="preserve">La </w:t>
            </w:r>
            <w:proofErr w:type="spellStart"/>
            <w:r w:rsidRPr="00C41275">
              <w:rPr>
                <w:rFonts w:ascii="Times New Roman" w:hAnsi="Times New Roman"/>
                <w:sz w:val="20"/>
                <w:szCs w:val="20"/>
                <w:lang w:val="fr-FR"/>
              </w:rPr>
              <w:t>evaluarea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contribuțiilor</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legate</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energia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din</w:t>
            </w:r>
            <w:proofErr w:type="spellEnd"/>
            <w:r w:rsidRPr="00C41275">
              <w:rPr>
                <w:rFonts w:ascii="Times New Roman" w:hAnsi="Times New Roman"/>
                <w:sz w:val="20"/>
                <w:szCs w:val="20"/>
                <w:lang w:val="fr-FR"/>
              </w:rPr>
              <w:t xml:space="preserve"> surse </w:t>
            </w:r>
            <w:proofErr w:type="spellStart"/>
            <w:r w:rsidRPr="00C41275">
              <w:rPr>
                <w:rFonts w:ascii="Times New Roman" w:hAnsi="Times New Roman"/>
                <w:sz w:val="20"/>
                <w:szCs w:val="20"/>
                <w:lang w:val="fr-FR"/>
              </w:rPr>
              <w:t>regenerabile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pe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baza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formulei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stabilite</w:t>
            </w:r>
            <w:proofErr w:type="spellEnd"/>
            <w:r w:rsidRPr="00C41275">
              <w:rPr>
                <w:rFonts w:ascii="Times New Roman" w:hAnsi="Times New Roman"/>
                <w:sz w:val="20"/>
                <w:szCs w:val="20"/>
                <w:lang w:val="fr-FR"/>
              </w:rPr>
              <w:t xml:space="preserve"> în </w:t>
            </w:r>
            <w:proofErr w:type="spellStart"/>
            <w:r w:rsidRPr="00C41275">
              <w:rPr>
                <w:rFonts w:ascii="Times New Roman" w:hAnsi="Times New Roman"/>
                <w:sz w:val="20"/>
                <w:szCs w:val="20"/>
                <w:lang w:val="fr-FR"/>
              </w:rPr>
              <w:t>anexa</w:t>
            </w:r>
            <w:proofErr w:type="spellEnd"/>
            <w:r w:rsidRPr="00C41275">
              <w:rPr>
                <w:rFonts w:ascii="Times New Roman" w:hAnsi="Times New Roman"/>
                <w:sz w:val="20"/>
                <w:szCs w:val="20"/>
                <w:lang w:val="fr-FR"/>
              </w:rPr>
              <w:t xml:space="preserve"> II, </w:t>
            </w:r>
            <w:proofErr w:type="spellStart"/>
            <w:r w:rsidRPr="00C41275">
              <w:rPr>
                <w:rFonts w:ascii="Times New Roman" w:hAnsi="Times New Roman"/>
                <w:sz w:val="20"/>
                <w:szCs w:val="20"/>
                <w:lang w:val="fr-FR"/>
              </w:rPr>
              <w:t>Comisia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ține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seama</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orice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eventual</w:t>
            </w:r>
            <w:proofErr w:type="spellEnd"/>
            <w:r w:rsidRPr="00C41275">
              <w:rPr>
                <w:rFonts w:ascii="Times New Roman" w:hAnsi="Times New Roman"/>
                <w:sz w:val="20"/>
                <w:szCs w:val="20"/>
                <w:lang w:val="fr-FR"/>
              </w:rPr>
              <w:t xml:space="preserve"> impact </w:t>
            </w:r>
            <w:proofErr w:type="spellStart"/>
            <w:r w:rsidRPr="00C41275">
              <w:rPr>
                <w:rFonts w:ascii="Times New Roman" w:hAnsi="Times New Roman"/>
                <w:sz w:val="20"/>
                <w:szCs w:val="20"/>
                <w:lang w:val="fr-FR"/>
              </w:rPr>
              <w:t>negativ</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asupra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siguranței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alimentării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cu</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energie</w:t>
            </w:r>
            <w:proofErr w:type="spellEnd"/>
            <w:r w:rsidRPr="00C41275">
              <w:rPr>
                <w:rFonts w:ascii="Times New Roman" w:hAnsi="Times New Roman"/>
                <w:sz w:val="20"/>
                <w:szCs w:val="20"/>
                <w:lang w:val="fr-FR"/>
              </w:rPr>
              <w:t xml:space="preserve"> și </w:t>
            </w:r>
            <w:proofErr w:type="spellStart"/>
            <w:r w:rsidRPr="00C41275">
              <w:rPr>
                <w:rFonts w:ascii="Times New Roman" w:hAnsi="Times New Roman"/>
                <w:sz w:val="20"/>
                <w:szCs w:val="20"/>
                <w:lang w:val="fr-FR"/>
              </w:rPr>
              <w:t>asupra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stabilității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rețelei</w:t>
            </w:r>
            <w:proofErr w:type="spellEnd"/>
            <w:r w:rsidRPr="00C41275">
              <w:rPr>
                <w:rFonts w:ascii="Times New Roman" w:hAnsi="Times New Roman"/>
                <w:sz w:val="20"/>
                <w:szCs w:val="20"/>
                <w:lang w:val="fr-FR"/>
              </w:rPr>
              <w:t xml:space="preserve"> în </w:t>
            </w:r>
            <w:proofErr w:type="spellStart"/>
            <w:r w:rsidRPr="00C41275">
              <w:rPr>
                <w:rFonts w:ascii="Times New Roman" w:hAnsi="Times New Roman"/>
                <w:sz w:val="20"/>
                <w:szCs w:val="20"/>
                <w:lang w:val="fr-FR"/>
              </w:rPr>
              <w:t>sistemele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energetice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mici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sau</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izolate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sau</w:t>
            </w:r>
            <w:proofErr w:type="spellEnd"/>
            <w:r w:rsidRPr="00C41275">
              <w:rPr>
                <w:rFonts w:ascii="Times New Roman" w:hAnsi="Times New Roman"/>
                <w:sz w:val="20"/>
                <w:szCs w:val="20"/>
                <w:lang w:val="fr-FR"/>
              </w:rPr>
              <w:t xml:space="preserve"> în </w:t>
            </w:r>
            <w:proofErr w:type="spellStart"/>
            <w:r w:rsidRPr="00C41275">
              <w:rPr>
                <w:rFonts w:ascii="Times New Roman" w:hAnsi="Times New Roman"/>
                <w:sz w:val="20"/>
                <w:szCs w:val="20"/>
                <w:lang w:val="fr-FR"/>
              </w:rPr>
              <w:t>sistemele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statelor</w:t>
            </w:r>
            <w:proofErr w:type="spellEnd"/>
            <w:r w:rsidRPr="00C41275">
              <w:rPr>
                <w:rFonts w:ascii="Times New Roman" w:hAnsi="Times New Roman"/>
                <w:sz w:val="20"/>
                <w:szCs w:val="20"/>
                <w:lang w:val="fr-FR"/>
              </w:rPr>
              <w:t xml:space="preserve"> membre în care pot </w:t>
            </w:r>
            <w:proofErr w:type="spellStart"/>
            <w:r w:rsidRPr="00C41275">
              <w:rPr>
                <w:rFonts w:ascii="Times New Roman" w:hAnsi="Times New Roman"/>
                <w:sz w:val="20"/>
                <w:szCs w:val="20"/>
                <w:lang w:val="fr-FR"/>
              </w:rPr>
              <w:t>rezulta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consecințe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semnificative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din</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cauza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schimbării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zonei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sincrone</w:t>
            </w:r>
            <w:proofErr w:type="spellEnd"/>
            <w:r w:rsidRPr="00C41275">
              <w:rPr>
                <w:rFonts w:ascii="Times New Roman" w:hAnsi="Times New Roman"/>
                <w:sz w:val="20"/>
                <w:szCs w:val="20"/>
                <w:lang w:val="fr-FR"/>
              </w:rPr>
              <w:t>.</w:t>
            </w:r>
          </w:p>
          <w:p w14:paraId="551DDAC3" w14:textId="77777777" w:rsidR="003E7DF2" w:rsidRPr="00C41275" w:rsidRDefault="003E7DF2" w:rsidP="003E7DF2">
            <w:pPr>
              <w:spacing w:after="0" w:line="240" w:lineRule="auto"/>
              <w:jc w:val="both"/>
              <w:rPr>
                <w:rFonts w:ascii="Times New Roman" w:hAnsi="Times New Roman"/>
                <w:sz w:val="20"/>
                <w:szCs w:val="20"/>
                <w:lang w:val="fr-FR"/>
              </w:rPr>
            </w:pPr>
            <w:r w:rsidRPr="00C41275">
              <w:rPr>
                <w:rFonts w:ascii="Times New Roman" w:hAnsi="Times New Roman"/>
                <w:sz w:val="20"/>
                <w:szCs w:val="20"/>
                <w:lang w:val="fr-FR"/>
              </w:rPr>
              <w:t xml:space="preserve">La </w:t>
            </w:r>
            <w:proofErr w:type="spellStart"/>
            <w:r w:rsidRPr="00C41275">
              <w:rPr>
                <w:rFonts w:ascii="Times New Roman" w:hAnsi="Times New Roman"/>
                <w:sz w:val="20"/>
                <w:szCs w:val="20"/>
                <w:lang w:val="fr-FR"/>
              </w:rPr>
              <w:t>evaluarea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contribuțiilor</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legate</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eficiența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energetică</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Comisia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ține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seama</w:t>
            </w:r>
            <w:proofErr w:type="spellEnd"/>
            <w:r w:rsidRPr="00C41275">
              <w:rPr>
                <w:rFonts w:ascii="Times New Roman" w:hAnsi="Times New Roman"/>
                <w:sz w:val="20"/>
                <w:szCs w:val="20"/>
                <w:lang w:val="fr-FR"/>
              </w:rPr>
              <w:t xml:space="preserve"> de </w:t>
            </w:r>
            <w:proofErr w:type="spellStart"/>
            <w:r w:rsidRPr="00C41275">
              <w:rPr>
                <w:rFonts w:ascii="Times New Roman" w:hAnsi="Times New Roman"/>
                <w:sz w:val="20"/>
                <w:szCs w:val="20"/>
                <w:lang w:val="fr-FR"/>
              </w:rPr>
              <w:t>eventualul</w:t>
            </w:r>
            <w:proofErr w:type="spellEnd"/>
            <w:r w:rsidRPr="00C41275">
              <w:rPr>
                <w:rFonts w:ascii="Times New Roman" w:hAnsi="Times New Roman"/>
                <w:sz w:val="20"/>
                <w:szCs w:val="20"/>
                <w:lang w:val="fr-FR"/>
              </w:rPr>
              <w:t xml:space="preserve"> impact </w:t>
            </w:r>
            <w:proofErr w:type="spellStart"/>
            <w:r w:rsidRPr="00C41275">
              <w:rPr>
                <w:rFonts w:ascii="Times New Roman" w:hAnsi="Times New Roman"/>
                <w:sz w:val="20"/>
                <w:szCs w:val="20"/>
                <w:lang w:val="fr-FR"/>
              </w:rPr>
              <w:t>asupra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funcționării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sistemului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energetic</w:t>
            </w:r>
            <w:proofErr w:type="spellEnd"/>
            <w:r w:rsidRPr="00C41275">
              <w:rPr>
                <w:rFonts w:ascii="Times New Roman" w:hAnsi="Times New Roman"/>
                <w:sz w:val="20"/>
                <w:szCs w:val="20"/>
                <w:lang w:val="fr-FR"/>
              </w:rPr>
              <w:t xml:space="preserve"> și </w:t>
            </w:r>
            <w:proofErr w:type="spellStart"/>
            <w:r w:rsidRPr="00C41275">
              <w:rPr>
                <w:rFonts w:ascii="Times New Roman" w:hAnsi="Times New Roman"/>
                <w:sz w:val="20"/>
                <w:szCs w:val="20"/>
                <w:lang w:val="fr-FR"/>
              </w:rPr>
              <w:t>asupra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stabilității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rețelei</w:t>
            </w:r>
            <w:proofErr w:type="spellEnd"/>
            <w:r w:rsidRPr="00C41275">
              <w:rPr>
                <w:rFonts w:ascii="Times New Roman" w:hAnsi="Times New Roman"/>
                <w:sz w:val="20"/>
                <w:szCs w:val="20"/>
                <w:lang w:val="fr-FR"/>
              </w:rPr>
              <w:t xml:space="preserve"> în </w:t>
            </w:r>
            <w:proofErr w:type="spellStart"/>
            <w:r w:rsidRPr="00C41275">
              <w:rPr>
                <w:rFonts w:ascii="Times New Roman" w:hAnsi="Times New Roman"/>
                <w:sz w:val="20"/>
                <w:szCs w:val="20"/>
                <w:lang w:val="fr-FR"/>
              </w:rPr>
              <w:t>statele</w:t>
            </w:r>
            <w:proofErr w:type="spellEnd"/>
            <w:r w:rsidRPr="00C41275">
              <w:rPr>
                <w:rFonts w:ascii="Times New Roman" w:hAnsi="Times New Roman"/>
                <w:sz w:val="20"/>
                <w:szCs w:val="20"/>
                <w:lang w:val="fr-FR"/>
              </w:rPr>
              <w:t xml:space="preserve"> membre în care pot </w:t>
            </w:r>
            <w:proofErr w:type="spellStart"/>
            <w:r w:rsidRPr="00C41275">
              <w:rPr>
                <w:rFonts w:ascii="Times New Roman" w:hAnsi="Times New Roman"/>
                <w:sz w:val="20"/>
                <w:szCs w:val="20"/>
                <w:lang w:val="fr-FR"/>
              </w:rPr>
              <w:t>rezulta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consecințe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semnificative</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din</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cauza</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schimbării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zonei</w:t>
            </w:r>
            <w:proofErr w:type="spellEnd"/>
            <w:r w:rsidRPr="00C41275">
              <w:rPr>
                <w:rFonts w:ascii="Times New Roman" w:hAnsi="Times New Roman"/>
                <w:sz w:val="20"/>
                <w:szCs w:val="20"/>
                <w:lang w:val="fr-FR"/>
              </w:rPr>
              <w:t xml:space="preserve"> </w:t>
            </w:r>
            <w:proofErr w:type="spellStart"/>
            <w:r w:rsidRPr="00C41275">
              <w:rPr>
                <w:rFonts w:ascii="Times New Roman" w:hAnsi="Times New Roman"/>
                <w:sz w:val="20"/>
                <w:szCs w:val="20"/>
                <w:lang w:val="fr-FR"/>
              </w:rPr>
              <w:t>sincrone</w:t>
            </w:r>
            <w:proofErr w:type="spellEnd"/>
            <w:r w:rsidRPr="00C41275">
              <w:rPr>
                <w:rFonts w:ascii="Times New Roman" w:hAnsi="Times New Roman"/>
                <w:sz w:val="20"/>
                <w:szCs w:val="20"/>
                <w:lang w:val="fr-FR"/>
              </w:rPr>
              <w:t>.</w:t>
            </w:r>
          </w:p>
          <w:p w14:paraId="2161FAB1" w14:textId="2B31B378" w:rsidR="008F5636" w:rsidRPr="00745D9A" w:rsidRDefault="003E7DF2" w:rsidP="008F5636">
            <w:pPr>
              <w:pStyle w:val="ColorfulList-Accent11"/>
              <w:spacing w:after="0" w:line="240" w:lineRule="auto"/>
              <w:ind w:left="0"/>
              <w:jc w:val="both"/>
              <w:rPr>
                <w:lang w:val="fr-FR"/>
              </w:rPr>
            </w:pPr>
            <w:r w:rsidRPr="00C41275">
              <w:rPr>
                <w:rFonts w:ascii="Times New Roman" w:hAnsi="Times New Roman"/>
                <w:sz w:val="20"/>
                <w:szCs w:val="20"/>
                <w:shd w:val="clear" w:color="auto" w:fill="FFFFFF"/>
                <w:lang w:val="fr-FR"/>
              </w:rPr>
              <w:t>(3)</w:t>
            </w:r>
            <w:proofErr w:type="spellStart"/>
            <w:r w:rsidRPr="00C41275">
              <w:rPr>
                <w:rFonts w:ascii="Times New Roman" w:hAnsi="Times New Roman"/>
                <w:sz w:val="20"/>
                <w:szCs w:val="20"/>
                <w:shd w:val="clear" w:color="auto" w:fill="FFFFFF"/>
                <w:lang w:val="fr-FR"/>
              </w:rPr>
              <w:t>Dacă</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baza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evaluării</w:t>
            </w:r>
            <w:proofErr w:type="spellEnd"/>
            <w:r w:rsidRPr="00C41275">
              <w:rPr>
                <w:rFonts w:ascii="Times New Roman" w:hAnsi="Times New Roman"/>
                <w:sz w:val="20"/>
                <w:szCs w:val="20"/>
                <w:shd w:val="clear" w:color="auto" w:fill="FFFFFF"/>
                <w:lang w:val="fr-FR"/>
              </w:rPr>
              <w:t xml:space="preserve"> sale a </w:t>
            </w:r>
            <w:proofErr w:type="spellStart"/>
            <w:r w:rsidRPr="00C41275">
              <w:rPr>
                <w:rFonts w:ascii="Times New Roman" w:hAnsi="Times New Roman"/>
                <w:sz w:val="20"/>
                <w:szCs w:val="20"/>
                <w:shd w:val="clear" w:color="auto" w:fill="FFFFFF"/>
                <w:lang w:val="fr-FR"/>
              </w:rPr>
              <w:t>planurilor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naționale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integrate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privind</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energia</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clima</w:t>
            </w:r>
            <w:proofErr w:type="spellEnd"/>
            <w:r w:rsidRPr="00C41275">
              <w:rPr>
                <w:rFonts w:ascii="Times New Roman" w:hAnsi="Times New Roman"/>
                <w:sz w:val="20"/>
                <w:szCs w:val="20"/>
                <w:shd w:val="clear" w:color="auto" w:fill="FFFFFF"/>
                <w:lang w:val="fr-FR"/>
              </w:rPr>
              <w:t xml:space="preserve"> și a </w:t>
            </w:r>
            <w:proofErr w:type="spellStart"/>
            <w:r w:rsidRPr="00C41275">
              <w:rPr>
                <w:rFonts w:ascii="Times New Roman" w:hAnsi="Times New Roman"/>
                <w:sz w:val="20"/>
                <w:szCs w:val="20"/>
                <w:shd w:val="clear" w:color="auto" w:fill="FFFFFF"/>
                <w:lang w:val="fr-FR"/>
              </w:rPr>
              <w:t>actualizărilor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acestora</w:t>
            </w:r>
            <w:proofErr w:type="spellEnd"/>
            <w:r w:rsidRPr="00C41275">
              <w:rPr>
                <w:rFonts w:ascii="Times New Roman" w:hAnsi="Times New Roman"/>
                <w:sz w:val="20"/>
                <w:szCs w:val="20"/>
                <w:shd w:val="clear" w:color="auto" w:fill="FFFFFF"/>
                <w:lang w:val="fr-FR"/>
              </w:rPr>
              <w:t xml:space="preserve"> în </w:t>
            </w:r>
            <w:proofErr w:type="spellStart"/>
            <w:r w:rsidRPr="00C41275">
              <w:rPr>
                <w:rFonts w:ascii="Times New Roman" w:hAnsi="Times New Roman"/>
                <w:sz w:val="20"/>
                <w:szCs w:val="20"/>
                <w:shd w:val="clear" w:color="auto" w:fill="FFFFFF"/>
                <w:lang w:val="fr-FR"/>
              </w:rPr>
              <w:t>temeiul</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articolului</w:t>
            </w:r>
            <w:proofErr w:type="spellEnd"/>
            <w:r w:rsidRPr="00C41275">
              <w:rPr>
                <w:rFonts w:ascii="Times New Roman" w:hAnsi="Times New Roman"/>
                <w:sz w:val="20"/>
                <w:szCs w:val="20"/>
                <w:shd w:val="clear" w:color="auto" w:fill="FFFFFF"/>
                <w:lang w:val="fr-FR"/>
              </w:rPr>
              <w:t xml:space="preserve"> 14, </w:t>
            </w:r>
            <w:proofErr w:type="spellStart"/>
            <w:r w:rsidRPr="00C41275">
              <w:rPr>
                <w:rFonts w:ascii="Times New Roman" w:hAnsi="Times New Roman"/>
                <w:sz w:val="20"/>
                <w:szCs w:val="20"/>
                <w:shd w:val="clear" w:color="auto" w:fill="FFFFFF"/>
                <w:lang w:val="fr-FR"/>
              </w:rPr>
              <w:t>Comisia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ajunge</w:t>
            </w:r>
            <w:proofErr w:type="spellEnd"/>
            <w:r w:rsidRPr="00C41275">
              <w:rPr>
                <w:rFonts w:ascii="Times New Roman" w:hAnsi="Times New Roman"/>
                <w:sz w:val="20"/>
                <w:szCs w:val="20"/>
                <w:shd w:val="clear" w:color="auto" w:fill="FFFFFF"/>
                <w:lang w:val="fr-FR"/>
              </w:rPr>
              <w:t xml:space="preserve"> la </w:t>
            </w:r>
            <w:proofErr w:type="spellStart"/>
            <w:r w:rsidRPr="00C41275">
              <w:rPr>
                <w:rFonts w:ascii="Times New Roman" w:hAnsi="Times New Roman"/>
                <w:sz w:val="20"/>
                <w:szCs w:val="20"/>
                <w:shd w:val="clear" w:color="auto" w:fill="FFFFFF"/>
                <w:lang w:val="fr-FR"/>
              </w:rPr>
              <w:t>concluzia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că</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obiectivele</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contribuțiile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planurilor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naționale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integrate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privind</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energia</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clima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sau</w:t>
            </w:r>
            <w:proofErr w:type="spellEnd"/>
            <w:r w:rsidRPr="00C41275">
              <w:rPr>
                <w:rFonts w:ascii="Times New Roman" w:hAnsi="Times New Roman"/>
                <w:sz w:val="20"/>
                <w:szCs w:val="20"/>
                <w:shd w:val="clear" w:color="auto" w:fill="FFFFFF"/>
                <w:lang w:val="fr-FR"/>
              </w:rPr>
              <w:t xml:space="preserve"> ale </w:t>
            </w:r>
            <w:proofErr w:type="spellStart"/>
            <w:r w:rsidRPr="00C41275">
              <w:rPr>
                <w:rFonts w:ascii="Times New Roman" w:hAnsi="Times New Roman"/>
                <w:sz w:val="20"/>
                <w:szCs w:val="20"/>
                <w:shd w:val="clear" w:color="auto" w:fill="FFFFFF"/>
                <w:lang w:val="fr-FR"/>
              </w:rPr>
              <w:t>actualizărilor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acestora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sunt</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insuficiente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pentru</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realizarea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colectivă</w:t>
            </w:r>
            <w:proofErr w:type="spellEnd"/>
            <w:r w:rsidRPr="00C41275">
              <w:rPr>
                <w:rFonts w:ascii="Times New Roman" w:hAnsi="Times New Roman"/>
                <w:sz w:val="20"/>
                <w:szCs w:val="20"/>
                <w:shd w:val="clear" w:color="auto" w:fill="FFFFFF"/>
                <w:lang w:val="fr-FR"/>
              </w:rPr>
              <w:t xml:space="preserve"> a </w:t>
            </w:r>
            <w:proofErr w:type="spellStart"/>
            <w:r w:rsidRPr="00C41275">
              <w:rPr>
                <w:rFonts w:ascii="Times New Roman" w:hAnsi="Times New Roman"/>
                <w:sz w:val="20"/>
                <w:szCs w:val="20"/>
                <w:shd w:val="clear" w:color="auto" w:fill="FFFFFF"/>
                <w:lang w:val="fr-FR"/>
              </w:rPr>
              <w:t>obiectivelor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uniunii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energetice</w:t>
            </w:r>
            <w:proofErr w:type="spellEnd"/>
            <w:r w:rsidRPr="00C41275">
              <w:rPr>
                <w:rFonts w:ascii="Times New Roman" w:hAnsi="Times New Roman"/>
                <w:sz w:val="20"/>
                <w:szCs w:val="20"/>
                <w:shd w:val="clear" w:color="auto" w:fill="FFFFFF"/>
                <w:lang w:val="fr-FR"/>
              </w:rPr>
              <w:t xml:space="preserve"> și, în </w:t>
            </w:r>
            <w:proofErr w:type="spellStart"/>
            <w:r w:rsidRPr="00C41275">
              <w:rPr>
                <w:rFonts w:ascii="Times New Roman" w:hAnsi="Times New Roman"/>
                <w:sz w:val="20"/>
                <w:szCs w:val="20"/>
                <w:shd w:val="clear" w:color="auto" w:fill="FFFFFF"/>
                <w:lang w:val="fr-FR"/>
              </w:rPr>
              <w:t>special</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pentru</w:t>
            </w:r>
            <w:proofErr w:type="spellEnd"/>
            <w:r w:rsidRPr="00C41275">
              <w:rPr>
                <w:rFonts w:ascii="Times New Roman" w:hAnsi="Times New Roman"/>
                <w:sz w:val="20"/>
                <w:szCs w:val="20"/>
                <w:shd w:val="clear" w:color="auto" w:fill="FFFFFF"/>
                <w:lang w:val="fr-FR"/>
              </w:rPr>
              <w:t xml:space="preserve"> prima </w:t>
            </w:r>
            <w:proofErr w:type="spellStart"/>
            <w:r w:rsidRPr="00C41275">
              <w:rPr>
                <w:rFonts w:ascii="Times New Roman" w:hAnsi="Times New Roman"/>
                <w:sz w:val="20"/>
                <w:szCs w:val="20"/>
                <w:shd w:val="clear" w:color="auto" w:fill="FFFFFF"/>
                <w:lang w:val="fr-FR"/>
              </w:rPr>
              <w:t>perioadă</w:t>
            </w:r>
            <w:proofErr w:type="spellEnd"/>
            <w:r w:rsidRPr="00C41275">
              <w:rPr>
                <w:rFonts w:ascii="Times New Roman" w:hAnsi="Times New Roman"/>
                <w:sz w:val="20"/>
                <w:szCs w:val="20"/>
                <w:shd w:val="clear" w:color="auto" w:fill="FFFFFF"/>
                <w:lang w:val="fr-FR"/>
              </w:rPr>
              <w:t xml:space="preserve"> de </w:t>
            </w:r>
            <w:proofErr w:type="spellStart"/>
            <w:r w:rsidRPr="00C41275">
              <w:rPr>
                <w:rFonts w:ascii="Times New Roman" w:hAnsi="Times New Roman"/>
                <w:sz w:val="20"/>
                <w:szCs w:val="20"/>
                <w:shd w:val="clear" w:color="auto" w:fill="FFFFFF"/>
                <w:lang w:val="fr-FR"/>
              </w:rPr>
              <w:t>zece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ani</w:t>
            </w:r>
            <w:proofErr w:type="spellEnd"/>
            <w:r w:rsidRPr="00C41275">
              <w:rPr>
                <w:rFonts w:ascii="Times New Roman" w:hAnsi="Times New Roman"/>
                <w:sz w:val="20"/>
                <w:szCs w:val="20"/>
                <w:shd w:val="clear" w:color="auto" w:fill="FFFFFF"/>
                <w:lang w:val="fr-FR"/>
              </w:rPr>
              <w:t xml:space="preserve">, a </w:t>
            </w:r>
            <w:proofErr w:type="spellStart"/>
            <w:r w:rsidRPr="00C41275">
              <w:rPr>
                <w:rFonts w:ascii="Times New Roman" w:hAnsi="Times New Roman"/>
                <w:sz w:val="20"/>
                <w:szCs w:val="20"/>
                <w:shd w:val="clear" w:color="auto" w:fill="FFFFFF"/>
                <w:lang w:val="fr-FR"/>
              </w:rPr>
              <w:t>obiectivelor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Uniunii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pentru</w:t>
            </w:r>
            <w:proofErr w:type="spellEnd"/>
            <w:r w:rsidRPr="00C41275">
              <w:rPr>
                <w:rFonts w:ascii="Times New Roman" w:hAnsi="Times New Roman"/>
                <w:sz w:val="20"/>
                <w:szCs w:val="20"/>
                <w:shd w:val="clear" w:color="auto" w:fill="FFFFFF"/>
                <w:lang w:val="fr-FR"/>
              </w:rPr>
              <w:t xml:space="preserve"> 2030 </w:t>
            </w:r>
            <w:proofErr w:type="spellStart"/>
            <w:r w:rsidRPr="00C41275">
              <w:rPr>
                <w:rFonts w:ascii="Times New Roman" w:hAnsi="Times New Roman"/>
                <w:sz w:val="20"/>
                <w:szCs w:val="20"/>
                <w:shd w:val="clear" w:color="auto" w:fill="FFFFFF"/>
                <w:lang w:val="fr-FR"/>
              </w:rPr>
              <w:t>privind</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energia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din</w:t>
            </w:r>
            <w:proofErr w:type="spellEnd"/>
            <w:r w:rsidRPr="00C41275">
              <w:rPr>
                <w:rFonts w:ascii="Times New Roman" w:hAnsi="Times New Roman"/>
                <w:sz w:val="20"/>
                <w:szCs w:val="20"/>
                <w:shd w:val="clear" w:color="auto" w:fill="FFFFFF"/>
                <w:lang w:val="fr-FR"/>
              </w:rPr>
              <w:t xml:space="preserve"> surse </w:t>
            </w:r>
            <w:proofErr w:type="spellStart"/>
            <w:r w:rsidRPr="00C41275">
              <w:rPr>
                <w:rFonts w:ascii="Times New Roman" w:hAnsi="Times New Roman"/>
                <w:sz w:val="20"/>
                <w:szCs w:val="20"/>
                <w:shd w:val="clear" w:color="auto" w:fill="FFFFFF"/>
                <w:lang w:val="fr-FR"/>
              </w:rPr>
              <w:t>regenerabile</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eficiența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energetică</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Comisia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propune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măsuri</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își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exercită</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competențele</w:t>
            </w:r>
            <w:proofErr w:type="spellEnd"/>
            <w:r w:rsidRPr="00C41275">
              <w:rPr>
                <w:rFonts w:ascii="Times New Roman" w:hAnsi="Times New Roman"/>
                <w:sz w:val="20"/>
                <w:szCs w:val="20"/>
                <w:shd w:val="clear" w:color="auto" w:fill="FFFFFF"/>
                <w:lang w:val="fr-FR"/>
              </w:rPr>
              <w:t xml:space="preserve"> la </w:t>
            </w:r>
            <w:proofErr w:type="spellStart"/>
            <w:r w:rsidRPr="00C41275">
              <w:rPr>
                <w:rFonts w:ascii="Times New Roman" w:hAnsi="Times New Roman"/>
                <w:sz w:val="20"/>
                <w:szCs w:val="20"/>
                <w:shd w:val="clear" w:color="auto" w:fill="FFFFFF"/>
                <w:lang w:val="fr-FR"/>
              </w:rPr>
              <w:t>nivelul</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Uniunii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pentru</w:t>
            </w:r>
            <w:proofErr w:type="spellEnd"/>
            <w:r w:rsidRPr="00C41275">
              <w:rPr>
                <w:rFonts w:ascii="Times New Roman" w:hAnsi="Times New Roman"/>
                <w:sz w:val="20"/>
                <w:szCs w:val="20"/>
                <w:shd w:val="clear" w:color="auto" w:fill="FFFFFF"/>
                <w:lang w:val="fr-FR"/>
              </w:rPr>
              <w:t xml:space="preserve"> a </w:t>
            </w:r>
            <w:proofErr w:type="spellStart"/>
            <w:r w:rsidRPr="00C41275">
              <w:rPr>
                <w:rFonts w:ascii="Times New Roman" w:hAnsi="Times New Roman"/>
                <w:sz w:val="20"/>
                <w:szCs w:val="20"/>
                <w:shd w:val="clear" w:color="auto" w:fill="FFFFFF"/>
                <w:lang w:val="fr-FR"/>
              </w:rPr>
              <w:t>asigura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realizarea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colectivă</w:t>
            </w:r>
            <w:proofErr w:type="spellEnd"/>
            <w:r w:rsidRPr="00C41275">
              <w:rPr>
                <w:rFonts w:ascii="Times New Roman" w:hAnsi="Times New Roman"/>
                <w:sz w:val="20"/>
                <w:szCs w:val="20"/>
                <w:shd w:val="clear" w:color="auto" w:fill="FFFFFF"/>
                <w:lang w:val="fr-FR"/>
              </w:rPr>
              <w:t xml:space="preserve"> a </w:t>
            </w:r>
            <w:proofErr w:type="spellStart"/>
            <w:r w:rsidRPr="00C41275">
              <w:rPr>
                <w:rFonts w:ascii="Times New Roman" w:hAnsi="Times New Roman"/>
                <w:sz w:val="20"/>
                <w:szCs w:val="20"/>
                <w:shd w:val="clear" w:color="auto" w:fill="FFFFFF"/>
                <w:lang w:val="fr-FR"/>
              </w:rPr>
              <w:t>acestor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obiective</w:t>
            </w:r>
            <w:proofErr w:type="spellEnd"/>
            <w:r w:rsidRPr="00C41275">
              <w:rPr>
                <w:rFonts w:ascii="Times New Roman" w:hAnsi="Times New Roman"/>
                <w:sz w:val="20"/>
                <w:szCs w:val="20"/>
                <w:shd w:val="clear" w:color="auto" w:fill="FFFFFF"/>
                <w:lang w:val="fr-FR"/>
              </w:rPr>
              <w:t xml:space="preserve">. În </w:t>
            </w:r>
            <w:proofErr w:type="spellStart"/>
            <w:r w:rsidRPr="00C41275">
              <w:rPr>
                <w:rFonts w:ascii="Times New Roman" w:hAnsi="Times New Roman"/>
                <w:sz w:val="20"/>
                <w:szCs w:val="20"/>
                <w:shd w:val="clear" w:color="auto" w:fill="FFFFFF"/>
                <w:lang w:val="fr-FR"/>
              </w:rPr>
              <w:t>ceea</w:t>
            </w:r>
            <w:proofErr w:type="spellEnd"/>
            <w:r w:rsidRPr="00C41275">
              <w:rPr>
                <w:rFonts w:ascii="Times New Roman" w:hAnsi="Times New Roman"/>
                <w:sz w:val="20"/>
                <w:szCs w:val="20"/>
                <w:shd w:val="clear" w:color="auto" w:fill="FFFFFF"/>
                <w:lang w:val="fr-FR"/>
              </w:rPr>
              <w:t xml:space="preserve"> ce </w:t>
            </w:r>
            <w:proofErr w:type="spellStart"/>
            <w:r w:rsidRPr="00C41275">
              <w:rPr>
                <w:rFonts w:ascii="Times New Roman" w:hAnsi="Times New Roman"/>
                <w:sz w:val="20"/>
                <w:szCs w:val="20"/>
                <w:shd w:val="clear" w:color="auto" w:fill="FFFFFF"/>
                <w:lang w:val="fr-FR"/>
              </w:rPr>
              <w:t>privește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energia</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din</w:t>
            </w:r>
            <w:proofErr w:type="spellEnd"/>
            <w:r w:rsidRPr="00C41275">
              <w:rPr>
                <w:rFonts w:ascii="Times New Roman" w:hAnsi="Times New Roman"/>
                <w:sz w:val="20"/>
                <w:szCs w:val="20"/>
                <w:shd w:val="clear" w:color="auto" w:fill="FFFFFF"/>
                <w:lang w:val="fr-FR"/>
              </w:rPr>
              <w:t xml:space="preserve"> surse </w:t>
            </w:r>
            <w:proofErr w:type="spellStart"/>
            <w:r w:rsidRPr="00C41275">
              <w:rPr>
                <w:rFonts w:ascii="Times New Roman" w:hAnsi="Times New Roman"/>
                <w:sz w:val="20"/>
                <w:szCs w:val="20"/>
                <w:shd w:val="clear" w:color="auto" w:fill="FFFFFF"/>
                <w:lang w:val="fr-FR"/>
              </w:rPr>
              <w:t>regenerabile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aceste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măsuri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țin</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seama</w:t>
            </w:r>
            <w:proofErr w:type="spellEnd"/>
            <w:r w:rsidRPr="00C41275">
              <w:rPr>
                <w:rFonts w:ascii="Times New Roman" w:hAnsi="Times New Roman"/>
                <w:sz w:val="20"/>
                <w:szCs w:val="20"/>
                <w:shd w:val="clear" w:color="auto" w:fill="FFFFFF"/>
                <w:lang w:val="fr-FR"/>
              </w:rPr>
              <w:t xml:space="preserve"> de </w:t>
            </w:r>
            <w:proofErr w:type="spellStart"/>
            <w:r w:rsidRPr="00C41275">
              <w:rPr>
                <w:rFonts w:ascii="Times New Roman" w:hAnsi="Times New Roman"/>
                <w:sz w:val="20"/>
                <w:szCs w:val="20"/>
                <w:shd w:val="clear" w:color="auto" w:fill="FFFFFF"/>
                <w:lang w:val="fr-FR"/>
              </w:rPr>
              <w:t>nivelul</w:t>
            </w:r>
            <w:proofErr w:type="spellEnd"/>
            <w:r w:rsidRPr="00C41275">
              <w:rPr>
                <w:rFonts w:ascii="Times New Roman" w:hAnsi="Times New Roman"/>
                <w:sz w:val="20"/>
                <w:szCs w:val="20"/>
                <w:shd w:val="clear" w:color="auto" w:fill="FFFFFF"/>
                <w:lang w:val="fr-FR"/>
              </w:rPr>
              <w:t xml:space="preserve"> de </w:t>
            </w:r>
            <w:proofErr w:type="spellStart"/>
            <w:r w:rsidRPr="00C41275">
              <w:rPr>
                <w:rFonts w:ascii="Times New Roman" w:hAnsi="Times New Roman"/>
                <w:sz w:val="20"/>
                <w:szCs w:val="20"/>
                <w:shd w:val="clear" w:color="auto" w:fill="FFFFFF"/>
                <w:lang w:val="fr-FR"/>
              </w:rPr>
              <w:t>ambiție</w:t>
            </w:r>
            <w:proofErr w:type="spellEnd"/>
            <w:r w:rsidRPr="00C41275">
              <w:rPr>
                <w:rFonts w:ascii="Times New Roman" w:hAnsi="Times New Roman"/>
                <w:sz w:val="20"/>
                <w:szCs w:val="20"/>
                <w:shd w:val="clear" w:color="auto" w:fill="FFFFFF"/>
                <w:lang w:val="fr-FR"/>
              </w:rPr>
              <w:t xml:space="preserve"> al </w:t>
            </w:r>
            <w:proofErr w:type="spellStart"/>
            <w:r w:rsidRPr="00C41275">
              <w:rPr>
                <w:rFonts w:ascii="Times New Roman" w:hAnsi="Times New Roman"/>
                <w:sz w:val="20"/>
                <w:szCs w:val="20"/>
                <w:shd w:val="clear" w:color="auto" w:fill="FFFFFF"/>
                <w:lang w:val="fr-FR"/>
              </w:rPr>
              <w:t>contribuțiilor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statelor</w:t>
            </w:r>
            <w:proofErr w:type="spellEnd"/>
            <w:r w:rsidRPr="00C41275">
              <w:rPr>
                <w:rFonts w:ascii="Times New Roman" w:hAnsi="Times New Roman"/>
                <w:sz w:val="20"/>
                <w:szCs w:val="20"/>
                <w:shd w:val="clear" w:color="auto" w:fill="FFFFFF"/>
                <w:lang w:val="fr-FR"/>
              </w:rPr>
              <w:t xml:space="preserve"> membre la </w:t>
            </w:r>
            <w:proofErr w:type="spellStart"/>
            <w:r w:rsidRPr="00C41275">
              <w:rPr>
                <w:rFonts w:ascii="Times New Roman" w:hAnsi="Times New Roman"/>
                <w:sz w:val="20"/>
                <w:szCs w:val="20"/>
                <w:shd w:val="clear" w:color="auto" w:fill="FFFFFF"/>
                <w:lang w:val="fr-FR"/>
              </w:rPr>
              <w:t>obiectivul</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Uniunii</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pentru</w:t>
            </w:r>
            <w:proofErr w:type="spellEnd"/>
            <w:r w:rsidRPr="00C41275">
              <w:rPr>
                <w:rFonts w:ascii="Times New Roman" w:hAnsi="Times New Roman"/>
                <w:sz w:val="20"/>
                <w:szCs w:val="20"/>
                <w:shd w:val="clear" w:color="auto" w:fill="FFFFFF"/>
                <w:lang w:val="fr-FR"/>
              </w:rPr>
              <w:t xml:space="preserve"> 2030, </w:t>
            </w:r>
            <w:proofErr w:type="spellStart"/>
            <w:r w:rsidRPr="00C41275">
              <w:rPr>
                <w:rFonts w:ascii="Times New Roman" w:hAnsi="Times New Roman"/>
                <w:sz w:val="20"/>
                <w:szCs w:val="20"/>
                <w:shd w:val="clear" w:color="auto" w:fill="FFFFFF"/>
                <w:lang w:val="fr-FR"/>
              </w:rPr>
              <w:t>stabilite</w:t>
            </w:r>
            <w:proofErr w:type="spellEnd"/>
            <w:r w:rsidRPr="00C41275">
              <w:rPr>
                <w:rFonts w:ascii="Times New Roman" w:hAnsi="Times New Roman"/>
                <w:sz w:val="20"/>
                <w:szCs w:val="20"/>
                <w:shd w:val="clear" w:color="auto" w:fill="FFFFFF"/>
                <w:lang w:val="fr-FR"/>
              </w:rPr>
              <w:t xml:space="preserve"> în </w:t>
            </w:r>
            <w:proofErr w:type="spellStart"/>
            <w:r w:rsidRPr="00C41275">
              <w:rPr>
                <w:rFonts w:ascii="Times New Roman" w:hAnsi="Times New Roman"/>
                <w:sz w:val="20"/>
                <w:szCs w:val="20"/>
                <w:shd w:val="clear" w:color="auto" w:fill="FFFFFF"/>
                <w:lang w:val="fr-FR"/>
              </w:rPr>
              <w:t>planurile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lor</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naționale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integrate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privind</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energia</w:t>
            </w:r>
            <w:proofErr w:type="spellEnd"/>
            <w:r w:rsidRPr="00C41275">
              <w:rPr>
                <w:rFonts w:ascii="Times New Roman" w:hAnsi="Times New Roman"/>
                <w:sz w:val="20"/>
                <w:szCs w:val="20"/>
                <w:shd w:val="clear" w:color="auto" w:fill="FFFFFF"/>
                <w:lang w:val="fr-FR"/>
              </w:rPr>
              <w:t xml:space="preserve"> și </w:t>
            </w:r>
            <w:proofErr w:type="spellStart"/>
            <w:r w:rsidRPr="00C41275">
              <w:rPr>
                <w:rFonts w:ascii="Times New Roman" w:hAnsi="Times New Roman"/>
                <w:sz w:val="20"/>
                <w:szCs w:val="20"/>
                <w:shd w:val="clear" w:color="auto" w:fill="FFFFFF"/>
                <w:lang w:val="fr-FR"/>
              </w:rPr>
              <w:t>clima</w:t>
            </w:r>
            <w:proofErr w:type="spellEnd"/>
            <w:r w:rsidRPr="00C41275">
              <w:rPr>
                <w:rFonts w:ascii="Times New Roman" w:hAnsi="Times New Roman"/>
                <w:sz w:val="20"/>
                <w:szCs w:val="20"/>
                <w:shd w:val="clear" w:color="auto" w:fill="FFFFFF"/>
                <w:lang w:val="fr-FR"/>
              </w:rPr>
              <w:t xml:space="preserve"> și în </w:t>
            </w:r>
            <w:proofErr w:type="spellStart"/>
            <w:r w:rsidRPr="00C41275">
              <w:rPr>
                <w:rFonts w:ascii="Times New Roman" w:hAnsi="Times New Roman"/>
                <w:sz w:val="20"/>
                <w:szCs w:val="20"/>
                <w:shd w:val="clear" w:color="auto" w:fill="FFFFFF"/>
                <w:lang w:val="fr-FR"/>
              </w:rPr>
              <w:t>actualizările</w:t>
            </w:r>
            <w:proofErr w:type="spellEnd"/>
            <w:r w:rsidRPr="00C41275">
              <w:rPr>
                <w:rFonts w:ascii="Times New Roman" w:hAnsi="Times New Roman"/>
                <w:sz w:val="20"/>
                <w:szCs w:val="20"/>
                <w:shd w:val="clear" w:color="auto" w:fill="FFFFFF"/>
                <w:lang w:val="fr-FR"/>
              </w:rPr>
              <w:t xml:space="preserve"> </w:t>
            </w:r>
            <w:proofErr w:type="spellStart"/>
            <w:r w:rsidRPr="00C41275">
              <w:rPr>
                <w:rFonts w:ascii="Times New Roman" w:hAnsi="Times New Roman"/>
                <w:sz w:val="20"/>
                <w:szCs w:val="20"/>
                <w:shd w:val="clear" w:color="auto" w:fill="FFFFFF"/>
                <w:lang w:val="fr-FR"/>
              </w:rPr>
              <w:t>acestora</w:t>
            </w:r>
            <w:proofErr w:type="spellEnd"/>
            <w:r w:rsidRPr="00C41275">
              <w:rPr>
                <w:rFonts w:ascii="Times New Roman" w:hAnsi="Times New Roman"/>
                <w:sz w:val="20"/>
                <w:szCs w:val="20"/>
                <w:shd w:val="clear" w:color="auto" w:fill="FFFFFF"/>
                <w:lang w:val="fr-FR"/>
              </w:rPr>
              <w:t>.</w:t>
            </w:r>
          </w:p>
        </w:tc>
        <w:tc>
          <w:tcPr>
            <w:tcW w:w="4440" w:type="dxa"/>
          </w:tcPr>
          <w:p w14:paraId="46DB1DC2" w14:textId="0C8B6815" w:rsidR="008F5636" w:rsidRPr="00620138" w:rsidRDefault="008F5636" w:rsidP="00C41275">
            <w:pPr>
              <w:suppressAutoHyphens w:val="0"/>
              <w:autoSpaceDN/>
              <w:spacing w:after="0" w:line="240" w:lineRule="auto"/>
              <w:jc w:val="both"/>
              <w:textAlignment w:val="auto"/>
              <w:rPr>
                <w:rFonts w:ascii="Times New Roman" w:hAnsi="Times New Roman"/>
                <w:color w:val="000000" w:themeColor="text1"/>
                <w:sz w:val="20"/>
                <w:szCs w:val="20"/>
                <w:lang w:val="ro-MD"/>
              </w:rPr>
            </w:pPr>
          </w:p>
        </w:tc>
        <w:tc>
          <w:tcPr>
            <w:tcW w:w="1276" w:type="dxa"/>
          </w:tcPr>
          <w:p w14:paraId="5F1183ED" w14:textId="3107EEA0" w:rsidR="008F5636" w:rsidRPr="00745D9A" w:rsidRDefault="000B2510" w:rsidP="008F5636">
            <w:pPr>
              <w:pStyle w:val="ColorfulList-Accent11"/>
              <w:spacing w:after="0" w:line="240" w:lineRule="auto"/>
              <w:ind w:left="0"/>
              <w:jc w:val="both"/>
              <w:rPr>
                <w:lang w:val="fr-FR"/>
              </w:rPr>
            </w:pPr>
            <w:r>
              <w:rPr>
                <w:rFonts w:ascii="Times New Roman" w:hAnsi="Times New Roman"/>
                <w:sz w:val="20"/>
                <w:szCs w:val="20"/>
                <w:lang w:val="ro-RO"/>
              </w:rPr>
              <w:t>C</w:t>
            </w:r>
            <w:r w:rsidR="003E7DF2" w:rsidRPr="00C951E7">
              <w:rPr>
                <w:rFonts w:ascii="Times New Roman" w:hAnsi="Times New Roman"/>
                <w:sz w:val="20"/>
                <w:szCs w:val="20"/>
                <w:lang w:val="ro-RO"/>
              </w:rPr>
              <w:t>ompatibil</w:t>
            </w:r>
          </w:p>
        </w:tc>
        <w:tc>
          <w:tcPr>
            <w:tcW w:w="1276" w:type="dxa"/>
          </w:tcPr>
          <w:p w14:paraId="3DFEFCE1" w14:textId="77777777" w:rsidR="008F5636" w:rsidRPr="00745D9A" w:rsidRDefault="008F5636" w:rsidP="008F5636">
            <w:pPr>
              <w:pStyle w:val="ColorfulList-Accent11"/>
              <w:spacing w:after="0" w:line="240" w:lineRule="auto"/>
              <w:ind w:left="0"/>
              <w:jc w:val="both"/>
              <w:rPr>
                <w:lang w:val="fr-FR"/>
              </w:rPr>
            </w:pPr>
          </w:p>
        </w:tc>
        <w:tc>
          <w:tcPr>
            <w:tcW w:w="1701" w:type="dxa"/>
          </w:tcPr>
          <w:p w14:paraId="2FC9F4BB" w14:textId="30253E7D" w:rsidR="000442CB" w:rsidRPr="00F13819" w:rsidRDefault="000442CB" w:rsidP="000442CB">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w:t>
            </w:r>
            <w:r w:rsidRPr="00F13819">
              <w:rPr>
                <w:rFonts w:ascii="Times New Roman" w:eastAsia="Times New Roman" w:hAnsi="Times New Roman"/>
                <w:sz w:val="20"/>
                <w:szCs w:val="20"/>
                <w:lang w:val="ro-RO"/>
              </w:rPr>
              <w:lastRenderedPageBreak/>
              <w:t>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821CF8">
              <w:rPr>
                <w:rFonts w:ascii="Times New Roman" w:eastAsia="Times New Roman" w:hAnsi="Times New Roman"/>
                <w:sz w:val="20"/>
                <w:szCs w:val="20"/>
                <w:lang w:val="ro-RO"/>
              </w:rPr>
              <w:t xml:space="preserve"> și </w:t>
            </w:r>
            <w:r w:rsidR="00821CF8" w:rsidRPr="00F13819">
              <w:rPr>
                <w:rFonts w:ascii="Times New Roman" w:eastAsia="Times New Roman" w:hAnsi="Times New Roman"/>
                <w:sz w:val="20"/>
                <w:szCs w:val="20"/>
                <w:lang w:val="ro-RO"/>
              </w:rPr>
              <w:t>D/202</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w:t>
            </w:r>
            <w:r w:rsidR="00821CF8">
              <w:rPr>
                <w:rFonts w:ascii="Times New Roman" w:eastAsia="Times New Roman" w:hAnsi="Times New Roman"/>
                <w:sz w:val="20"/>
                <w:szCs w:val="20"/>
                <w:lang w:val="ro-RO"/>
              </w:rPr>
              <w:t>02</w:t>
            </w:r>
            <w:r w:rsidR="00821CF8" w:rsidRPr="00F13819">
              <w:rPr>
                <w:rFonts w:ascii="Times New Roman" w:eastAsia="Times New Roman" w:hAnsi="Times New Roman"/>
                <w:sz w:val="20"/>
                <w:szCs w:val="20"/>
                <w:lang w:val="ro-RO"/>
              </w:rPr>
              <w:t>/MC-</w:t>
            </w:r>
            <w:proofErr w:type="spellStart"/>
            <w:r w:rsidR="00821CF8" w:rsidRPr="00F13819">
              <w:rPr>
                <w:rFonts w:ascii="Times New Roman" w:eastAsia="Times New Roman" w:hAnsi="Times New Roman"/>
                <w:sz w:val="20"/>
                <w:szCs w:val="20"/>
                <w:lang w:val="ro-RO"/>
              </w:rPr>
              <w:t>EnC</w:t>
            </w:r>
            <w:proofErr w:type="spellEnd"/>
            <w:r w:rsidR="00821CF8" w:rsidRPr="00F13819">
              <w:rPr>
                <w:rFonts w:ascii="Times New Roman" w:eastAsia="Times New Roman" w:hAnsi="Times New Roman"/>
                <w:sz w:val="20"/>
                <w:szCs w:val="20"/>
                <w:lang w:val="ro-RO"/>
              </w:rPr>
              <w:t xml:space="preserve"> din </w:t>
            </w:r>
            <w:r w:rsidR="00821CF8">
              <w:rPr>
                <w:rFonts w:ascii="Times New Roman" w:eastAsia="Times New Roman" w:hAnsi="Times New Roman"/>
                <w:sz w:val="20"/>
                <w:szCs w:val="20"/>
                <w:lang w:val="ro-RO"/>
              </w:rPr>
              <w:t>15</w:t>
            </w:r>
            <w:r w:rsidR="00821CF8" w:rsidRPr="00F13819">
              <w:rPr>
                <w:rFonts w:ascii="Times New Roman" w:eastAsia="Times New Roman" w:hAnsi="Times New Roman"/>
                <w:sz w:val="20"/>
                <w:szCs w:val="20"/>
                <w:lang w:val="ro-RO"/>
              </w:rPr>
              <w:t>.1</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r>
              <w:rPr>
                <w:rFonts w:ascii="Times New Roman" w:eastAsia="Times New Roman" w:hAnsi="Times New Roman"/>
                <w:sz w:val="20"/>
                <w:szCs w:val="20"/>
                <w:lang w:val="ro-RO"/>
              </w:rPr>
              <w:t xml:space="preserve"> </w:t>
            </w:r>
          </w:p>
          <w:p w14:paraId="60093585" w14:textId="77777777" w:rsidR="008F5636" w:rsidRDefault="008F5636" w:rsidP="003E7DF2">
            <w:pPr>
              <w:pStyle w:val="ColorfulList-Accent11"/>
              <w:spacing w:after="0" w:line="240" w:lineRule="auto"/>
              <w:ind w:left="0"/>
              <w:jc w:val="both"/>
              <w:rPr>
                <w:lang w:val="ro-RO"/>
              </w:rPr>
            </w:pPr>
          </w:p>
          <w:p w14:paraId="5C572ADF" w14:textId="098A47C2"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pct.71 -79 din</w:t>
            </w:r>
            <w:r>
              <w:rPr>
                <w:rFonts w:ascii="Times New Roman" w:eastAsia="Times New Roman" w:hAnsi="Times New Roman"/>
                <w:sz w:val="20"/>
                <w:szCs w:val="20"/>
                <w:lang w:val="ro-RO" w:eastAsia="ru-RU"/>
              </w:rPr>
              <w:t xml:space="preserve"> </w:t>
            </w:r>
          </w:p>
          <w:p w14:paraId="17149B02"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7A381F26" w14:textId="6B4EEF3A" w:rsidR="00077DF7" w:rsidRPr="003E7DF2" w:rsidRDefault="00077DF7" w:rsidP="003E7DF2">
            <w:pPr>
              <w:pStyle w:val="ColorfulList-Accent11"/>
              <w:spacing w:after="0" w:line="240" w:lineRule="auto"/>
              <w:ind w:left="0"/>
              <w:jc w:val="both"/>
              <w:rPr>
                <w:lang w:val="ro-RO"/>
              </w:rPr>
            </w:pPr>
          </w:p>
        </w:tc>
        <w:tc>
          <w:tcPr>
            <w:tcW w:w="1460" w:type="dxa"/>
          </w:tcPr>
          <w:p w14:paraId="3858C85F" w14:textId="77777777" w:rsidR="00C41275" w:rsidRPr="003F755D" w:rsidRDefault="003E7DF2" w:rsidP="00C41275">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C41275" w:rsidRPr="00A81801">
              <w:rPr>
                <w:rFonts w:ascii="Times New Roman" w:hAnsi="Times New Roman"/>
                <w:color w:val="000000" w:themeColor="text1"/>
                <w:sz w:val="20"/>
                <w:szCs w:val="20"/>
              </w:rPr>
              <w:t>Energiei</w:t>
            </w:r>
          </w:p>
          <w:p w14:paraId="0D6BDD35" w14:textId="52C3B08C" w:rsidR="003E7DF2" w:rsidRPr="003F755D" w:rsidRDefault="003E7DF2" w:rsidP="003E7DF2">
            <w:pPr>
              <w:autoSpaceDE w:val="0"/>
              <w:spacing w:after="0" w:line="240" w:lineRule="auto"/>
              <w:rPr>
                <w:rFonts w:ascii="Times New Roman" w:hAnsi="Times New Roman"/>
                <w:sz w:val="20"/>
                <w:szCs w:val="20"/>
                <w:shd w:val="clear" w:color="auto" w:fill="FFFFFF"/>
                <w:lang w:val="ro-RO"/>
              </w:rPr>
            </w:pPr>
          </w:p>
          <w:p w14:paraId="560FE5B8" w14:textId="77777777" w:rsidR="008F5636" w:rsidRPr="003E7DF2" w:rsidRDefault="008F5636" w:rsidP="008F5636">
            <w:pPr>
              <w:pStyle w:val="ColorfulList-Accent11"/>
              <w:spacing w:after="0" w:line="240" w:lineRule="auto"/>
              <w:ind w:left="0"/>
              <w:jc w:val="both"/>
              <w:rPr>
                <w:lang w:val="ro-RO"/>
              </w:rPr>
            </w:pPr>
          </w:p>
        </w:tc>
      </w:tr>
      <w:tr w:rsidR="008F5636" w:rsidRPr="000B2510" w14:paraId="42E53EE2" w14:textId="77777777" w:rsidTr="00A90105">
        <w:trPr>
          <w:trHeight w:val="3464"/>
        </w:trPr>
        <w:tc>
          <w:tcPr>
            <w:tcW w:w="4945" w:type="dxa"/>
          </w:tcPr>
          <w:p w14:paraId="539B9B1F" w14:textId="77777777" w:rsidR="008F5636" w:rsidRPr="00B540E0" w:rsidRDefault="008F5636" w:rsidP="003E7DF2">
            <w:pPr>
              <w:spacing w:after="0" w:line="240" w:lineRule="auto"/>
              <w:jc w:val="center"/>
              <w:rPr>
                <w:rFonts w:ascii="Times New Roman" w:hAnsi="Times New Roman"/>
                <w:sz w:val="20"/>
                <w:szCs w:val="20"/>
                <w:lang w:eastAsia="ru-RU"/>
              </w:rPr>
            </w:pPr>
            <w:proofErr w:type="spellStart"/>
            <w:r w:rsidRPr="00B540E0">
              <w:rPr>
                <w:rFonts w:ascii="Times New Roman" w:hAnsi="Times New Roman"/>
                <w:sz w:val="20"/>
                <w:szCs w:val="20"/>
                <w:lang w:eastAsia="ru-RU"/>
              </w:rPr>
              <w:lastRenderedPageBreak/>
              <w:t>Articolul</w:t>
            </w:r>
            <w:proofErr w:type="spellEnd"/>
            <w:r w:rsidRPr="00B540E0">
              <w:rPr>
                <w:rFonts w:ascii="Times New Roman" w:hAnsi="Times New Roman"/>
                <w:sz w:val="20"/>
                <w:szCs w:val="20"/>
                <w:lang w:eastAsia="ru-RU"/>
              </w:rPr>
              <w:t xml:space="preserve"> 32</w:t>
            </w:r>
          </w:p>
          <w:p w14:paraId="139AC63C" w14:textId="77777777" w:rsidR="008F5636" w:rsidRPr="00B540E0" w:rsidRDefault="008F5636" w:rsidP="003E7DF2">
            <w:pPr>
              <w:spacing w:after="0" w:line="240" w:lineRule="auto"/>
              <w:jc w:val="center"/>
              <w:rPr>
                <w:rFonts w:ascii="Times New Roman" w:hAnsi="Times New Roman"/>
                <w:b/>
                <w:bCs/>
                <w:sz w:val="20"/>
                <w:szCs w:val="20"/>
                <w:lang w:eastAsia="ru-RU"/>
              </w:rPr>
            </w:pPr>
            <w:proofErr w:type="spellStart"/>
            <w:r w:rsidRPr="00B540E0">
              <w:rPr>
                <w:rFonts w:ascii="Times New Roman" w:hAnsi="Times New Roman"/>
                <w:b/>
                <w:bCs/>
                <w:sz w:val="20"/>
                <w:szCs w:val="20"/>
                <w:lang w:eastAsia="ru-RU"/>
              </w:rPr>
              <w:t>Reacții</w:t>
            </w:r>
            <w:proofErr w:type="spellEnd"/>
            <w:r w:rsidRPr="00B540E0">
              <w:rPr>
                <w:rFonts w:ascii="Times New Roman" w:hAnsi="Times New Roman"/>
                <w:b/>
                <w:bCs/>
                <w:sz w:val="20"/>
                <w:szCs w:val="20"/>
                <w:lang w:eastAsia="ru-RU"/>
              </w:rPr>
              <w:t xml:space="preserve"> la </w:t>
            </w:r>
            <w:proofErr w:type="spellStart"/>
            <w:r w:rsidRPr="00B540E0">
              <w:rPr>
                <w:rFonts w:ascii="Times New Roman" w:hAnsi="Times New Roman"/>
                <w:b/>
                <w:bCs/>
                <w:sz w:val="20"/>
                <w:szCs w:val="20"/>
                <w:lang w:eastAsia="ru-RU"/>
              </w:rPr>
              <w:t>progresele</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insuficiente</w:t>
            </w:r>
            <w:proofErr w:type="spellEnd"/>
            <w:r w:rsidRPr="00B540E0">
              <w:rPr>
                <w:rFonts w:ascii="Times New Roman" w:hAnsi="Times New Roman"/>
                <w:b/>
                <w:bCs/>
                <w:sz w:val="20"/>
                <w:szCs w:val="20"/>
                <w:lang w:eastAsia="ru-RU"/>
              </w:rPr>
              <w:t xml:space="preserve"> în </w:t>
            </w:r>
            <w:proofErr w:type="spellStart"/>
            <w:r w:rsidRPr="00B540E0">
              <w:rPr>
                <w:rFonts w:ascii="Times New Roman" w:hAnsi="Times New Roman"/>
                <w:b/>
                <w:bCs/>
                <w:sz w:val="20"/>
                <w:szCs w:val="20"/>
                <w:lang w:eastAsia="ru-RU"/>
              </w:rPr>
              <w:t>direcția</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atingerii</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obiectivelor</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Uniunii</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privind</w:t>
            </w:r>
            <w:proofErr w:type="spellEnd"/>
            <w:r w:rsidRPr="00B540E0">
              <w:rPr>
                <w:rFonts w:ascii="Times New Roman" w:hAnsi="Times New Roman"/>
                <w:b/>
                <w:bCs/>
                <w:sz w:val="20"/>
                <w:szCs w:val="20"/>
                <w:lang w:eastAsia="ru-RU"/>
              </w:rPr>
              <w:t xml:space="preserve"> </w:t>
            </w:r>
            <w:proofErr w:type="spellStart"/>
            <w:r w:rsidRPr="00B540E0">
              <w:rPr>
                <w:rFonts w:ascii="Times New Roman" w:hAnsi="Times New Roman"/>
                <w:b/>
                <w:bCs/>
                <w:sz w:val="20"/>
                <w:szCs w:val="20"/>
                <w:lang w:eastAsia="ru-RU"/>
              </w:rPr>
              <w:t>energia</w:t>
            </w:r>
            <w:proofErr w:type="spellEnd"/>
            <w:r w:rsidRPr="00B540E0">
              <w:rPr>
                <w:rFonts w:ascii="Times New Roman" w:hAnsi="Times New Roman"/>
                <w:b/>
                <w:bCs/>
                <w:sz w:val="20"/>
                <w:szCs w:val="20"/>
                <w:lang w:eastAsia="ru-RU"/>
              </w:rPr>
              <w:t xml:space="preserve"> și </w:t>
            </w:r>
            <w:proofErr w:type="spellStart"/>
            <w:r w:rsidRPr="00B540E0">
              <w:rPr>
                <w:rFonts w:ascii="Times New Roman" w:hAnsi="Times New Roman"/>
                <w:b/>
                <w:bCs/>
                <w:sz w:val="20"/>
                <w:szCs w:val="20"/>
                <w:lang w:eastAsia="ru-RU"/>
              </w:rPr>
              <w:t>clima</w:t>
            </w:r>
            <w:proofErr w:type="spellEnd"/>
          </w:p>
          <w:p w14:paraId="33B3BAB3" w14:textId="599968F8" w:rsidR="008F5636" w:rsidRPr="00B540E0" w:rsidRDefault="008F5636" w:rsidP="00A3070D">
            <w:pPr>
              <w:spacing w:after="0" w:line="240" w:lineRule="auto"/>
              <w:jc w:val="both"/>
              <w:rPr>
                <w:rFonts w:ascii="Times New Roman" w:hAnsi="Times New Roman"/>
                <w:sz w:val="20"/>
                <w:szCs w:val="20"/>
                <w:lang w:eastAsia="ru-RU"/>
              </w:rPr>
            </w:pPr>
            <w:r w:rsidRPr="00B540E0">
              <w:rPr>
                <w:rFonts w:ascii="Times New Roman" w:hAnsi="Times New Roman"/>
                <w:sz w:val="20"/>
                <w:szCs w:val="20"/>
                <w:lang w:eastAsia="ru-RU"/>
              </w:rPr>
              <w:t>(1)</w:t>
            </w:r>
            <w:proofErr w:type="spellStart"/>
            <w:r w:rsidRPr="00B540E0">
              <w:rPr>
                <w:rFonts w:ascii="Times New Roman" w:hAnsi="Times New Roman"/>
                <w:sz w:val="20"/>
                <w:szCs w:val="20"/>
                <w:lang w:eastAsia="ru-RU"/>
              </w:rPr>
              <w:t>Dacă</w:t>
            </w:r>
            <w:proofErr w:type="spellEnd"/>
            <w:r w:rsidRPr="00B540E0">
              <w:rPr>
                <w:rFonts w:ascii="Times New Roman" w:hAnsi="Times New Roman"/>
                <w:sz w:val="20"/>
                <w:szCs w:val="20"/>
                <w:lang w:eastAsia="ru-RU"/>
              </w:rPr>
              <w:t xml:space="preserve">, pe </w:t>
            </w:r>
            <w:proofErr w:type="spellStart"/>
            <w:r w:rsidRPr="00B540E0">
              <w:rPr>
                <w:rFonts w:ascii="Times New Roman" w:hAnsi="Times New Roman"/>
                <w:sz w:val="20"/>
                <w:szCs w:val="20"/>
                <w:lang w:eastAsia="ru-RU"/>
              </w:rPr>
              <w:t>baza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evaluării</w:t>
            </w:r>
            <w:proofErr w:type="spellEnd"/>
            <w:r w:rsidRPr="00B540E0">
              <w:rPr>
                <w:rFonts w:ascii="Times New Roman" w:hAnsi="Times New Roman"/>
                <w:sz w:val="20"/>
                <w:szCs w:val="20"/>
                <w:lang w:eastAsia="ru-RU"/>
              </w:rPr>
              <w:t xml:space="preserve"> sale în </w:t>
            </w:r>
            <w:proofErr w:type="spellStart"/>
            <w:r w:rsidRPr="00B540E0">
              <w:rPr>
                <w:rFonts w:ascii="Times New Roman" w:hAnsi="Times New Roman"/>
                <w:sz w:val="20"/>
                <w:szCs w:val="20"/>
                <w:lang w:eastAsia="ru-RU"/>
              </w:rPr>
              <w:t>temeiul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articolului</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29 </w:t>
            </w:r>
            <w:proofErr w:type="spellStart"/>
            <w:r w:rsidRPr="00B540E0">
              <w:rPr>
                <w:rFonts w:ascii="Times New Roman" w:hAnsi="Times New Roman"/>
                <w:sz w:val="20"/>
                <w:szCs w:val="20"/>
                <w:lang w:eastAsia="ru-RU"/>
              </w:rPr>
              <w:t>alineatul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(1) </w:t>
            </w:r>
            <w:proofErr w:type="spellStart"/>
            <w:r w:rsidRPr="00B540E0">
              <w:rPr>
                <w:rFonts w:ascii="Times New Roman" w:hAnsi="Times New Roman"/>
                <w:sz w:val="20"/>
                <w:szCs w:val="20"/>
                <w:lang w:eastAsia="ru-RU"/>
              </w:rPr>
              <w:t>litera</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(b), </w:t>
            </w:r>
            <w:proofErr w:type="spellStart"/>
            <w:r w:rsidRPr="00B540E0">
              <w:rPr>
                <w:rFonts w:ascii="Times New Roman" w:hAnsi="Times New Roman"/>
                <w:sz w:val="20"/>
                <w:szCs w:val="20"/>
                <w:lang w:eastAsia="ru-RU"/>
              </w:rPr>
              <w:t>Comisia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ajunge</w:t>
            </w:r>
            <w:proofErr w:type="spellEnd"/>
            <w:r w:rsidRPr="00B540E0">
              <w:rPr>
                <w:rFonts w:ascii="Times New Roman" w:hAnsi="Times New Roman"/>
                <w:sz w:val="20"/>
                <w:szCs w:val="20"/>
                <w:lang w:eastAsia="ru-RU"/>
              </w:rPr>
              <w:t xml:space="preserve"> la </w:t>
            </w:r>
            <w:proofErr w:type="spellStart"/>
            <w:r w:rsidRPr="00B540E0">
              <w:rPr>
                <w:rFonts w:ascii="Times New Roman" w:hAnsi="Times New Roman"/>
                <w:sz w:val="20"/>
                <w:szCs w:val="20"/>
                <w:lang w:eastAsia="ru-RU"/>
              </w:rPr>
              <w:t>concluzia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că</w:t>
            </w:r>
            <w:proofErr w:type="spellEnd"/>
            <w:r w:rsidRPr="00B540E0">
              <w:rPr>
                <w:rFonts w:ascii="Times New Roman" w:hAnsi="Times New Roman"/>
                <w:sz w:val="20"/>
                <w:szCs w:val="20"/>
                <w:lang w:eastAsia="ru-RU"/>
              </w:rPr>
              <w:t xml:space="preserve"> un stat </w:t>
            </w:r>
            <w:proofErr w:type="spellStart"/>
            <w:r w:rsidRPr="00B540E0">
              <w:rPr>
                <w:rFonts w:ascii="Times New Roman" w:hAnsi="Times New Roman"/>
                <w:sz w:val="20"/>
                <w:szCs w:val="20"/>
                <w:lang w:eastAsia="ru-RU"/>
              </w:rPr>
              <w:t>membru</w:t>
            </w:r>
            <w:proofErr w:type="spellEnd"/>
            <w:r w:rsidRPr="00B540E0">
              <w:rPr>
                <w:rFonts w:ascii="Times New Roman" w:hAnsi="Times New Roman"/>
                <w:sz w:val="20"/>
                <w:szCs w:val="20"/>
                <w:lang w:eastAsia="ru-RU"/>
              </w:rPr>
              <w:t xml:space="preserve"> a </w:t>
            </w:r>
            <w:proofErr w:type="spellStart"/>
            <w:r w:rsidRPr="00B540E0">
              <w:rPr>
                <w:rFonts w:ascii="Times New Roman" w:hAnsi="Times New Roman"/>
                <w:sz w:val="20"/>
                <w:szCs w:val="20"/>
                <w:lang w:eastAsia="ru-RU"/>
              </w:rPr>
              <w:t>înregistrat</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progrese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insuficiente</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direcția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realizării</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obiectivelor</w:t>
            </w:r>
            <w:proofErr w:type="spellEnd"/>
            <w:r w:rsidRPr="00B540E0">
              <w:rPr>
                <w:rFonts w:ascii="Times New Roman" w:hAnsi="Times New Roman"/>
                <w:sz w:val="20"/>
                <w:szCs w:val="20"/>
                <w:lang w:eastAsia="ru-RU"/>
              </w:rPr>
              <w:t xml:space="preserve"> și </w:t>
            </w:r>
            <w:proofErr w:type="spellStart"/>
            <w:r w:rsidRPr="00B540E0">
              <w:rPr>
                <w:rFonts w:ascii="Times New Roman" w:hAnsi="Times New Roman"/>
                <w:sz w:val="20"/>
                <w:szCs w:val="20"/>
                <w:lang w:eastAsia="ru-RU"/>
              </w:rPr>
              <w:t>contribuțiilor</w:t>
            </w:r>
            <w:proofErr w:type="spellEnd"/>
            <w:r w:rsidRPr="00B540E0">
              <w:rPr>
                <w:rFonts w:ascii="Times New Roman" w:hAnsi="Times New Roman"/>
                <w:sz w:val="20"/>
                <w:szCs w:val="20"/>
                <w:lang w:eastAsia="ru-RU"/>
              </w:rPr>
              <w:t xml:space="preserve"> sale, a </w:t>
            </w:r>
            <w:proofErr w:type="spellStart"/>
            <w:r w:rsidRPr="00B540E0">
              <w:rPr>
                <w:rFonts w:ascii="Times New Roman" w:hAnsi="Times New Roman"/>
                <w:sz w:val="20"/>
                <w:szCs w:val="20"/>
                <w:lang w:eastAsia="ru-RU"/>
              </w:rPr>
              <w:t>atingerii</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punctelor</w:t>
            </w:r>
            <w:proofErr w:type="spellEnd"/>
            <w:r w:rsidRPr="00B540E0">
              <w:rPr>
                <w:rFonts w:ascii="Times New Roman" w:hAnsi="Times New Roman"/>
                <w:sz w:val="20"/>
                <w:szCs w:val="20"/>
                <w:lang w:eastAsia="ru-RU"/>
              </w:rPr>
              <w:t xml:space="preserve"> sale de </w:t>
            </w:r>
            <w:proofErr w:type="spellStart"/>
            <w:r w:rsidRPr="00B540E0">
              <w:rPr>
                <w:rFonts w:ascii="Times New Roman" w:hAnsi="Times New Roman"/>
                <w:sz w:val="20"/>
                <w:szCs w:val="20"/>
                <w:lang w:eastAsia="ru-RU"/>
              </w:rPr>
              <w:t>referință</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pentru</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energia</w:t>
            </w:r>
            <w:proofErr w:type="spellEnd"/>
            <w:r w:rsidRPr="00B540E0">
              <w:rPr>
                <w:rFonts w:ascii="Times New Roman" w:hAnsi="Times New Roman"/>
                <w:sz w:val="20"/>
                <w:szCs w:val="20"/>
                <w:lang w:eastAsia="ru-RU"/>
              </w:rPr>
              <w:t xml:space="preserve"> din surse </w:t>
            </w:r>
            <w:proofErr w:type="spellStart"/>
            <w:r w:rsidRPr="00B540E0">
              <w:rPr>
                <w:rFonts w:ascii="Times New Roman" w:hAnsi="Times New Roman"/>
                <w:sz w:val="20"/>
                <w:szCs w:val="20"/>
                <w:lang w:eastAsia="ru-RU"/>
              </w:rPr>
              <w:t>regenerabile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sau</w:t>
            </w:r>
            <w:proofErr w:type="spellEnd"/>
            <w:r w:rsidRPr="00B540E0">
              <w:rPr>
                <w:rFonts w:ascii="Times New Roman" w:hAnsi="Times New Roman"/>
                <w:sz w:val="20"/>
                <w:szCs w:val="20"/>
                <w:lang w:eastAsia="ru-RU"/>
              </w:rPr>
              <w:t xml:space="preserve"> a </w:t>
            </w:r>
            <w:proofErr w:type="spellStart"/>
            <w:r w:rsidRPr="00B540E0">
              <w:rPr>
                <w:rFonts w:ascii="Times New Roman" w:hAnsi="Times New Roman"/>
                <w:sz w:val="20"/>
                <w:szCs w:val="20"/>
                <w:lang w:eastAsia="ru-RU"/>
              </w:rPr>
              <w:t>punerii</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aplicare</w:t>
            </w:r>
            <w:proofErr w:type="spellEnd"/>
            <w:r w:rsidRPr="00B540E0">
              <w:rPr>
                <w:rFonts w:ascii="Times New Roman" w:hAnsi="Times New Roman"/>
                <w:sz w:val="20"/>
                <w:szCs w:val="20"/>
                <w:lang w:eastAsia="ru-RU"/>
              </w:rPr>
              <w:t xml:space="preserve"> a </w:t>
            </w:r>
            <w:proofErr w:type="spellStart"/>
            <w:r w:rsidRPr="00B540E0">
              <w:rPr>
                <w:rFonts w:ascii="Times New Roman" w:hAnsi="Times New Roman"/>
                <w:sz w:val="20"/>
                <w:szCs w:val="20"/>
                <w:lang w:eastAsia="ru-RU"/>
              </w:rPr>
              <w:t>politicilor</w:t>
            </w:r>
            <w:proofErr w:type="spellEnd"/>
            <w:r w:rsidRPr="00B540E0">
              <w:rPr>
                <w:rFonts w:ascii="Times New Roman" w:hAnsi="Times New Roman"/>
                <w:sz w:val="20"/>
                <w:szCs w:val="20"/>
                <w:lang w:eastAsia="ru-RU"/>
              </w:rPr>
              <w:t xml:space="preserve"> și </w:t>
            </w:r>
            <w:proofErr w:type="spellStart"/>
            <w:r w:rsidRPr="00B540E0">
              <w:rPr>
                <w:rFonts w:ascii="Times New Roman" w:hAnsi="Times New Roman"/>
                <w:sz w:val="20"/>
                <w:szCs w:val="20"/>
                <w:lang w:eastAsia="ru-RU"/>
              </w:rPr>
              <w:t>măsurilor</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stabilite</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propriul</w:t>
            </w:r>
            <w:proofErr w:type="spellEnd"/>
            <w:r w:rsidRPr="00B540E0">
              <w:rPr>
                <w:rFonts w:ascii="Times New Roman" w:hAnsi="Times New Roman"/>
                <w:sz w:val="20"/>
                <w:szCs w:val="20"/>
                <w:lang w:eastAsia="ru-RU"/>
              </w:rPr>
              <w:t xml:space="preserve"> plan </w:t>
            </w:r>
            <w:proofErr w:type="spellStart"/>
            <w:r w:rsidRPr="00B540E0">
              <w:rPr>
                <w:rFonts w:ascii="Times New Roman" w:hAnsi="Times New Roman"/>
                <w:sz w:val="20"/>
                <w:szCs w:val="20"/>
                <w:lang w:eastAsia="ru-RU"/>
              </w:rPr>
              <w:t>național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integrat</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privind</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energia</w:t>
            </w:r>
            <w:proofErr w:type="spellEnd"/>
            <w:r w:rsidRPr="00B540E0">
              <w:rPr>
                <w:rFonts w:ascii="Times New Roman" w:hAnsi="Times New Roman"/>
                <w:sz w:val="20"/>
                <w:szCs w:val="20"/>
                <w:lang w:eastAsia="ru-RU"/>
              </w:rPr>
              <w:t xml:space="preserve"> și </w:t>
            </w:r>
            <w:proofErr w:type="spellStart"/>
            <w:r w:rsidRPr="00B540E0">
              <w:rPr>
                <w:rFonts w:ascii="Times New Roman" w:hAnsi="Times New Roman"/>
                <w:sz w:val="20"/>
                <w:szCs w:val="20"/>
                <w:lang w:eastAsia="ru-RU"/>
              </w:rPr>
              <w:t>clima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emite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recomandări</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către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statul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membru</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cauză</w:t>
            </w:r>
            <w:proofErr w:type="spellEnd"/>
            <w:r w:rsidRPr="00B540E0">
              <w:rPr>
                <w:rFonts w:ascii="Times New Roman" w:hAnsi="Times New Roman"/>
                <w:sz w:val="20"/>
                <w:szCs w:val="20"/>
                <w:lang w:eastAsia="ru-RU"/>
              </w:rPr>
              <w:t xml:space="preserve"> în conformitate cu </w:t>
            </w:r>
            <w:proofErr w:type="spellStart"/>
            <w:r w:rsidRPr="00B540E0">
              <w:rPr>
                <w:rFonts w:ascii="Times New Roman" w:hAnsi="Times New Roman"/>
                <w:sz w:val="20"/>
                <w:szCs w:val="20"/>
                <w:lang w:eastAsia="ru-RU"/>
              </w:rPr>
              <w:t>articolul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34.</w:t>
            </w:r>
          </w:p>
          <w:p w14:paraId="110E22C5" w14:textId="4545AE04" w:rsidR="008F5636" w:rsidRPr="00B540E0" w:rsidRDefault="008F5636" w:rsidP="00A3070D">
            <w:pPr>
              <w:spacing w:after="0" w:line="240" w:lineRule="auto"/>
              <w:jc w:val="both"/>
              <w:rPr>
                <w:rFonts w:ascii="Times New Roman" w:hAnsi="Times New Roman"/>
                <w:sz w:val="20"/>
                <w:szCs w:val="20"/>
                <w:lang w:eastAsia="ru-RU"/>
              </w:rPr>
            </w:pPr>
            <w:r w:rsidRPr="00B540E0">
              <w:rPr>
                <w:rFonts w:ascii="Times New Roman" w:hAnsi="Times New Roman"/>
                <w:sz w:val="20"/>
                <w:szCs w:val="20"/>
                <w:lang w:eastAsia="ru-RU"/>
              </w:rPr>
              <w:t xml:space="preserve">În </w:t>
            </w:r>
            <w:proofErr w:type="spellStart"/>
            <w:r w:rsidRPr="00B540E0">
              <w:rPr>
                <w:rFonts w:ascii="Times New Roman" w:hAnsi="Times New Roman"/>
                <w:sz w:val="20"/>
                <w:szCs w:val="20"/>
                <w:lang w:eastAsia="ru-RU"/>
              </w:rPr>
              <w:t>recomandările</w:t>
            </w:r>
            <w:proofErr w:type="spellEnd"/>
            <w:r w:rsidRPr="00B540E0">
              <w:rPr>
                <w:rFonts w:ascii="Times New Roman" w:hAnsi="Times New Roman"/>
                <w:sz w:val="20"/>
                <w:szCs w:val="20"/>
                <w:lang w:eastAsia="ru-RU"/>
              </w:rPr>
              <w:t xml:space="preserve"> sale în </w:t>
            </w:r>
            <w:proofErr w:type="spellStart"/>
            <w:r w:rsidRPr="00B540E0">
              <w:rPr>
                <w:rFonts w:ascii="Times New Roman" w:hAnsi="Times New Roman"/>
                <w:sz w:val="20"/>
                <w:szCs w:val="20"/>
                <w:lang w:eastAsia="ru-RU"/>
              </w:rPr>
              <w:t>domeniul</w:t>
            </w:r>
            <w:proofErr w:type="spellEnd"/>
            <w:r w:rsidRPr="00B540E0">
              <w:rPr>
                <w:rFonts w:ascii="Times New Roman" w:hAnsi="Times New Roman"/>
                <w:sz w:val="20"/>
                <w:szCs w:val="20"/>
                <w:lang w:eastAsia="ru-RU"/>
              </w:rPr>
              <w:t xml:space="preserve"> energiei din surse </w:t>
            </w:r>
            <w:proofErr w:type="spellStart"/>
            <w:r w:rsidRPr="00B540E0">
              <w:rPr>
                <w:rFonts w:ascii="Times New Roman" w:hAnsi="Times New Roman"/>
                <w:sz w:val="20"/>
                <w:szCs w:val="20"/>
                <w:lang w:eastAsia="ru-RU"/>
              </w:rPr>
              <w:t>regenerabile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Comisia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ia</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considerare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circumstanțele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relevante</w:t>
            </w:r>
            <w:proofErr w:type="spellEnd"/>
            <w:r w:rsidRPr="00B540E0">
              <w:rPr>
                <w:rFonts w:ascii="Times New Roman" w:hAnsi="Times New Roman"/>
                <w:sz w:val="20"/>
                <w:szCs w:val="20"/>
                <w:lang w:eastAsia="ru-RU"/>
              </w:rPr>
              <w:t xml:space="preserve"> indicate de </w:t>
            </w:r>
            <w:proofErr w:type="spellStart"/>
            <w:r w:rsidRPr="00B540E0">
              <w:rPr>
                <w:rFonts w:ascii="Times New Roman" w:hAnsi="Times New Roman"/>
                <w:sz w:val="20"/>
                <w:szCs w:val="20"/>
                <w:lang w:eastAsia="ru-RU"/>
              </w:rPr>
              <w:t>statul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membru</w:t>
            </w:r>
            <w:proofErr w:type="spellEnd"/>
            <w:r w:rsidRPr="00B540E0">
              <w:rPr>
                <w:rFonts w:ascii="Times New Roman" w:hAnsi="Times New Roman"/>
                <w:sz w:val="20"/>
                <w:szCs w:val="20"/>
                <w:lang w:eastAsia="ru-RU"/>
              </w:rPr>
              <w:t xml:space="preserve"> în conformitate cu </w:t>
            </w:r>
            <w:proofErr w:type="spellStart"/>
            <w:r w:rsidRPr="00B540E0">
              <w:rPr>
                <w:rFonts w:ascii="Times New Roman" w:hAnsi="Times New Roman"/>
                <w:sz w:val="20"/>
                <w:szCs w:val="20"/>
                <w:lang w:eastAsia="ru-RU"/>
              </w:rPr>
              <w:t>articolul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5 </w:t>
            </w:r>
            <w:proofErr w:type="spellStart"/>
            <w:r w:rsidRPr="00B540E0">
              <w:rPr>
                <w:rFonts w:ascii="Times New Roman" w:hAnsi="Times New Roman"/>
                <w:sz w:val="20"/>
                <w:szCs w:val="20"/>
                <w:lang w:eastAsia="ru-RU"/>
              </w:rPr>
              <w:t>alineatul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(1) al </w:t>
            </w:r>
            <w:proofErr w:type="spellStart"/>
            <w:r w:rsidRPr="00B540E0">
              <w:rPr>
                <w:rFonts w:ascii="Times New Roman" w:hAnsi="Times New Roman"/>
                <w:sz w:val="20"/>
                <w:szCs w:val="20"/>
                <w:lang w:eastAsia="ru-RU"/>
              </w:rPr>
              <w:t>doilea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paragraf</w:t>
            </w:r>
            <w:proofErr w:type="spellEnd"/>
            <w:r w:rsidRPr="00B540E0">
              <w:rPr>
                <w:rFonts w:ascii="Times New Roman" w:hAnsi="Times New Roman"/>
                <w:sz w:val="20"/>
                <w:szCs w:val="20"/>
                <w:lang w:eastAsia="ru-RU"/>
              </w:rPr>
              <w:t xml:space="preserve">. De </w:t>
            </w:r>
            <w:proofErr w:type="spellStart"/>
            <w:r w:rsidRPr="00B540E0">
              <w:rPr>
                <w:rFonts w:ascii="Times New Roman" w:hAnsi="Times New Roman"/>
                <w:sz w:val="20"/>
                <w:szCs w:val="20"/>
                <w:lang w:eastAsia="ru-RU"/>
              </w:rPr>
              <w:t>asemenea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Comisia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ia</w:t>
            </w:r>
            <w:proofErr w:type="spellEnd"/>
            <w:r w:rsidRPr="00B540E0">
              <w:rPr>
                <w:rFonts w:ascii="Times New Roman" w:hAnsi="Times New Roman"/>
                <w:sz w:val="20"/>
                <w:szCs w:val="20"/>
                <w:lang w:eastAsia="ru-RU"/>
              </w:rPr>
              <w:t xml:space="preserve"> în </w:t>
            </w:r>
            <w:proofErr w:type="spellStart"/>
            <w:r w:rsidRPr="00B540E0">
              <w:rPr>
                <w:rFonts w:ascii="Times New Roman" w:hAnsi="Times New Roman"/>
                <w:sz w:val="20"/>
                <w:szCs w:val="20"/>
                <w:lang w:eastAsia="ru-RU"/>
              </w:rPr>
              <w:t>considerare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proiectele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privind</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energia</w:t>
            </w:r>
            <w:proofErr w:type="spellEnd"/>
            <w:r w:rsidRPr="00B540E0">
              <w:rPr>
                <w:rFonts w:ascii="Times New Roman" w:hAnsi="Times New Roman"/>
                <w:sz w:val="20"/>
                <w:szCs w:val="20"/>
                <w:lang w:eastAsia="ru-RU"/>
              </w:rPr>
              <w:t xml:space="preserve"> din surse </w:t>
            </w:r>
            <w:proofErr w:type="spellStart"/>
            <w:r w:rsidRPr="00B540E0">
              <w:rPr>
                <w:rFonts w:ascii="Times New Roman" w:hAnsi="Times New Roman"/>
                <w:sz w:val="20"/>
                <w:szCs w:val="20"/>
                <w:lang w:eastAsia="ru-RU"/>
              </w:rPr>
              <w:t>regenerabile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pentru</w:t>
            </w:r>
            <w:proofErr w:type="spellEnd"/>
            <w:r w:rsidRPr="00B540E0">
              <w:rPr>
                <w:rFonts w:ascii="Times New Roman" w:hAnsi="Times New Roman"/>
                <w:sz w:val="20"/>
                <w:szCs w:val="20"/>
                <w:lang w:eastAsia="ru-RU"/>
              </w:rPr>
              <w:t xml:space="preserve"> care a </w:t>
            </w:r>
            <w:proofErr w:type="spellStart"/>
            <w:r w:rsidRPr="00B540E0">
              <w:rPr>
                <w:rFonts w:ascii="Times New Roman" w:hAnsi="Times New Roman"/>
                <w:sz w:val="20"/>
                <w:szCs w:val="20"/>
                <w:lang w:eastAsia="ru-RU"/>
              </w:rPr>
              <w:t>fost</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luată</w:t>
            </w:r>
            <w:proofErr w:type="spellEnd"/>
            <w:r w:rsidRPr="00B540E0">
              <w:rPr>
                <w:rFonts w:ascii="Times New Roman" w:hAnsi="Times New Roman"/>
                <w:sz w:val="20"/>
                <w:szCs w:val="20"/>
                <w:lang w:eastAsia="ru-RU"/>
              </w:rPr>
              <w:t xml:space="preserve"> o </w:t>
            </w:r>
            <w:proofErr w:type="spellStart"/>
            <w:r w:rsidRPr="00B540E0">
              <w:rPr>
                <w:rFonts w:ascii="Times New Roman" w:hAnsi="Times New Roman"/>
                <w:sz w:val="20"/>
                <w:szCs w:val="20"/>
                <w:lang w:eastAsia="ru-RU"/>
              </w:rPr>
              <w:t>decizie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finală</w:t>
            </w:r>
            <w:proofErr w:type="spellEnd"/>
            <w:r w:rsidRPr="00B540E0">
              <w:rPr>
                <w:rFonts w:ascii="Times New Roman" w:hAnsi="Times New Roman"/>
                <w:sz w:val="20"/>
                <w:szCs w:val="20"/>
                <w:lang w:eastAsia="ru-RU"/>
              </w:rPr>
              <w:t xml:space="preserve"> de </w:t>
            </w:r>
            <w:proofErr w:type="spellStart"/>
            <w:r w:rsidRPr="00B540E0">
              <w:rPr>
                <w:rFonts w:ascii="Times New Roman" w:hAnsi="Times New Roman"/>
                <w:sz w:val="20"/>
                <w:szCs w:val="20"/>
                <w:lang w:eastAsia="ru-RU"/>
              </w:rPr>
              <w:t>investiții</w:t>
            </w:r>
            <w:proofErr w:type="spellEnd"/>
            <w:r w:rsidRPr="00B540E0">
              <w:rPr>
                <w:rFonts w:ascii="Times New Roman" w:hAnsi="Times New Roman"/>
                <w:sz w:val="20"/>
                <w:szCs w:val="20"/>
                <w:lang w:eastAsia="ru-RU"/>
              </w:rPr>
              <w:t xml:space="preserve">, cu </w:t>
            </w:r>
            <w:proofErr w:type="spellStart"/>
            <w:r w:rsidRPr="00B540E0">
              <w:rPr>
                <w:rFonts w:ascii="Times New Roman" w:hAnsi="Times New Roman"/>
                <w:sz w:val="20"/>
                <w:szCs w:val="20"/>
                <w:lang w:eastAsia="ru-RU"/>
              </w:rPr>
              <w:t>condiția</w:t>
            </w:r>
            <w:proofErr w:type="spellEnd"/>
            <w:r w:rsidRPr="00B540E0">
              <w:rPr>
                <w:rFonts w:ascii="Times New Roman" w:hAnsi="Times New Roman"/>
                <w:sz w:val="20"/>
                <w:szCs w:val="20"/>
                <w:lang w:eastAsia="ru-RU"/>
              </w:rPr>
              <w:t xml:space="preserve"> ca </w:t>
            </w:r>
            <w:proofErr w:type="spellStart"/>
            <w:r w:rsidRPr="00B540E0">
              <w:rPr>
                <w:rFonts w:ascii="Times New Roman" w:hAnsi="Times New Roman"/>
                <w:sz w:val="20"/>
                <w:szCs w:val="20"/>
                <w:lang w:eastAsia="ru-RU"/>
              </w:rPr>
              <w:t>aceste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proiecte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să</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devină</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operaționale</w:t>
            </w:r>
            <w:proofErr w:type="spellEnd"/>
            <w:r w:rsidRPr="00B540E0">
              <w:rPr>
                <w:rFonts w:ascii="Times New Roman" w:hAnsi="Times New Roman"/>
                <w:sz w:val="20"/>
                <w:szCs w:val="20"/>
                <w:lang w:eastAsia="ru-RU"/>
              </w:rPr>
              <w:t xml:space="preserve"> în perioada</w:t>
            </w:r>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2021-2030 și </w:t>
            </w:r>
            <w:proofErr w:type="spellStart"/>
            <w:r w:rsidRPr="00B540E0">
              <w:rPr>
                <w:rFonts w:ascii="Times New Roman" w:hAnsi="Times New Roman"/>
                <w:sz w:val="20"/>
                <w:szCs w:val="20"/>
                <w:lang w:eastAsia="ru-RU"/>
              </w:rPr>
              <w:t>să</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aibă</w:t>
            </w:r>
            <w:proofErr w:type="spellEnd"/>
            <w:r w:rsidRPr="00B540E0">
              <w:rPr>
                <w:rFonts w:ascii="Times New Roman" w:hAnsi="Times New Roman"/>
                <w:sz w:val="20"/>
                <w:szCs w:val="20"/>
                <w:lang w:eastAsia="ru-RU"/>
              </w:rPr>
              <w:t xml:space="preserve"> un impact </w:t>
            </w:r>
            <w:proofErr w:type="spellStart"/>
            <w:r w:rsidRPr="00B540E0">
              <w:rPr>
                <w:rFonts w:ascii="Times New Roman" w:hAnsi="Times New Roman"/>
                <w:sz w:val="20"/>
                <w:szCs w:val="20"/>
                <w:lang w:eastAsia="ru-RU"/>
              </w:rPr>
              <w:lastRenderedPageBreak/>
              <w:t>semnificativ</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asupra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contribuției</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naționale</w:t>
            </w:r>
            <w:proofErr w:type="spellEnd"/>
            <w:r w:rsidRPr="00B540E0">
              <w:rPr>
                <w:rFonts w:ascii="Times New Roman" w:hAnsi="Times New Roman"/>
                <w:sz w:val="20"/>
                <w:szCs w:val="20"/>
                <w:lang w:eastAsia="ru-RU"/>
              </w:rPr>
              <w:t xml:space="preserve"> a </w:t>
            </w:r>
            <w:proofErr w:type="spellStart"/>
            <w:r w:rsidRPr="00B540E0">
              <w:rPr>
                <w:rFonts w:ascii="Times New Roman" w:hAnsi="Times New Roman"/>
                <w:sz w:val="20"/>
                <w:szCs w:val="20"/>
                <w:lang w:eastAsia="ru-RU"/>
              </w:rPr>
              <w:t>unui</w:t>
            </w:r>
            <w:proofErr w:type="spellEnd"/>
            <w:r w:rsidRPr="00B540E0">
              <w:rPr>
                <w:rFonts w:ascii="Times New Roman" w:hAnsi="Times New Roman"/>
                <w:sz w:val="20"/>
                <w:szCs w:val="20"/>
                <w:lang w:eastAsia="ru-RU"/>
              </w:rPr>
              <w:t xml:space="preserve"> stat </w:t>
            </w:r>
            <w:proofErr w:type="spellStart"/>
            <w:r w:rsidRPr="00B540E0">
              <w:rPr>
                <w:rFonts w:ascii="Times New Roman" w:hAnsi="Times New Roman"/>
                <w:sz w:val="20"/>
                <w:szCs w:val="20"/>
                <w:lang w:eastAsia="ru-RU"/>
              </w:rPr>
              <w:t>membru</w:t>
            </w:r>
            <w:proofErr w:type="spellEnd"/>
            <w:r w:rsidRPr="00B540E0">
              <w:rPr>
                <w:rFonts w:ascii="Times New Roman" w:hAnsi="Times New Roman"/>
                <w:sz w:val="20"/>
                <w:szCs w:val="20"/>
                <w:lang w:eastAsia="ru-RU"/>
              </w:rPr>
              <w:t>.</w:t>
            </w:r>
          </w:p>
          <w:p w14:paraId="6658ACD1" w14:textId="46E74792" w:rsidR="008F5636" w:rsidRPr="00B540E0" w:rsidRDefault="008F5636" w:rsidP="00A3070D">
            <w:pPr>
              <w:spacing w:after="0" w:line="240" w:lineRule="auto"/>
              <w:jc w:val="both"/>
              <w:rPr>
                <w:rFonts w:ascii="Times New Roman" w:hAnsi="Times New Roman"/>
                <w:sz w:val="20"/>
                <w:szCs w:val="20"/>
                <w:lang w:eastAsia="ru-RU"/>
              </w:rPr>
            </w:pPr>
            <w:r w:rsidRPr="00B540E0">
              <w:rPr>
                <w:rFonts w:ascii="Times New Roman" w:hAnsi="Times New Roman"/>
                <w:sz w:val="20"/>
                <w:szCs w:val="20"/>
                <w:lang w:eastAsia="ru-RU"/>
              </w:rPr>
              <w:t xml:space="preserve">În </w:t>
            </w:r>
            <w:proofErr w:type="spellStart"/>
            <w:r w:rsidRPr="00B540E0">
              <w:rPr>
                <w:rFonts w:ascii="Times New Roman" w:hAnsi="Times New Roman"/>
                <w:sz w:val="20"/>
                <w:szCs w:val="20"/>
                <w:lang w:eastAsia="ru-RU"/>
              </w:rPr>
              <w:t>recomandările</w:t>
            </w:r>
            <w:proofErr w:type="spellEnd"/>
            <w:r w:rsidRPr="00B540E0">
              <w:rPr>
                <w:rFonts w:ascii="Times New Roman" w:hAnsi="Times New Roman"/>
                <w:sz w:val="20"/>
                <w:szCs w:val="20"/>
                <w:lang w:eastAsia="ru-RU"/>
              </w:rPr>
              <w:t xml:space="preserve"> sale în </w:t>
            </w:r>
            <w:proofErr w:type="spellStart"/>
            <w:r w:rsidRPr="00B540E0">
              <w:rPr>
                <w:rFonts w:ascii="Times New Roman" w:hAnsi="Times New Roman"/>
                <w:sz w:val="20"/>
                <w:szCs w:val="20"/>
                <w:lang w:eastAsia="ru-RU"/>
              </w:rPr>
              <w:t>domeniul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eficienței</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energetice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Comisia</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ține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seama</w:t>
            </w:r>
            <w:proofErr w:type="spellEnd"/>
            <w:r w:rsidRPr="00B540E0">
              <w:rPr>
                <w:rFonts w:ascii="Times New Roman" w:hAnsi="Times New Roman"/>
                <w:sz w:val="20"/>
                <w:szCs w:val="20"/>
                <w:lang w:eastAsia="ru-RU"/>
              </w:rPr>
              <w:t xml:space="preserve"> în mod </w:t>
            </w:r>
            <w:proofErr w:type="spellStart"/>
            <w:r w:rsidRPr="00B540E0">
              <w:rPr>
                <w:rFonts w:ascii="Times New Roman" w:hAnsi="Times New Roman"/>
                <w:sz w:val="20"/>
                <w:szCs w:val="20"/>
                <w:lang w:eastAsia="ru-RU"/>
              </w:rPr>
              <w:t>corespunzător</w:t>
            </w:r>
            <w:proofErr w:type="spellEnd"/>
            <w:r w:rsidRPr="00B540E0">
              <w:rPr>
                <w:rFonts w:ascii="Times New Roman" w:hAnsi="Times New Roman"/>
                <w:sz w:val="20"/>
                <w:szCs w:val="20"/>
                <w:lang w:eastAsia="ru-RU"/>
              </w:rPr>
              <w:t xml:space="preserve"> de </w:t>
            </w:r>
            <w:proofErr w:type="spellStart"/>
            <w:r w:rsidRPr="00B540E0">
              <w:rPr>
                <w:rFonts w:ascii="Times New Roman" w:hAnsi="Times New Roman"/>
                <w:sz w:val="20"/>
                <w:szCs w:val="20"/>
                <w:lang w:eastAsia="ru-RU"/>
              </w:rPr>
              <w:t>criteriile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obiective</w:t>
            </w:r>
            <w:proofErr w:type="spellEnd"/>
            <w:r w:rsidRPr="00B540E0">
              <w:rPr>
                <w:rFonts w:ascii="Times New Roman" w:hAnsi="Times New Roman"/>
                <w:sz w:val="20"/>
                <w:szCs w:val="20"/>
                <w:lang w:eastAsia="ru-RU"/>
              </w:rPr>
              <w:t xml:space="preserve"> enumerate la </w:t>
            </w:r>
            <w:proofErr w:type="spellStart"/>
            <w:r w:rsidRPr="00B540E0">
              <w:rPr>
                <w:rFonts w:ascii="Times New Roman" w:hAnsi="Times New Roman"/>
                <w:sz w:val="20"/>
                <w:szCs w:val="20"/>
                <w:lang w:eastAsia="ru-RU"/>
              </w:rPr>
              <w:t>articolul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6 </w:t>
            </w:r>
            <w:proofErr w:type="spellStart"/>
            <w:r w:rsidRPr="00B540E0">
              <w:rPr>
                <w:rFonts w:ascii="Times New Roman" w:hAnsi="Times New Roman"/>
                <w:sz w:val="20"/>
                <w:szCs w:val="20"/>
                <w:lang w:eastAsia="ru-RU"/>
              </w:rPr>
              <w:t>alineatul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(1) </w:t>
            </w:r>
            <w:proofErr w:type="spellStart"/>
            <w:r w:rsidRPr="00B540E0">
              <w:rPr>
                <w:rFonts w:ascii="Times New Roman" w:hAnsi="Times New Roman"/>
                <w:sz w:val="20"/>
                <w:szCs w:val="20"/>
                <w:lang w:eastAsia="ru-RU"/>
              </w:rPr>
              <w:t>literele</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(a) și</w:t>
            </w:r>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(b) și de </w:t>
            </w:r>
            <w:proofErr w:type="spellStart"/>
            <w:r w:rsidRPr="00B540E0">
              <w:rPr>
                <w:rFonts w:ascii="Times New Roman" w:hAnsi="Times New Roman"/>
                <w:sz w:val="20"/>
                <w:szCs w:val="20"/>
                <w:lang w:eastAsia="ru-RU"/>
              </w:rPr>
              <w:t>circumstanțele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naționale</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relevante</w:t>
            </w:r>
            <w:proofErr w:type="spellEnd"/>
            <w:r w:rsidRPr="00B540E0">
              <w:rPr>
                <w:rFonts w:ascii="Times New Roman" w:hAnsi="Times New Roman"/>
                <w:sz w:val="20"/>
                <w:szCs w:val="20"/>
                <w:lang w:eastAsia="ru-RU"/>
              </w:rPr>
              <w:t xml:space="preserve"> indicate de </w:t>
            </w:r>
            <w:proofErr w:type="spellStart"/>
            <w:r w:rsidRPr="00B540E0">
              <w:rPr>
                <w:rFonts w:ascii="Times New Roman" w:hAnsi="Times New Roman"/>
                <w:sz w:val="20"/>
                <w:szCs w:val="20"/>
                <w:lang w:eastAsia="ru-RU"/>
              </w:rPr>
              <w:t>statul</w:t>
            </w:r>
            <w:proofErr w:type="spellEnd"/>
            <w:r w:rsidRPr="00B540E0">
              <w:rPr>
                <w:rFonts w:ascii="Times New Roman" w:hAnsi="Times New Roman"/>
                <w:sz w:val="20"/>
                <w:szCs w:val="20"/>
                <w:lang w:eastAsia="ru-RU"/>
              </w:rPr>
              <w:t xml:space="preserve"> </w:t>
            </w:r>
            <w:proofErr w:type="spellStart"/>
            <w:r w:rsidRPr="00B540E0">
              <w:rPr>
                <w:rFonts w:ascii="Times New Roman" w:hAnsi="Times New Roman"/>
                <w:sz w:val="20"/>
                <w:szCs w:val="20"/>
                <w:lang w:eastAsia="ru-RU"/>
              </w:rPr>
              <w:t>membru</w:t>
            </w:r>
            <w:proofErr w:type="spellEnd"/>
            <w:r w:rsidRPr="00B540E0">
              <w:rPr>
                <w:rFonts w:ascii="Times New Roman" w:hAnsi="Times New Roman"/>
                <w:sz w:val="20"/>
                <w:szCs w:val="20"/>
                <w:lang w:eastAsia="ru-RU"/>
              </w:rPr>
              <w:t xml:space="preserve"> în conformitate cu </w:t>
            </w:r>
            <w:proofErr w:type="spellStart"/>
            <w:r w:rsidRPr="00B540E0">
              <w:rPr>
                <w:rFonts w:ascii="Times New Roman" w:hAnsi="Times New Roman"/>
                <w:sz w:val="20"/>
                <w:szCs w:val="20"/>
                <w:lang w:eastAsia="ru-RU"/>
              </w:rPr>
              <w:t>articolul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 xml:space="preserve">6 </w:t>
            </w:r>
            <w:proofErr w:type="spellStart"/>
            <w:r w:rsidRPr="00B540E0">
              <w:rPr>
                <w:rFonts w:ascii="Times New Roman" w:hAnsi="Times New Roman"/>
                <w:sz w:val="20"/>
                <w:szCs w:val="20"/>
                <w:lang w:eastAsia="ru-RU"/>
              </w:rPr>
              <w:t>alineatul</w:t>
            </w:r>
            <w:proofErr w:type="spellEnd"/>
            <w:r w:rsidR="00A3070D" w:rsidRPr="00B540E0">
              <w:rPr>
                <w:rFonts w:ascii="Times New Roman" w:hAnsi="Times New Roman"/>
                <w:sz w:val="20"/>
                <w:szCs w:val="20"/>
                <w:lang w:eastAsia="ru-RU"/>
              </w:rPr>
              <w:t xml:space="preserve"> </w:t>
            </w:r>
            <w:r w:rsidRPr="00B540E0">
              <w:rPr>
                <w:rFonts w:ascii="Times New Roman" w:hAnsi="Times New Roman"/>
                <w:sz w:val="20"/>
                <w:szCs w:val="20"/>
                <w:lang w:eastAsia="ru-RU"/>
              </w:rPr>
              <w:t>(2).</w:t>
            </w:r>
          </w:p>
          <w:p w14:paraId="429F7F83" w14:textId="77777777" w:rsidR="00A3070D" w:rsidRPr="00B540E0" w:rsidRDefault="00A3070D" w:rsidP="00A3070D">
            <w:pPr>
              <w:spacing w:after="0" w:line="240" w:lineRule="auto"/>
              <w:jc w:val="both"/>
              <w:rPr>
                <w:rFonts w:ascii="Times New Roman" w:hAnsi="Times New Roman"/>
                <w:sz w:val="20"/>
                <w:szCs w:val="20"/>
                <w:lang w:val="ro-RO" w:eastAsia="ru-RU"/>
              </w:rPr>
            </w:pPr>
            <w:r w:rsidRPr="00B540E0">
              <w:rPr>
                <w:rFonts w:ascii="Times New Roman" w:hAnsi="Times New Roman"/>
                <w:sz w:val="20"/>
                <w:szCs w:val="20"/>
                <w:lang w:val="ro-RO" w:eastAsia="ru-RU"/>
              </w:rPr>
              <w:t>(2)Dacă, pe baza evaluării globale a rapoartelor naționale intermediare integrate privind energia și clima ale statelor membre în temeiul articolului 29 alineatul (1) litera (a) și cu sprijinul altor surse de informații, după caz, Comisia ajunge la concluzia că Uniunea riscă să nu îndeplinească obiectivele uniunii energetice și, în special, pentru prima perioadă de zece ani, obiectivele cadrului de politici privind clima și energia pentru 2030 al Uniunii, ea poate emite recomandări către toate statele membre, în temeiul articolului 34, pentru a atenua acest risc.</w:t>
            </w:r>
          </w:p>
          <w:p w14:paraId="7BEB8D91" w14:textId="77777777" w:rsidR="00A3070D" w:rsidRPr="00B540E0" w:rsidRDefault="00A3070D" w:rsidP="00A3070D">
            <w:pPr>
              <w:spacing w:after="0" w:line="240" w:lineRule="auto"/>
              <w:jc w:val="both"/>
              <w:rPr>
                <w:rFonts w:ascii="Times New Roman" w:hAnsi="Times New Roman"/>
                <w:sz w:val="20"/>
                <w:szCs w:val="20"/>
                <w:lang w:val="ro-RO" w:eastAsia="ru-RU"/>
              </w:rPr>
            </w:pPr>
            <w:r w:rsidRPr="00B540E0">
              <w:rPr>
                <w:rFonts w:ascii="Times New Roman" w:hAnsi="Times New Roman"/>
                <w:sz w:val="20"/>
                <w:szCs w:val="20"/>
                <w:lang w:val="ro-RO" w:eastAsia="ru-RU"/>
              </w:rPr>
              <w:t>În domeniul energiei din surse regenerabile, Comisia evaluează dacă măsurile naționale prevăzute la alineatul (3) sunt suficiente pentru a atinge obiectivele Uniunii privind energia din surse regenerabile. În cazul în care măsurile naționale sunt insuficiente, Comisia propune, după caz, măsuri și își exercită competențele la nivelul Uniunii în plus față de aceste recomandări, pentru a asigura, în special, atingerea obiectivului Uniunii privind energia din surse regenerabile pentru 2030.</w:t>
            </w:r>
          </w:p>
          <w:p w14:paraId="16A2F0BC" w14:textId="77777777" w:rsidR="00A3070D" w:rsidRPr="00B540E0" w:rsidRDefault="00A3070D" w:rsidP="00A3070D">
            <w:pPr>
              <w:spacing w:after="0" w:line="240" w:lineRule="auto"/>
              <w:jc w:val="both"/>
              <w:rPr>
                <w:rFonts w:ascii="Times New Roman" w:hAnsi="Times New Roman"/>
                <w:sz w:val="20"/>
                <w:szCs w:val="20"/>
                <w:lang w:val="ro-RO" w:eastAsia="ru-RU"/>
              </w:rPr>
            </w:pPr>
            <w:r w:rsidRPr="00B540E0">
              <w:rPr>
                <w:rFonts w:ascii="Times New Roman" w:hAnsi="Times New Roman"/>
                <w:sz w:val="20"/>
                <w:szCs w:val="20"/>
                <w:lang w:val="ro-RO" w:eastAsia="ru-RU"/>
              </w:rPr>
              <w:t>În domeniul eficienței energetice, Comisia, după caz, propune măsuri și își exercită competențele la nivelul Uniunii în plus față de aceste recomandări, pentru a asigura, în special, atingerea obiectivului Uniunii privind eficiența energetică pentru 2030.</w:t>
            </w:r>
          </w:p>
          <w:p w14:paraId="6A23EB17" w14:textId="77777777" w:rsidR="008F5636" w:rsidRPr="00B540E0" w:rsidRDefault="00A3070D" w:rsidP="00A3070D">
            <w:pPr>
              <w:pStyle w:val="ColorfulList-Accent11"/>
              <w:spacing w:after="0" w:line="240" w:lineRule="auto"/>
              <w:ind w:left="0"/>
              <w:jc w:val="both"/>
              <w:rPr>
                <w:rFonts w:ascii="Times New Roman" w:hAnsi="Times New Roman"/>
                <w:sz w:val="20"/>
                <w:szCs w:val="20"/>
                <w:lang w:val="ro-RO" w:eastAsia="ru-RU"/>
              </w:rPr>
            </w:pPr>
            <w:r w:rsidRPr="00B540E0">
              <w:rPr>
                <w:rFonts w:ascii="Times New Roman" w:hAnsi="Times New Roman"/>
                <w:sz w:val="20"/>
                <w:szCs w:val="20"/>
                <w:lang w:val="ro-RO" w:eastAsia="ru-RU"/>
              </w:rPr>
              <w:t>În domeniul eficienței energetice, aceste măsuri suplimentare pot, în special, să îmbunătățească eficiența energetică:</w:t>
            </w:r>
          </w:p>
          <w:p w14:paraId="259B60CD" w14:textId="15294D07" w:rsidR="00A3070D" w:rsidRPr="00B540E0" w:rsidRDefault="00A3070D" w:rsidP="000C5A3B">
            <w:pPr>
              <w:pStyle w:val="ColorfulList-Accent11"/>
              <w:numPr>
                <w:ilvl w:val="0"/>
                <w:numId w:val="126"/>
              </w:numPr>
              <w:spacing w:after="0" w:line="240" w:lineRule="auto"/>
              <w:jc w:val="both"/>
              <w:rPr>
                <w:rFonts w:ascii="Times New Roman" w:hAnsi="Times New Roman"/>
                <w:sz w:val="20"/>
                <w:szCs w:val="20"/>
                <w:lang w:val="fr-FR"/>
              </w:rPr>
            </w:pPr>
            <w:proofErr w:type="spellStart"/>
            <w:r w:rsidRPr="00B540E0">
              <w:rPr>
                <w:rFonts w:ascii="Times New Roman" w:hAnsi="Times New Roman"/>
                <w:sz w:val="20"/>
                <w:szCs w:val="20"/>
                <w:lang w:val="fr-FR" w:eastAsia="ru-RU"/>
              </w:rPr>
              <w:t>a</w:t>
            </w:r>
            <w:proofErr w:type="spellEnd"/>
            <w:r w:rsidRPr="00B540E0">
              <w:rPr>
                <w:rFonts w:ascii="Times New Roman" w:hAnsi="Times New Roman"/>
                <w:sz w:val="20"/>
                <w:szCs w:val="20"/>
                <w:lang w:val="fr-FR" w:eastAsia="ru-RU"/>
              </w:rPr>
              <w:t xml:space="preserve"> produselor, în conformitate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Directiva</w:t>
            </w:r>
            <w:proofErr w:type="spellEnd"/>
            <w:r w:rsidRPr="00B540E0">
              <w:rPr>
                <w:rFonts w:ascii="Times New Roman" w:hAnsi="Times New Roman"/>
                <w:sz w:val="20"/>
                <w:szCs w:val="20"/>
                <w:lang w:val="fr-FR" w:eastAsia="ru-RU"/>
              </w:rPr>
              <w:t xml:space="preserve"> 2009/125/CE a </w:t>
            </w:r>
            <w:proofErr w:type="spellStart"/>
            <w:r w:rsidRPr="00B540E0">
              <w:rPr>
                <w:rFonts w:ascii="Times New Roman" w:hAnsi="Times New Roman"/>
                <w:sz w:val="20"/>
                <w:szCs w:val="20"/>
                <w:lang w:val="fr-FR" w:eastAsia="ru-RU"/>
              </w:rPr>
              <w:t>Parlamentului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European</w:t>
            </w:r>
            <w:proofErr w:type="spellEnd"/>
            <w:r w:rsidRPr="00B540E0">
              <w:rPr>
                <w:rFonts w:ascii="Times New Roman" w:hAnsi="Times New Roman"/>
                <w:sz w:val="20"/>
                <w:szCs w:val="20"/>
                <w:lang w:val="fr-FR" w:eastAsia="ru-RU"/>
              </w:rPr>
              <w:t xml:space="preserve"> și a </w:t>
            </w:r>
            <w:proofErr w:type="spellStart"/>
            <w:r w:rsidRPr="00B540E0">
              <w:rPr>
                <w:rFonts w:ascii="Times New Roman" w:hAnsi="Times New Roman"/>
                <w:sz w:val="20"/>
                <w:szCs w:val="20"/>
                <w:lang w:val="fr-FR" w:eastAsia="ru-RU"/>
              </w:rPr>
              <w:t>Consiliului</w:t>
            </w:r>
            <w:proofErr w:type="spellEnd"/>
            <w:r w:rsidRPr="00B540E0">
              <w:rPr>
                <w:rFonts w:ascii="Times New Roman" w:hAnsi="Times New Roman"/>
                <w:sz w:val="20"/>
                <w:szCs w:val="20"/>
                <w:lang w:val="fr-FR" w:eastAsia="ru-RU"/>
              </w:rPr>
              <w:t xml:space="preserve"> </w:t>
            </w:r>
            <w:hyperlink r:id="rId40" w:anchor="ntr34-L_2018328RO.01000101-E0034" w:history="1">
              <w:r w:rsidRPr="00B540E0">
                <w:rPr>
                  <w:rFonts w:ascii="Times New Roman" w:hAnsi="Times New Roman"/>
                  <w:sz w:val="20"/>
                  <w:szCs w:val="20"/>
                  <w:lang w:val="fr-FR" w:eastAsia="ru-RU"/>
                </w:rPr>
                <w:t>(</w:t>
              </w:r>
              <w:r w:rsidRPr="00B540E0">
                <w:rPr>
                  <w:rFonts w:ascii="Times New Roman" w:hAnsi="Times New Roman"/>
                  <w:sz w:val="20"/>
                  <w:szCs w:val="20"/>
                  <w:vertAlign w:val="superscript"/>
                  <w:lang w:val="fr-FR" w:eastAsia="ru-RU"/>
                </w:rPr>
                <w:t>34</w:t>
              </w:r>
              <w:r w:rsidRPr="00B540E0">
                <w:rPr>
                  <w:rFonts w:ascii="Times New Roman" w:hAnsi="Times New Roman"/>
                  <w:sz w:val="20"/>
                  <w:szCs w:val="20"/>
                  <w:lang w:val="fr-FR" w:eastAsia="ru-RU"/>
                </w:rPr>
                <w:t>)</w:t>
              </w:r>
            </w:hyperlink>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Regulamentul</w:t>
            </w:r>
            <w:proofErr w:type="spellEnd"/>
            <w:r w:rsidRPr="00B540E0">
              <w:rPr>
                <w:rFonts w:ascii="Times New Roman" w:hAnsi="Times New Roman"/>
                <w:sz w:val="20"/>
                <w:szCs w:val="20"/>
                <w:lang w:val="fr-FR" w:eastAsia="ru-RU"/>
              </w:rPr>
              <w:t xml:space="preserve"> (UE) 2017/1369 al </w:t>
            </w:r>
            <w:proofErr w:type="spellStart"/>
            <w:r w:rsidRPr="00B540E0">
              <w:rPr>
                <w:rFonts w:ascii="Times New Roman" w:hAnsi="Times New Roman"/>
                <w:sz w:val="20"/>
                <w:szCs w:val="20"/>
                <w:lang w:val="fr-FR" w:eastAsia="ru-RU"/>
              </w:rPr>
              <w:t>Parlamentului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European</w:t>
            </w:r>
            <w:proofErr w:type="spellEnd"/>
            <w:r w:rsidRPr="00B540E0">
              <w:rPr>
                <w:rFonts w:ascii="Times New Roman" w:hAnsi="Times New Roman"/>
                <w:sz w:val="20"/>
                <w:szCs w:val="20"/>
                <w:lang w:val="fr-FR" w:eastAsia="ru-RU"/>
              </w:rPr>
              <w:t xml:space="preserve"> și al </w:t>
            </w:r>
            <w:proofErr w:type="spellStart"/>
            <w:r w:rsidRPr="00B540E0">
              <w:rPr>
                <w:rFonts w:ascii="Times New Roman" w:hAnsi="Times New Roman"/>
                <w:sz w:val="20"/>
                <w:szCs w:val="20"/>
                <w:lang w:val="fr-FR" w:eastAsia="ru-RU"/>
              </w:rPr>
              <w:t>Consiliului</w:t>
            </w:r>
            <w:proofErr w:type="spellEnd"/>
            <w:r w:rsidRPr="00B540E0">
              <w:rPr>
                <w:rFonts w:ascii="Times New Roman" w:hAnsi="Times New Roman"/>
                <w:sz w:val="20"/>
                <w:szCs w:val="20"/>
                <w:lang w:val="fr-FR" w:eastAsia="ru-RU"/>
              </w:rPr>
              <w:t xml:space="preserve"> </w:t>
            </w:r>
            <w:hyperlink r:id="rId41" w:anchor="ntr35-L_2018328RO.01000101-E0035" w:history="1">
              <w:r w:rsidRPr="00B540E0">
                <w:rPr>
                  <w:rFonts w:ascii="Times New Roman" w:hAnsi="Times New Roman"/>
                  <w:sz w:val="20"/>
                  <w:szCs w:val="20"/>
                  <w:lang w:val="fr-FR" w:eastAsia="ru-RU"/>
                </w:rPr>
                <w:t>(</w:t>
              </w:r>
              <w:r w:rsidRPr="00B540E0">
                <w:rPr>
                  <w:rFonts w:ascii="Times New Roman" w:hAnsi="Times New Roman"/>
                  <w:sz w:val="20"/>
                  <w:szCs w:val="20"/>
                  <w:vertAlign w:val="superscript"/>
                  <w:lang w:val="fr-FR" w:eastAsia="ru-RU"/>
                </w:rPr>
                <w:t>35</w:t>
              </w:r>
              <w:r w:rsidRPr="00B540E0">
                <w:rPr>
                  <w:rFonts w:ascii="Times New Roman" w:hAnsi="Times New Roman"/>
                  <w:sz w:val="20"/>
                  <w:szCs w:val="20"/>
                  <w:lang w:val="fr-FR" w:eastAsia="ru-RU"/>
                </w:rPr>
                <w:t>)</w:t>
              </w:r>
            </w:hyperlink>
            <w:r w:rsidRPr="00B540E0">
              <w:rPr>
                <w:rFonts w:ascii="Times New Roman" w:hAnsi="Times New Roman"/>
                <w:sz w:val="20"/>
                <w:szCs w:val="20"/>
                <w:lang w:val="fr-FR" w:eastAsia="ru-RU"/>
              </w:rPr>
              <w:t>;</w:t>
            </w:r>
          </w:p>
          <w:p w14:paraId="060A0F6B" w14:textId="77777777" w:rsidR="00A3070D" w:rsidRPr="00B540E0" w:rsidRDefault="00A3070D" w:rsidP="000C5A3B">
            <w:pPr>
              <w:pStyle w:val="ColorfulList-Accent11"/>
              <w:numPr>
                <w:ilvl w:val="0"/>
                <w:numId w:val="126"/>
              </w:numPr>
              <w:spacing w:after="0" w:line="240" w:lineRule="auto"/>
              <w:jc w:val="both"/>
              <w:rPr>
                <w:rFonts w:ascii="Times New Roman" w:hAnsi="Times New Roman"/>
                <w:sz w:val="20"/>
                <w:szCs w:val="20"/>
                <w:lang w:val="fr-FR"/>
              </w:rPr>
            </w:pPr>
            <w:r w:rsidRPr="00B540E0">
              <w:rPr>
                <w:rFonts w:ascii="Times New Roman" w:hAnsi="Times New Roman"/>
                <w:sz w:val="20"/>
                <w:szCs w:val="20"/>
                <w:lang w:val="en-US" w:eastAsia="ru-RU"/>
              </w:rPr>
              <w:t xml:space="preserve">a </w:t>
            </w:r>
            <w:proofErr w:type="spellStart"/>
            <w:r w:rsidRPr="00B540E0">
              <w:rPr>
                <w:rFonts w:ascii="Times New Roman" w:hAnsi="Times New Roman"/>
                <w:sz w:val="20"/>
                <w:szCs w:val="20"/>
                <w:lang w:val="en-US" w:eastAsia="ru-RU"/>
              </w:rPr>
              <w:t>clădirilor</w:t>
            </w:r>
            <w:proofErr w:type="spellEnd"/>
            <w:r w:rsidRPr="00B540E0">
              <w:rPr>
                <w:rFonts w:ascii="Times New Roman" w:hAnsi="Times New Roman"/>
                <w:sz w:val="20"/>
                <w:szCs w:val="20"/>
                <w:lang w:val="en-US" w:eastAsia="ru-RU"/>
              </w:rPr>
              <w:t xml:space="preserve">, în conformitate cu </w:t>
            </w:r>
            <w:proofErr w:type="spellStart"/>
            <w:r w:rsidRPr="00B540E0">
              <w:rPr>
                <w:rFonts w:ascii="Times New Roman" w:hAnsi="Times New Roman"/>
                <w:sz w:val="20"/>
                <w:szCs w:val="20"/>
                <w:lang w:val="en-US" w:eastAsia="ru-RU"/>
              </w:rPr>
              <w:t>Directivele</w:t>
            </w:r>
            <w:proofErr w:type="spellEnd"/>
            <w:r w:rsidRPr="00B540E0">
              <w:rPr>
                <w:rFonts w:ascii="Times New Roman" w:hAnsi="Times New Roman"/>
                <w:sz w:val="20"/>
                <w:szCs w:val="20"/>
                <w:lang w:val="en-US" w:eastAsia="ru-RU"/>
              </w:rPr>
              <w:t xml:space="preserve"> 2010/31/UE și 2012/27/UE; și</w:t>
            </w:r>
          </w:p>
          <w:p w14:paraId="17FA01BB" w14:textId="77777777" w:rsidR="00A3070D" w:rsidRPr="00B540E0" w:rsidRDefault="00A3070D" w:rsidP="000C5A3B">
            <w:pPr>
              <w:pStyle w:val="ColorfulList-Accent11"/>
              <w:numPr>
                <w:ilvl w:val="0"/>
                <w:numId w:val="126"/>
              </w:numPr>
              <w:spacing w:after="0" w:line="240" w:lineRule="auto"/>
              <w:jc w:val="both"/>
              <w:rPr>
                <w:rFonts w:ascii="Times New Roman" w:hAnsi="Times New Roman"/>
                <w:sz w:val="20"/>
                <w:szCs w:val="20"/>
                <w:lang w:val="fr-FR"/>
              </w:rPr>
            </w:pPr>
            <w:r w:rsidRPr="00B540E0">
              <w:rPr>
                <w:rFonts w:ascii="Times New Roman" w:hAnsi="Times New Roman"/>
                <w:sz w:val="20"/>
                <w:szCs w:val="20"/>
                <w:lang w:val="ru-RU" w:eastAsia="ru-RU"/>
              </w:rPr>
              <w:t xml:space="preserve">a </w:t>
            </w:r>
            <w:proofErr w:type="spellStart"/>
            <w:r w:rsidRPr="00B540E0">
              <w:rPr>
                <w:rFonts w:ascii="Times New Roman" w:hAnsi="Times New Roman"/>
                <w:sz w:val="20"/>
                <w:szCs w:val="20"/>
                <w:lang w:val="ru-RU" w:eastAsia="ru-RU"/>
              </w:rPr>
              <w:t>transporturilor</w:t>
            </w:r>
            <w:proofErr w:type="spellEnd"/>
            <w:r w:rsidRPr="00B540E0">
              <w:rPr>
                <w:rFonts w:ascii="Times New Roman" w:hAnsi="Times New Roman"/>
                <w:sz w:val="20"/>
                <w:szCs w:val="20"/>
                <w:lang w:val="ro-MD" w:eastAsia="ru-RU"/>
              </w:rPr>
              <w:t>.</w:t>
            </w:r>
          </w:p>
          <w:p w14:paraId="7DF31758" w14:textId="77777777" w:rsidR="00A3070D" w:rsidRPr="00B540E0" w:rsidRDefault="00A3070D" w:rsidP="00A3070D">
            <w:pPr>
              <w:pStyle w:val="ColorfulList-Accent11"/>
              <w:spacing w:after="0" w:line="240" w:lineRule="auto"/>
              <w:ind w:left="0"/>
              <w:jc w:val="both"/>
              <w:rPr>
                <w:rFonts w:ascii="Times New Roman" w:hAnsi="Times New Roman"/>
                <w:sz w:val="20"/>
                <w:szCs w:val="20"/>
                <w:lang w:val="fr-FR" w:eastAsia="ru-RU"/>
              </w:rPr>
            </w:pPr>
            <w:r w:rsidRPr="00B540E0">
              <w:rPr>
                <w:rFonts w:ascii="Times New Roman" w:hAnsi="Times New Roman"/>
                <w:sz w:val="20"/>
                <w:szCs w:val="20"/>
                <w:lang w:val="fr-FR" w:eastAsia="ru-RU"/>
              </w:rPr>
              <w:t>(3)</w:t>
            </w:r>
            <w:proofErr w:type="spellStart"/>
            <w:r w:rsidRPr="00B540E0">
              <w:rPr>
                <w:rFonts w:ascii="Times New Roman" w:hAnsi="Times New Roman"/>
                <w:sz w:val="20"/>
                <w:szCs w:val="20"/>
                <w:lang w:val="fr-FR" w:eastAsia="ru-RU"/>
              </w:rPr>
              <w:t>Dacă</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domeniul</w:t>
            </w:r>
            <w:proofErr w:type="spellEnd"/>
            <w:r w:rsidRPr="00B540E0">
              <w:rPr>
                <w:rFonts w:ascii="Times New Roman" w:hAnsi="Times New Roman"/>
                <w:sz w:val="20"/>
                <w:szCs w:val="20"/>
                <w:lang w:val="fr-FR" w:eastAsia="ru-RU"/>
              </w:rPr>
              <w:t xml:space="preserve"> energiei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regenerabile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Comisia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baza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evaluării</w:t>
            </w:r>
            <w:proofErr w:type="spellEnd"/>
            <w:r w:rsidRPr="00B540E0">
              <w:rPr>
                <w:rFonts w:ascii="Times New Roman" w:hAnsi="Times New Roman"/>
                <w:sz w:val="20"/>
                <w:szCs w:val="20"/>
                <w:lang w:val="fr-FR" w:eastAsia="ru-RU"/>
              </w:rPr>
              <w:t xml:space="preserve"> sale în </w:t>
            </w:r>
            <w:proofErr w:type="spellStart"/>
            <w:r w:rsidRPr="00B540E0">
              <w:rPr>
                <w:rFonts w:ascii="Times New Roman" w:hAnsi="Times New Roman"/>
                <w:sz w:val="20"/>
                <w:szCs w:val="20"/>
                <w:lang w:val="fr-FR" w:eastAsia="ru-RU"/>
              </w:rPr>
              <w:t>temeiul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articolului</w:t>
            </w:r>
            <w:proofErr w:type="spellEnd"/>
            <w:r w:rsidRPr="00B540E0">
              <w:rPr>
                <w:rFonts w:ascii="Times New Roman" w:hAnsi="Times New Roman"/>
                <w:sz w:val="20"/>
                <w:szCs w:val="20"/>
                <w:lang w:val="fr-FR" w:eastAsia="ru-RU"/>
              </w:rPr>
              <w:t xml:space="preserve"> 29 </w:t>
            </w:r>
            <w:proofErr w:type="spellStart"/>
            <w:r w:rsidRPr="00B540E0">
              <w:rPr>
                <w:rFonts w:ascii="Times New Roman" w:hAnsi="Times New Roman"/>
                <w:sz w:val="20"/>
                <w:szCs w:val="20"/>
                <w:lang w:val="fr-FR" w:eastAsia="ru-RU"/>
              </w:rPr>
              <w:t>alineatele</w:t>
            </w:r>
            <w:proofErr w:type="spellEnd"/>
            <w:r w:rsidRPr="00B540E0">
              <w:rPr>
                <w:rFonts w:ascii="Times New Roman" w:hAnsi="Times New Roman"/>
                <w:sz w:val="20"/>
                <w:szCs w:val="20"/>
                <w:lang w:val="fr-FR" w:eastAsia="ru-RU"/>
              </w:rPr>
              <w:t xml:space="preserve"> (1) și (2), </w:t>
            </w:r>
            <w:proofErr w:type="spellStart"/>
            <w:r w:rsidRPr="00B540E0">
              <w:rPr>
                <w:rFonts w:ascii="Times New Roman" w:hAnsi="Times New Roman"/>
                <w:sz w:val="20"/>
                <w:szCs w:val="20"/>
                <w:lang w:val="fr-FR" w:eastAsia="ru-RU"/>
              </w:rPr>
              <w:t>ajunge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concluzia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mai </w:t>
            </w:r>
            <w:proofErr w:type="spellStart"/>
            <w:r w:rsidRPr="00B540E0">
              <w:rPr>
                <w:rFonts w:ascii="Times New Roman" w:hAnsi="Times New Roman"/>
                <w:sz w:val="20"/>
                <w:szCs w:val="20"/>
                <w:lang w:val="fr-FR" w:eastAsia="ru-RU"/>
              </w:rPr>
              <w:t>multe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punctele</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referință</w:t>
            </w:r>
            <w:proofErr w:type="spellEnd"/>
            <w:r w:rsidRPr="00B540E0">
              <w:rPr>
                <w:rFonts w:ascii="Times New Roman" w:hAnsi="Times New Roman"/>
                <w:sz w:val="20"/>
                <w:szCs w:val="20"/>
                <w:lang w:val="fr-FR" w:eastAsia="ru-RU"/>
              </w:rPr>
              <w:t xml:space="preserve"> ale </w:t>
            </w:r>
            <w:proofErr w:type="spellStart"/>
            <w:r w:rsidRPr="00B540E0">
              <w:rPr>
                <w:rFonts w:ascii="Times New Roman" w:hAnsi="Times New Roman"/>
                <w:sz w:val="20"/>
                <w:szCs w:val="20"/>
                <w:lang w:val="fr-FR" w:eastAsia="ru-RU"/>
              </w:rPr>
              <w:t>traiectoriei</w:t>
            </w:r>
            <w:proofErr w:type="spellEnd"/>
            <w:r w:rsidRPr="00B540E0">
              <w:rPr>
                <w:rFonts w:ascii="Times New Roman" w:hAnsi="Times New Roman"/>
                <w:sz w:val="20"/>
                <w:szCs w:val="20"/>
                <w:lang w:val="fr-FR" w:eastAsia="ru-RU"/>
              </w:rPr>
              <w:t xml:space="preserve"> orientative a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2022, 2025 și 2027 </w:t>
            </w:r>
            <w:proofErr w:type="spellStart"/>
            <w:r w:rsidRPr="00B540E0">
              <w:rPr>
                <w:rFonts w:ascii="Times New Roman" w:hAnsi="Times New Roman"/>
                <w:sz w:val="20"/>
                <w:szCs w:val="20"/>
                <w:lang w:val="fr-FR" w:eastAsia="ru-RU"/>
              </w:rPr>
              <w:t>menționate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29 </w:t>
            </w:r>
            <w:proofErr w:type="spellStart"/>
            <w:r w:rsidRPr="00B540E0">
              <w:rPr>
                <w:rFonts w:ascii="Times New Roman" w:hAnsi="Times New Roman"/>
                <w:sz w:val="20"/>
                <w:szCs w:val="20"/>
                <w:lang w:val="fr-FR" w:eastAsia="ru-RU"/>
              </w:rPr>
              <w:t>alineatul</w:t>
            </w:r>
            <w:proofErr w:type="spellEnd"/>
            <w:r w:rsidRPr="00B540E0">
              <w:rPr>
                <w:rFonts w:ascii="Times New Roman" w:hAnsi="Times New Roman"/>
                <w:sz w:val="20"/>
                <w:szCs w:val="20"/>
                <w:lang w:val="fr-FR" w:eastAsia="ru-RU"/>
              </w:rPr>
              <w:t xml:space="preserve">  (2) nu au </w:t>
            </w:r>
            <w:proofErr w:type="spellStart"/>
            <w:r w:rsidRPr="00B540E0">
              <w:rPr>
                <w:rFonts w:ascii="Times New Roman" w:hAnsi="Times New Roman"/>
                <w:sz w:val="20"/>
                <w:szCs w:val="20"/>
                <w:lang w:val="fr-FR" w:eastAsia="ru-RU"/>
              </w:rPr>
              <w:t>fost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atinse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statele</w:t>
            </w:r>
            <w:proofErr w:type="spellEnd"/>
            <w:r w:rsidRPr="00B540E0">
              <w:rPr>
                <w:rFonts w:ascii="Times New Roman" w:hAnsi="Times New Roman"/>
                <w:sz w:val="20"/>
                <w:szCs w:val="20"/>
                <w:lang w:val="fr-FR" w:eastAsia="ru-RU"/>
              </w:rPr>
              <w:t xml:space="preserve"> membre care nu </w:t>
            </w:r>
            <w:r w:rsidRPr="00B540E0">
              <w:rPr>
                <w:rFonts w:ascii="Times New Roman" w:hAnsi="Times New Roman"/>
                <w:sz w:val="20"/>
                <w:szCs w:val="20"/>
                <w:lang w:val="fr-FR" w:eastAsia="ru-RU"/>
              </w:rPr>
              <w:lastRenderedPageBreak/>
              <w:t xml:space="preserve">au </w:t>
            </w:r>
            <w:proofErr w:type="spellStart"/>
            <w:r w:rsidRPr="00B540E0">
              <w:rPr>
                <w:rFonts w:ascii="Times New Roman" w:hAnsi="Times New Roman"/>
                <w:sz w:val="20"/>
                <w:szCs w:val="20"/>
                <w:lang w:val="fr-FR" w:eastAsia="ru-RU"/>
              </w:rPr>
              <w:t>atins</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mai </w:t>
            </w:r>
            <w:proofErr w:type="spellStart"/>
            <w:r w:rsidRPr="00B540E0">
              <w:rPr>
                <w:rFonts w:ascii="Times New Roman" w:hAnsi="Times New Roman"/>
                <w:sz w:val="20"/>
                <w:szCs w:val="20"/>
                <w:lang w:val="fr-FR" w:eastAsia="ru-RU"/>
              </w:rPr>
              <w:t>multe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punctele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lor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naționale</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referință</w:t>
            </w:r>
            <w:proofErr w:type="spellEnd"/>
            <w:r w:rsidRPr="00B540E0">
              <w:rPr>
                <w:rFonts w:ascii="Times New Roman" w:hAnsi="Times New Roman"/>
                <w:sz w:val="20"/>
                <w:szCs w:val="20"/>
                <w:lang w:val="fr-FR" w:eastAsia="ru-RU"/>
              </w:rPr>
              <w:t xml:space="preserve"> în 2022, 2025 și 2027, </w:t>
            </w:r>
            <w:proofErr w:type="spellStart"/>
            <w:r w:rsidRPr="00B540E0">
              <w:rPr>
                <w:rFonts w:ascii="Times New Roman" w:hAnsi="Times New Roman"/>
                <w:sz w:val="20"/>
                <w:szCs w:val="20"/>
                <w:lang w:val="fr-FR" w:eastAsia="ru-RU"/>
              </w:rPr>
              <w:t>astfel</w:t>
            </w:r>
            <w:proofErr w:type="spellEnd"/>
            <w:r w:rsidRPr="00B540E0">
              <w:rPr>
                <w:rFonts w:ascii="Times New Roman" w:hAnsi="Times New Roman"/>
                <w:sz w:val="20"/>
                <w:szCs w:val="20"/>
                <w:lang w:val="fr-FR" w:eastAsia="ru-RU"/>
              </w:rPr>
              <w:t xml:space="preserve"> cum </w:t>
            </w:r>
            <w:proofErr w:type="spellStart"/>
            <w:r w:rsidRPr="00B540E0">
              <w:rPr>
                <w:rFonts w:ascii="Times New Roman" w:hAnsi="Times New Roman"/>
                <w:sz w:val="20"/>
                <w:szCs w:val="20"/>
                <w:lang w:val="fr-FR" w:eastAsia="ru-RU"/>
              </w:rPr>
              <w:t>sunt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menționate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4 litera (a) </w:t>
            </w:r>
            <w:proofErr w:type="spellStart"/>
            <w:r w:rsidRPr="00B540E0">
              <w:rPr>
                <w:rFonts w:ascii="Times New Roman" w:hAnsi="Times New Roman"/>
                <w:sz w:val="20"/>
                <w:szCs w:val="20"/>
                <w:lang w:val="fr-FR" w:eastAsia="ru-RU"/>
              </w:rPr>
              <w:t>punctul</w:t>
            </w:r>
            <w:proofErr w:type="spellEnd"/>
            <w:r w:rsidRPr="00B540E0">
              <w:rPr>
                <w:rFonts w:ascii="Times New Roman" w:hAnsi="Times New Roman"/>
                <w:sz w:val="20"/>
                <w:szCs w:val="20"/>
                <w:lang w:val="fr-FR" w:eastAsia="ru-RU"/>
              </w:rPr>
              <w:t xml:space="preserve"> 2, se </w:t>
            </w:r>
            <w:proofErr w:type="spellStart"/>
            <w:r w:rsidRPr="00B540E0">
              <w:rPr>
                <w:rFonts w:ascii="Times New Roman" w:hAnsi="Times New Roman"/>
                <w:sz w:val="20"/>
                <w:szCs w:val="20"/>
                <w:lang w:val="fr-FR" w:eastAsia="ru-RU"/>
              </w:rPr>
              <w:t>asigură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sunt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puse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aplicare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măsuri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suplimentare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termen</w:t>
            </w:r>
            <w:proofErr w:type="spellEnd"/>
            <w:r w:rsidRPr="00B540E0">
              <w:rPr>
                <w:rFonts w:ascii="Times New Roman" w:hAnsi="Times New Roman"/>
                <w:sz w:val="20"/>
                <w:szCs w:val="20"/>
                <w:lang w:val="fr-FR" w:eastAsia="ru-RU"/>
              </w:rPr>
              <w:t xml:space="preserve"> de un an de la data la care </w:t>
            </w:r>
            <w:proofErr w:type="spellStart"/>
            <w:r w:rsidRPr="00B540E0">
              <w:rPr>
                <w:rFonts w:ascii="Times New Roman" w:hAnsi="Times New Roman"/>
                <w:sz w:val="20"/>
                <w:szCs w:val="20"/>
                <w:lang w:val="fr-FR" w:eastAsia="ru-RU"/>
              </w:rPr>
              <w:t>s-a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primit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evaluarea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Comisiei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elimina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decalajul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față</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punctul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lor</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referință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național</w:t>
            </w:r>
            <w:proofErr w:type="spellEnd"/>
            <w:r w:rsidRPr="00B540E0">
              <w:rPr>
                <w:rFonts w:ascii="Times New Roman" w:hAnsi="Times New Roman"/>
                <w:sz w:val="20"/>
                <w:szCs w:val="20"/>
                <w:lang w:val="fr-FR" w:eastAsia="ru-RU"/>
              </w:rPr>
              <w:t xml:space="preserve">, ca de </w:t>
            </w:r>
            <w:proofErr w:type="spellStart"/>
            <w:r w:rsidRPr="00B540E0">
              <w:rPr>
                <w:rFonts w:ascii="Times New Roman" w:hAnsi="Times New Roman"/>
                <w:sz w:val="20"/>
                <w:szCs w:val="20"/>
                <w:lang w:val="fr-FR" w:eastAsia="ru-RU"/>
              </w:rPr>
              <w:t>exemplu</w:t>
            </w:r>
            <w:proofErr w:type="spellEnd"/>
            <w:r w:rsidRPr="00B540E0">
              <w:rPr>
                <w:rFonts w:ascii="Times New Roman" w:hAnsi="Times New Roman"/>
                <w:sz w:val="20"/>
                <w:szCs w:val="20"/>
                <w:lang w:val="fr-FR" w:eastAsia="ru-RU"/>
              </w:rPr>
              <w:t>:</w:t>
            </w:r>
          </w:p>
          <w:p w14:paraId="6266FE9F" w14:textId="77777777" w:rsidR="00A3070D" w:rsidRPr="00B540E0" w:rsidRDefault="00A3070D" w:rsidP="000C5A3B">
            <w:pPr>
              <w:pStyle w:val="ColorfulList-Accent11"/>
              <w:numPr>
                <w:ilvl w:val="0"/>
                <w:numId w:val="127"/>
              </w:numPr>
              <w:spacing w:after="0" w:line="240" w:lineRule="auto"/>
              <w:jc w:val="both"/>
              <w:rPr>
                <w:rFonts w:ascii="Times New Roman" w:hAnsi="Times New Roman"/>
                <w:sz w:val="20"/>
                <w:szCs w:val="20"/>
                <w:lang w:val="fr-FR"/>
              </w:rPr>
            </w:pPr>
            <w:proofErr w:type="spellStart"/>
            <w:proofErr w:type="gramStart"/>
            <w:r w:rsidRPr="00B540E0">
              <w:rPr>
                <w:rFonts w:ascii="Times New Roman" w:hAnsi="Times New Roman"/>
                <w:sz w:val="20"/>
                <w:szCs w:val="20"/>
                <w:lang w:val="fr-FR" w:eastAsia="ru-RU"/>
              </w:rPr>
              <w:t>măsuri</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naționale</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sporire</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utilizării</w:t>
            </w:r>
            <w:proofErr w:type="spellEnd"/>
            <w:r w:rsidRPr="00B540E0">
              <w:rPr>
                <w:rFonts w:ascii="Times New Roman" w:hAnsi="Times New Roman"/>
                <w:sz w:val="20"/>
                <w:szCs w:val="20"/>
                <w:lang w:val="fr-FR" w:eastAsia="ru-RU"/>
              </w:rPr>
              <w:t xml:space="preserve"> energiei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regenerabile</w:t>
            </w:r>
            <w:proofErr w:type="spellEnd"/>
            <w:r w:rsidRPr="00B540E0">
              <w:rPr>
                <w:rFonts w:ascii="Times New Roman" w:hAnsi="Times New Roman"/>
                <w:sz w:val="20"/>
                <w:szCs w:val="20"/>
                <w:lang w:val="fr-FR" w:eastAsia="ru-RU"/>
              </w:rPr>
              <w:t>;</w:t>
            </w:r>
          </w:p>
          <w:p w14:paraId="0ACE3CD7" w14:textId="77777777" w:rsidR="00A3070D" w:rsidRPr="00B540E0" w:rsidRDefault="00A3070D" w:rsidP="000C5A3B">
            <w:pPr>
              <w:pStyle w:val="ColorfulList-Accent11"/>
              <w:numPr>
                <w:ilvl w:val="0"/>
                <w:numId w:val="127"/>
              </w:numPr>
              <w:spacing w:after="0" w:line="240" w:lineRule="auto"/>
              <w:jc w:val="both"/>
              <w:rPr>
                <w:rFonts w:ascii="Times New Roman" w:hAnsi="Times New Roman"/>
                <w:sz w:val="20"/>
                <w:szCs w:val="20"/>
                <w:lang w:val="fr-FR"/>
              </w:rPr>
            </w:pPr>
            <w:proofErr w:type="spellStart"/>
            <w:proofErr w:type="gramStart"/>
            <w:r w:rsidRPr="00B540E0">
              <w:rPr>
                <w:rFonts w:ascii="Times New Roman" w:hAnsi="Times New Roman"/>
                <w:sz w:val="20"/>
                <w:szCs w:val="20"/>
                <w:lang w:val="fr-FR" w:eastAsia="ru-RU"/>
              </w:rPr>
              <w:t>ajustarea</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ponderii</w:t>
            </w:r>
            <w:proofErr w:type="spellEnd"/>
            <w:r w:rsidRPr="00B540E0">
              <w:rPr>
                <w:rFonts w:ascii="Times New Roman" w:hAnsi="Times New Roman"/>
                <w:sz w:val="20"/>
                <w:szCs w:val="20"/>
                <w:lang w:val="fr-FR" w:eastAsia="ru-RU"/>
              </w:rPr>
              <w:t xml:space="preserve"> energiei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regenerabile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sectorul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încălzirii</w:t>
            </w:r>
            <w:proofErr w:type="spellEnd"/>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răcirii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prevăzută</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23 </w:t>
            </w:r>
            <w:proofErr w:type="spellStart"/>
            <w:r w:rsidRPr="00B540E0">
              <w:rPr>
                <w:rFonts w:ascii="Times New Roman" w:hAnsi="Times New Roman"/>
                <w:sz w:val="20"/>
                <w:szCs w:val="20"/>
                <w:lang w:val="fr-FR" w:eastAsia="ru-RU"/>
              </w:rPr>
              <w:t>alineatul</w:t>
            </w:r>
            <w:proofErr w:type="spellEnd"/>
            <w:r w:rsidRPr="00B540E0">
              <w:rPr>
                <w:rFonts w:ascii="Times New Roman" w:hAnsi="Times New Roman"/>
                <w:sz w:val="20"/>
                <w:szCs w:val="20"/>
                <w:lang w:val="fr-FR" w:eastAsia="ru-RU"/>
              </w:rPr>
              <w:t xml:space="preserve"> (1)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Directiva</w:t>
            </w:r>
            <w:proofErr w:type="spellEnd"/>
            <w:r w:rsidRPr="00B540E0">
              <w:rPr>
                <w:rFonts w:ascii="Times New Roman" w:hAnsi="Times New Roman"/>
                <w:sz w:val="20"/>
                <w:szCs w:val="20"/>
                <w:lang w:val="fr-FR" w:eastAsia="ru-RU"/>
              </w:rPr>
              <w:t xml:space="preserve"> (UE) 2018/2001;</w:t>
            </w:r>
          </w:p>
          <w:p w14:paraId="7D43C1FE" w14:textId="77777777" w:rsidR="00A3070D" w:rsidRPr="00B540E0" w:rsidRDefault="00A3070D" w:rsidP="000C5A3B">
            <w:pPr>
              <w:pStyle w:val="ColorfulList-Accent11"/>
              <w:numPr>
                <w:ilvl w:val="0"/>
                <w:numId w:val="127"/>
              </w:numPr>
              <w:spacing w:after="0" w:line="240" w:lineRule="auto"/>
              <w:jc w:val="both"/>
              <w:rPr>
                <w:rFonts w:ascii="Times New Roman" w:hAnsi="Times New Roman"/>
                <w:sz w:val="20"/>
                <w:szCs w:val="20"/>
                <w:lang w:val="fr-FR"/>
              </w:rPr>
            </w:pPr>
            <w:proofErr w:type="spellStart"/>
            <w:r w:rsidRPr="00B540E0">
              <w:rPr>
                <w:rFonts w:ascii="Times New Roman" w:hAnsi="Times New Roman"/>
                <w:sz w:val="20"/>
                <w:szCs w:val="20"/>
                <w:lang w:val="en-US" w:eastAsia="ru-RU"/>
              </w:rPr>
              <w:t>ajustarea</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ponderii</w:t>
            </w:r>
            <w:proofErr w:type="spellEnd"/>
            <w:r w:rsidRPr="00B540E0">
              <w:rPr>
                <w:rFonts w:ascii="Times New Roman" w:hAnsi="Times New Roman"/>
                <w:sz w:val="20"/>
                <w:szCs w:val="20"/>
                <w:lang w:val="en-US" w:eastAsia="ru-RU"/>
              </w:rPr>
              <w:t xml:space="preserve"> energiei din surse </w:t>
            </w:r>
            <w:proofErr w:type="spellStart"/>
            <w:r w:rsidRPr="00B540E0">
              <w:rPr>
                <w:rFonts w:ascii="Times New Roman" w:hAnsi="Times New Roman"/>
                <w:sz w:val="20"/>
                <w:szCs w:val="20"/>
                <w:lang w:val="en-US" w:eastAsia="ru-RU"/>
              </w:rPr>
              <w:t>regenerabile</w:t>
            </w:r>
            <w:proofErr w:type="spellEnd"/>
            <w:r w:rsidRPr="00B540E0">
              <w:rPr>
                <w:rFonts w:ascii="Times New Roman" w:hAnsi="Times New Roman"/>
                <w:sz w:val="20"/>
                <w:szCs w:val="20"/>
                <w:lang w:val="en-US" w:eastAsia="ru-RU"/>
              </w:rPr>
              <w:t xml:space="preserve"> în </w:t>
            </w:r>
            <w:proofErr w:type="spellStart"/>
            <w:r w:rsidRPr="00B540E0">
              <w:rPr>
                <w:rFonts w:ascii="Times New Roman" w:hAnsi="Times New Roman"/>
                <w:sz w:val="20"/>
                <w:szCs w:val="20"/>
                <w:lang w:val="en-US" w:eastAsia="ru-RU"/>
              </w:rPr>
              <w:t>sectorul</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transporturilor</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prevăzută</w:t>
            </w:r>
            <w:proofErr w:type="spellEnd"/>
            <w:r w:rsidRPr="00B540E0">
              <w:rPr>
                <w:rFonts w:ascii="Times New Roman" w:hAnsi="Times New Roman"/>
                <w:sz w:val="20"/>
                <w:szCs w:val="20"/>
                <w:lang w:val="en-US" w:eastAsia="ru-RU"/>
              </w:rPr>
              <w:t xml:space="preserve"> la </w:t>
            </w:r>
            <w:proofErr w:type="spellStart"/>
            <w:r w:rsidRPr="00B540E0">
              <w:rPr>
                <w:rFonts w:ascii="Times New Roman" w:hAnsi="Times New Roman"/>
                <w:sz w:val="20"/>
                <w:szCs w:val="20"/>
                <w:lang w:val="en-US" w:eastAsia="ru-RU"/>
              </w:rPr>
              <w:t>articolul</w:t>
            </w:r>
            <w:proofErr w:type="spellEnd"/>
            <w:r w:rsidRPr="00B540E0">
              <w:rPr>
                <w:rFonts w:ascii="Times New Roman" w:hAnsi="Times New Roman"/>
                <w:sz w:val="20"/>
                <w:szCs w:val="20"/>
                <w:lang w:val="en-US" w:eastAsia="ru-RU"/>
              </w:rPr>
              <w:t xml:space="preserve"> 25 </w:t>
            </w:r>
            <w:proofErr w:type="spellStart"/>
            <w:r w:rsidRPr="00B540E0">
              <w:rPr>
                <w:rFonts w:ascii="Times New Roman" w:hAnsi="Times New Roman"/>
                <w:sz w:val="20"/>
                <w:szCs w:val="20"/>
                <w:lang w:val="en-US" w:eastAsia="ru-RU"/>
              </w:rPr>
              <w:t>alineatul</w:t>
            </w:r>
            <w:proofErr w:type="spellEnd"/>
            <w:r w:rsidRPr="00B540E0">
              <w:rPr>
                <w:rFonts w:ascii="Times New Roman" w:hAnsi="Times New Roman"/>
                <w:sz w:val="20"/>
                <w:szCs w:val="20"/>
                <w:lang w:val="en-US" w:eastAsia="ru-RU"/>
              </w:rPr>
              <w:t xml:space="preserve"> (1) din </w:t>
            </w:r>
            <w:proofErr w:type="spellStart"/>
            <w:r w:rsidRPr="00B540E0">
              <w:rPr>
                <w:rFonts w:ascii="Times New Roman" w:hAnsi="Times New Roman"/>
                <w:sz w:val="20"/>
                <w:szCs w:val="20"/>
                <w:lang w:val="en-US" w:eastAsia="ru-RU"/>
              </w:rPr>
              <w:t>Directiva</w:t>
            </w:r>
            <w:proofErr w:type="spellEnd"/>
            <w:r w:rsidRPr="00B540E0">
              <w:rPr>
                <w:rFonts w:ascii="Times New Roman" w:hAnsi="Times New Roman"/>
                <w:sz w:val="20"/>
                <w:szCs w:val="20"/>
                <w:lang w:val="en-US" w:eastAsia="ru-RU"/>
              </w:rPr>
              <w:t xml:space="preserve"> (UE) 2018/2001;</w:t>
            </w:r>
          </w:p>
          <w:p w14:paraId="03728D28" w14:textId="77777777" w:rsidR="00A3070D" w:rsidRPr="00B540E0" w:rsidRDefault="00A3070D" w:rsidP="000C5A3B">
            <w:pPr>
              <w:pStyle w:val="ColorfulList-Accent11"/>
              <w:numPr>
                <w:ilvl w:val="0"/>
                <w:numId w:val="127"/>
              </w:numPr>
              <w:spacing w:after="0" w:line="240" w:lineRule="auto"/>
              <w:jc w:val="both"/>
              <w:rPr>
                <w:rFonts w:ascii="Times New Roman" w:hAnsi="Times New Roman"/>
                <w:sz w:val="20"/>
                <w:szCs w:val="20"/>
                <w:lang w:val="fr-FR"/>
              </w:rPr>
            </w:pPr>
            <w:proofErr w:type="spellStart"/>
            <w:proofErr w:type="gramStart"/>
            <w:r w:rsidRPr="00B540E0">
              <w:rPr>
                <w:rFonts w:ascii="Times New Roman" w:hAnsi="Times New Roman"/>
                <w:sz w:val="20"/>
                <w:szCs w:val="20"/>
                <w:lang w:val="fr-FR" w:eastAsia="ru-RU"/>
              </w:rPr>
              <w:t>efectuarea</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plăți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financiare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voluntare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către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mecanismul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finanțare</w:t>
            </w:r>
            <w:proofErr w:type="spellEnd"/>
            <w:r w:rsidRPr="00B540E0">
              <w:rPr>
                <w:rFonts w:ascii="Times New Roman" w:hAnsi="Times New Roman"/>
                <w:sz w:val="20"/>
                <w:szCs w:val="20"/>
                <w:lang w:val="fr-FR" w:eastAsia="ru-RU"/>
              </w:rPr>
              <w:t xml:space="preserve"> a energiei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regenerabile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instituit</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nivelul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 xml:space="preserve">, care </w:t>
            </w:r>
            <w:proofErr w:type="spellStart"/>
            <w:r w:rsidRPr="00B540E0">
              <w:rPr>
                <w:rFonts w:ascii="Times New Roman" w:hAnsi="Times New Roman"/>
                <w:sz w:val="20"/>
                <w:szCs w:val="20"/>
                <w:lang w:val="fr-FR" w:eastAsia="ru-RU"/>
              </w:rPr>
              <w:t>contribuie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proiecte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domeniul</w:t>
            </w:r>
            <w:proofErr w:type="spellEnd"/>
            <w:r w:rsidRPr="00B540E0">
              <w:rPr>
                <w:rFonts w:ascii="Times New Roman" w:hAnsi="Times New Roman"/>
                <w:sz w:val="20"/>
                <w:szCs w:val="20"/>
                <w:lang w:val="fr-FR" w:eastAsia="ru-RU"/>
              </w:rPr>
              <w:t xml:space="preserve"> energiei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regenerabile</w:t>
            </w:r>
            <w:proofErr w:type="spellEnd"/>
            <w:r w:rsidRPr="00B540E0">
              <w:rPr>
                <w:rFonts w:ascii="Times New Roman" w:hAnsi="Times New Roman"/>
                <w:sz w:val="20"/>
                <w:szCs w:val="20"/>
                <w:lang w:val="fr-FR" w:eastAsia="ru-RU"/>
              </w:rPr>
              <w:t xml:space="preserve"> și este </w:t>
            </w:r>
            <w:proofErr w:type="spellStart"/>
            <w:r w:rsidRPr="00B540E0">
              <w:rPr>
                <w:rFonts w:ascii="Times New Roman" w:hAnsi="Times New Roman"/>
                <w:sz w:val="20"/>
                <w:szCs w:val="20"/>
                <w:lang w:val="fr-FR" w:eastAsia="ru-RU"/>
              </w:rPr>
              <w:t>gestionat</w:t>
            </w:r>
            <w:proofErr w:type="spellEnd"/>
            <w:r w:rsidRPr="00B540E0">
              <w:rPr>
                <w:rFonts w:ascii="Times New Roman" w:hAnsi="Times New Roman"/>
                <w:sz w:val="20"/>
                <w:szCs w:val="20"/>
                <w:lang w:val="fr-FR" w:eastAsia="ru-RU"/>
              </w:rPr>
              <w:t xml:space="preserve"> direct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indirect de </w:t>
            </w:r>
            <w:proofErr w:type="spellStart"/>
            <w:r w:rsidRPr="00B540E0">
              <w:rPr>
                <w:rFonts w:ascii="Times New Roman" w:hAnsi="Times New Roman"/>
                <w:sz w:val="20"/>
                <w:szCs w:val="20"/>
                <w:lang w:val="fr-FR" w:eastAsia="ru-RU"/>
              </w:rPr>
              <w:t>Comisie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astfel</w:t>
            </w:r>
            <w:proofErr w:type="spellEnd"/>
            <w:r w:rsidRPr="00B540E0">
              <w:rPr>
                <w:rFonts w:ascii="Times New Roman" w:hAnsi="Times New Roman"/>
                <w:sz w:val="20"/>
                <w:szCs w:val="20"/>
                <w:lang w:val="fr-FR" w:eastAsia="ru-RU"/>
              </w:rPr>
              <w:t xml:space="preserve"> cum se </w:t>
            </w:r>
            <w:proofErr w:type="spellStart"/>
            <w:r w:rsidRPr="00B540E0">
              <w:rPr>
                <w:rFonts w:ascii="Times New Roman" w:hAnsi="Times New Roman"/>
                <w:sz w:val="20"/>
                <w:szCs w:val="20"/>
                <w:lang w:val="fr-FR" w:eastAsia="ru-RU"/>
              </w:rPr>
              <w:t>prevede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33;</w:t>
            </w:r>
          </w:p>
          <w:p w14:paraId="2CB6A7CD" w14:textId="77777777" w:rsidR="00A3070D" w:rsidRPr="00B540E0" w:rsidRDefault="00A3070D" w:rsidP="000C5A3B">
            <w:pPr>
              <w:pStyle w:val="ColorfulList-Accent11"/>
              <w:numPr>
                <w:ilvl w:val="0"/>
                <w:numId w:val="127"/>
              </w:numPr>
              <w:spacing w:after="0" w:line="240" w:lineRule="auto"/>
              <w:jc w:val="both"/>
              <w:rPr>
                <w:rFonts w:ascii="Times New Roman" w:hAnsi="Times New Roman"/>
                <w:sz w:val="20"/>
                <w:szCs w:val="20"/>
                <w:lang w:val="fr-FR"/>
              </w:rPr>
            </w:pPr>
            <w:proofErr w:type="spellStart"/>
            <w:proofErr w:type="gramStart"/>
            <w:r w:rsidRPr="00B540E0">
              <w:rPr>
                <w:rFonts w:ascii="Times New Roman" w:hAnsi="Times New Roman"/>
                <w:sz w:val="20"/>
                <w:szCs w:val="20"/>
                <w:lang w:val="fr-FR" w:eastAsia="ru-RU"/>
              </w:rPr>
              <w:t>utilizarea</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mecanismelor</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cooperare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prevăzute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Directiva</w:t>
            </w:r>
            <w:proofErr w:type="spellEnd"/>
            <w:r w:rsidRPr="00B540E0">
              <w:rPr>
                <w:rFonts w:ascii="Times New Roman" w:hAnsi="Times New Roman"/>
                <w:sz w:val="20"/>
                <w:szCs w:val="20"/>
                <w:lang w:val="fr-FR" w:eastAsia="ru-RU"/>
              </w:rPr>
              <w:t xml:space="preserve"> (UE) 2018/2001.</w:t>
            </w:r>
          </w:p>
          <w:p w14:paraId="2FE43E6F" w14:textId="77777777" w:rsidR="00A3070D" w:rsidRPr="00B540E0" w:rsidRDefault="00A3070D" w:rsidP="00A3070D">
            <w:pPr>
              <w:spacing w:after="0" w:line="240" w:lineRule="auto"/>
              <w:jc w:val="both"/>
              <w:rPr>
                <w:rFonts w:ascii="Times New Roman" w:hAnsi="Times New Roman"/>
                <w:sz w:val="20"/>
                <w:szCs w:val="20"/>
                <w:lang w:val="fr-FR" w:eastAsia="ru-RU"/>
              </w:rPr>
            </w:pPr>
            <w:proofErr w:type="spellStart"/>
            <w:r w:rsidRPr="00B540E0">
              <w:rPr>
                <w:rFonts w:ascii="Times New Roman" w:hAnsi="Times New Roman"/>
                <w:sz w:val="20"/>
                <w:szCs w:val="20"/>
                <w:lang w:val="fr-FR" w:eastAsia="ru-RU"/>
              </w:rPr>
              <w:t>Astfel</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măsuri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țin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seama</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observațiile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Comisiei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astfel</w:t>
            </w:r>
            <w:proofErr w:type="spellEnd"/>
            <w:r w:rsidRPr="00B540E0">
              <w:rPr>
                <w:rFonts w:ascii="Times New Roman" w:hAnsi="Times New Roman"/>
                <w:sz w:val="20"/>
                <w:szCs w:val="20"/>
                <w:lang w:val="fr-FR" w:eastAsia="ru-RU"/>
              </w:rPr>
              <w:t xml:space="preserve"> cum se </w:t>
            </w:r>
            <w:proofErr w:type="spellStart"/>
            <w:r w:rsidRPr="00B540E0">
              <w:rPr>
                <w:rFonts w:ascii="Times New Roman" w:hAnsi="Times New Roman"/>
                <w:sz w:val="20"/>
                <w:szCs w:val="20"/>
                <w:lang w:val="fr-FR" w:eastAsia="ru-RU"/>
              </w:rPr>
              <w:t>prevede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alineatul</w:t>
            </w:r>
            <w:proofErr w:type="spellEnd"/>
            <w:r w:rsidRPr="00B540E0">
              <w:rPr>
                <w:rFonts w:ascii="Times New Roman" w:hAnsi="Times New Roman"/>
                <w:sz w:val="20"/>
                <w:szCs w:val="20"/>
                <w:lang w:val="fr-FR" w:eastAsia="ru-RU"/>
              </w:rPr>
              <w:t xml:space="preserve"> (1) al </w:t>
            </w:r>
            <w:proofErr w:type="spellStart"/>
            <w:r w:rsidRPr="00B540E0">
              <w:rPr>
                <w:rFonts w:ascii="Times New Roman" w:hAnsi="Times New Roman"/>
                <w:sz w:val="20"/>
                <w:szCs w:val="20"/>
                <w:lang w:val="fr-FR" w:eastAsia="ru-RU"/>
              </w:rPr>
              <w:t>doilea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paragraf</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prezentul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articol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Statele</w:t>
            </w:r>
            <w:proofErr w:type="spellEnd"/>
            <w:r w:rsidRPr="00B540E0">
              <w:rPr>
                <w:rFonts w:ascii="Times New Roman" w:hAnsi="Times New Roman"/>
                <w:sz w:val="20"/>
                <w:szCs w:val="20"/>
                <w:lang w:val="fr-FR" w:eastAsia="ru-RU"/>
              </w:rPr>
              <w:t xml:space="preserve"> membre în </w:t>
            </w:r>
            <w:proofErr w:type="spellStart"/>
            <w:r w:rsidRPr="00B540E0">
              <w:rPr>
                <w:rFonts w:ascii="Times New Roman" w:hAnsi="Times New Roman"/>
                <w:sz w:val="20"/>
                <w:szCs w:val="20"/>
                <w:lang w:val="fr-FR" w:eastAsia="ru-RU"/>
              </w:rPr>
              <w:t>cauză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includ</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aceste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măsuri</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cadrul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raportului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lor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național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intermediar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integrat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privind</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energia</w:t>
            </w:r>
            <w:proofErr w:type="spellEnd"/>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clima</w:t>
            </w:r>
            <w:proofErr w:type="spellEnd"/>
            <w:r w:rsidRPr="00B540E0">
              <w:rPr>
                <w:rFonts w:ascii="Times New Roman" w:hAnsi="Times New Roman"/>
                <w:sz w:val="20"/>
                <w:szCs w:val="20"/>
                <w:lang w:val="fr-FR" w:eastAsia="ru-RU"/>
              </w:rPr>
              <w:t>.</w:t>
            </w:r>
          </w:p>
          <w:p w14:paraId="18B32A6D" w14:textId="77777777" w:rsidR="00A3070D" w:rsidRPr="00B540E0" w:rsidRDefault="00A3070D" w:rsidP="00A3070D">
            <w:pPr>
              <w:spacing w:after="0" w:line="240" w:lineRule="auto"/>
              <w:jc w:val="both"/>
              <w:rPr>
                <w:rFonts w:ascii="Times New Roman" w:hAnsi="Times New Roman"/>
                <w:sz w:val="20"/>
                <w:szCs w:val="20"/>
                <w:lang w:val="fr-FR"/>
              </w:rPr>
            </w:pPr>
            <w:r w:rsidRPr="00B540E0">
              <w:rPr>
                <w:rFonts w:ascii="Times New Roman" w:hAnsi="Times New Roman"/>
                <w:sz w:val="20"/>
                <w:szCs w:val="20"/>
                <w:lang w:val="fr-FR"/>
              </w:rPr>
              <w:t>(</w:t>
            </w:r>
            <w:proofErr w:type="gramStart"/>
            <w:r w:rsidRPr="00B540E0">
              <w:rPr>
                <w:rFonts w:ascii="Times New Roman" w:hAnsi="Times New Roman"/>
                <w:sz w:val="20"/>
                <w:szCs w:val="20"/>
                <w:lang w:val="fr-FR"/>
              </w:rPr>
              <w:t>4)</w:t>
            </w:r>
            <w:proofErr w:type="spellStart"/>
            <w:r w:rsidRPr="00B540E0">
              <w:rPr>
                <w:rFonts w:ascii="Times New Roman" w:hAnsi="Times New Roman"/>
                <w:sz w:val="20"/>
                <w:szCs w:val="20"/>
                <w:lang w:val="fr-FR"/>
              </w:rPr>
              <w:t>Începând</w:t>
            </w:r>
            <w:proofErr w:type="spellEnd"/>
            <w:proofErr w:type="gramEnd"/>
            <w:r w:rsidRPr="00B540E0">
              <w:rPr>
                <w:rFonts w:ascii="Times New Roman" w:hAnsi="Times New Roman"/>
                <w:sz w:val="20"/>
                <w:szCs w:val="20"/>
                <w:lang w:val="fr-FR"/>
              </w:rPr>
              <w:t xml:space="preserve"> de la 1 </w:t>
            </w:r>
            <w:proofErr w:type="spellStart"/>
            <w:r w:rsidRPr="00B540E0">
              <w:rPr>
                <w:rFonts w:ascii="Times New Roman" w:hAnsi="Times New Roman"/>
                <w:sz w:val="20"/>
                <w:szCs w:val="20"/>
                <w:lang w:val="fr-FR"/>
              </w:rPr>
              <w:t>ianuarie</w:t>
            </w:r>
            <w:proofErr w:type="spellEnd"/>
            <w:r w:rsidRPr="00B540E0">
              <w:rPr>
                <w:rFonts w:ascii="Times New Roman" w:hAnsi="Times New Roman"/>
                <w:sz w:val="20"/>
                <w:szCs w:val="20"/>
                <w:lang w:val="fr-FR"/>
              </w:rPr>
              <w:t xml:space="preserve"> 2021, </w:t>
            </w:r>
            <w:proofErr w:type="spellStart"/>
            <w:r w:rsidRPr="00B540E0">
              <w:rPr>
                <w:rFonts w:ascii="Times New Roman" w:hAnsi="Times New Roman"/>
                <w:sz w:val="20"/>
                <w:szCs w:val="20"/>
                <w:lang w:val="fr-FR"/>
              </w:rPr>
              <w:t>ponderea</w:t>
            </w:r>
            <w:proofErr w:type="spellEnd"/>
            <w:r w:rsidRPr="00B540E0">
              <w:rPr>
                <w:rFonts w:ascii="Times New Roman" w:hAnsi="Times New Roman"/>
                <w:sz w:val="20"/>
                <w:szCs w:val="20"/>
                <w:lang w:val="fr-FR"/>
              </w:rPr>
              <w:t xml:space="preserve"> energiei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surse </w:t>
            </w:r>
            <w:proofErr w:type="spellStart"/>
            <w:r w:rsidRPr="00B540E0">
              <w:rPr>
                <w:rFonts w:ascii="Times New Roman" w:hAnsi="Times New Roman"/>
                <w:sz w:val="20"/>
                <w:szCs w:val="20"/>
                <w:lang w:val="fr-FR"/>
              </w:rPr>
              <w:t>regenerabile</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consumul</w:t>
            </w:r>
            <w:proofErr w:type="spellEnd"/>
            <w:r w:rsidRPr="00B540E0">
              <w:rPr>
                <w:rFonts w:ascii="Times New Roman" w:hAnsi="Times New Roman"/>
                <w:sz w:val="20"/>
                <w:szCs w:val="20"/>
                <w:lang w:val="fr-FR"/>
              </w:rPr>
              <w:t xml:space="preserve"> final brut de </w:t>
            </w:r>
            <w:proofErr w:type="spellStart"/>
            <w:r w:rsidRPr="00B540E0">
              <w:rPr>
                <w:rFonts w:ascii="Times New Roman" w:hAnsi="Times New Roman"/>
                <w:sz w:val="20"/>
                <w:szCs w:val="20"/>
                <w:lang w:val="fr-FR"/>
              </w:rPr>
              <w:t>energie</w:t>
            </w:r>
            <w:proofErr w:type="spellEnd"/>
            <w:r w:rsidRPr="00B540E0">
              <w:rPr>
                <w:rFonts w:ascii="Times New Roman" w:hAnsi="Times New Roman"/>
                <w:sz w:val="20"/>
                <w:szCs w:val="20"/>
                <w:lang w:val="fr-FR"/>
              </w:rPr>
              <w:t xml:space="preserve"> al </w:t>
            </w:r>
            <w:proofErr w:type="spellStart"/>
            <w:r w:rsidRPr="00B540E0">
              <w:rPr>
                <w:rFonts w:ascii="Times New Roman" w:hAnsi="Times New Roman"/>
                <w:sz w:val="20"/>
                <w:szCs w:val="20"/>
                <w:lang w:val="fr-FR"/>
              </w:rPr>
              <w:t>fiecărui</w:t>
            </w:r>
            <w:proofErr w:type="spellEnd"/>
            <w:r w:rsidRPr="00B540E0">
              <w:rPr>
                <w:rFonts w:ascii="Times New Roman" w:hAnsi="Times New Roman"/>
                <w:sz w:val="20"/>
                <w:szCs w:val="20"/>
                <w:lang w:val="fr-FR"/>
              </w:rPr>
              <w:t xml:space="preserve"> stat membru nu </w:t>
            </w:r>
            <w:proofErr w:type="spellStart"/>
            <w:r w:rsidRPr="00B540E0">
              <w:rPr>
                <w:rFonts w:ascii="Times New Roman" w:hAnsi="Times New Roman"/>
                <w:sz w:val="20"/>
                <w:szCs w:val="20"/>
                <w:lang w:val="fr-FR"/>
              </w:rPr>
              <w:t>trebuie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să</w:t>
            </w:r>
            <w:proofErr w:type="spellEnd"/>
            <w:r w:rsidRPr="00B540E0">
              <w:rPr>
                <w:rFonts w:ascii="Times New Roman" w:hAnsi="Times New Roman"/>
                <w:sz w:val="20"/>
                <w:szCs w:val="20"/>
                <w:lang w:val="fr-FR"/>
              </w:rPr>
              <w:t xml:space="preserve"> fie mai </w:t>
            </w:r>
            <w:proofErr w:type="spellStart"/>
            <w:r w:rsidRPr="00B540E0">
              <w:rPr>
                <w:rFonts w:ascii="Times New Roman" w:hAnsi="Times New Roman"/>
                <w:sz w:val="20"/>
                <w:szCs w:val="20"/>
                <w:lang w:val="fr-FR"/>
              </w:rPr>
              <w:t>mică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decât</w:t>
            </w:r>
            <w:proofErr w:type="spellEnd"/>
            <w:r w:rsidRPr="00B540E0">
              <w:rPr>
                <w:rFonts w:ascii="Times New Roman" w:hAnsi="Times New Roman"/>
                <w:sz w:val="20"/>
                <w:szCs w:val="20"/>
                <w:lang w:val="fr-FR"/>
              </w:rPr>
              <w:t xml:space="preserve"> o </w:t>
            </w:r>
            <w:proofErr w:type="spellStart"/>
            <w:r w:rsidRPr="00B540E0">
              <w:rPr>
                <w:rFonts w:ascii="Times New Roman" w:hAnsi="Times New Roman"/>
                <w:sz w:val="20"/>
                <w:szCs w:val="20"/>
                <w:lang w:val="fr-FR"/>
              </w:rPr>
              <w:t>pondere</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referință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egală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cu</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obiectivul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său</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național</w:t>
            </w:r>
            <w:proofErr w:type="spellEnd"/>
            <w:r w:rsidRPr="00B540E0">
              <w:rPr>
                <w:rFonts w:ascii="Times New Roman" w:hAnsi="Times New Roman"/>
                <w:sz w:val="20"/>
                <w:szCs w:val="20"/>
                <w:lang w:val="fr-FR"/>
              </w:rPr>
              <w:t xml:space="preserve"> global </w:t>
            </w:r>
            <w:proofErr w:type="spellStart"/>
            <w:r w:rsidRPr="00B540E0">
              <w:rPr>
                <w:rFonts w:ascii="Times New Roman" w:hAnsi="Times New Roman"/>
                <w:sz w:val="20"/>
                <w:szCs w:val="20"/>
                <w:lang w:val="fr-FR"/>
              </w:rPr>
              <w:t>obligatoriu</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pentru</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ponderea</w:t>
            </w:r>
            <w:proofErr w:type="spellEnd"/>
            <w:r w:rsidRPr="00B540E0">
              <w:rPr>
                <w:rFonts w:ascii="Times New Roman" w:hAnsi="Times New Roman"/>
                <w:sz w:val="20"/>
                <w:szCs w:val="20"/>
                <w:lang w:val="fr-FR"/>
              </w:rPr>
              <w:t xml:space="preserve"> energiei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surse </w:t>
            </w:r>
            <w:proofErr w:type="spellStart"/>
            <w:r w:rsidRPr="00B540E0">
              <w:rPr>
                <w:rFonts w:ascii="Times New Roman" w:hAnsi="Times New Roman"/>
                <w:sz w:val="20"/>
                <w:szCs w:val="20"/>
                <w:lang w:val="fr-FR"/>
              </w:rPr>
              <w:t>regenerabile</w:t>
            </w:r>
            <w:proofErr w:type="spellEnd"/>
            <w:r w:rsidRPr="00B540E0">
              <w:rPr>
                <w:rFonts w:ascii="Times New Roman" w:hAnsi="Times New Roman"/>
                <w:sz w:val="20"/>
                <w:szCs w:val="20"/>
                <w:lang w:val="fr-FR"/>
              </w:rPr>
              <w:t xml:space="preserve"> în 2020, </w:t>
            </w:r>
            <w:proofErr w:type="spellStart"/>
            <w:r w:rsidRPr="00B540E0">
              <w:rPr>
                <w:rFonts w:ascii="Times New Roman" w:hAnsi="Times New Roman"/>
                <w:sz w:val="20"/>
                <w:szCs w:val="20"/>
                <w:lang w:val="fr-FR"/>
              </w:rPr>
              <w:t>după</w:t>
            </w:r>
            <w:proofErr w:type="spellEnd"/>
            <w:r w:rsidRPr="00B540E0">
              <w:rPr>
                <w:rFonts w:ascii="Times New Roman" w:hAnsi="Times New Roman"/>
                <w:sz w:val="20"/>
                <w:szCs w:val="20"/>
                <w:lang w:val="fr-FR"/>
              </w:rPr>
              <w:t xml:space="preserve"> cum se </w:t>
            </w:r>
            <w:proofErr w:type="spellStart"/>
            <w:r w:rsidRPr="00B540E0">
              <w:rPr>
                <w:rFonts w:ascii="Times New Roman" w:hAnsi="Times New Roman"/>
                <w:sz w:val="20"/>
                <w:szCs w:val="20"/>
                <w:lang w:val="fr-FR"/>
              </w:rPr>
              <w:t>prevede</w:t>
            </w:r>
            <w:proofErr w:type="spellEnd"/>
            <w:r w:rsidRPr="00B540E0">
              <w:rPr>
                <w:rFonts w:ascii="Times New Roman" w:hAnsi="Times New Roman"/>
                <w:sz w:val="20"/>
                <w:szCs w:val="20"/>
                <w:lang w:val="fr-FR"/>
              </w:rPr>
              <w:t xml:space="preserve"> la </w:t>
            </w:r>
            <w:proofErr w:type="spellStart"/>
            <w:r w:rsidRPr="00B540E0">
              <w:rPr>
                <w:rFonts w:ascii="Times New Roman" w:hAnsi="Times New Roman"/>
                <w:sz w:val="20"/>
                <w:szCs w:val="20"/>
                <w:lang w:val="fr-FR"/>
              </w:rPr>
              <w:t>articolul</w:t>
            </w:r>
            <w:proofErr w:type="spellEnd"/>
            <w:r w:rsidRPr="00B540E0">
              <w:rPr>
                <w:rFonts w:ascii="Times New Roman" w:hAnsi="Times New Roman"/>
                <w:sz w:val="20"/>
                <w:szCs w:val="20"/>
                <w:lang w:val="fr-FR"/>
              </w:rPr>
              <w:t xml:space="preserve"> 3 </w:t>
            </w:r>
            <w:proofErr w:type="spellStart"/>
            <w:r w:rsidRPr="00B540E0">
              <w:rPr>
                <w:rFonts w:ascii="Times New Roman" w:hAnsi="Times New Roman"/>
                <w:sz w:val="20"/>
                <w:szCs w:val="20"/>
                <w:lang w:val="fr-FR"/>
              </w:rPr>
              <w:t>alineatul</w:t>
            </w:r>
            <w:proofErr w:type="spellEnd"/>
            <w:r w:rsidRPr="00B540E0">
              <w:rPr>
                <w:rFonts w:ascii="Times New Roman" w:hAnsi="Times New Roman"/>
                <w:sz w:val="20"/>
                <w:szCs w:val="20"/>
                <w:lang w:val="fr-FR"/>
              </w:rPr>
              <w:t xml:space="preserve"> (4)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Directiva</w:t>
            </w:r>
            <w:proofErr w:type="spellEnd"/>
            <w:r w:rsidRPr="00B540E0">
              <w:rPr>
                <w:rFonts w:ascii="Times New Roman" w:hAnsi="Times New Roman"/>
                <w:sz w:val="20"/>
                <w:szCs w:val="20"/>
                <w:lang w:val="fr-FR"/>
              </w:rPr>
              <w:t xml:space="preserve"> (UE) 2018/2001. </w:t>
            </w:r>
            <w:proofErr w:type="spellStart"/>
            <w:r w:rsidRPr="00B540E0">
              <w:rPr>
                <w:rFonts w:ascii="Times New Roman" w:hAnsi="Times New Roman"/>
                <w:sz w:val="20"/>
                <w:szCs w:val="20"/>
                <w:lang w:val="fr-FR"/>
              </w:rPr>
              <w:t>Dacă</w:t>
            </w:r>
            <w:proofErr w:type="spellEnd"/>
            <w:r w:rsidRPr="00B540E0">
              <w:rPr>
                <w:rFonts w:ascii="Times New Roman" w:hAnsi="Times New Roman"/>
                <w:sz w:val="20"/>
                <w:szCs w:val="20"/>
                <w:lang w:val="fr-FR"/>
              </w:rPr>
              <w:t xml:space="preserve"> un stat membru nu </w:t>
            </w:r>
            <w:proofErr w:type="spellStart"/>
            <w:r w:rsidRPr="00B540E0">
              <w:rPr>
                <w:rFonts w:ascii="Times New Roman" w:hAnsi="Times New Roman"/>
                <w:sz w:val="20"/>
                <w:szCs w:val="20"/>
                <w:lang w:val="fr-FR"/>
              </w:rPr>
              <w:t>își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menține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ponderea</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referință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astfel</w:t>
            </w:r>
            <w:proofErr w:type="spellEnd"/>
            <w:r w:rsidRPr="00B540E0">
              <w:rPr>
                <w:rFonts w:ascii="Times New Roman" w:hAnsi="Times New Roman"/>
                <w:sz w:val="20"/>
                <w:szCs w:val="20"/>
                <w:lang w:val="fr-FR"/>
              </w:rPr>
              <w:t xml:space="preserve"> cum a </w:t>
            </w:r>
            <w:proofErr w:type="spellStart"/>
            <w:r w:rsidRPr="00B540E0">
              <w:rPr>
                <w:rFonts w:ascii="Times New Roman" w:hAnsi="Times New Roman"/>
                <w:sz w:val="20"/>
                <w:szCs w:val="20"/>
                <w:lang w:val="fr-FR"/>
              </w:rPr>
              <w:t>fost</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măsurată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pe</w:t>
            </w:r>
            <w:proofErr w:type="spellEnd"/>
            <w:r w:rsidRPr="00B540E0">
              <w:rPr>
                <w:rFonts w:ascii="Times New Roman" w:hAnsi="Times New Roman"/>
                <w:sz w:val="20"/>
                <w:szCs w:val="20"/>
                <w:lang w:val="fr-FR"/>
              </w:rPr>
              <w:t xml:space="preserve"> o </w:t>
            </w:r>
            <w:proofErr w:type="spellStart"/>
            <w:r w:rsidRPr="00B540E0">
              <w:rPr>
                <w:rFonts w:ascii="Times New Roman" w:hAnsi="Times New Roman"/>
                <w:sz w:val="20"/>
                <w:szCs w:val="20"/>
                <w:lang w:val="fr-FR"/>
              </w:rPr>
              <w:t>perioadă</w:t>
            </w:r>
            <w:proofErr w:type="spellEnd"/>
            <w:r w:rsidRPr="00B540E0">
              <w:rPr>
                <w:rFonts w:ascii="Times New Roman" w:hAnsi="Times New Roman"/>
                <w:sz w:val="20"/>
                <w:szCs w:val="20"/>
                <w:lang w:val="fr-FR"/>
              </w:rPr>
              <w:t xml:space="preserve"> </w:t>
            </w:r>
            <w:proofErr w:type="gramStart"/>
            <w:r w:rsidRPr="00B540E0">
              <w:rPr>
                <w:rFonts w:ascii="Times New Roman" w:hAnsi="Times New Roman"/>
                <w:sz w:val="20"/>
                <w:szCs w:val="20"/>
                <w:lang w:val="fr-FR"/>
              </w:rPr>
              <w:t>de un</w:t>
            </w:r>
            <w:proofErr w:type="gramEnd"/>
            <w:r w:rsidRPr="00B540E0">
              <w:rPr>
                <w:rFonts w:ascii="Times New Roman" w:hAnsi="Times New Roman"/>
                <w:sz w:val="20"/>
                <w:szCs w:val="20"/>
                <w:lang w:val="fr-FR"/>
              </w:rPr>
              <w:t xml:space="preserve"> an, </w:t>
            </w:r>
            <w:proofErr w:type="spellStart"/>
            <w:r w:rsidRPr="00B540E0">
              <w:rPr>
                <w:rFonts w:ascii="Times New Roman" w:hAnsi="Times New Roman"/>
                <w:sz w:val="20"/>
                <w:szCs w:val="20"/>
                <w:lang w:val="fr-FR"/>
              </w:rPr>
              <w:t>statul</w:t>
            </w:r>
            <w:proofErr w:type="spellEnd"/>
            <w:r w:rsidRPr="00B540E0">
              <w:rPr>
                <w:rFonts w:ascii="Times New Roman" w:hAnsi="Times New Roman"/>
                <w:sz w:val="20"/>
                <w:szCs w:val="20"/>
                <w:lang w:val="fr-FR"/>
              </w:rPr>
              <w:t xml:space="preserve"> membru în </w:t>
            </w:r>
            <w:proofErr w:type="spellStart"/>
            <w:r w:rsidRPr="00B540E0">
              <w:rPr>
                <w:rFonts w:ascii="Times New Roman" w:hAnsi="Times New Roman"/>
                <w:sz w:val="20"/>
                <w:szCs w:val="20"/>
                <w:lang w:val="fr-FR"/>
              </w:rPr>
              <w:t>cauză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ia</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termen</w:t>
            </w:r>
            <w:proofErr w:type="spellEnd"/>
            <w:r w:rsidRPr="00B540E0">
              <w:rPr>
                <w:rFonts w:ascii="Times New Roman" w:hAnsi="Times New Roman"/>
                <w:sz w:val="20"/>
                <w:szCs w:val="20"/>
                <w:lang w:val="fr-FR"/>
              </w:rPr>
              <w:t xml:space="preserve"> de un an, </w:t>
            </w:r>
            <w:proofErr w:type="spellStart"/>
            <w:r w:rsidRPr="00B540E0">
              <w:rPr>
                <w:rFonts w:ascii="Times New Roman" w:hAnsi="Times New Roman"/>
                <w:sz w:val="20"/>
                <w:szCs w:val="20"/>
                <w:lang w:val="fr-FR"/>
              </w:rPr>
              <w:t>măsuri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suplimentare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precum</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cele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prevăzute</w:t>
            </w:r>
            <w:proofErr w:type="spellEnd"/>
            <w:r w:rsidRPr="00B540E0">
              <w:rPr>
                <w:rFonts w:ascii="Times New Roman" w:hAnsi="Times New Roman"/>
                <w:sz w:val="20"/>
                <w:szCs w:val="20"/>
                <w:lang w:val="fr-FR"/>
              </w:rPr>
              <w:t xml:space="preserve"> la </w:t>
            </w:r>
            <w:proofErr w:type="spellStart"/>
            <w:r w:rsidRPr="00B540E0">
              <w:rPr>
                <w:rFonts w:ascii="Times New Roman" w:hAnsi="Times New Roman"/>
                <w:sz w:val="20"/>
                <w:szCs w:val="20"/>
                <w:lang w:val="fr-FR"/>
              </w:rPr>
              <w:t>alineatul</w:t>
            </w:r>
            <w:proofErr w:type="spellEnd"/>
            <w:r w:rsidRPr="00B540E0">
              <w:rPr>
                <w:rFonts w:ascii="Times New Roman" w:hAnsi="Times New Roman"/>
                <w:sz w:val="20"/>
                <w:szCs w:val="20"/>
                <w:lang w:val="fr-FR"/>
              </w:rPr>
              <w:t xml:space="preserve"> (3) </w:t>
            </w:r>
            <w:proofErr w:type="spellStart"/>
            <w:r w:rsidRPr="00B540E0">
              <w:rPr>
                <w:rFonts w:ascii="Times New Roman" w:hAnsi="Times New Roman"/>
                <w:sz w:val="20"/>
                <w:szCs w:val="20"/>
                <w:lang w:val="fr-FR"/>
              </w:rPr>
              <w:t>primul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paragraf</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literele</w:t>
            </w:r>
            <w:proofErr w:type="spellEnd"/>
            <w:r w:rsidRPr="00B540E0">
              <w:rPr>
                <w:rFonts w:ascii="Times New Roman" w:hAnsi="Times New Roman"/>
                <w:sz w:val="20"/>
                <w:szCs w:val="20"/>
                <w:lang w:val="fr-FR"/>
              </w:rPr>
              <w:t xml:space="preserve"> (a)-(e)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prezentul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articol</w:t>
            </w:r>
            <w:proofErr w:type="spellEnd"/>
            <w:r w:rsidRPr="00B540E0">
              <w:rPr>
                <w:rFonts w:ascii="Times New Roman" w:hAnsi="Times New Roman"/>
                <w:sz w:val="20"/>
                <w:szCs w:val="20"/>
                <w:lang w:val="fr-FR"/>
              </w:rPr>
              <w:t xml:space="preserve">, care </w:t>
            </w:r>
            <w:proofErr w:type="spellStart"/>
            <w:r w:rsidRPr="00B540E0">
              <w:rPr>
                <w:rFonts w:ascii="Times New Roman" w:hAnsi="Times New Roman"/>
                <w:sz w:val="20"/>
                <w:szCs w:val="20"/>
                <w:lang w:val="fr-FR"/>
              </w:rPr>
              <w:t>să</w:t>
            </w:r>
            <w:proofErr w:type="spellEnd"/>
            <w:r w:rsidRPr="00B540E0">
              <w:rPr>
                <w:rFonts w:ascii="Times New Roman" w:hAnsi="Times New Roman"/>
                <w:sz w:val="20"/>
                <w:szCs w:val="20"/>
                <w:lang w:val="fr-FR"/>
              </w:rPr>
              <w:t xml:space="preserve"> fie </w:t>
            </w:r>
            <w:proofErr w:type="spellStart"/>
            <w:r w:rsidRPr="00B540E0">
              <w:rPr>
                <w:rFonts w:ascii="Times New Roman" w:hAnsi="Times New Roman"/>
                <w:sz w:val="20"/>
                <w:szCs w:val="20"/>
                <w:lang w:val="fr-FR"/>
              </w:rPr>
              <w:t>suficiente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pentru</w:t>
            </w:r>
            <w:proofErr w:type="spellEnd"/>
            <w:r w:rsidRPr="00B540E0">
              <w:rPr>
                <w:rFonts w:ascii="Times New Roman" w:hAnsi="Times New Roman"/>
                <w:sz w:val="20"/>
                <w:szCs w:val="20"/>
                <w:lang w:val="fr-FR"/>
              </w:rPr>
              <w:t xml:space="preserve"> a </w:t>
            </w:r>
            <w:proofErr w:type="spellStart"/>
            <w:r w:rsidRPr="00B540E0">
              <w:rPr>
                <w:rFonts w:ascii="Times New Roman" w:hAnsi="Times New Roman"/>
                <w:sz w:val="20"/>
                <w:szCs w:val="20"/>
                <w:lang w:val="fr-FR"/>
              </w:rPr>
              <w:t>elimina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decalajul</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termen</w:t>
            </w:r>
            <w:proofErr w:type="spellEnd"/>
            <w:r w:rsidRPr="00B540E0">
              <w:rPr>
                <w:rFonts w:ascii="Times New Roman" w:hAnsi="Times New Roman"/>
                <w:sz w:val="20"/>
                <w:szCs w:val="20"/>
                <w:lang w:val="fr-FR"/>
              </w:rPr>
              <w:t xml:space="preserve"> de un an.</w:t>
            </w:r>
          </w:p>
          <w:p w14:paraId="3FD8BDF9" w14:textId="0045CE73" w:rsidR="00A3070D" w:rsidRPr="00B540E0" w:rsidRDefault="00A3070D" w:rsidP="00A3070D">
            <w:pPr>
              <w:spacing w:after="0" w:line="240" w:lineRule="auto"/>
              <w:jc w:val="both"/>
              <w:rPr>
                <w:rFonts w:ascii="Times New Roman" w:hAnsi="Times New Roman"/>
                <w:sz w:val="20"/>
                <w:szCs w:val="20"/>
                <w:lang w:val="fr-FR"/>
              </w:rPr>
            </w:pPr>
            <w:r w:rsidRPr="00B540E0">
              <w:rPr>
                <w:rFonts w:ascii="Times New Roman" w:hAnsi="Times New Roman"/>
                <w:sz w:val="20"/>
                <w:szCs w:val="20"/>
                <w:lang w:val="fr-FR"/>
              </w:rPr>
              <w:t xml:space="preserve">Se </w:t>
            </w:r>
            <w:proofErr w:type="spellStart"/>
            <w:r w:rsidRPr="00B540E0">
              <w:rPr>
                <w:rFonts w:ascii="Times New Roman" w:hAnsi="Times New Roman"/>
                <w:sz w:val="20"/>
                <w:szCs w:val="20"/>
                <w:lang w:val="fr-FR"/>
              </w:rPr>
              <w:t>consideră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că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statele</w:t>
            </w:r>
            <w:proofErr w:type="spellEnd"/>
            <w:r w:rsidRPr="00B540E0">
              <w:rPr>
                <w:rFonts w:ascii="Times New Roman" w:hAnsi="Times New Roman"/>
                <w:sz w:val="20"/>
                <w:szCs w:val="20"/>
                <w:lang w:val="fr-FR"/>
              </w:rPr>
              <w:t xml:space="preserve"> membre care </w:t>
            </w:r>
            <w:proofErr w:type="spellStart"/>
            <w:r w:rsidRPr="00B540E0">
              <w:rPr>
                <w:rFonts w:ascii="Times New Roman" w:hAnsi="Times New Roman"/>
                <w:sz w:val="20"/>
                <w:szCs w:val="20"/>
                <w:lang w:val="fr-FR"/>
              </w:rPr>
              <w:t>îndeplinesc</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obligația</w:t>
            </w:r>
            <w:proofErr w:type="spellEnd"/>
            <w:r w:rsidRPr="00B540E0">
              <w:rPr>
                <w:rFonts w:ascii="Times New Roman" w:hAnsi="Times New Roman"/>
                <w:sz w:val="20"/>
                <w:szCs w:val="20"/>
                <w:lang w:val="fr-FR"/>
              </w:rPr>
              <w:t xml:space="preserve"> </w:t>
            </w:r>
            <w:proofErr w:type="gramStart"/>
            <w:r w:rsidRPr="00B540E0">
              <w:rPr>
                <w:rFonts w:ascii="Times New Roman" w:hAnsi="Times New Roman"/>
                <w:sz w:val="20"/>
                <w:szCs w:val="20"/>
                <w:lang w:val="fr-FR"/>
              </w:rPr>
              <w:t>de a</w:t>
            </w:r>
            <w:proofErr w:type="gram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elimina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decalajul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față</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ponderea</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referință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respectă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parcursul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întregii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perioade</w:t>
            </w:r>
            <w:proofErr w:type="spellEnd"/>
            <w:r w:rsidRPr="00B540E0">
              <w:rPr>
                <w:rFonts w:ascii="Times New Roman" w:hAnsi="Times New Roman"/>
                <w:sz w:val="20"/>
                <w:szCs w:val="20"/>
                <w:lang w:val="fr-FR"/>
              </w:rPr>
              <w:t xml:space="preserve"> în care </w:t>
            </w:r>
            <w:proofErr w:type="spellStart"/>
            <w:r w:rsidRPr="00B540E0">
              <w:rPr>
                <w:rFonts w:ascii="Times New Roman" w:hAnsi="Times New Roman"/>
                <w:sz w:val="20"/>
                <w:szCs w:val="20"/>
                <w:lang w:val="fr-FR"/>
              </w:rPr>
              <w:t>s-a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produs</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decalajul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obligațiile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stabilite</w:t>
            </w:r>
            <w:proofErr w:type="spellEnd"/>
            <w:r w:rsidRPr="00B540E0">
              <w:rPr>
                <w:rFonts w:ascii="Times New Roman" w:hAnsi="Times New Roman"/>
                <w:sz w:val="20"/>
                <w:szCs w:val="20"/>
                <w:lang w:val="fr-FR"/>
              </w:rPr>
              <w:t xml:space="preserve"> la </w:t>
            </w:r>
            <w:proofErr w:type="spellStart"/>
            <w:r w:rsidRPr="00B540E0">
              <w:rPr>
                <w:rFonts w:ascii="Times New Roman" w:hAnsi="Times New Roman"/>
                <w:sz w:val="20"/>
                <w:szCs w:val="20"/>
                <w:lang w:val="fr-FR"/>
              </w:rPr>
              <w:t>primul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paragraf</w:t>
            </w:r>
            <w:proofErr w:type="spellEnd"/>
            <w:r w:rsidRPr="00B540E0">
              <w:rPr>
                <w:rFonts w:ascii="Times New Roman" w:hAnsi="Times New Roman"/>
                <w:sz w:val="20"/>
                <w:szCs w:val="20"/>
                <w:lang w:val="fr-FR"/>
              </w:rPr>
              <w:t xml:space="preserve"> prima </w:t>
            </w:r>
            <w:proofErr w:type="spellStart"/>
            <w:r w:rsidRPr="00B540E0">
              <w:rPr>
                <w:rFonts w:ascii="Times New Roman" w:hAnsi="Times New Roman"/>
                <w:sz w:val="20"/>
                <w:szCs w:val="20"/>
                <w:lang w:val="fr-FR"/>
              </w:rPr>
              <w:t>teză</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lastRenderedPageBreak/>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prezentul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alineat</w:t>
            </w:r>
            <w:proofErr w:type="spellEnd"/>
            <w:r w:rsidRPr="00B540E0">
              <w:rPr>
                <w:rFonts w:ascii="Times New Roman" w:hAnsi="Times New Roman"/>
                <w:sz w:val="20"/>
                <w:szCs w:val="20"/>
                <w:lang w:val="fr-FR"/>
              </w:rPr>
              <w:t xml:space="preserve"> și la </w:t>
            </w:r>
            <w:proofErr w:type="spellStart"/>
            <w:r w:rsidRPr="00B540E0">
              <w:rPr>
                <w:rFonts w:ascii="Times New Roman" w:hAnsi="Times New Roman"/>
                <w:sz w:val="20"/>
                <w:szCs w:val="20"/>
                <w:lang w:val="fr-FR"/>
              </w:rPr>
              <w:t>articolul</w:t>
            </w:r>
            <w:proofErr w:type="spellEnd"/>
            <w:r w:rsidRPr="00B540E0">
              <w:rPr>
                <w:rFonts w:ascii="Times New Roman" w:hAnsi="Times New Roman"/>
                <w:sz w:val="20"/>
                <w:szCs w:val="20"/>
                <w:lang w:val="fr-FR"/>
              </w:rPr>
              <w:t xml:space="preserve"> 3 </w:t>
            </w:r>
            <w:proofErr w:type="spellStart"/>
            <w:r w:rsidRPr="00B540E0">
              <w:rPr>
                <w:rFonts w:ascii="Times New Roman" w:hAnsi="Times New Roman"/>
                <w:sz w:val="20"/>
                <w:szCs w:val="20"/>
                <w:lang w:val="fr-FR"/>
              </w:rPr>
              <w:t>alineatul</w:t>
            </w:r>
            <w:proofErr w:type="spellEnd"/>
            <w:r w:rsidRPr="00B540E0">
              <w:rPr>
                <w:rFonts w:ascii="Times New Roman" w:hAnsi="Times New Roman"/>
                <w:sz w:val="20"/>
                <w:szCs w:val="20"/>
                <w:lang w:val="fr-FR"/>
              </w:rPr>
              <w:t xml:space="preserve"> (4)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Directiva</w:t>
            </w:r>
            <w:proofErr w:type="spellEnd"/>
            <w:r w:rsidRPr="00B540E0">
              <w:rPr>
                <w:rFonts w:ascii="Times New Roman" w:hAnsi="Times New Roman"/>
                <w:sz w:val="20"/>
                <w:szCs w:val="20"/>
                <w:lang w:val="fr-FR"/>
              </w:rPr>
              <w:t xml:space="preserve"> (UE) 2018/2001.</w:t>
            </w:r>
          </w:p>
          <w:p w14:paraId="78FCC44F" w14:textId="44BEACE7" w:rsidR="00A3070D" w:rsidRPr="00B540E0" w:rsidRDefault="00A3070D" w:rsidP="00A3070D">
            <w:pPr>
              <w:spacing w:after="0" w:line="240" w:lineRule="auto"/>
              <w:jc w:val="both"/>
              <w:rPr>
                <w:rFonts w:ascii="Times New Roman" w:hAnsi="Times New Roman"/>
                <w:sz w:val="20"/>
                <w:szCs w:val="20"/>
                <w:lang w:val="fr-FR"/>
              </w:rPr>
            </w:pPr>
            <w:r w:rsidRPr="00B540E0">
              <w:rPr>
                <w:rFonts w:ascii="Times New Roman" w:hAnsi="Times New Roman"/>
                <w:sz w:val="20"/>
                <w:szCs w:val="20"/>
                <w:lang w:val="fr-FR"/>
              </w:rPr>
              <w:t xml:space="preserve">În </w:t>
            </w:r>
            <w:proofErr w:type="spellStart"/>
            <w:r w:rsidRPr="00B540E0">
              <w:rPr>
                <w:rFonts w:ascii="Times New Roman" w:hAnsi="Times New Roman"/>
                <w:sz w:val="20"/>
                <w:szCs w:val="20"/>
                <w:lang w:val="fr-FR"/>
              </w:rPr>
              <w:t>sensul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alineatului</w:t>
            </w:r>
            <w:proofErr w:type="spellEnd"/>
            <w:r w:rsidRPr="00B540E0">
              <w:rPr>
                <w:rFonts w:ascii="Times New Roman" w:hAnsi="Times New Roman"/>
                <w:sz w:val="20"/>
                <w:szCs w:val="20"/>
                <w:lang w:val="fr-FR"/>
              </w:rPr>
              <w:t xml:space="preserve"> (3) </w:t>
            </w:r>
            <w:proofErr w:type="spellStart"/>
            <w:r w:rsidRPr="00B540E0">
              <w:rPr>
                <w:rFonts w:ascii="Times New Roman" w:hAnsi="Times New Roman"/>
                <w:sz w:val="20"/>
                <w:szCs w:val="20"/>
                <w:lang w:val="fr-FR"/>
              </w:rPr>
              <w:t>primul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paragraf</w:t>
            </w:r>
            <w:proofErr w:type="spellEnd"/>
            <w:r w:rsidRPr="00B540E0">
              <w:rPr>
                <w:rFonts w:ascii="Times New Roman" w:hAnsi="Times New Roman"/>
                <w:sz w:val="20"/>
                <w:szCs w:val="20"/>
                <w:lang w:val="fr-FR"/>
              </w:rPr>
              <w:t xml:space="preserve"> litera (d)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prezentul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articol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statele</w:t>
            </w:r>
            <w:proofErr w:type="spellEnd"/>
            <w:r w:rsidRPr="00B540E0">
              <w:rPr>
                <w:rFonts w:ascii="Times New Roman" w:hAnsi="Times New Roman"/>
                <w:sz w:val="20"/>
                <w:szCs w:val="20"/>
                <w:lang w:val="fr-FR"/>
              </w:rPr>
              <w:t xml:space="preserve"> membre pot </w:t>
            </w:r>
            <w:proofErr w:type="spellStart"/>
            <w:r w:rsidRPr="00B540E0">
              <w:rPr>
                <w:rFonts w:ascii="Times New Roman" w:hAnsi="Times New Roman"/>
                <w:sz w:val="20"/>
                <w:szCs w:val="20"/>
                <w:lang w:val="fr-FR"/>
              </w:rPr>
              <w:t>utiliza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propriile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venituri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certificatele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anuale</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emisii</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temeiul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Directivei</w:t>
            </w:r>
            <w:proofErr w:type="spellEnd"/>
            <w:r w:rsidRPr="00B540E0">
              <w:rPr>
                <w:rFonts w:ascii="Times New Roman" w:hAnsi="Times New Roman"/>
                <w:sz w:val="20"/>
                <w:szCs w:val="20"/>
                <w:lang w:val="fr-FR"/>
              </w:rPr>
              <w:t xml:space="preserve"> 2003/87/CE.</w:t>
            </w:r>
          </w:p>
          <w:p w14:paraId="6BA84A6F" w14:textId="77777777" w:rsidR="00A3070D" w:rsidRPr="00B540E0" w:rsidRDefault="002F215E" w:rsidP="00A3070D">
            <w:pPr>
              <w:spacing w:after="0" w:line="240" w:lineRule="auto"/>
              <w:jc w:val="both"/>
              <w:rPr>
                <w:rFonts w:ascii="Times New Roman" w:hAnsi="Times New Roman"/>
                <w:sz w:val="20"/>
                <w:szCs w:val="20"/>
                <w:shd w:val="clear" w:color="auto" w:fill="FFFFFF"/>
                <w:lang w:val="fr-FR"/>
              </w:rPr>
            </w:pPr>
            <w:r w:rsidRPr="00B540E0">
              <w:rPr>
                <w:rFonts w:ascii="Times New Roman" w:hAnsi="Times New Roman"/>
                <w:sz w:val="20"/>
                <w:szCs w:val="20"/>
                <w:shd w:val="clear" w:color="auto" w:fill="FFFFFF"/>
                <w:lang w:val="fr-FR"/>
              </w:rPr>
              <w:t>(</w:t>
            </w:r>
            <w:proofErr w:type="gramStart"/>
            <w:r w:rsidRPr="00B540E0">
              <w:rPr>
                <w:rFonts w:ascii="Times New Roman" w:hAnsi="Times New Roman"/>
                <w:sz w:val="20"/>
                <w:szCs w:val="20"/>
                <w:shd w:val="clear" w:color="auto" w:fill="FFFFFF"/>
                <w:lang w:val="fr-FR"/>
              </w:rPr>
              <w:t>5)În</w:t>
            </w:r>
            <w:proofErr w:type="gram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cazul</w:t>
            </w:r>
            <w:proofErr w:type="spellEnd"/>
            <w:r w:rsidRPr="00B540E0">
              <w:rPr>
                <w:rFonts w:ascii="Times New Roman" w:hAnsi="Times New Roman"/>
                <w:sz w:val="20"/>
                <w:szCs w:val="20"/>
                <w:shd w:val="clear" w:color="auto" w:fill="FFFFFF"/>
                <w:lang w:val="fr-FR"/>
              </w:rPr>
              <w:t xml:space="preserve"> în care </w:t>
            </w:r>
            <w:proofErr w:type="spellStart"/>
            <w:r w:rsidRPr="00B540E0">
              <w:rPr>
                <w:rFonts w:ascii="Times New Roman" w:hAnsi="Times New Roman"/>
                <w:sz w:val="20"/>
                <w:szCs w:val="20"/>
                <w:shd w:val="clear" w:color="auto" w:fill="FFFFFF"/>
                <w:lang w:val="fr-FR"/>
              </w:rPr>
              <w:t>ponderea</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energie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din</w:t>
            </w:r>
            <w:proofErr w:type="spellEnd"/>
            <w:r w:rsidRPr="00B540E0">
              <w:rPr>
                <w:rFonts w:ascii="Times New Roman" w:hAnsi="Times New Roman"/>
                <w:sz w:val="20"/>
                <w:szCs w:val="20"/>
                <w:shd w:val="clear" w:color="auto" w:fill="FFFFFF"/>
                <w:lang w:val="fr-FR"/>
              </w:rPr>
              <w:t xml:space="preserve"> surse </w:t>
            </w:r>
            <w:proofErr w:type="spellStart"/>
            <w:r w:rsidRPr="00B540E0">
              <w:rPr>
                <w:rFonts w:ascii="Times New Roman" w:hAnsi="Times New Roman"/>
                <w:sz w:val="20"/>
                <w:szCs w:val="20"/>
                <w:shd w:val="clear" w:color="auto" w:fill="FFFFFF"/>
                <w:lang w:val="fr-FR"/>
              </w:rPr>
              <w:t>regenerabile</w:t>
            </w:r>
            <w:proofErr w:type="spellEnd"/>
            <w:r w:rsidRPr="00B540E0">
              <w:rPr>
                <w:rFonts w:ascii="Times New Roman" w:hAnsi="Times New Roman"/>
                <w:sz w:val="20"/>
                <w:szCs w:val="20"/>
                <w:shd w:val="clear" w:color="auto" w:fill="FFFFFF"/>
                <w:lang w:val="fr-FR"/>
              </w:rPr>
              <w:t xml:space="preserve"> a </w:t>
            </w:r>
            <w:proofErr w:type="spellStart"/>
            <w:r w:rsidRPr="00B540E0">
              <w:rPr>
                <w:rFonts w:ascii="Times New Roman" w:hAnsi="Times New Roman"/>
                <w:sz w:val="20"/>
                <w:szCs w:val="20"/>
                <w:shd w:val="clear" w:color="auto" w:fill="FFFFFF"/>
                <w:lang w:val="fr-FR"/>
              </w:rPr>
              <w:t>unui</w:t>
            </w:r>
            <w:proofErr w:type="spellEnd"/>
            <w:r w:rsidRPr="00B540E0">
              <w:rPr>
                <w:rFonts w:ascii="Times New Roman" w:hAnsi="Times New Roman"/>
                <w:sz w:val="20"/>
                <w:szCs w:val="20"/>
                <w:shd w:val="clear" w:color="auto" w:fill="FFFFFF"/>
                <w:lang w:val="fr-FR"/>
              </w:rPr>
              <w:t xml:space="preserve"> stat membru </w:t>
            </w:r>
            <w:proofErr w:type="spellStart"/>
            <w:r w:rsidRPr="00B540E0">
              <w:rPr>
                <w:rFonts w:ascii="Times New Roman" w:hAnsi="Times New Roman"/>
                <w:sz w:val="20"/>
                <w:szCs w:val="20"/>
                <w:shd w:val="clear" w:color="auto" w:fill="FFFFFF"/>
                <w:lang w:val="fr-FR"/>
              </w:rPr>
              <w:t>scade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sub</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nivelul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unuia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sau</w:t>
            </w:r>
            <w:proofErr w:type="spellEnd"/>
            <w:r w:rsidRPr="00B540E0">
              <w:rPr>
                <w:rFonts w:ascii="Times New Roman" w:hAnsi="Times New Roman"/>
                <w:sz w:val="20"/>
                <w:szCs w:val="20"/>
                <w:shd w:val="clear" w:color="auto" w:fill="FFFFFF"/>
                <w:lang w:val="fr-FR"/>
              </w:rPr>
              <w:t xml:space="preserve"> al mai </w:t>
            </w:r>
            <w:proofErr w:type="spellStart"/>
            <w:r w:rsidRPr="00B540E0">
              <w:rPr>
                <w:rFonts w:ascii="Times New Roman" w:hAnsi="Times New Roman"/>
                <w:sz w:val="20"/>
                <w:szCs w:val="20"/>
                <w:shd w:val="clear" w:color="auto" w:fill="FFFFFF"/>
                <w:lang w:val="fr-FR"/>
              </w:rPr>
              <w:t>multor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puncte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naționale</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referință</w:t>
            </w:r>
            <w:proofErr w:type="spellEnd"/>
            <w:r w:rsidRPr="00B540E0">
              <w:rPr>
                <w:rFonts w:ascii="Times New Roman" w:hAnsi="Times New Roman"/>
                <w:sz w:val="20"/>
                <w:szCs w:val="20"/>
                <w:shd w:val="clear" w:color="auto" w:fill="FFFFFF"/>
                <w:lang w:val="fr-FR"/>
              </w:rPr>
              <w:t xml:space="preserve"> în 2022, 2025 și 2027 </w:t>
            </w:r>
            <w:proofErr w:type="spellStart"/>
            <w:r w:rsidRPr="00B540E0">
              <w:rPr>
                <w:rFonts w:ascii="Times New Roman" w:hAnsi="Times New Roman"/>
                <w:sz w:val="20"/>
                <w:szCs w:val="20"/>
                <w:shd w:val="clear" w:color="auto" w:fill="FFFFFF"/>
                <w:lang w:val="fr-FR"/>
              </w:rPr>
              <w:t>astfel</w:t>
            </w:r>
            <w:proofErr w:type="spellEnd"/>
            <w:r w:rsidRPr="00B540E0">
              <w:rPr>
                <w:rFonts w:ascii="Times New Roman" w:hAnsi="Times New Roman"/>
                <w:sz w:val="20"/>
                <w:szCs w:val="20"/>
                <w:shd w:val="clear" w:color="auto" w:fill="FFFFFF"/>
                <w:lang w:val="fr-FR"/>
              </w:rPr>
              <w:t xml:space="preserve"> cum </w:t>
            </w:r>
            <w:proofErr w:type="spellStart"/>
            <w:r w:rsidRPr="00B540E0">
              <w:rPr>
                <w:rFonts w:ascii="Times New Roman" w:hAnsi="Times New Roman"/>
                <w:sz w:val="20"/>
                <w:szCs w:val="20"/>
                <w:shd w:val="clear" w:color="auto" w:fill="FFFFFF"/>
                <w:lang w:val="fr-FR"/>
              </w:rPr>
              <w:t>sunt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menționate</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articolul</w:t>
            </w:r>
            <w:proofErr w:type="spellEnd"/>
            <w:r w:rsidRPr="00B540E0">
              <w:rPr>
                <w:rFonts w:ascii="Times New Roman" w:hAnsi="Times New Roman"/>
                <w:sz w:val="20"/>
                <w:szCs w:val="20"/>
                <w:shd w:val="clear" w:color="auto" w:fill="FFFFFF"/>
                <w:lang w:val="fr-FR"/>
              </w:rPr>
              <w:t xml:space="preserve"> 4 litera (a) </w:t>
            </w:r>
            <w:proofErr w:type="spellStart"/>
            <w:r w:rsidRPr="00B540E0">
              <w:rPr>
                <w:rFonts w:ascii="Times New Roman" w:hAnsi="Times New Roman"/>
                <w:sz w:val="20"/>
                <w:szCs w:val="20"/>
                <w:shd w:val="clear" w:color="auto" w:fill="FFFFFF"/>
                <w:lang w:val="fr-FR"/>
              </w:rPr>
              <w:t>punctul</w:t>
            </w:r>
            <w:proofErr w:type="spellEnd"/>
            <w:r w:rsidRPr="00B540E0">
              <w:rPr>
                <w:rFonts w:ascii="Times New Roman" w:hAnsi="Times New Roman"/>
                <w:sz w:val="20"/>
                <w:szCs w:val="20"/>
                <w:shd w:val="clear" w:color="auto" w:fill="FFFFFF"/>
                <w:lang w:val="fr-FR"/>
              </w:rPr>
              <w:t xml:space="preserve"> 2, </w:t>
            </w:r>
            <w:proofErr w:type="spellStart"/>
            <w:r w:rsidRPr="00B540E0">
              <w:rPr>
                <w:rFonts w:ascii="Times New Roman" w:hAnsi="Times New Roman"/>
                <w:sz w:val="20"/>
                <w:szCs w:val="20"/>
                <w:shd w:val="clear" w:color="auto" w:fill="FFFFFF"/>
                <w:lang w:val="fr-FR"/>
              </w:rPr>
              <w:t>acesta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include</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următorul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raport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integrat</w:t>
            </w:r>
            <w:proofErr w:type="spellEnd"/>
            <w:r w:rsidRPr="00B540E0">
              <w:rPr>
                <w:rFonts w:ascii="Times New Roman" w:hAnsi="Times New Roman"/>
                <w:sz w:val="20"/>
                <w:szCs w:val="20"/>
                <w:shd w:val="clear" w:color="auto" w:fill="FFFFFF"/>
                <w:lang w:val="fr-FR"/>
              </w:rPr>
              <w:t xml:space="preserve"> transmis </w:t>
            </w:r>
            <w:proofErr w:type="spellStart"/>
            <w:r w:rsidRPr="00B540E0">
              <w:rPr>
                <w:rFonts w:ascii="Times New Roman" w:hAnsi="Times New Roman"/>
                <w:sz w:val="20"/>
                <w:szCs w:val="20"/>
                <w:shd w:val="clear" w:color="auto" w:fill="FFFFFF"/>
                <w:lang w:val="fr-FR"/>
              </w:rPr>
              <w:t>Comisiei</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temeiul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articolului</w:t>
            </w:r>
            <w:proofErr w:type="spellEnd"/>
            <w:r w:rsidRPr="00B540E0">
              <w:rPr>
                <w:rFonts w:ascii="Times New Roman" w:hAnsi="Times New Roman"/>
                <w:sz w:val="20"/>
                <w:szCs w:val="20"/>
                <w:shd w:val="clear" w:color="auto" w:fill="FFFFFF"/>
                <w:lang w:val="fr-FR"/>
              </w:rPr>
              <w:t xml:space="preserve"> 17 o </w:t>
            </w:r>
            <w:proofErr w:type="spellStart"/>
            <w:r w:rsidRPr="00B540E0">
              <w:rPr>
                <w:rFonts w:ascii="Times New Roman" w:hAnsi="Times New Roman"/>
                <w:sz w:val="20"/>
                <w:szCs w:val="20"/>
                <w:shd w:val="clear" w:color="auto" w:fill="FFFFFF"/>
                <w:lang w:val="fr-FR"/>
              </w:rPr>
              <w:t>explicație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privind</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modul</w:t>
            </w:r>
            <w:proofErr w:type="spellEnd"/>
            <w:r w:rsidRPr="00B540E0">
              <w:rPr>
                <w:rFonts w:ascii="Times New Roman" w:hAnsi="Times New Roman"/>
                <w:sz w:val="20"/>
                <w:szCs w:val="20"/>
                <w:shd w:val="clear" w:color="auto" w:fill="FFFFFF"/>
                <w:lang w:val="fr-FR"/>
              </w:rPr>
              <w:t xml:space="preserve"> în care va </w:t>
            </w:r>
            <w:proofErr w:type="spellStart"/>
            <w:r w:rsidRPr="00B540E0">
              <w:rPr>
                <w:rFonts w:ascii="Times New Roman" w:hAnsi="Times New Roman"/>
                <w:sz w:val="20"/>
                <w:szCs w:val="20"/>
                <w:shd w:val="clear" w:color="auto" w:fill="FFFFFF"/>
                <w:lang w:val="fr-FR"/>
              </w:rPr>
              <w:t>elimina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decalajul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față</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punctele</w:t>
            </w:r>
            <w:proofErr w:type="spellEnd"/>
            <w:r w:rsidRPr="00B540E0">
              <w:rPr>
                <w:rFonts w:ascii="Times New Roman" w:hAnsi="Times New Roman"/>
                <w:sz w:val="20"/>
                <w:szCs w:val="20"/>
                <w:shd w:val="clear" w:color="auto" w:fill="FFFFFF"/>
                <w:lang w:val="fr-FR"/>
              </w:rPr>
              <w:t xml:space="preserve"> sale </w:t>
            </w:r>
            <w:proofErr w:type="spellStart"/>
            <w:r w:rsidRPr="00B540E0">
              <w:rPr>
                <w:rFonts w:ascii="Times New Roman" w:hAnsi="Times New Roman"/>
                <w:sz w:val="20"/>
                <w:szCs w:val="20"/>
                <w:shd w:val="clear" w:color="auto" w:fill="FFFFFF"/>
                <w:lang w:val="fr-FR"/>
              </w:rPr>
              <w:t>naționale</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referință</w:t>
            </w:r>
            <w:proofErr w:type="spellEnd"/>
            <w:r w:rsidRPr="00B540E0">
              <w:rPr>
                <w:rFonts w:ascii="Times New Roman" w:hAnsi="Times New Roman"/>
                <w:sz w:val="20"/>
                <w:szCs w:val="20"/>
                <w:shd w:val="clear" w:color="auto" w:fill="FFFFFF"/>
                <w:lang w:val="fr-FR"/>
              </w:rPr>
              <w:t>.</w:t>
            </w:r>
          </w:p>
          <w:p w14:paraId="0A2B9912" w14:textId="77777777" w:rsidR="002F215E" w:rsidRPr="00B540E0" w:rsidRDefault="002F215E" w:rsidP="00A3070D">
            <w:pPr>
              <w:spacing w:after="0" w:line="240" w:lineRule="auto"/>
              <w:jc w:val="both"/>
              <w:rPr>
                <w:rFonts w:ascii="Times New Roman" w:hAnsi="Times New Roman"/>
                <w:sz w:val="20"/>
                <w:szCs w:val="20"/>
                <w:shd w:val="clear" w:color="auto" w:fill="FFFFFF"/>
                <w:lang w:val="fr-FR"/>
              </w:rPr>
            </w:pPr>
            <w:r w:rsidRPr="00B540E0">
              <w:rPr>
                <w:rFonts w:ascii="Times New Roman" w:hAnsi="Times New Roman"/>
                <w:sz w:val="20"/>
                <w:szCs w:val="20"/>
                <w:shd w:val="clear" w:color="auto" w:fill="FFFFFF"/>
                <w:lang w:val="fr-FR"/>
              </w:rPr>
              <w:t>(6)</w:t>
            </w:r>
            <w:proofErr w:type="spellStart"/>
            <w:r w:rsidRPr="00B540E0">
              <w:rPr>
                <w:rFonts w:ascii="Times New Roman" w:hAnsi="Times New Roman"/>
                <w:sz w:val="20"/>
                <w:szCs w:val="20"/>
                <w:shd w:val="clear" w:color="auto" w:fill="FFFFFF"/>
                <w:lang w:val="fr-FR"/>
              </w:rPr>
              <w:t>Dacă</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domeniul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eficienței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energetice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fără</w:t>
            </w:r>
            <w:proofErr w:type="spellEnd"/>
            <w:r w:rsidRPr="00B540E0">
              <w:rPr>
                <w:rFonts w:ascii="Times New Roman" w:hAnsi="Times New Roman"/>
                <w:sz w:val="20"/>
                <w:szCs w:val="20"/>
                <w:shd w:val="clear" w:color="auto" w:fill="FFFFFF"/>
                <w:lang w:val="fr-FR"/>
              </w:rPr>
              <w:t xml:space="preserve"> a </w:t>
            </w:r>
            <w:proofErr w:type="spellStart"/>
            <w:r w:rsidRPr="00B540E0">
              <w:rPr>
                <w:rFonts w:ascii="Times New Roman" w:hAnsi="Times New Roman"/>
                <w:sz w:val="20"/>
                <w:szCs w:val="20"/>
                <w:shd w:val="clear" w:color="auto" w:fill="FFFFFF"/>
                <w:lang w:val="fr-FR"/>
              </w:rPr>
              <w:t>aduce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atingere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altor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măsuri</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nivelul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Uniunii</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temeiul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alineatului</w:t>
            </w:r>
            <w:proofErr w:type="spellEnd"/>
            <w:r w:rsidRPr="00B540E0">
              <w:rPr>
                <w:rFonts w:ascii="Times New Roman" w:hAnsi="Times New Roman"/>
                <w:sz w:val="20"/>
                <w:szCs w:val="20"/>
                <w:shd w:val="clear" w:color="auto" w:fill="FFFFFF"/>
                <w:lang w:val="fr-FR"/>
              </w:rPr>
              <w:t xml:space="preserve"> (2) al </w:t>
            </w:r>
            <w:proofErr w:type="spellStart"/>
            <w:r w:rsidRPr="00B540E0">
              <w:rPr>
                <w:rFonts w:ascii="Times New Roman" w:hAnsi="Times New Roman"/>
                <w:sz w:val="20"/>
                <w:szCs w:val="20"/>
                <w:shd w:val="clear" w:color="auto" w:fill="FFFFFF"/>
                <w:lang w:val="fr-FR"/>
              </w:rPr>
              <w:t>treilea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paragraf</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din</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prezentul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articol</w:t>
            </w:r>
            <w:proofErr w:type="spellEnd"/>
            <w:r w:rsidRPr="00B540E0">
              <w:rPr>
                <w:rFonts w:ascii="Times New Roman" w:hAnsi="Times New Roman"/>
                <w:sz w:val="20"/>
                <w:szCs w:val="20"/>
                <w:shd w:val="clear" w:color="auto" w:fill="FFFFFF"/>
                <w:lang w:val="fr-FR"/>
              </w:rPr>
              <w:t xml:space="preserve"> și </w:t>
            </w:r>
            <w:proofErr w:type="spellStart"/>
            <w:r w:rsidRPr="00B540E0">
              <w:rPr>
                <w:rFonts w:ascii="Times New Roman" w:hAnsi="Times New Roman"/>
                <w:sz w:val="20"/>
                <w:szCs w:val="20"/>
                <w:shd w:val="clear" w:color="auto" w:fill="FFFFFF"/>
                <w:lang w:val="fr-FR"/>
              </w:rPr>
              <w:t>pe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baza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evaluării</w:t>
            </w:r>
            <w:proofErr w:type="spellEnd"/>
            <w:r w:rsidRPr="00B540E0">
              <w:rPr>
                <w:rFonts w:ascii="Times New Roman" w:hAnsi="Times New Roman"/>
                <w:sz w:val="20"/>
                <w:szCs w:val="20"/>
                <w:shd w:val="clear" w:color="auto" w:fill="FFFFFF"/>
                <w:lang w:val="fr-FR"/>
              </w:rPr>
              <w:t xml:space="preserve"> sale în </w:t>
            </w:r>
            <w:proofErr w:type="spellStart"/>
            <w:r w:rsidRPr="00B540E0">
              <w:rPr>
                <w:rFonts w:ascii="Times New Roman" w:hAnsi="Times New Roman"/>
                <w:sz w:val="20"/>
                <w:szCs w:val="20"/>
                <w:shd w:val="clear" w:color="auto" w:fill="FFFFFF"/>
                <w:lang w:val="fr-FR"/>
              </w:rPr>
              <w:t>temeiul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articolului</w:t>
            </w:r>
            <w:proofErr w:type="spellEnd"/>
            <w:r w:rsidRPr="00B540E0">
              <w:rPr>
                <w:rFonts w:ascii="Times New Roman" w:hAnsi="Times New Roman"/>
                <w:sz w:val="20"/>
                <w:szCs w:val="20"/>
                <w:shd w:val="clear" w:color="auto" w:fill="FFFFFF"/>
                <w:lang w:val="fr-FR"/>
              </w:rPr>
              <w:t xml:space="preserve"> 29 </w:t>
            </w:r>
            <w:proofErr w:type="spellStart"/>
            <w:r w:rsidRPr="00B540E0">
              <w:rPr>
                <w:rFonts w:ascii="Times New Roman" w:hAnsi="Times New Roman"/>
                <w:sz w:val="20"/>
                <w:szCs w:val="20"/>
                <w:shd w:val="clear" w:color="auto" w:fill="FFFFFF"/>
                <w:lang w:val="fr-FR"/>
              </w:rPr>
              <w:t>alineatele</w:t>
            </w:r>
            <w:proofErr w:type="spellEnd"/>
            <w:r w:rsidRPr="00B540E0">
              <w:rPr>
                <w:rFonts w:ascii="Times New Roman" w:hAnsi="Times New Roman"/>
                <w:sz w:val="20"/>
                <w:szCs w:val="20"/>
                <w:shd w:val="clear" w:color="auto" w:fill="FFFFFF"/>
                <w:lang w:val="fr-FR"/>
              </w:rPr>
              <w:t xml:space="preserve"> (1) și (3), </w:t>
            </w:r>
            <w:proofErr w:type="spellStart"/>
            <w:r w:rsidRPr="00B540E0">
              <w:rPr>
                <w:rFonts w:ascii="Times New Roman" w:hAnsi="Times New Roman"/>
                <w:sz w:val="20"/>
                <w:szCs w:val="20"/>
                <w:shd w:val="clear" w:color="auto" w:fill="FFFFFF"/>
                <w:lang w:val="fr-FR"/>
              </w:rPr>
              <w:t>efectuate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până</w:t>
            </w:r>
            <w:proofErr w:type="spellEnd"/>
            <w:r w:rsidRPr="00B540E0">
              <w:rPr>
                <w:rFonts w:ascii="Times New Roman" w:hAnsi="Times New Roman"/>
                <w:sz w:val="20"/>
                <w:szCs w:val="20"/>
                <w:shd w:val="clear" w:color="auto" w:fill="FFFFFF"/>
                <w:lang w:val="fr-FR"/>
              </w:rPr>
              <w:t xml:space="preserve"> în anii 2022, 2025 și 2027, </w:t>
            </w:r>
            <w:proofErr w:type="spellStart"/>
            <w:r w:rsidRPr="00B540E0">
              <w:rPr>
                <w:rFonts w:ascii="Times New Roman" w:hAnsi="Times New Roman"/>
                <w:sz w:val="20"/>
                <w:szCs w:val="20"/>
                <w:shd w:val="clear" w:color="auto" w:fill="FFFFFF"/>
                <w:lang w:val="fr-FR"/>
              </w:rPr>
              <w:t>Comisia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ajunge</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concluzia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progresele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realizate</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direcția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atingerii</w:t>
            </w:r>
            <w:proofErr w:type="spellEnd"/>
            <w:r w:rsidRPr="00B540E0">
              <w:rPr>
                <w:rFonts w:ascii="Times New Roman" w:hAnsi="Times New Roman"/>
                <w:sz w:val="20"/>
                <w:szCs w:val="20"/>
                <w:shd w:val="clear" w:color="auto" w:fill="FFFFFF"/>
                <w:lang w:val="fr-FR"/>
              </w:rPr>
              <w:t xml:space="preserve"> în mod </w:t>
            </w:r>
            <w:proofErr w:type="spellStart"/>
            <w:r w:rsidRPr="00B540E0">
              <w:rPr>
                <w:rFonts w:ascii="Times New Roman" w:hAnsi="Times New Roman"/>
                <w:sz w:val="20"/>
                <w:szCs w:val="20"/>
                <w:shd w:val="clear" w:color="auto" w:fill="FFFFFF"/>
                <w:lang w:val="fr-FR"/>
              </w:rPr>
              <w:t>colectiv</w:t>
            </w:r>
            <w:proofErr w:type="spellEnd"/>
            <w:r w:rsidRPr="00B540E0">
              <w:rPr>
                <w:rFonts w:ascii="Times New Roman" w:hAnsi="Times New Roman"/>
                <w:sz w:val="20"/>
                <w:szCs w:val="20"/>
                <w:shd w:val="clear" w:color="auto" w:fill="FFFFFF"/>
                <w:lang w:val="fr-FR"/>
              </w:rPr>
              <w:t xml:space="preserve"> a </w:t>
            </w:r>
            <w:proofErr w:type="spellStart"/>
            <w:r w:rsidRPr="00B540E0">
              <w:rPr>
                <w:rFonts w:ascii="Times New Roman" w:hAnsi="Times New Roman"/>
                <w:sz w:val="20"/>
                <w:szCs w:val="20"/>
                <w:shd w:val="clear" w:color="auto" w:fill="FFFFFF"/>
                <w:lang w:val="fr-FR"/>
              </w:rPr>
              <w:t>obiectivelor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Uniunii</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materie</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eficiență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energetică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menționate</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articolul</w:t>
            </w:r>
            <w:proofErr w:type="spellEnd"/>
            <w:r w:rsidRPr="00B540E0">
              <w:rPr>
                <w:rFonts w:ascii="Times New Roman" w:hAnsi="Times New Roman"/>
                <w:sz w:val="20"/>
                <w:szCs w:val="20"/>
                <w:shd w:val="clear" w:color="auto" w:fill="FFFFFF"/>
                <w:lang w:val="fr-FR"/>
              </w:rPr>
              <w:t xml:space="preserve"> 29 </w:t>
            </w:r>
            <w:proofErr w:type="spellStart"/>
            <w:r w:rsidRPr="00B540E0">
              <w:rPr>
                <w:rFonts w:ascii="Times New Roman" w:hAnsi="Times New Roman"/>
                <w:sz w:val="20"/>
                <w:szCs w:val="20"/>
                <w:shd w:val="clear" w:color="auto" w:fill="FFFFFF"/>
                <w:lang w:val="fr-FR"/>
              </w:rPr>
              <w:t>alineatul</w:t>
            </w:r>
            <w:proofErr w:type="spellEnd"/>
            <w:r w:rsidRPr="00B540E0">
              <w:rPr>
                <w:rFonts w:ascii="Times New Roman" w:hAnsi="Times New Roman"/>
                <w:sz w:val="20"/>
                <w:szCs w:val="20"/>
                <w:shd w:val="clear" w:color="auto" w:fill="FFFFFF"/>
                <w:lang w:val="fr-FR"/>
              </w:rPr>
              <w:t xml:space="preserve"> (3) </w:t>
            </w:r>
            <w:proofErr w:type="spellStart"/>
            <w:r w:rsidRPr="00B540E0">
              <w:rPr>
                <w:rFonts w:ascii="Times New Roman" w:hAnsi="Times New Roman"/>
                <w:sz w:val="20"/>
                <w:szCs w:val="20"/>
                <w:shd w:val="clear" w:color="auto" w:fill="FFFFFF"/>
                <w:lang w:val="fr-FR"/>
              </w:rPr>
              <w:t>primul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paragraf</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sunt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insuficiente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propune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măsuri</w:t>
            </w:r>
            <w:proofErr w:type="spellEnd"/>
            <w:r w:rsidRPr="00B540E0">
              <w:rPr>
                <w:rFonts w:ascii="Times New Roman" w:hAnsi="Times New Roman"/>
                <w:sz w:val="20"/>
                <w:szCs w:val="20"/>
                <w:shd w:val="clear" w:color="auto" w:fill="FFFFFF"/>
                <w:lang w:val="fr-FR"/>
              </w:rPr>
              <w:t xml:space="preserve"> și </w:t>
            </w:r>
            <w:proofErr w:type="spellStart"/>
            <w:r w:rsidRPr="00B540E0">
              <w:rPr>
                <w:rFonts w:ascii="Times New Roman" w:hAnsi="Times New Roman"/>
                <w:sz w:val="20"/>
                <w:szCs w:val="20"/>
                <w:shd w:val="clear" w:color="auto" w:fill="FFFFFF"/>
                <w:lang w:val="fr-FR"/>
              </w:rPr>
              <w:t>își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exercită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competența</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nivelul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Uniunii</w:t>
            </w:r>
            <w:proofErr w:type="spellEnd"/>
            <w:r w:rsidRPr="00B540E0">
              <w:rPr>
                <w:rFonts w:ascii="Times New Roman" w:hAnsi="Times New Roman"/>
                <w:sz w:val="20"/>
                <w:szCs w:val="20"/>
                <w:shd w:val="clear" w:color="auto" w:fill="FFFFFF"/>
                <w:lang w:val="fr-FR"/>
              </w:rPr>
              <w:t xml:space="preserve">, în plus </w:t>
            </w:r>
            <w:proofErr w:type="spellStart"/>
            <w:r w:rsidRPr="00B540E0">
              <w:rPr>
                <w:rFonts w:ascii="Times New Roman" w:hAnsi="Times New Roman"/>
                <w:sz w:val="20"/>
                <w:szCs w:val="20"/>
                <w:shd w:val="clear" w:color="auto" w:fill="FFFFFF"/>
                <w:lang w:val="fr-FR"/>
              </w:rPr>
              <w:t>față</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cele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prevăzute</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Directiva</w:t>
            </w:r>
            <w:proofErr w:type="spellEnd"/>
            <w:r w:rsidRPr="00B540E0">
              <w:rPr>
                <w:rFonts w:ascii="Times New Roman" w:hAnsi="Times New Roman"/>
                <w:sz w:val="20"/>
                <w:szCs w:val="20"/>
                <w:shd w:val="clear" w:color="auto" w:fill="FFFFFF"/>
                <w:lang w:val="fr-FR"/>
              </w:rPr>
              <w:t xml:space="preserve"> 2010/31/UE și în </w:t>
            </w:r>
            <w:proofErr w:type="spellStart"/>
            <w:r w:rsidRPr="00B540E0">
              <w:rPr>
                <w:rFonts w:ascii="Times New Roman" w:hAnsi="Times New Roman"/>
                <w:sz w:val="20"/>
                <w:szCs w:val="20"/>
                <w:shd w:val="clear" w:color="auto" w:fill="FFFFFF"/>
                <w:lang w:val="fr-FR"/>
              </w:rPr>
              <w:t>Directiva</w:t>
            </w:r>
            <w:proofErr w:type="spellEnd"/>
            <w:r w:rsidRPr="00B540E0">
              <w:rPr>
                <w:rFonts w:ascii="Times New Roman" w:hAnsi="Times New Roman"/>
                <w:sz w:val="20"/>
                <w:szCs w:val="20"/>
                <w:shd w:val="clear" w:color="auto" w:fill="FFFFFF"/>
                <w:lang w:val="fr-FR"/>
              </w:rPr>
              <w:t xml:space="preserve"> 2012/27/UE, </w:t>
            </w:r>
            <w:proofErr w:type="spellStart"/>
            <w:r w:rsidRPr="00B540E0">
              <w:rPr>
                <w:rFonts w:ascii="Times New Roman" w:hAnsi="Times New Roman"/>
                <w:sz w:val="20"/>
                <w:szCs w:val="20"/>
                <w:shd w:val="clear" w:color="auto" w:fill="FFFFFF"/>
                <w:lang w:val="fr-FR"/>
              </w:rPr>
              <w:t>pentru</w:t>
            </w:r>
            <w:proofErr w:type="spellEnd"/>
            <w:r w:rsidRPr="00B540E0">
              <w:rPr>
                <w:rFonts w:ascii="Times New Roman" w:hAnsi="Times New Roman"/>
                <w:sz w:val="20"/>
                <w:szCs w:val="20"/>
                <w:shd w:val="clear" w:color="auto" w:fill="FFFFFF"/>
                <w:lang w:val="fr-FR"/>
              </w:rPr>
              <w:t xml:space="preserve"> a se </w:t>
            </w:r>
            <w:proofErr w:type="spellStart"/>
            <w:r w:rsidRPr="00B540E0">
              <w:rPr>
                <w:rFonts w:ascii="Times New Roman" w:hAnsi="Times New Roman"/>
                <w:sz w:val="20"/>
                <w:szCs w:val="20"/>
                <w:shd w:val="clear" w:color="auto" w:fill="FFFFFF"/>
                <w:lang w:val="fr-FR"/>
              </w:rPr>
              <w:t>asigura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obiectivele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Uniunii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privind</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eficiența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energetică</w:t>
            </w:r>
            <w:proofErr w:type="spellEnd"/>
            <w:r w:rsidRPr="00B540E0">
              <w:rPr>
                <w:rFonts w:ascii="Times New Roman" w:hAnsi="Times New Roman"/>
                <w:sz w:val="20"/>
                <w:szCs w:val="20"/>
                <w:shd w:val="clear" w:color="auto" w:fill="FFFFFF"/>
                <w:lang w:val="fr-FR"/>
              </w:rPr>
              <w:t xml:space="preserve"> pentru2030 </w:t>
            </w:r>
            <w:proofErr w:type="spellStart"/>
            <w:r w:rsidRPr="00B540E0">
              <w:rPr>
                <w:rFonts w:ascii="Times New Roman" w:hAnsi="Times New Roman"/>
                <w:sz w:val="20"/>
                <w:szCs w:val="20"/>
                <w:shd w:val="clear" w:color="auto" w:fill="FFFFFF"/>
                <w:lang w:val="fr-FR"/>
              </w:rPr>
              <w:t>sunt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îndeplinite</w:t>
            </w:r>
            <w:proofErr w:type="spellEnd"/>
            <w:r w:rsidRPr="00B540E0">
              <w:rPr>
                <w:rFonts w:ascii="Times New Roman" w:hAnsi="Times New Roman"/>
                <w:sz w:val="20"/>
                <w:szCs w:val="20"/>
                <w:shd w:val="clear" w:color="auto" w:fill="FFFFFF"/>
                <w:lang w:val="fr-FR"/>
              </w:rPr>
              <w:t>. (</w:t>
            </w:r>
            <w:proofErr w:type="gramStart"/>
            <w:r w:rsidRPr="00B540E0">
              <w:rPr>
                <w:rFonts w:ascii="Times New Roman" w:hAnsi="Times New Roman"/>
                <w:sz w:val="20"/>
                <w:szCs w:val="20"/>
                <w:shd w:val="clear" w:color="auto" w:fill="FFFFFF"/>
                <w:lang w:val="fr-FR"/>
              </w:rPr>
              <w:t>7)</w:t>
            </w:r>
            <w:proofErr w:type="spellStart"/>
            <w:r w:rsidRPr="00B540E0">
              <w:rPr>
                <w:rFonts w:ascii="Times New Roman" w:hAnsi="Times New Roman"/>
                <w:sz w:val="20"/>
                <w:szCs w:val="20"/>
                <w:shd w:val="clear" w:color="auto" w:fill="FFFFFF"/>
                <w:lang w:val="fr-FR"/>
              </w:rPr>
              <w:t>Fiecare</w:t>
            </w:r>
            <w:proofErr w:type="spellEnd"/>
            <w:proofErr w:type="gramEnd"/>
            <w:r w:rsidRPr="00B540E0">
              <w:rPr>
                <w:rFonts w:ascii="Times New Roman" w:hAnsi="Times New Roman"/>
                <w:sz w:val="20"/>
                <w:szCs w:val="20"/>
                <w:shd w:val="clear" w:color="auto" w:fill="FFFFFF"/>
                <w:lang w:val="fr-FR"/>
              </w:rPr>
              <w:t xml:space="preserve"> stat membru în </w:t>
            </w:r>
            <w:proofErr w:type="spellStart"/>
            <w:r w:rsidRPr="00B540E0">
              <w:rPr>
                <w:rFonts w:ascii="Times New Roman" w:hAnsi="Times New Roman"/>
                <w:sz w:val="20"/>
                <w:szCs w:val="20"/>
                <w:shd w:val="clear" w:color="auto" w:fill="FFFFFF"/>
                <w:lang w:val="fr-FR"/>
              </w:rPr>
              <w:t>cauză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menționat</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alineatul</w:t>
            </w:r>
            <w:proofErr w:type="spellEnd"/>
            <w:r w:rsidRPr="00B540E0">
              <w:rPr>
                <w:rFonts w:ascii="Times New Roman" w:hAnsi="Times New Roman"/>
                <w:sz w:val="20"/>
                <w:szCs w:val="20"/>
                <w:shd w:val="clear" w:color="auto" w:fill="FFFFFF"/>
                <w:lang w:val="fr-FR"/>
              </w:rPr>
              <w:t xml:space="preserve"> (3) </w:t>
            </w:r>
            <w:proofErr w:type="spellStart"/>
            <w:r w:rsidRPr="00B540E0">
              <w:rPr>
                <w:rFonts w:ascii="Times New Roman" w:hAnsi="Times New Roman"/>
                <w:sz w:val="20"/>
                <w:szCs w:val="20"/>
                <w:shd w:val="clear" w:color="auto" w:fill="FFFFFF"/>
                <w:lang w:val="fr-FR"/>
              </w:rPr>
              <w:t>din</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prezentul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articol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detaliază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măsurile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suplimentare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puse</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aplicare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adoptate</w:t>
            </w:r>
            <w:proofErr w:type="spellEnd"/>
            <w:r w:rsidRPr="00B540E0">
              <w:rPr>
                <w:rFonts w:ascii="Times New Roman" w:hAnsi="Times New Roman"/>
                <w:sz w:val="20"/>
                <w:szCs w:val="20"/>
                <w:shd w:val="clear" w:color="auto" w:fill="FFFFFF"/>
                <w:lang w:val="fr-FR"/>
              </w:rPr>
              <w:t xml:space="preserve"> și </w:t>
            </w:r>
            <w:proofErr w:type="spellStart"/>
            <w:r w:rsidRPr="00B540E0">
              <w:rPr>
                <w:rFonts w:ascii="Times New Roman" w:hAnsi="Times New Roman"/>
                <w:sz w:val="20"/>
                <w:szCs w:val="20"/>
                <w:shd w:val="clear" w:color="auto" w:fill="FFFFFF"/>
                <w:lang w:val="fr-FR"/>
              </w:rPr>
              <w:t>planificate</w:t>
            </w:r>
            <w:proofErr w:type="spell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cadrul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următorului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său</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raport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intermediar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menționat</w:t>
            </w:r>
            <w:proofErr w:type="spellEnd"/>
            <w:r w:rsidRPr="00B540E0">
              <w:rPr>
                <w:rFonts w:ascii="Times New Roman" w:hAnsi="Times New Roman"/>
                <w:sz w:val="20"/>
                <w:szCs w:val="20"/>
                <w:shd w:val="clear" w:color="auto" w:fill="FFFFFF"/>
                <w:lang w:val="fr-FR"/>
              </w:rPr>
              <w:t xml:space="preserve"> la </w:t>
            </w:r>
            <w:proofErr w:type="spellStart"/>
            <w:r w:rsidRPr="00B540E0">
              <w:rPr>
                <w:rFonts w:ascii="Times New Roman" w:hAnsi="Times New Roman"/>
                <w:sz w:val="20"/>
                <w:szCs w:val="20"/>
                <w:shd w:val="clear" w:color="auto" w:fill="FFFFFF"/>
                <w:lang w:val="fr-FR"/>
              </w:rPr>
              <w:t>articolul</w:t>
            </w:r>
            <w:proofErr w:type="spellEnd"/>
            <w:r w:rsidRPr="00B540E0">
              <w:rPr>
                <w:rFonts w:ascii="Times New Roman" w:hAnsi="Times New Roman"/>
                <w:sz w:val="20"/>
                <w:szCs w:val="20"/>
                <w:shd w:val="clear" w:color="auto" w:fill="FFFFFF"/>
                <w:lang w:val="fr-FR"/>
              </w:rPr>
              <w:t xml:space="preserve"> 17.</w:t>
            </w:r>
          </w:p>
          <w:p w14:paraId="45077EE3" w14:textId="7B846E76" w:rsidR="002F215E" w:rsidRPr="00A3070D" w:rsidRDefault="002F215E" w:rsidP="00A3070D">
            <w:pPr>
              <w:spacing w:after="0" w:line="240" w:lineRule="auto"/>
              <w:jc w:val="both"/>
              <w:rPr>
                <w:rFonts w:ascii="Times New Roman" w:hAnsi="Times New Roman"/>
                <w:sz w:val="20"/>
                <w:szCs w:val="20"/>
                <w:lang w:val="fr-FR" w:eastAsia="ru-RU"/>
              </w:rPr>
            </w:pPr>
            <w:r w:rsidRPr="00B540E0">
              <w:rPr>
                <w:rFonts w:ascii="Times New Roman" w:hAnsi="Times New Roman"/>
                <w:sz w:val="20"/>
                <w:szCs w:val="20"/>
                <w:shd w:val="clear" w:color="auto" w:fill="FFFFFF"/>
                <w:lang w:val="fr-FR"/>
              </w:rPr>
              <w:t>(</w:t>
            </w:r>
            <w:proofErr w:type="gramStart"/>
            <w:r w:rsidRPr="00B540E0">
              <w:rPr>
                <w:rFonts w:ascii="Times New Roman" w:hAnsi="Times New Roman"/>
                <w:sz w:val="20"/>
                <w:szCs w:val="20"/>
                <w:shd w:val="clear" w:color="auto" w:fill="FFFFFF"/>
                <w:lang w:val="fr-FR"/>
              </w:rPr>
              <w:t>8)</w:t>
            </w:r>
            <w:proofErr w:type="spellStart"/>
            <w:r w:rsidRPr="00B540E0">
              <w:rPr>
                <w:rFonts w:ascii="Times New Roman" w:hAnsi="Times New Roman"/>
                <w:sz w:val="20"/>
                <w:szCs w:val="20"/>
                <w:shd w:val="clear" w:color="auto" w:fill="FFFFFF"/>
                <w:lang w:val="fr-FR"/>
              </w:rPr>
              <w:t>Dacă</w:t>
            </w:r>
            <w:proofErr w:type="spellEnd"/>
            <w:proofErr w:type="gramEnd"/>
            <w:r w:rsidRPr="00B540E0">
              <w:rPr>
                <w:rFonts w:ascii="Times New Roman" w:hAnsi="Times New Roman"/>
                <w:sz w:val="20"/>
                <w:szCs w:val="20"/>
                <w:shd w:val="clear" w:color="auto" w:fill="FFFFFF"/>
                <w:lang w:val="fr-FR"/>
              </w:rPr>
              <w:t xml:space="preserve">, în </w:t>
            </w:r>
            <w:proofErr w:type="spellStart"/>
            <w:r w:rsidRPr="00B540E0">
              <w:rPr>
                <w:rFonts w:ascii="Times New Roman" w:hAnsi="Times New Roman"/>
                <w:sz w:val="20"/>
                <w:szCs w:val="20"/>
                <w:shd w:val="clear" w:color="auto" w:fill="FFFFFF"/>
                <w:lang w:val="fr-FR"/>
              </w:rPr>
              <w:t>domeniul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interconexiunilor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Comisia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baza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evaluării</w:t>
            </w:r>
            <w:proofErr w:type="spellEnd"/>
            <w:r w:rsidRPr="00B540E0">
              <w:rPr>
                <w:rFonts w:ascii="Times New Roman" w:hAnsi="Times New Roman"/>
                <w:sz w:val="20"/>
                <w:szCs w:val="20"/>
                <w:shd w:val="clear" w:color="auto" w:fill="FFFFFF"/>
                <w:lang w:val="fr-FR"/>
              </w:rPr>
              <w:t xml:space="preserve"> sale în </w:t>
            </w:r>
            <w:proofErr w:type="spellStart"/>
            <w:r w:rsidRPr="00B540E0">
              <w:rPr>
                <w:rFonts w:ascii="Times New Roman" w:hAnsi="Times New Roman"/>
                <w:sz w:val="20"/>
                <w:szCs w:val="20"/>
                <w:shd w:val="clear" w:color="auto" w:fill="FFFFFF"/>
                <w:lang w:val="fr-FR"/>
              </w:rPr>
              <w:t>temeiul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articolului</w:t>
            </w:r>
            <w:proofErr w:type="spellEnd"/>
            <w:r w:rsidRPr="00B540E0">
              <w:rPr>
                <w:rFonts w:ascii="Times New Roman" w:hAnsi="Times New Roman"/>
                <w:sz w:val="20"/>
                <w:szCs w:val="20"/>
                <w:shd w:val="clear" w:color="auto" w:fill="FFFFFF"/>
                <w:lang w:val="fr-FR"/>
              </w:rPr>
              <w:t xml:space="preserve"> 29 </w:t>
            </w:r>
            <w:proofErr w:type="spellStart"/>
            <w:r w:rsidRPr="00B540E0">
              <w:rPr>
                <w:rFonts w:ascii="Times New Roman" w:hAnsi="Times New Roman"/>
                <w:sz w:val="20"/>
                <w:szCs w:val="20"/>
                <w:shd w:val="clear" w:color="auto" w:fill="FFFFFF"/>
                <w:lang w:val="fr-FR"/>
              </w:rPr>
              <w:t>alineatele</w:t>
            </w:r>
            <w:proofErr w:type="spellEnd"/>
            <w:r w:rsidRPr="00B540E0">
              <w:rPr>
                <w:rFonts w:ascii="Times New Roman" w:hAnsi="Times New Roman"/>
                <w:sz w:val="20"/>
                <w:szCs w:val="20"/>
                <w:shd w:val="clear" w:color="auto" w:fill="FFFFFF"/>
                <w:lang w:val="fr-FR"/>
              </w:rPr>
              <w:t xml:space="preserve"> (1) și (4), </w:t>
            </w:r>
            <w:proofErr w:type="spellStart"/>
            <w:r w:rsidRPr="00B540E0">
              <w:rPr>
                <w:rFonts w:ascii="Times New Roman" w:hAnsi="Times New Roman"/>
                <w:sz w:val="20"/>
                <w:szCs w:val="20"/>
                <w:shd w:val="clear" w:color="auto" w:fill="FFFFFF"/>
                <w:lang w:val="fr-FR"/>
              </w:rPr>
              <w:t>ajunge</w:t>
            </w:r>
            <w:proofErr w:type="spellEnd"/>
            <w:r w:rsidRPr="00B540E0">
              <w:rPr>
                <w:rFonts w:ascii="Times New Roman" w:hAnsi="Times New Roman"/>
                <w:sz w:val="20"/>
                <w:szCs w:val="20"/>
                <w:shd w:val="clear" w:color="auto" w:fill="FFFFFF"/>
                <w:lang w:val="fr-FR"/>
              </w:rPr>
              <w:t xml:space="preserve"> în anul 2025 la </w:t>
            </w:r>
            <w:proofErr w:type="spellStart"/>
            <w:r w:rsidRPr="00B540E0">
              <w:rPr>
                <w:rFonts w:ascii="Times New Roman" w:hAnsi="Times New Roman"/>
                <w:sz w:val="20"/>
                <w:szCs w:val="20"/>
                <w:shd w:val="clear" w:color="auto" w:fill="FFFFFF"/>
                <w:lang w:val="fr-FR"/>
              </w:rPr>
              <w:t>concluzia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progresele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sunt</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insuficiente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aceasta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cooperează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cu</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statele</w:t>
            </w:r>
            <w:proofErr w:type="spellEnd"/>
            <w:r w:rsidRPr="00B540E0">
              <w:rPr>
                <w:rFonts w:ascii="Times New Roman" w:hAnsi="Times New Roman"/>
                <w:sz w:val="20"/>
                <w:szCs w:val="20"/>
                <w:shd w:val="clear" w:color="auto" w:fill="FFFFFF"/>
                <w:lang w:val="fr-FR"/>
              </w:rPr>
              <w:t xml:space="preserve"> membre în </w:t>
            </w:r>
            <w:proofErr w:type="spellStart"/>
            <w:r w:rsidRPr="00B540E0">
              <w:rPr>
                <w:rFonts w:ascii="Times New Roman" w:hAnsi="Times New Roman"/>
                <w:sz w:val="20"/>
                <w:szCs w:val="20"/>
                <w:shd w:val="clear" w:color="auto" w:fill="FFFFFF"/>
                <w:lang w:val="fr-FR"/>
              </w:rPr>
              <w:t>cauză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până</w:t>
            </w:r>
            <w:proofErr w:type="spellEnd"/>
            <w:r w:rsidRPr="00B540E0">
              <w:rPr>
                <w:rFonts w:ascii="Times New Roman" w:hAnsi="Times New Roman"/>
                <w:sz w:val="20"/>
                <w:szCs w:val="20"/>
                <w:shd w:val="clear" w:color="auto" w:fill="FFFFFF"/>
                <w:lang w:val="fr-FR"/>
              </w:rPr>
              <w:t xml:space="preserve"> în 2026 în </w:t>
            </w:r>
            <w:proofErr w:type="spellStart"/>
            <w:r w:rsidRPr="00B540E0">
              <w:rPr>
                <w:rFonts w:ascii="Times New Roman" w:hAnsi="Times New Roman"/>
                <w:sz w:val="20"/>
                <w:szCs w:val="20"/>
                <w:shd w:val="clear" w:color="auto" w:fill="FFFFFF"/>
                <w:lang w:val="fr-FR"/>
              </w:rPr>
              <w:t>scopul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remedierii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circumstanțelor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apărute</w:t>
            </w:r>
            <w:proofErr w:type="spellEnd"/>
            <w:r w:rsidRPr="00B540E0">
              <w:rPr>
                <w:rFonts w:ascii="Times New Roman" w:hAnsi="Times New Roman"/>
                <w:sz w:val="20"/>
                <w:szCs w:val="20"/>
                <w:shd w:val="clear" w:color="auto" w:fill="FFFFFF"/>
                <w:lang w:val="fr-FR"/>
              </w:rPr>
              <w:t>.</w:t>
            </w:r>
          </w:p>
        </w:tc>
        <w:tc>
          <w:tcPr>
            <w:tcW w:w="4440" w:type="dxa"/>
          </w:tcPr>
          <w:p w14:paraId="4B9BA893" w14:textId="31AD69A3" w:rsidR="008F5636" w:rsidRPr="00355607" w:rsidRDefault="008F5636" w:rsidP="00CC3856">
            <w:pPr>
              <w:suppressAutoHyphens w:val="0"/>
              <w:autoSpaceDN/>
              <w:spacing w:after="0" w:line="240" w:lineRule="auto"/>
              <w:jc w:val="both"/>
              <w:textAlignment w:val="auto"/>
              <w:rPr>
                <w:rFonts w:ascii="Times New Roman" w:hAnsi="Times New Roman"/>
                <w:color w:val="000000" w:themeColor="text1"/>
                <w:sz w:val="20"/>
                <w:szCs w:val="20"/>
                <w:lang w:val="ro-MD"/>
              </w:rPr>
            </w:pPr>
          </w:p>
        </w:tc>
        <w:tc>
          <w:tcPr>
            <w:tcW w:w="1276" w:type="dxa"/>
          </w:tcPr>
          <w:p w14:paraId="2D9EEEA3" w14:textId="36121F20" w:rsidR="008F5636" w:rsidRPr="00745D9A" w:rsidRDefault="000B2510" w:rsidP="008F5636">
            <w:pPr>
              <w:pStyle w:val="ColorfulList-Accent11"/>
              <w:spacing w:after="0" w:line="240" w:lineRule="auto"/>
              <w:ind w:left="0"/>
              <w:jc w:val="both"/>
              <w:rPr>
                <w:lang w:val="fr-FR"/>
              </w:rPr>
            </w:pPr>
            <w:r>
              <w:rPr>
                <w:rFonts w:ascii="Times New Roman" w:hAnsi="Times New Roman"/>
                <w:sz w:val="20"/>
                <w:szCs w:val="20"/>
                <w:lang w:val="ro-RO"/>
              </w:rPr>
              <w:t>C</w:t>
            </w:r>
            <w:r w:rsidRPr="00C951E7">
              <w:rPr>
                <w:rFonts w:ascii="Times New Roman" w:hAnsi="Times New Roman"/>
                <w:sz w:val="20"/>
                <w:szCs w:val="20"/>
                <w:lang w:val="ro-RO"/>
              </w:rPr>
              <w:t>ompatibil</w:t>
            </w:r>
          </w:p>
        </w:tc>
        <w:tc>
          <w:tcPr>
            <w:tcW w:w="1276" w:type="dxa"/>
          </w:tcPr>
          <w:p w14:paraId="4535B7E2" w14:textId="77777777" w:rsidR="008F5636" w:rsidRPr="00745D9A" w:rsidRDefault="008F5636" w:rsidP="008F5636">
            <w:pPr>
              <w:pStyle w:val="ColorfulList-Accent11"/>
              <w:spacing w:after="0" w:line="240" w:lineRule="auto"/>
              <w:ind w:left="0"/>
              <w:jc w:val="both"/>
              <w:rPr>
                <w:lang w:val="fr-FR"/>
              </w:rPr>
            </w:pPr>
          </w:p>
        </w:tc>
        <w:tc>
          <w:tcPr>
            <w:tcW w:w="1701" w:type="dxa"/>
          </w:tcPr>
          <w:p w14:paraId="1C01F8CD" w14:textId="115B2FCB" w:rsidR="000B2510" w:rsidRPr="00F13819" w:rsidRDefault="000B2510" w:rsidP="000B2510">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821CF8">
              <w:rPr>
                <w:rFonts w:ascii="Times New Roman" w:eastAsia="Times New Roman" w:hAnsi="Times New Roman"/>
                <w:sz w:val="20"/>
                <w:szCs w:val="20"/>
                <w:lang w:val="ro-RO"/>
              </w:rPr>
              <w:t xml:space="preserve"> </w:t>
            </w:r>
            <w:proofErr w:type="spellStart"/>
            <w:r w:rsidR="00821CF8">
              <w:rPr>
                <w:rFonts w:ascii="Times New Roman" w:eastAsia="Times New Roman" w:hAnsi="Times New Roman"/>
                <w:sz w:val="20"/>
                <w:szCs w:val="20"/>
                <w:lang w:val="ro-RO"/>
              </w:rPr>
              <w:t>și</w:t>
            </w:r>
            <w:r w:rsidR="00821CF8" w:rsidRPr="00F13819">
              <w:rPr>
                <w:rFonts w:ascii="Times New Roman" w:eastAsia="Times New Roman" w:hAnsi="Times New Roman"/>
                <w:sz w:val="20"/>
                <w:szCs w:val="20"/>
                <w:lang w:val="ro-RO"/>
              </w:rPr>
              <w:t>D</w:t>
            </w:r>
            <w:proofErr w:type="spellEnd"/>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w:t>
            </w:r>
            <w:r w:rsidR="00821CF8">
              <w:rPr>
                <w:rFonts w:ascii="Times New Roman" w:eastAsia="Times New Roman" w:hAnsi="Times New Roman"/>
                <w:sz w:val="20"/>
                <w:szCs w:val="20"/>
                <w:lang w:val="ro-RO"/>
              </w:rPr>
              <w:t>02</w:t>
            </w:r>
            <w:r w:rsidR="00821CF8" w:rsidRPr="00F13819">
              <w:rPr>
                <w:rFonts w:ascii="Times New Roman" w:eastAsia="Times New Roman" w:hAnsi="Times New Roman"/>
                <w:sz w:val="20"/>
                <w:szCs w:val="20"/>
                <w:lang w:val="ro-RO"/>
              </w:rPr>
              <w:t>/MC-</w:t>
            </w:r>
            <w:proofErr w:type="spellStart"/>
            <w:r w:rsidR="00821CF8" w:rsidRPr="00F13819">
              <w:rPr>
                <w:rFonts w:ascii="Times New Roman" w:eastAsia="Times New Roman" w:hAnsi="Times New Roman"/>
                <w:sz w:val="20"/>
                <w:szCs w:val="20"/>
                <w:lang w:val="ro-RO"/>
              </w:rPr>
              <w:t>EnC</w:t>
            </w:r>
            <w:proofErr w:type="spellEnd"/>
            <w:r w:rsidR="00821CF8" w:rsidRPr="00F13819">
              <w:rPr>
                <w:rFonts w:ascii="Times New Roman" w:eastAsia="Times New Roman" w:hAnsi="Times New Roman"/>
                <w:sz w:val="20"/>
                <w:szCs w:val="20"/>
                <w:lang w:val="ro-RO"/>
              </w:rPr>
              <w:t xml:space="preserve"> din </w:t>
            </w:r>
            <w:r w:rsidR="00821CF8">
              <w:rPr>
                <w:rFonts w:ascii="Times New Roman" w:eastAsia="Times New Roman" w:hAnsi="Times New Roman"/>
                <w:sz w:val="20"/>
                <w:szCs w:val="20"/>
                <w:lang w:val="ro-RO"/>
              </w:rPr>
              <w:t>15</w:t>
            </w:r>
            <w:r w:rsidR="00821CF8" w:rsidRPr="00F13819">
              <w:rPr>
                <w:rFonts w:ascii="Times New Roman" w:eastAsia="Times New Roman" w:hAnsi="Times New Roman"/>
                <w:sz w:val="20"/>
                <w:szCs w:val="20"/>
                <w:lang w:val="ro-RO"/>
              </w:rPr>
              <w:t>.1</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r>
              <w:rPr>
                <w:rFonts w:ascii="Times New Roman" w:eastAsia="Times New Roman" w:hAnsi="Times New Roman"/>
                <w:sz w:val="20"/>
                <w:szCs w:val="20"/>
                <w:lang w:val="ro-RO"/>
              </w:rPr>
              <w:t xml:space="preserve"> </w:t>
            </w:r>
          </w:p>
          <w:p w14:paraId="1B3859F9" w14:textId="77777777" w:rsidR="008F5636" w:rsidRDefault="008F5636" w:rsidP="00A3070D">
            <w:pPr>
              <w:pStyle w:val="ColorfulList-Accent11"/>
              <w:spacing w:after="0" w:line="240" w:lineRule="auto"/>
              <w:ind w:left="0"/>
              <w:jc w:val="both"/>
              <w:rPr>
                <w:lang w:val="ro-RO"/>
              </w:rPr>
            </w:pPr>
          </w:p>
          <w:p w14:paraId="5BE058DB" w14:textId="7B8C5E17" w:rsidR="00077DF7" w:rsidRPr="003C74D7" w:rsidRDefault="00077DF7" w:rsidP="00077DF7">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lastRenderedPageBreak/>
              <w:t xml:space="preserve">Prevederile au fost transpuse </w:t>
            </w:r>
            <w:r w:rsidR="00916B6E">
              <w:rPr>
                <w:rFonts w:ascii="Times New Roman" w:eastAsia="Times New Roman" w:hAnsi="Times New Roman"/>
                <w:sz w:val="20"/>
                <w:szCs w:val="20"/>
                <w:lang w:val="ro-RO" w:eastAsia="ru-RU"/>
              </w:rPr>
              <w:t>la pct.80-94 din</w:t>
            </w:r>
            <w:r>
              <w:rPr>
                <w:rFonts w:ascii="Times New Roman" w:eastAsia="Times New Roman" w:hAnsi="Times New Roman"/>
                <w:sz w:val="20"/>
                <w:szCs w:val="20"/>
                <w:lang w:val="ro-RO" w:eastAsia="ru-RU"/>
              </w:rPr>
              <w:t xml:space="preserve"> </w:t>
            </w:r>
          </w:p>
          <w:p w14:paraId="48BDBAA0" w14:textId="77777777" w:rsidR="00077DF7" w:rsidRDefault="00077DF7" w:rsidP="00077DF7">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38DC3CAF" w14:textId="7040E6AA" w:rsidR="00077DF7" w:rsidRPr="00A3070D" w:rsidRDefault="00077DF7" w:rsidP="00A3070D">
            <w:pPr>
              <w:pStyle w:val="ColorfulList-Accent11"/>
              <w:spacing w:after="0" w:line="240" w:lineRule="auto"/>
              <w:ind w:left="0"/>
              <w:jc w:val="both"/>
              <w:rPr>
                <w:lang w:val="ro-RO"/>
              </w:rPr>
            </w:pPr>
          </w:p>
        </w:tc>
        <w:tc>
          <w:tcPr>
            <w:tcW w:w="1460" w:type="dxa"/>
          </w:tcPr>
          <w:p w14:paraId="0396886D" w14:textId="77777777" w:rsidR="000442CB" w:rsidRPr="003F755D" w:rsidRDefault="00A3070D" w:rsidP="000442CB">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0442CB" w:rsidRPr="00A81801">
              <w:rPr>
                <w:rFonts w:ascii="Times New Roman" w:hAnsi="Times New Roman"/>
                <w:color w:val="000000" w:themeColor="text1"/>
                <w:sz w:val="20"/>
                <w:szCs w:val="20"/>
              </w:rPr>
              <w:t>Energiei</w:t>
            </w:r>
          </w:p>
          <w:p w14:paraId="32A6719C" w14:textId="25E5FFE4" w:rsidR="00A3070D" w:rsidRPr="003F755D" w:rsidRDefault="00A3070D" w:rsidP="00A3070D">
            <w:pPr>
              <w:autoSpaceDE w:val="0"/>
              <w:spacing w:after="0" w:line="240" w:lineRule="auto"/>
              <w:rPr>
                <w:rFonts w:ascii="Times New Roman" w:hAnsi="Times New Roman"/>
                <w:sz w:val="20"/>
                <w:szCs w:val="20"/>
                <w:shd w:val="clear" w:color="auto" w:fill="FFFFFF"/>
                <w:lang w:val="ro-RO"/>
              </w:rPr>
            </w:pPr>
          </w:p>
          <w:p w14:paraId="7410C868" w14:textId="77777777" w:rsidR="008F5636" w:rsidRPr="00A3070D" w:rsidRDefault="008F5636" w:rsidP="008F5636">
            <w:pPr>
              <w:pStyle w:val="ColorfulList-Accent11"/>
              <w:spacing w:after="0" w:line="240" w:lineRule="auto"/>
              <w:ind w:left="0"/>
              <w:jc w:val="both"/>
              <w:rPr>
                <w:lang w:val="ro-RO"/>
              </w:rPr>
            </w:pPr>
          </w:p>
        </w:tc>
      </w:tr>
      <w:tr w:rsidR="008F5636" w:rsidRPr="00745D9A" w14:paraId="7FDEC31E" w14:textId="77777777" w:rsidTr="00A90105">
        <w:tc>
          <w:tcPr>
            <w:tcW w:w="4945" w:type="dxa"/>
          </w:tcPr>
          <w:p w14:paraId="50E12EE5" w14:textId="77777777" w:rsidR="008F5636" w:rsidRPr="00B540E0" w:rsidRDefault="008F5636" w:rsidP="009513A6">
            <w:pPr>
              <w:spacing w:after="0" w:line="240" w:lineRule="auto"/>
              <w:jc w:val="center"/>
              <w:rPr>
                <w:rFonts w:ascii="Times New Roman" w:hAnsi="Times New Roman"/>
                <w:sz w:val="20"/>
                <w:szCs w:val="20"/>
                <w:lang w:eastAsia="ru-RU"/>
              </w:rPr>
            </w:pPr>
            <w:proofErr w:type="spellStart"/>
            <w:r w:rsidRPr="00B540E0">
              <w:rPr>
                <w:rFonts w:ascii="Times New Roman" w:hAnsi="Times New Roman"/>
                <w:sz w:val="20"/>
                <w:szCs w:val="20"/>
                <w:lang w:eastAsia="ru-RU"/>
              </w:rPr>
              <w:lastRenderedPageBreak/>
              <w:t>Articolul</w:t>
            </w:r>
            <w:proofErr w:type="spellEnd"/>
            <w:r w:rsidRPr="00B540E0">
              <w:rPr>
                <w:rFonts w:ascii="Times New Roman" w:hAnsi="Times New Roman"/>
                <w:sz w:val="20"/>
                <w:szCs w:val="20"/>
                <w:lang w:eastAsia="ru-RU"/>
              </w:rPr>
              <w:t xml:space="preserve"> 33</w:t>
            </w:r>
          </w:p>
          <w:p w14:paraId="69D0DD0F" w14:textId="77777777" w:rsidR="008F5636" w:rsidRPr="00263A32" w:rsidRDefault="008F5636" w:rsidP="009513A6">
            <w:pPr>
              <w:spacing w:after="0" w:line="240" w:lineRule="auto"/>
              <w:jc w:val="center"/>
              <w:rPr>
                <w:rFonts w:ascii="Times New Roman" w:hAnsi="Times New Roman"/>
                <w:b/>
                <w:bCs/>
                <w:sz w:val="20"/>
                <w:szCs w:val="20"/>
                <w:lang w:eastAsia="ru-RU"/>
              </w:rPr>
            </w:pPr>
            <w:proofErr w:type="spellStart"/>
            <w:r w:rsidRPr="00263A32">
              <w:rPr>
                <w:rFonts w:ascii="Times New Roman" w:hAnsi="Times New Roman"/>
                <w:b/>
                <w:bCs/>
                <w:sz w:val="20"/>
                <w:szCs w:val="20"/>
                <w:lang w:eastAsia="ru-RU"/>
              </w:rPr>
              <w:t>Mecanismul</w:t>
            </w:r>
            <w:proofErr w:type="spellEnd"/>
            <w:r w:rsidRPr="00263A32">
              <w:rPr>
                <w:rFonts w:ascii="Times New Roman" w:hAnsi="Times New Roman"/>
                <w:b/>
                <w:bCs/>
                <w:sz w:val="20"/>
                <w:szCs w:val="20"/>
                <w:lang w:eastAsia="ru-RU"/>
              </w:rPr>
              <w:t xml:space="preserve"> </w:t>
            </w:r>
            <w:proofErr w:type="spellStart"/>
            <w:r w:rsidRPr="00263A32">
              <w:rPr>
                <w:rFonts w:ascii="Times New Roman" w:hAnsi="Times New Roman"/>
                <w:b/>
                <w:bCs/>
                <w:sz w:val="20"/>
                <w:szCs w:val="20"/>
                <w:lang w:eastAsia="ru-RU"/>
              </w:rPr>
              <w:t>Uniunii</w:t>
            </w:r>
            <w:proofErr w:type="spellEnd"/>
            <w:r w:rsidRPr="00263A32">
              <w:rPr>
                <w:rFonts w:ascii="Times New Roman" w:hAnsi="Times New Roman"/>
                <w:b/>
                <w:bCs/>
                <w:sz w:val="20"/>
                <w:szCs w:val="20"/>
                <w:lang w:eastAsia="ru-RU"/>
              </w:rPr>
              <w:t xml:space="preserve"> de </w:t>
            </w:r>
            <w:proofErr w:type="spellStart"/>
            <w:r w:rsidRPr="00263A32">
              <w:rPr>
                <w:rFonts w:ascii="Times New Roman" w:hAnsi="Times New Roman"/>
                <w:b/>
                <w:bCs/>
                <w:sz w:val="20"/>
                <w:szCs w:val="20"/>
                <w:lang w:eastAsia="ru-RU"/>
              </w:rPr>
              <w:t>finanțare</w:t>
            </w:r>
            <w:proofErr w:type="spellEnd"/>
            <w:r w:rsidRPr="00263A32">
              <w:rPr>
                <w:rFonts w:ascii="Times New Roman" w:hAnsi="Times New Roman"/>
                <w:b/>
                <w:bCs/>
                <w:sz w:val="20"/>
                <w:szCs w:val="20"/>
                <w:lang w:eastAsia="ru-RU"/>
              </w:rPr>
              <w:t xml:space="preserve"> </w:t>
            </w:r>
            <w:proofErr w:type="gramStart"/>
            <w:r w:rsidRPr="00263A32">
              <w:rPr>
                <w:rFonts w:ascii="Times New Roman" w:hAnsi="Times New Roman"/>
                <w:b/>
                <w:bCs/>
                <w:sz w:val="20"/>
                <w:szCs w:val="20"/>
                <w:lang w:eastAsia="ru-RU"/>
              </w:rPr>
              <w:t>a</w:t>
            </w:r>
            <w:proofErr w:type="gramEnd"/>
            <w:r w:rsidRPr="00263A32">
              <w:rPr>
                <w:rFonts w:ascii="Times New Roman" w:hAnsi="Times New Roman"/>
                <w:b/>
                <w:bCs/>
                <w:sz w:val="20"/>
                <w:szCs w:val="20"/>
                <w:lang w:eastAsia="ru-RU"/>
              </w:rPr>
              <w:t xml:space="preserve"> energiei din surse </w:t>
            </w:r>
            <w:proofErr w:type="spellStart"/>
            <w:r w:rsidRPr="00263A32">
              <w:rPr>
                <w:rFonts w:ascii="Times New Roman" w:hAnsi="Times New Roman"/>
                <w:b/>
                <w:bCs/>
                <w:sz w:val="20"/>
                <w:szCs w:val="20"/>
                <w:lang w:eastAsia="ru-RU"/>
              </w:rPr>
              <w:t>regenerabile</w:t>
            </w:r>
            <w:proofErr w:type="spellEnd"/>
          </w:p>
          <w:p w14:paraId="68300073" w14:textId="77777777" w:rsidR="008F5636" w:rsidRPr="00263A32" w:rsidRDefault="008F5636" w:rsidP="009513A6">
            <w:pPr>
              <w:spacing w:after="0" w:line="240" w:lineRule="auto"/>
              <w:jc w:val="both"/>
              <w:rPr>
                <w:rFonts w:ascii="Times New Roman" w:hAnsi="Times New Roman"/>
                <w:sz w:val="20"/>
                <w:szCs w:val="20"/>
                <w:lang w:eastAsia="ru-RU"/>
              </w:rPr>
            </w:pPr>
            <w:r w:rsidRPr="00263A32">
              <w:rPr>
                <w:rFonts w:ascii="Times New Roman" w:hAnsi="Times New Roman"/>
                <w:sz w:val="20"/>
                <w:szCs w:val="20"/>
                <w:lang w:eastAsia="ru-RU"/>
              </w:rPr>
              <w:t>(</w:t>
            </w:r>
            <w:proofErr w:type="gramStart"/>
            <w:r w:rsidRPr="00263A32">
              <w:rPr>
                <w:rFonts w:ascii="Times New Roman" w:hAnsi="Times New Roman"/>
                <w:sz w:val="20"/>
                <w:szCs w:val="20"/>
                <w:lang w:eastAsia="ru-RU"/>
              </w:rPr>
              <w:t>1)</w:t>
            </w:r>
            <w:proofErr w:type="spellStart"/>
            <w:r w:rsidRPr="00263A32">
              <w:rPr>
                <w:rFonts w:ascii="Times New Roman" w:hAnsi="Times New Roman"/>
                <w:sz w:val="20"/>
                <w:szCs w:val="20"/>
                <w:lang w:eastAsia="ru-RU"/>
              </w:rPr>
              <w:t>Până</w:t>
            </w:r>
            <w:proofErr w:type="spellEnd"/>
            <w:proofErr w:type="gramEnd"/>
            <w:r w:rsidRPr="00263A32">
              <w:rPr>
                <w:rFonts w:ascii="Times New Roman" w:hAnsi="Times New Roman"/>
                <w:sz w:val="20"/>
                <w:szCs w:val="20"/>
                <w:lang w:eastAsia="ru-RU"/>
              </w:rPr>
              <w:t xml:space="preserve"> la</w:t>
            </w:r>
            <w:r w:rsidR="009513A6" w:rsidRPr="00263A32">
              <w:rPr>
                <w:rFonts w:ascii="Times New Roman" w:hAnsi="Times New Roman"/>
                <w:sz w:val="20"/>
                <w:szCs w:val="20"/>
                <w:lang w:eastAsia="ru-RU"/>
              </w:rPr>
              <w:t xml:space="preserve"> </w:t>
            </w:r>
            <w:r w:rsidRPr="00263A32">
              <w:rPr>
                <w:rFonts w:ascii="Times New Roman" w:hAnsi="Times New Roman"/>
                <w:sz w:val="20"/>
                <w:szCs w:val="20"/>
                <w:lang w:eastAsia="ru-RU"/>
              </w:rPr>
              <w:t>1</w:t>
            </w:r>
            <w:r w:rsidR="009513A6"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ianuarie</w:t>
            </w:r>
            <w:proofErr w:type="spellEnd"/>
            <w:r w:rsidR="009513A6"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2021, </w:t>
            </w:r>
            <w:proofErr w:type="spellStart"/>
            <w:r w:rsidRPr="00263A32">
              <w:rPr>
                <w:rFonts w:ascii="Times New Roman" w:hAnsi="Times New Roman"/>
                <w:sz w:val="20"/>
                <w:szCs w:val="20"/>
                <w:lang w:eastAsia="ru-RU"/>
              </w:rPr>
              <w:t>Comisia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instituie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mecanismul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Uniunii</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finanțare</w:t>
            </w:r>
            <w:proofErr w:type="spellEnd"/>
            <w:r w:rsidRPr="00263A32">
              <w:rPr>
                <w:rFonts w:ascii="Times New Roman" w:hAnsi="Times New Roman"/>
                <w:sz w:val="20"/>
                <w:szCs w:val="20"/>
                <w:lang w:eastAsia="ru-RU"/>
              </w:rPr>
              <w:t xml:space="preserve"> a energiei din surse </w:t>
            </w:r>
            <w:proofErr w:type="spellStart"/>
            <w:r w:rsidRPr="00263A32">
              <w:rPr>
                <w:rFonts w:ascii="Times New Roman" w:hAnsi="Times New Roman"/>
                <w:sz w:val="20"/>
                <w:szCs w:val="20"/>
                <w:lang w:eastAsia="ru-RU"/>
              </w:rPr>
              <w:t>regenerabile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menționat</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articolul</w:t>
            </w:r>
            <w:proofErr w:type="spellEnd"/>
            <w:r w:rsidR="009513A6"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32 </w:t>
            </w:r>
            <w:proofErr w:type="spellStart"/>
            <w:r w:rsidRPr="00263A32">
              <w:rPr>
                <w:rFonts w:ascii="Times New Roman" w:hAnsi="Times New Roman"/>
                <w:sz w:val="20"/>
                <w:szCs w:val="20"/>
                <w:lang w:eastAsia="ru-RU"/>
              </w:rPr>
              <w:t>alineatul</w:t>
            </w:r>
            <w:proofErr w:type="spellEnd"/>
            <w:r w:rsidR="009513A6"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(3) </w:t>
            </w:r>
            <w:proofErr w:type="spellStart"/>
            <w:r w:rsidRPr="00263A32">
              <w:rPr>
                <w:rFonts w:ascii="Times New Roman" w:hAnsi="Times New Roman"/>
                <w:sz w:val="20"/>
                <w:szCs w:val="20"/>
                <w:lang w:eastAsia="ru-RU"/>
              </w:rPr>
              <w:t>litera</w:t>
            </w:r>
            <w:proofErr w:type="spellEnd"/>
            <w:r w:rsidR="009513A6"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(d),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oferi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sprijin</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pentru</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noi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proiecte</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domeniul</w:t>
            </w:r>
            <w:proofErr w:type="spellEnd"/>
            <w:r w:rsidRPr="00263A32">
              <w:rPr>
                <w:rFonts w:ascii="Times New Roman" w:hAnsi="Times New Roman"/>
                <w:sz w:val="20"/>
                <w:szCs w:val="20"/>
                <w:lang w:eastAsia="ru-RU"/>
              </w:rPr>
              <w:t xml:space="preserve"> energiei din surse </w:t>
            </w:r>
            <w:proofErr w:type="spellStart"/>
            <w:r w:rsidRPr="00263A32">
              <w:rPr>
                <w:rFonts w:ascii="Times New Roman" w:hAnsi="Times New Roman"/>
                <w:sz w:val="20"/>
                <w:szCs w:val="20"/>
                <w:lang w:eastAsia="ru-RU"/>
              </w:rPr>
              <w:t>regenerabile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desfășurate</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Uniune</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scopul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eliminării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unui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decalaj</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față</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traiectoria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orientativă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Uniunii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Sprijinul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poate</w:t>
            </w:r>
            <w:proofErr w:type="spellEnd"/>
            <w:r w:rsidRPr="00263A32">
              <w:rPr>
                <w:rFonts w:ascii="Times New Roman" w:hAnsi="Times New Roman"/>
                <w:sz w:val="20"/>
                <w:szCs w:val="20"/>
                <w:lang w:eastAsia="ru-RU"/>
              </w:rPr>
              <w:t xml:space="preserve"> fi </w:t>
            </w:r>
            <w:proofErr w:type="spellStart"/>
            <w:r w:rsidRPr="00263A32">
              <w:rPr>
                <w:rFonts w:ascii="Times New Roman" w:hAnsi="Times New Roman"/>
                <w:sz w:val="20"/>
                <w:szCs w:val="20"/>
                <w:lang w:eastAsia="ru-RU"/>
              </w:rPr>
              <w:t>oferit</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printre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altele</w:t>
            </w:r>
            <w:proofErr w:type="spellEnd"/>
            <w:r w:rsidRPr="00263A32">
              <w:rPr>
                <w:rFonts w:ascii="Times New Roman" w:hAnsi="Times New Roman"/>
                <w:sz w:val="20"/>
                <w:szCs w:val="20"/>
                <w:lang w:eastAsia="ru-RU"/>
              </w:rPr>
              <w:t xml:space="preserve">, sub forma </w:t>
            </w:r>
            <w:proofErr w:type="spellStart"/>
            <w:r w:rsidRPr="00263A32">
              <w:rPr>
                <w:rFonts w:ascii="Times New Roman" w:hAnsi="Times New Roman"/>
                <w:sz w:val="20"/>
                <w:szCs w:val="20"/>
                <w:lang w:eastAsia="ru-RU"/>
              </w:rPr>
              <w:t>unei</w:t>
            </w:r>
            <w:proofErr w:type="spellEnd"/>
            <w:r w:rsidRPr="00263A32">
              <w:rPr>
                <w:rFonts w:ascii="Times New Roman" w:hAnsi="Times New Roman"/>
                <w:sz w:val="20"/>
                <w:szCs w:val="20"/>
                <w:lang w:eastAsia="ru-RU"/>
              </w:rPr>
              <w:t xml:space="preserve"> prime </w:t>
            </w:r>
            <w:proofErr w:type="spellStart"/>
            <w:r w:rsidRPr="00263A32">
              <w:rPr>
                <w:rFonts w:ascii="Times New Roman" w:hAnsi="Times New Roman"/>
                <w:sz w:val="20"/>
                <w:szCs w:val="20"/>
                <w:lang w:eastAsia="ru-RU"/>
              </w:rPr>
              <w:t>plătite</w:t>
            </w:r>
            <w:proofErr w:type="spellEnd"/>
            <w:r w:rsidRPr="00263A32">
              <w:rPr>
                <w:rFonts w:ascii="Times New Roman" w:hAnsi="Times New Roman"/>
                <w:sz w:val="20"/>
                <w:szCs w:val="20"/>
                <w:lang w:eastAsia="ru-RU"/>
              </w:rPr>
              <w:t xml:space="preserve"> în plus </w:t>
            </w:r>
            <w:proofErr w:type="spellStart"/>
            <w:r w:rsidRPr="00263A32">
              <w:rPr>
                <w:rFonts w:ascii="Times New Roman" w:hAnsi="Times New Roman"/>
                <w:sz w:val="20"/>
                <w:szCs w:val="20"/>
                <w:lang w:eastAsia="ru-RU"/>
              </w:rPr>
              <w:t>față</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prețurile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pieței</w:t>
            </w:r>
            <w:proofErr w:type="spellEnd"/>
            <w:r w:rsidRPr="00263A32">
              <w:rPr>
                <w:rFonts w:ascii="Times New Roman" w:hAnsi="Times New Roman"/>
                <w:sz w:val="20"/>
                <w:szCs w:val="20"/>
                <w:lang w:eastAsia="ru-RU"/>
              </w:rPr>
              <w:t xml:space="preserve"> și </w:t>
            </w:r>
            <w:proofErr w:type="spellStart"/>
            <w:r w:rsidRPr="00263A32">
              <w:rPr>
                <w:rFonts w:ascii="Times New Roman" w:hAnsi="Times New Roman"/>
                <w:sz w:val="20"/>
                <w:szCs w:val="20"/>
                <w:lang w:eastAsia="ru-RU"/>
              </w:rPr>
              <w:t>este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lastRenderedPageBreak/>
              <w:t>alocat</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proiectelor</w:t>
            </w:r>
            <w:proofErr w:type="spellEnd"/>
            <w:r w:rsidRPr="00263A32">
              <w:rPr>
                <w:rFonts w:ascii="Times New Roman" w:hAnsi="Times New Roman"/>
                <w:sz w:val="20"/>
                <w:szCs w:val="20"/>
                <w:lang w:eastAsia="ru-RU"/>
              </w:rPr>
              <w:t xml:space="preserve"> care </w:t>
            </w:r>
            <w:proofErr w:type="spellStart"/>
            <w:r w:rsidRPr="00263A32">
              <w:rPr>
                <w:rFonts w:ascii="Times New Roman" w:hAnsi="Times New Roman"/>
                <w:sz w:val="20"/>
                <w:szCs w:val="20"/>
                <w:lang w:eastAsia="ru-RU"/>
              </w:rPr>
              <w:t>solicită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cel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mai</w:t>
            </w:r>
            <w:proofErr w:type="spellEnd"/>
            <w:r w:rsidRPr="00263A32">
              <w:rPr>
                <w:rFonts w:ascii="Times New Roman" w:hAnsi="Times New Roman"/>
                <w:sz w:val="20"/>
                <w:szCs w:val="20"/>
                <w:lang w:eastAsia="ru-RU"/>
              </w:rPr>
              <w:t xml:space="preserve"> mic cost </w:t>
            </w:r>
            <w:proofErr w:type="spellStart"/>
            <w:r w:rsidRPr="00263A32">
              <w:rPr>
                <w:rFonts w:ascii="Times New Roman" w:hAnsi="Times New Roman"/>
                <w:sz w:val="20"/>
                <w:szCs w:val="20"/>
                <w:lang w:eastAsia="ru-RU"/>
              </w:rPr>
              <w:t>sau</w:t>
            </w:r>
            <w:proofErr w:type="spellEnd"/>
            <w:r w:rsidRPr="00263A32">
              <w:rPr>
                <w:rFonts w:ascii="Times New Roman" w:hAnsi="Times New Roman"/>
                <w:sz w:val="20"/>
                <w:szCs w:val="20"/>
                <w:lang w:eastAsia="ru-RU"/>
              </w:rPr>
              <w:t xml:space="preserve"> cea </w:t>
            </w:r>
            <w:proofErr w:type="spellStart"/>
            <w:r w:rsidRPr="00263A32">
              <w:rPr>
                <w:rFonts w:ascii="Times New Roman" w:hAnsi="Times New Roman"/>
                <w:sz w:val="20"/>
                <w:szCs w:val="20"/>
                <w:lang w:eastAsia="ru-RU"/>
              </w:rPr>
              <w:t>mai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mică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primă</w:t>
            </w:r>
            <w:proofErr w:type="spellEnd"/>
            <w:r w:rsidRPr="00263A32">
              <w:rPr>
                <w:rFonts w:ascii="Times New Roman" w:hAnsi="Times New Roman"/>
                <w:sz w:val="20"/>
                <w:szCs w:val="20"/>
                <w:lang w:eastAsia="ru-RU"/>
              </w:rPr>
              <w:t>.</w:t>
            </w:r>
          </w:p>
          <w:p w14:paraId="541F9BAA" w14:textId="77777777" w:rsidR="0059162A" w:rsidRPr="00B540E0" w:rsidRDefault="0059162A" w:rsidP="009513A6">
            <w:pPr>
              <w:spacing w:after="0" w:line="240" w:lineRule="auto"/>
              <w:jc w:val="both"/>
              <w:rPr>
                <w:rFonts w:ascii="Times New Roman" w:hAnsi="Times New Roman"/>
                <w:sz w:val="20"/>
                <w:szCs w:val="20"/>
                <w:lang w:val="fr-FR" w:eastAsia="ru-RU"/>
              </w:rPr>
            </w:pPr>
            <w:r w:rsidRPr="00263A32">
              <w:rPr>
                <w:rFonts w:ascii="Times New Roman" w:hAnsi="Times New Roman"/>
                <w:sz w:val="20"/>
                <w:szCs w:val="20"/>
                <w:lang w:eastAsia="ru-RU"/>
              </w:rPr>
              <w:t>(</w:t>
            </w:r>
            <w:proofErr w:type="gramStart"/>
            <w:r w:rsidRPr="00263A32">
              <w:rPr>
                <w:rFonts w:ascii="Times New Roman" w:hAnsi="Times New Roman"/>
                <w:sz w:val="20"/>
                <w:szCs w:val="20"/>
                <w:lang w:eastAsia="ru-RU"/>
              </w:rPr>
              <w:t>2)</w:t>
            </w:r>
            <w:proofErr w:type="spellStart"/>
            <w:r w:rsidRPr="00263A32">
              <w:rPr>
                <w:rFonts w:ascii="Times New Roman" w:hAnsi="Times New Roman"/>
                <w:sz w:val="20"/>
                <w:szCs w:val="20"/>
                <w:lang w:eastAsia="ru-RU"/>
              </w:rPr>
              <w:t>Fără</w:t>
            </w:r>
            <w:proofErr w:type="spellEnd"/>
            <w:proofErr w:type="gram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aduce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atingere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alineatului</w:t>
            </w:r>
            <w:proofErr w:type="spellEnd"/>
            <w:r w:rsidRPr="00263A32">
              <w:rPr>
                <w:rFonts w:ascii="Times New Roman" w:hAnsi="Times New Roman"/>
                <w:sz w:val="20"/>
                <w:szCs w:val="20"/>
                <w:lang w:eastAsia="ru-RU"/>
              </w:rPr>
              <w:t xml:space="preserve"> (1) din </w:t>
            </w:r>
            <w:proofErr w:type="spellStart"/>
            <w:r w:rsidRPr="00263A32">
              <w:rPr>
                <w:rFonts w:ascii="Times New Roman" w:hAnsi="Times New Roman"/>
                <w:sz w:val="20"/>
                <w:szCs w:val="20"/>
                <w:lang w:eastAsia="ru-RU"/>
              </w:rPr>
              <w:t>prezentul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articol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mecanismul</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finanțare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contribuie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cadrul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favorabil</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temeiul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articolului</w:t>
            </w:r>
            <w:proofErr w:type="spellEnd"/>
            <w:r w:rsidRPr="00263A32">
              <w:rPr>
                <w:rFonts w:ascii="Times New Roman" w:hAnsi="Times New Roman"/>
                <w:sz w:val="20"/>
                <w:szCs w:val="20"/>
                <w:lang w:eastAsia="ru-RU"/>
              </w:rPr>
              <w:t xml:space="preserve"> 3 </w:t>
            </w:r>
            <w:proofErr w:type="spellStart"/>
            <w:r w:rsidRPr="00263A32">
              <w:rPr>
                <w:rFonts w:ascii="Times New Roman" w:hAnsi="Times New Roman"/>
                <w:sz w:val="20"/>
                <w:szCs w:val="20"/>
                <w:lang w:eastAsia="ru-RU"/>
              </w:rPr>
              <w:t>alineatul</w:t>
            </w:r>
            <w:proofErr w:type="spellEnd"/>
            <w:r w:rsidRPr="00263A32">
              <w:rPr>
                <w:rFonts w:ascii="Times New Roman" w:hAnsi="Times New Roman"/>
                <w:sz w:val="20"/>
                <w:szCs w:val="20"/>
                <w:lang w:eastAsia="ru-RU"/>
              </w:rPr>
              <w:t xml:space="preserve"> (4) din </w:t>
            </w:r>
            <w:proofErr w:type="spellStart"/>
            <w:r w:rsidRPr="00263A32">
              <w:rPr>
                <w:rFonts w:ascii="Times New Roman" w:hAnsi="Times New Roman"/>
                <w:sz w:val="20"/>
                <w:szCs w:val="20"/>
                <w:lang w:eastAsia="ru-RU"/>
              </w:rPr>
              <w:t>Directiva</w:t>
            </w:r>
            <w:proofErr w:type="spellEnd"/>
            <w:r w:rsidRPr="00263A32">
              <w:rPr>
                <w:rFonts w:ascii="Times New Roman" w:hAnsi="Times New Roman"/>
                <w:sz w:val="20"/>
                <w:szCs w:val="20"/>
                <w:lang w:eastAsia="ru-RU"/>
              </w:rPr>
              <w:t xml:space="preserve"> (UE) 2018/2001 cu </w:t>
            </w:r>
            <w:proofErr w:type="spellStart"/>
            <w:r w:rsidRPr="00263A32">
              <w:rPr>
                <w:rFonts w:ascii="Times New Roman" w:hAnsi="Times New Roman"/>
                <w:sz w:val="20"/>
                <w:szCs w:val="20"/>
                <w:lang w:eastAsia="ru-RU"/>
              </w:rPr>
              <w:t>scopul</w:t>
            </w:r>
            <w:proofErr w:type="spellEnd"/>
            <w:r w:rsidRPr="00263A32">
              <w:rPr>
                <w:rFonts w:ascii="Times New Roman" w:hAnsi="Times New Roman"/>
                <w:sz w:val="20"/>
                <w:szCs w:val="20"/>
                <w:lang w:eastAsia="ru-RU"/>
              </w:rPr>
              <w:t xml:space="preserve"> de a </w:t>
            </w:r>
            <w:proofErr w:type="spellStart"/>
            <w:r w:rsidRPr="00263A32">
              <w:rPr>
                <w:rFonts w:ascii="Times New Roman" w:hAnsi="Times New Roman"/>
                <w:sz w:val="20"/>
                <w:szCs w:val="20"/>
                <w:lang w:eastAsia="ru-RU"/>
              </w:rPr>
              <w:t>sprijini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utilizarea</w:t>
            </w:r>
            <w:proofErr w:type="spellEnd"/>
            <w:r w:rsidRPr="00263A32">
              <w:rPr>
                <w:rFonts w:ascii="Times New Roman" w:hAnsi="Times New Roman"/>
                <w:sz w:val="20"/>
                <w:szCs w:val="20"/>
                <w:lang w:eastAsia="ru-RU"/>
              </w:rPr>
              <w:t xml:space="preserve"> energiei din surse </w:t>
            </w:r>
            <w:proofErr w:type="spellStart"/>
            <w:r w:rsidRPr="00263A32">
              <w:rPr>
                <w:rFonts w:ascii="Times New Roman" w:hAnsi="Times New Roman"/>
                <w:sz w:val="20"/>
                <w:szCs w:val="20"/>
                <w:lang w:eastAsia="ru-RU"/>
              </w:rPr>
              <w:t>regenerabile</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întreaga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Uniune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indiferent</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dacă</w:t>
            </w:r>
            <w:proofErr w:type="spellEnd"/>
            <w:r w:rsidRPr="00263A32">
              <w:rPr>
                <w:rFonts w:ascii="Times New Roman" w:hAnsi="Times New Roman"/>
                <w:sz w:val="20"/>
                <w:szCs w:val="20"/>
                <w:lang w:eastAsia="ru-RU"/>
              </w:rPr>
              <w:t xml:space="preserve"> există un </w:t>
            </w:r>
            <w:proofErr w:type="spellStart"/>
            <w:r w:rsidRPr="00263A32">
              <w:rPr>
                <w:rFonts w:ascii="Times New Roman" w:hAnsi="Times New Roman"/>
                <w:sz w:val="20"/>
                <w:szCs w:val="20"/>
                <w:lang w:eastAsia="ru-RU"/>
              </w:rPr>
              <w:t>decalaj</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față</w:t>
            </w:r>
            <w:proofErr w:type="spellEnd"/>
            <w:r w:rsidRPr="00263A32">
              <w:rPr>
                <w:rFonts w:ascii="Times New Roman" w:hAnsi="Times New Roman"/>
                <w:sz w:val="20"/>
                <w:szCs w:val="20"/>
                <w:lang w:eastAsia="ru-RU"/>
              </w:rPr>
              <w:t xml:space="preserve"> de </w:t>
            </w:r>
            <w:proofErr w:type="spellStart"/>
            <w:r w:rsidRPr="00263A32">
              <w:rPr>
                <w:rFonts w:ascii="Times New Roman" w:hAnsi="Times New Roman"/>
                <w:sz w:val="20"/>
                <w:szCs w:val="20"/>
                <w:lang w:eastAsia="ru-RU"/>
              </w:rPr>
              <w:t>traiectoria</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orientativă</w:t>
            </w:r>
            <w:proofErr w:type="spellEnd"/>
            <w:r w:rsidRPr="00263A32">
              <w:rPr>
                <w:rFonts w:ascii="Times New Roman" w:hAnsi="Times New Roman"/>
                <w:sz w:val="20"/>
                <w:szCs w:val="20"/>
                <w:lang w:eastAsia="ru-RU"/>
              </w:rPr>
              <w:t xml:space="preserve"> a </w:t>
            </w:r>
            <w:proofErr w:type="spellStart"/>
            <w:r w:rsidRPr="00263A32">
              <w:rPr>
                <w:rFonts w:ascii="Times New Roman" w:hAnsi="Times New Roman"/>
                <w:sz w:val="20"/>
                <w:szCs w:val="20"/>
                <w:lang w:eastAsia="ru-RU"/>
              </w:rPr>
              <w:t>Uniunii</w:t>
            </w:r>
            <w:proofErr w:type="spellEnd"/>
            <w:r w:rsidRPr="00263A32">
              <w:rPr>
                <w:rFonts w:ascii="Times New Roman" w:hAnsi="Times New Roman"/>
                <w:sz w:val="20"/>
                <w:szCs w:val="20"/>
                <w:lang w:eastAsia="ru-RU"/>
              </w:rPr>
              <w:t xml:space="preserve">. </w:t>
            </w:r>
            <w:r w:rsidRPr="00B540E0">
              <w:rPr>
                <w:rFonts w:ascii="Times New Roman" w:hAnsi="Times New Roman"/>
                <w:sz w:val="20"/>
                <w:szCs w:val="20"/>
                <w:lang w:val="fr-FR" w:eastAsia="ru-RU"/>
              </w:rPr>
              <w:t xml:space="preserve">În </w:t>
            </w:r>
            <w:proofErr w:type="spellStart"/>
            <w:r w:rsidRPr="00B540E0">
              <w:rPr>
                <w:rFonts w:ascii="Times New Roman" w:hAnsi="Times New Roman"/>
                <w:sz w:val="20"/>
                <w:szCs w:val="20"/>
                <w:lang w:val="fr-FR" w:eastAsia="ru-RU"/>
              </w:rPr>
              <w:t>acest</w:t>
            </w:r>
            <w:proofErr w:type="spellEnd"/>
            <w:r w:rsidRPr="00B540E0">
              <w:rPr>
                <w:rFonts w:ascii="Times New Roman" w:hAnsi="Times New Roman"/>
                <w:sz w:val="20"/>
                <w:szCs w:val="20"/>
                <w:lang w:val="fr-FR" w:eastAsia="ru-RU"/>
              </w:rPr>
              <w:t xml:space="preserve"> </w:t>
            </w:r>
            <w:proofErr w:type="spellStart"/>
            <w:proofErr w:type="gramStart"/>
            <w:r w:rsidRPr="00B540E0">
              <w:rPr>
                <w:rFonts w:ascii="Times New Roman" w:hAnsi="Times New Roman"/>
                <w:sz w:val="20"/>
                <w:szCs w:val="20"/>
                <w:lang w:val="fr-FR" w:eastAsia="ru-RU"/>
              </w:rPr>
              <w:t>scop</w:t>
            </w:r>
            <w:proofErr w:type="spellEnd"/>
            <w:r w:rsidRPr="00B540E0">
              <w:rPr>
                <w:rFonts w:ascii="Times New Roman" w:hAnsi="Times New Roman"/>
                <w:sz w:val="20"/>
                <w:szCs w:val="20"/>
                <w:lang w:val="fr-FR" w:eastAsia="ru-RU"/>
              </w:rPr>
              <w:t>:</w:t>
            </w:r>
            <w:proofErr w:type="gramEnd"/>
          </w:p>
          <w:p w14:paraId="400AFBDB" w14:textId="77777777" w:rsidR="0059162A" w:rsidRPr="00B540E0" w:rsidRDefault="0059162A" w:rsidP="000C5A3B">
            <w:pPr>
              <w:pStyle w:val="af3"/>
              <w:numPr>
                <w:ilvl w:val="0"/>
                <w:numId w:val="128"/>
              </w:numPr>
              <w:spacing w:after="0" w:line="240" w:lineRule="auto"/>
              <w:jc w:val="both"/>
              <w:rPr>
                <w:rFonts w:ascii="Times New Roman" w:hAnsi="Times New Roman"/>
                <w:sz w:val="20"/>
                <w:szCs w:val="20"/>
                <w:lang w:val="fr-FR" w:eastAsia="ru-RU"/>
              </w:rPr>
            </w:pPr>
            <w:proofErr w:type="spellStart"/>
            <w:proofErr w:type="gramStart"/>
            <w:r w:rsidRPr="00B540E0">
              <w:rPr>
                <w:rFonts w:ascii="Times New Roman" w:hAnsi="Times New Roman"/>
                <w:sz w:val="20"/>
                <w:szCs w:val="20"/>
                <w:lang w:val="fr-FR" w:eastAsia="ru-RU"/>
              </w:rPr>
              <w:t>plățile</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w:t>
            </w:r>
            <w:proofErr w:type="spellStart"/>
            <w:r w:rsidRPr="00B540E0">
              <w:rPr>
                <w:rFonts w:ascii="Times New Roman" w:hAnsi="Times New Roman"/>
                <w:sz w:val="20"/>
                <w:szCs w:val="20"/>
                <w:lang w:val="fr-FR" w:eastAsia="ru-RU"/>
              </w:rPr>
              <w:t>menționate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32 pot fi </w:t>
            </w:r>
            <w:proofErr w:type="spellStart"/>
            <w:r w:rsidRPr="00B540E0">
              <w:rPr>
                <w:rFonts w:ascii="Times New Roman" w:hAnsi="Times New Roman"/>
                <w:sz w:val="20"/>
                <w:szCs w:val="20"/>
                <w:lang w:val="fr-FR" w:eastAsia="ru-RU"/>
              </w:rPr>
              <w:t>completate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surse </w:t>
            </w:r>
            <w:proofErr w:type="spellStart"/>
            <w:r w:rsidRPr="00B540E0">
              <w:rPr>
                <w:rFonts w:ascii="Times New Roman" w:hAnsi="Times New Roman"/>
                <w:sz w:val="20"/>
                <w:szCs w:val="20"/>
                <w:lang w:val="fr-FR" w:eastAsia="ru-RU"/>
              </w:rPr>
              <w:t>suplimentare</w:t>
            </w:r>
            <w:proofErr w:type="spellEnd"/>
            <w:r w:rsidRPr="00B540E0">
              <w:rPr>
                <w:rFonts w:ascii="Times New Roman" w:hAnsi="Times New Roman"/>
                <w:sz w:val="20"/>
                <w:szCs w:val="20"/>
                <w:lang w:val="fr-FR" w:eastAsia="ru-RU"/>
              </w:rPr>
              <w:t xml:space="preserve">, ca de </w:t>
            </w:r>
            <w:proofErr w:type="spellStart"/>
            <w:r w:rsidRPr="00B540E0">
              <w:rPr>
                <w:rFonts w:ascii="Times New Roman" w:hAnsi="Times New Roman"/>
                <w:sz w:val="20"/>
                <w:szCs w:val="20"/>
                <w:lang w:val="fr-FR" w:eastAsia="ru-RU"/>
              </w:rPr>
              <w:t>exemplu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fonduri</w:t>
            </w:r>
            <w:proofErr w:type="spellEnd"/>
            <w:r w:rsidRPr="00B540E0">
              <w:rPr>
                <w:rFonts w:ascii="Times New Roman" w:hAnsi="Times New Roman"/>
                <w:sz w:val="20"/>
                <w:szCs w:val="20"/>
                <w:lang w:val="fr-FR" w:eastAsia="ru-RU"/>
              </w:rPr>
              <w:t xml:space="preserve"> ale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contribuții</w:t>
            </w:r>
            <w:proofErr w:type="spellEnd"/>
            <w:r w:rsidRPr="00B540E0">
              <w:rPr>
                <w:rFonts w:ascii="Times New Roman" w:hAnsi="Times New Roman"/>
                <w:sz w:val="20"/>
                <w:szCs w:val="20"/>
                <w:lang w:val="fr-FR" w:eastAsia="ru-RU"/>
              </w:rPr>
              <w:t xml:space="preserve"> ale </w:t>
            </w:r>
            <w:proofErr w:type="spellStart"/>
            <w:r w:rsidRPr="00B540E0">
              <w:rPr>
                <w:rFonts w:ascii="Times New Roman" w:hAnsi="Times New Roman"/>
                <w:sz w:val="20"/>
                <w:szCs w:val="20"/>
                <w:lang w:val="fr-FR" w:eastAsia="ru-RU"/>
              </w:rPr>
              <w:t>sectorului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privat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plăți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suplimentare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scopul</w:t>
            </w:r>
            <w:proofErr w:type="spellEnd"/>
            <w:r w:rsidRPr="00B540E0">
              <w:rPr>
                <w:rFonts w:ascii="Times New Roman" w:hAnsi="Times New Roman"/>
                <w:sz w:val="20"/>
                <w:szCs w:val="20"/>
                <w:lang w:val="fr-FR" w:eastAsia="ru-RU"/>
              </w:rPr>
              <w:t xml:space="preserve"> de a </w:t>
            </w:r>
            <w:proofErr w:type="spellStart"/>
            <w:r w:rsidRPr="00B540E0">
              <w:rPr>
                <w:rFonts w:ascii="Times New Roman" w:hAnsi="Times New Roman"/>
                <w:sz w:val="20"/>
                <w:szCs w:val="20"/>
                <w:lang w:val="fr-FR" w:eastAsia="ru-RU"/>
              </w:rPr>
              <w:t>contribui</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realizarea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obiectivului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w:t>
            </w:r>
          </w:p>
          <w:p w14:paraId="1DB4B46B" w14:textId="77777777" w:rsidR="0059162A" w:rsidRPr="00B540E0" w:rsidRDefault="0059162A" w:rsidP="000C5A3B">
            <w:pPr>
              <w:pStyle w:val="af3"/>
              <w:numPr>
                <w:ilvl w:val="0"/>
                <w:numId w:val="128"/>
              </w:numPr>
              <w:spacing w:after="0" w:line="240" w:lineRule="auto"/>
              <w:jc w:val="both"/>
              <w:rPr>
                <w:rFonts w:ascii="Times New Roman" w:hAnsi="Times New Roman"/>
                <w:sz w:val="20"/>
                <w:szCs w:val="20"/>
                <w:lang w:val="fr-FR" w:eastAsia="ru-RU"/>
              </w:rPr>
            </w:pPr>
            <w:proofErr w:type="spellStart"/>
            <w:proofErr w:type="gramStart"/>
            <w:r w:rsidRPr="00B540E0">
              <w:rPr>
                <w:rFonts w:ascii="Times New Roman" w:hAnsi="Times New Roman"/>
                <w:sz w:val="20"/>
                <w:szCs w:val="20"/>
                <w:lang w:val="fr-FR" w:eastAsia="ru-RU"/>
              </w:rPr>
              <w:t>mecanismul</w:t>
            </w:r>
            <w:proofErr w:type="spellEnd"/>
            <w:proofErr w:type="gram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finanțare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poate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altele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oferi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sprijin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sub</w:t>
            </w:r>
            <w:proofErr w:type="spellEnd"/>
            <w:r w:rsidRPr="00B540E0">
              <w:rPr>
                <w:rFonts w:ascii="Times New Roman" w:hAnsi="Times New Roman"/>
                <w:sz w:val="20"/>
                <w:szCs w:val="20"/>
                <w:lang w:val="fr-FR" w:eastAsia="ru-RU"/>
              </w:rPr>
              <w:t xml:space="preserve"> forma </w:t>
            </w:r>
            <w:proofErr w:type="spellStart"/>
            <w:r w:rsidRPr="00B540E0">
              <w:rPr>
                <w:rFonts w:ascii="Times New Roman" w:hAnsi="Times New Roman"/>
                <w:sz w:val="20"/>
                <w:szCs w:val="20"/>
                <w:lang w:val="fr-FR" w:eastAsia="ru-RU"/>
              </w:rPr>
              <w:t>unor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împrumuturi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dobânzi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reduse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unor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granturi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unei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combinații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acestea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două</w:t>
            </w:r>
            <w:proofErr w:type="spellEnd"/>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poate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sprijini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altele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proiecte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comune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între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statele</w:t>
            </w:r>
            <w:proofErr w:type="spellEnd"/>
            <w:r w:rsidRPr="00B540E0">
              <w:rPr>
                <w:rFonts w:ascii="Times New Roman" w:hAnsi="Times New Roman"/>
                <w:sz w:val="20"/>
                <w:szCs w:val="20"/>
                <w:lang w:val="fr-FR" w:eastAsia="ru-RU"/>
              </w:rPr>
              <w:t xml:space="preserve"> membre în conformitate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9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Directiva</w:t>
            </w:r>
            <w:proofErr w:type="spellEnd"/>
            <w:r w:rsidRPr="00B540E0">
              <w:rPr>
                <w:rFonts w:ascii="Times New Roman" w:hAnsi="Times New Roman"/>
                <w:sz w:val="20"/>
                <w:szCs w:val="20"/>
                <w:lang w:val="fr-FR" w:eastAsia="ru-RU"/>
              </w:rPr>
              <w:t xml:space="preserve"> (UE) 2018/2001 și </w:t>
            </w:r>
            <w:proofErr w:type="spellStart"/>
            <w:r w:rsidRPr="00B540E0">
              <w:rPr>
                <w:rFonts w:ascii="Times New Roman" w:hAnsi="Times New Roman"/>
                <w:sz w:val="20"/>
                <w:szCs w:val="20"/>
                <w:lang w:val="fr-FR" w:eastAsia="ru-RU"/>
              </w:rPr>
              <w:t>participarea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la </w:t>
            </w:r>
            <w:proofErr w:type="spellStart"/>
            <w:r w:rsidRPr="00B540E0">
              <w:rPr>
                <w:rFonts w:ascii="Times New Roman" w:hAnsi="Times New Roman"/>
                <w:sz w:val="20"/>
                <w:szCs w:val="20"/>
                <w:lang w:val="fr-FR" w:eastAsia="ru-RU"/>
              </w:rPr>
              <w:t>proiectele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comune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țări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terțe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menționate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11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respectiva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directivă</w:t>
            </w:r>
            <w:proofErr w:type="spellEnd"/>
            <w:r w:rsidRPr="00B540E0">
              <w:rPr>
                <w:rFonts w:ascii="Times New Roman" w:hAnsi="Times New Roman"/>
                <w:sz w:val="20"/>
                <w:szCs w:val="20"/>
                <w:lang w:val="fr-FR" w:eastAsia="ru-RU"/>
              </w:rPr>
              <w:t>.</w:t>
            </w:r>
          </w:p>
          <w:p w14:paraId="70B42CDB" w14:textId="77777777" w:rsidR="0059162A" w:rsidRPr="00B540E0" w:rsidRDefault="0059162A" w:rsidP="0059162A">
            <w:pPr>
              <w:spacing w:after="0" w:line="240" w:lineRule="auto"/>
              <w:jc w:val="both"/>
              <w:rPr>
                <w:rFonts w:ascii="Times New Roman" w:hAnsi="Times New Roman"/>
                <w:sz w:val="20"/>
                <w:szCs w:val="20"/>
                <w:shd w:val="clear" w:color="auto" w:fill="FFFFFF"/>
                <w:lang w:val="fr-FR"/>
              </w:rPr>
            </w:pPr>
            <w:r w:rsidRPr="00B540E0">
              <w:rPr>
                <w:rFonts w:ascii="Times New Roman" w:hAnsi="Times New Roman"/>
                <w:sz w:val="20"/>
                <w:szCs w:val="20"/>
                <w:shd w:val="clear" w:color="auto" w:fill="FFFFFF"/>
                <w:lang w:val="fr-FR"/>
              </w:rPr>
              <w:t>(</w:t>
            </w:r>
            <w:proofErr w:type="gramStart"/>
            <w:r w:rsidRPr="00B540E0">
              <w:rPr>
                <w:rFonts w:ascii="Times New Roman" w:hAnsi="Times New Roman"/>
                <w:sz w:val="20"/>
                <w:szCs w:val="20"/>
                <w:shd w:val="clear" w:color="auto" w:fill="FFFFFF"/>
                <w:lang w:val="fr-FR"/>
              </w:rPr>
              <w:t>3)</w:t>
            </w:r>
            <w:proofErr w:type="spellStart"/>
            <w:r w:rsidRPr="00B540E0">
              <w:rPr>
                <w:rFonts w:ascii="Times New Roman" w:hAnsi="Times New Roman"/>
                <w:sz w:val="20"/>
                <w:szCs w:val="20"/>
                <w:shd w:val="clear" w:color="auto" w:fill="FFFFFF"/>
                <w:lang w:val="fr-FR"/>
              </w:rPr>
              <w:t>Statele</w:t>
            </w:r>
            <w:proofErr w:type="spellEnd"/>
            <w:proofErr w:type="gramEnd"/>
            <w:r w:rsidRPr="00B540E0">
              <w:rPr>
                <w:rFonts w:ascii="Times New Roman" w:hAnsi="Times New Roman"/>
                <w:sz w:val="20"/>
                <w:szCs w:val="20"/>
                <w:shd w:val="clear" w:color="auto" w:fill="FFFFFF"/>
                <w:lang w:val="fr-FR"/>
              </w:rPr>
              <w:t xml:space="preserve"> membre </w:t>
            </w:r>
            <w:proofErr w:type="spellStart"/>
            <w:r w:rsidRPr="00B540E0">
              <w:rPr>
                <w:rFonts w:ascii="Times New Roman" w:hAnsi="Times New Roman"/>
                <w:sz w:val="20"/>
                <w:szCs w:val="20"/>
                <w:shd w:val="clear" w:color="auto" w:fill="FFFFFF"/>
                <w:lang w:val="fr-FR"/>
              </w:rPr>
              <w:t>își</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păstrează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dreptul</w:t>
            </w:r>
            <w:proofErr w:type="spellEnd"/>
            <w:r w:rsidRPr="00B540E0">
              <w:rPr>
                <w:rFonts w:ascii="Times New Roman" w:hAnsi="Times New Roman"/>
                <w:sz w:val="20"/>
                <w:szCs w:val="20"/>
                <w:shd w:val="clear" w:color="auto" w:fill="FFFFFF"/>
                <w:lang w:val="fr-FR"/>
              </w:rPr>
              <w:t xml:space="preserve"> de a </w:t>
            </w:r>
            <w:proofErr w:type="spellStart"/>
            <w:r w:rsidRPr="00B540E0">
              <w:rPr>
                <w:rFonts w:ascii="Times New Roman" w:hAnsi="Times New Roman"/>
                <w:sz w:val="20"/>
                <w:szCs w:val="20"/>
                <w:shd w:val="clear" w:color="auto" w:fill="FFFFFF"/>
                <w:lang w:val="fr-FR"/>
              </w:rPr>
              <w:t>decide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dacă</w:t>
            </w:r>
            <w:proofErr w:type="spellEnd"/>
            <w:r w:rsidRPr="00B540E0">
              <w:rPr>
                <w:rFonts w:ascii="Times New Roman" w:hAnsi="Times New Roman"/>
                <w:sz w:val="20"/>
                <w:szCs w:val="20"/>
                <w:shd w:val="clear" w:color="auto" w:fill="FFFFFF"/>
                <w:lang w:val="fr-FR"/>
              </w:rPr>
              <w:t xml:space="preserve"> și, în </w:t>
            </w:r>
            <w:proofErr w:type="spellStart"/>
            <w:r w:rsidRPr="00B540E0">
              <w:rPr>
                <w:rFonts w:ascii="Times New Roman" w:hAnsi="Times New Roman"/>
                <w:sz w:val="20"/>
                <w:szCs w:val="20"/>
                <w:shd w:val="clear" w:color="auto" w:fill="FFFFFF"/>
                <w:lang w:val="fr-FR"/>
              </w:rPr>
              <w:t>caz</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afirmativ</w:t>
            </w:r>
            <w:proofErr w:type="spellEnd"/>
            <w:r w:rsidRPr="00B540E0">
              <w:rPr>
                <w:rFonts w:ascii="Times New Roman" w:hAnsi="Times New Roman"/>
                <w:sz w:val="20"/>
                <w:szCs w:val="20"/>
                <w:shd w:val="clear" w:color="auto" w:fill="FFFFFF"/>
                <w:lang w:val="fr-FR"/>
              </w:rPr>
              <w:t xml:space="preserve">, în ce </w:t>
            </w:r>
            <w:proofErr w:type="spellStart"/>
            <w:r w:rsidRPr="00B540E0">
              <w:rPr>
                <w:rFonts w:ascii="Times New Roman" w:hAnsi="Times New Roman"/>
                <w:sz w:val="20"/>
                <w:szCs w:val="20"/>
                <w:shd w:val="clear" w:color="auto" w:fill="FFFFFF"/>
                <w:lang w:val="fr-FR"/>
              </w:rPr>
              <w:t>condiții</w:t>
            </w:r>
            <w:proofErr w:type="spellEnd"/>
            <w:r w:rsidRPr="00B540E0">
              <w:rPr>
                <w:rFonts w:ascii="Times New Roman" w:hAnsi="Times New Roman"/>
                <w:sz w:val="20"/>
                <w:szCs w:val="20"/>
                <w:shd w:val="clear" w:color="auto" w:fill="FFFFFF"/>
                <w:lang w:val="fr-FR"/>
              </w:rPr>
              <w:t xml:space="preserve"> permit ca </w:t>
            </w:r>
            <w:proofErr w:type="spellStart"/>
            <w:r w:rsidRPr="00B540E0">
              <w:rPr>
                <w:rFonts w:ascii="Times New Roman" w:hAnsi="Times New Roman"/>
                <w:sz w:val="20"/>
                <w:szCs w:val="20"/>
                <w:shd w:val="clear" w:color="auto" w:fill="FFFFFF"/>
                <w:lang w:val="fr-FR"/>
              </w:rPr>
              <w:t>instalațiile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situate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pe</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teritoriul</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lor</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primească</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sprijin</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din</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partea</w:t>
            </w:r>
            <w:proofErr w:type="spellEnd"/>
            <w:r w:rsidRPr="00B540E0">
              <w:rPr>
                <w:rFonts w:ascii="Times New Roman" w:hAnsi="Times New Roman"/>
                <w:sz w:val="20"/>
                <w:szCs w:val="20"/>
                <w:shd w:val="clear" w:color="auto" w:fill="FFFFFF"/>
                <w:lang w:val="fr-FR"/>
              </w:rPr>
              <w:t xml:space="preserve"> </w:t>
            </w:r>
            <w:proofErr w:type="spellStart"/>
            <w:r w:rsidRPr="00B540E0">
              <w:rPr>
                <w:rFonts w:ascii="Times New Roman" w:hAnsi="Times New Roman"/>
                <w:sz w:val="20"/>
                <w:szCs w:val="20"/>
                <w:shd w:val="clear" w:color="auto" w:fill="FFFFFF"/>
                <w:lang w:val="fr-FR"/>
              </w:rPr>
              <w:t>mecanismului</w:t>
            </w:r>
            <w:proofErr w:type="spellEnd"/>
            <w:r w:rsidRPr="00B540E0">
              <w:rPr>
                <w:rFonts w:ascii="Times New Roman" w:hAnsi="Times New Roman"/>
                <w:sz w:val="20"/>
                <w:szCs w:val="20"/>
                <w:shd w:val="clear" w:color="auto" w:fill="FFFFFF"/>
                <w:lang w:val="fr-FR"/>
              </w:rPr>
              <w:t xml:space="preserve"> de </w:t>
            </w:r>
            <w:proofErr w:type="spellStart"/>
            <w:r w:rsidRPr="00B540E0">
              <w:rPr>
                <w:rFonts w:ascii="Times New Roman" w:hAnsi="Times New Roman"/>
                <w:sz w:val="20"/>
                <w:szCs w:val="20"/>
                <w:shd w:val="clear" w:color="auto" w:fill="FFFFFF"/>
                <w:lang w:val="fr-FR"/>
              </w:rPr>
              <w:t>finanțare</w:t>
            </w:r>
            <w:proofErr w:type="spellEnd"/>
            <w:r w:rsidRPr="00B540E0">
              <w:rPr>
                <w:rFonts w:ascii="Times New Roman" w:hAnsi="Times New Roman"/>
                <w:sz w:val="20"/>
                <w:szCs w:val="20"/>
                <w:shd w:val="clear" w:color="auto" w:fill="FFFFFF"/>
                <w:lang w:val="fr-FR"/>
              </w:rPr>
              <w:t>.</w:t>
            </w:r>
          </w:p>
          <w:p w14:paraId="730F46A4" w14:textId="00F2B543" w:rsidR="0059162A" w:rsidRPr="00B540E0" w:rsidRDefault="0059162A" w:rsidP="0059162A">
            <w:pPr>
              <w:spacing w:after="0" w:line="240" w:lineRule="auto"/>
              <w:jc w:val="both"/>
              <w:rPr>
                <w:rFonts w:ascii="Times New Roman" w:hAnsi="Times New Roman"/>
                <w:sz w:val="20"/>
                <w:szCs w:val="20"/>
                <w:lang w:val="fr-FR" w:eastAsia="ru-RU"/>
              </w:rPr>
            </w:pPr>
            <w:r w:rsidRPr="00B540E0">
              <w:rPr>
                <w:rFonts w:ascii="Times New Roman" w:hAnsi="Times New Roman"/>
                <w:sz w:val="20"/>
                <w:szCs w:val="20"/>
                <w:lang w:val="fr-FR" w:eastAsia="ru-RU"/>
              </w:rPr>
              <w:t>(</w:t>
            </w:r>
            <w:proofErr w:type="gramStart"/>
            <w:r w:rsidRPr="00B540E0">
              <w:rPr>
                <w:rFonts w:ascii="Times New Roman" w:hAnsi="Times New Roman"/>
                <w:sz w:val="20"/>
                <w:szCs w:val="20"/>
                <w:lang w:val="fr-FR" w:eastAsia="ru-RU"/>
              </w:rPr>
              <w:t>4)</w:t>
            </w:r>
            <w:proofErr w:type="spellStart"/>
            <w:r w:rsidRPr="00B540E0">
              <w:rPr>
                <w:rFonts w:ascii="Times New Roman" w:hAnsi="Times New Roman"/>
                <w:sz w:val="20"/>
                <w:szCs w:val="20"/>
                <w:lang w:val="fr-FR" w:eastAsia="ru-RU"/>
              </w:rPr>
              <w:t>Comisia</w:t>
            </w:r>
            <w:proofErr w:type="spellEnd"/>
            <w:proofErr w:type="gram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asistată</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Comitetul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uniunii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energetice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menționat</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44 </w:t>
            </w:r>
            <w:proofErr w:type="spellStart"/>
            <w:r w:rsidRPr="00B540E0">
              <w:rPr>
                <w:rFonts w:ascii="Times New Roman" w:hAnsi="Times New Roman"/>
                <w:sz w:val="20"/>
                <w:szCs w:val="20"/>
                <w:lang w:val="fr-FR" w:eastAsia="ru-RU"/>
              </w:rPr>
              <w:t>alineatul</w:t>
            </w:r>
            <w:proofErr w:type="spellEnd"/>
            <w:r w:rsidRPr="00B540E0">
              <w:rPr>
                <w:rFonts w:ascii="Times New Roman" w:hAnsi="Times New Roman"/>
                <w:sz w:val="20"/>
                <w:szCs w:val="20"/>
                <w:lang w:val="fr-FR" w:eastAsia="ru-RU"/>
              </w:rPr>
              <w:t xml:space="preserve"> (1) litera (b), </w:t>
            </w:r>
            <w:proofErr w:type="spellStart"/>
            <w:r w:rsidRPr="00B540E0">
              <w:rPr>
                <w:rFonts w:ascii="Times New Roman" w:hAnsi="Times New Roman"/>
                <w:sz w:val="20"/>
                <w:szCs w:val="20"/>
                <w:lang w:val="fr-FR" w:eastAsia="ru-RU"/>
              </w:rPr>
              <w:t>poate</w:t>
            </w:r>
            <w:proofErr w:type="spellEnd"/>
            <w:r w:rsidRPr="00B540E0">
              <w:rPr>
                <w:rFonts w:ascii="Times New Roman" w:hAnsi="Times New Roman"/>
                <w:sz w:val="20"/>
                <w:szCs w:val="20"/>
                <w:lang w:val="fr-FR" w:eastAsia="ru-RU"/>
              </w:rPr>
              <w:t xml:space="preserve"> adopta acte de </w:t>
            </w:r>
            <w:proofErr w:type="spellStart"/>
            <w:r w:rsidRPr="00B540E0">
              <w:rPr>
                <w:rFonts w:ascii="Times New Roman" w:hAnsi="Times New Roman"/>
                <w:sz w:val="20"/>
                <w:szCs w:val="20"/>
                <w:lang w:val="fr-FR" w:eastAsia="ru-RU"/>
              </w:rPr>
              <w:t>punere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aplicare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stabili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dispozițiile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necesare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înființarea</w:t>
            </w:r>
            <w:proofErr w:type="spellEnd"/>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funcționarea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mecanismului</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finanțare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special</w:t>
            </w:r>
            <w:proofErr w:type="spellEnd"/>
            <w:r w:rsidRPr="00B540E0">
              <w:rPr>
                <w:rFonts w:ascii="Times New Roman" w:hAnsi="Times New Roman"/>
                <w:sz w:val="20"/>
                <w:szCs w:val="20"/>
                <w:lang w:val="fr-FR" w:eastAsia="ru-RU"/>
              </w:rPr>
              <w:t>:</w:t>
            </w:r>
          </w:p>
          <w:p w14:paraId="7A20761F" w14:textId="1525AD58" w:rsidR="0059162A" w:rsidRPr="00B540E0" w:rsidRDefault="0059162A" w:rsidP="000C5A3B">
            <w:pPr>
              <w:pStyle w:val="af3"/>
              <w:numPr>
                <w:ilvl w:val="0"/>
                <w:numId w:val="129"/>
              </w:numPr>
              <w:jc w:val="both"/>
              <w:rPr>
                <w:rFonts w:ascii="Times New Roman" w:hAnsi="Times New Roman"/>
                <w:sz w:val="20"/>
                <w:szCs w:val="20"/>
                <w:lang w:val="fr-FR" w:eastAsia="ru-RU"/>
              </w:rPr>
            </w:pPr>
            <w:proofErr w:type="spellStart"/>
            <w:proofErr w:type="gramStart"/>
            <w:r w:rsidRPr="00B540E0">
              <w:rPr>
                <w:rFonts w:ascii="Times New Roman" w:hAnsi="Times New Roman"/>
                <w:sz w:val="20"/>
                <w:szCs w:val="20"/>
                <w:lang w:val="fr-FR" w:eastAsia="ru-RU"/>
              </w:rPr>
              <w:t>metodologia</w:t>
            </w:r>
            <w:proofErr w:type="spellEnd"/>
            <w:proofErr w:type="gram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calculare</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nivelului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maxim</w:t>
            </w:r>
            <w:proofErr w:type="spellEnd"/>
            <w:r w:rsidRPr="00B540E0">
              <w:rPr>
                <w:rFonts w:ascii="Times New Roman" w:hAnsi="Times New Roman"/>
                <w:sz w:val="20"/>
                <w:szCs w:val="20"/>
                <w:lang w:val="fr-FR" w:eastAsia="ru-RU"/>
              </w:rPr>
              <w:t xml:space="preserve"> al </w:t>
            </w:r>
            <w:proofErr w:type="spellStart"/>
            <w:r w:rsidRPr="00B540E0">
              <w:rPr>
                <w:rFonts w:ascii="Times New Roman" w:hAnsi="Times New Roman"/>
                <w:sz w:val="20"/>
                <w:szCs w:val="20"/>
                <w:lang w:val="fr-FR" w:eastAsia="ru-RU"/>
              </w:rPr>
              <w:t>primei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fiecare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ofertă</w:t>
            </w:r>
            <w:proofErr w:type="spellEnd"/>
            <w:r w:rsidRPr="00B540E0">
              <w:rPr>
                <w:rFonts w:ascii="Times New Roman" w:hAnsi="Times New Roman"/>
                <w:sz w:val="20"/>
                <w:szCs w:val="20"/>
                <w:lang w:val="fr-FR" w:eastAsia="ru-RU"/>
              </w:rPr>
              <w:t>;</w:t>
            </w:r>
          </w:p>
          <w:p w14:paraId="6177B852" w14:textId="23E279B9" w:rsidR="0059162A" w:rsidRPr="00B540E0" w:rsidRDefault="0059162A" w:rsidP="000C5A3B">
            <w:pPr>
              <w:pStyle w:val="af3"/>
              <w:numPr>
                <w:ilvl w:val="0"/>
                <w:numId w:val="129"/>
              </w:numPr>
              <w:jc w:val="both"/>
              <w:rPr>
                <w:rFonts w:ascii="Times New Roman" w:hAnsi="Times New Roman"/>
                <w:sz w:val="20"/>
                <w:szCs w:val="20"/>
                <w:lang w:val="fr-FR" w:eastAsia="ru-RU"/>
              </w:rPr>
            </w:pPr>
            <w:proofErr w:type="spellStart"/>
            <w:r w:rsidRPr="00B540E0">
              <w:rPr>
                <w:rFonts w:ascii="Times New Roman" w:hAnsi="Times New Roman"/>
                <w:sz w:val="20"/>
                <w:szCs w:val="20"/>
                <w:lang w:val="en-US" w:eastAsia="ru-RU"/>
              </w:rPr>
              <w:t>modelul</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procedurii</w:t>
            </w:r>
            <w:proofErr w:type="spellEnd"/>
            <w:r w:rsidRPr="00B540E0">
              <w:rPr>
                <w:rFonts w:ascii="Times New Roman" w:hAnsi="Times New Roman"/>
                <w:sz w:val="20"/>
                <w:szCs w:val="20"/>
                <w:lang w:val="en-US" w:eastAsia="ru-RU"/>
              </w:rPr>
              <w:t xml:space="preserve"> de </w:t>
            </w:r>
            <w:proofErr w:type="spellStart"/>
            <w:r w:rsidRPr="00B540E0">
              <w:rPr>
                <w:rFonts w:ascii="Times New Roman" w:hAnsi="Times New Roman"/>
                <w:sz w:val="20"/>
                <w:szCs w:val="20"/>
                <w:lang w:val="en-US" w:eastAsia="ru-RU"/>
              </w:rPr>
              <w:t>ofertare</w:t>
            </w:r>
            <w:proofErr w:type="spellEnd"/>
            <w:r w:rsidRPr="00B540E0">
              <w:rPr>
                <w:rFonts w:ascii="Times New Roman" w:hAnsi="Times New Roman"/>
                <w:sz w:val="20"/>
                <w:szCs w:val="20"/>
                <w:lang w:val="en-US" w:eastAsia="ru-RU"/>
              </w:rPr>
              <w:t xml:space="preserve"> care </w:t>
            </w:r>
            <w:proofErr w:type="spellStart"/>
            <w:r w:rsidRPr="00B540E0">
              <w:rPr>
                <w:rFonts w:ascii="Times New Roman" w:hAnsi="Times New Roman"/>
                <w:sz w:val="20"/>
                <w:szCs w:val="20"/>
                <w:lang w:val="en-US" w:eastAsia="ru-RU"/>
              </w:rPr>
              <w:t>urmează</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să</w:t>
            </w:r>
            <w:proofErr w:type="spellEnd"/>
            <w:r w:rsidRPr="00B540E0">
              <w:rPr>
                <w:rFonts w:ascii="Times New Roman" w:hAnsi="Times New Roman"/>
                <w:sz w:val="20"/>
                <w:szCs w:val="20"/>
                <w:lang w:val="en-US" w:eastAsia="ru-RU"/>
              </w:rPr>
              <w:t xml:space="preserve"> fie </w:t>
            </w:r>
            <w:proofErr w:type="spellStart"/>
            <w:r w:rsidRPr="00B540E0">
              <w:rPr>
                <w:rFonts w:ascii="Times New Roman" w:hAnsi="Times New Roman"/>
                <w:sz w:val="20"/>
                <w:szCs w:val="20"/>
                <w:lang w:val="en-US" w:eastAsia="ru-RU"/>
              </w:rPr>
              <w:t>aplicat</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inclusiv</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condițiile</w:t>
            </w:r>
            <w:proofErr w:type="spellEnd"/>
            <w:r w:rsidRPr="00B540E0">
              <w:rPr>
                <w:rFonts w:ascii="Times New Roman" w:hAnsi="Times New Roman"/>
                <w:sz w:val="20"/>
                <w:szCs w:val="20"/>
                <w:lang w:val="en-US" w:eastAsia="ru-RU"/>
              </w:rPr>
              <w:t xml:space="preserve"> de </w:t>
            </w:r>
            <w:proofErr w:type="spellStart"/>
            <w:r w:rsidRPr="00B540E0">
              <w:rPr>
                <w:rFonts w:ascii="Times New Roman" w:hAnsi="Times New Roman"/>
                <w:sz w:val="20"/>
                <w:szCs w:val="20"/>
                <w:lang w:val="en-US" w:eastAsia="ru-RU"/>
              </w:rPr>
              <w:t>realizare</w:t>
            </w:r>
            <w:proofErr w:type="spellEnd"/>
            <w:r w:rsidRPr="00B540E0">
              <w:rPr>
                <w:rFonts w:ascii="Times New Roman" w:hAnsi="Times New Roman"/>
                <w:sz w:val="20"/>
                <w:szCs w:val="20"/>
                <w:lang w:val="en-US" w:eastAsia="ru-RU"/>
              </w:rPr>
              <w:t xml:space="preserve"> și </w:t>
            </w:r>
            <w:proofErr w:type="spellStart"/>
            <w:r w:rsidRPr="00B540E0">
              <w:rPr>
                <w:rFonts w:ascii="Times New Roman" w:hAnsi="Times New Roman"/>
                <w:sz w:val="20"/>
                <w:szCs w:val="20"/>
                <w:lang w:val="en-US" w:eastAsia="ru-RU"/>
              </w:rPr>
              <w:t>sancțiunile</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aferente</w:t>
            </w:r>
            <w:proofErr w:type="spellEnd"/>
            <w:r w:rsidRPr="00B540E0">
              <w:rPr>
                <w:rFonts w:ascii="Times New Roman" w:hAnsi="Times New Roman"/>
                <w:sz w:val="20"/>
                <w:szCs w:val="20"/>
                <w:lang w:val="en-US" w:eastAsia="ru-RU"/>
              </w:rPr>
              <w:t>;</w:t>
            </w:r>
          </w:p>
          <w:p w14:paraId="42647C22" w14:textId="10CD22C1" w:rsidR="0059162A" w:rsidRPr="00B540E0" w:rsidRDefault="0059162A" w:rsidP="000C5A3B">
            <w:pPr>
              <w:pStyle w:val="af3"/>
              <w:numPr>
                <w:ilvl w:val="0"/>
                <w:numId w:val="129"/>
              </w:numPr>
              <w:jc w:val="both"/>
              <w:rPr>
                <w:rFonts w:ascii="Times New Roman" w:hAnsi="Times New Roman"/>
                <w:sz w:val="20"/>
                <w:szCs w:val="20"/>
                <w:lang w:val="en-US" w:eastAsia="ru-RU"/>
              </w:rPr>
            </w:pPr>
            <w:proofErr w:type="spellStart"/>
            <w:r w:rsidRPr="00B540E0">
              <w:rPr>
                <w:rFonts w:ascii="Times New Roman" w:hAnsi="Times New Roman"/>
                <w:sz w:val="20"/>
                <w:szCs w:val="20"/>
                <w:lang w:val="en-US" w:eastAsia="ru-RU"/>
              </w:rPr>
              <w:t>metodologia</w:t>
            </w:r>
            <w:proofErr w:type="spellEnd"/>
            <w:r w:rsidRPr="00B540E0">
              <w:rPr>
                <w:rFonts w:ascii="Times New Roman" w:hAnsi="Times New Roman"/>
                <w:sz w:val="20"/>
                <w:szCs w:val="20"/>
                <w:lang w:val="en-US" w:eastAsia="ru-RU"/>
              </w:rPr>
              <w:t xml:space="preserve"> de </w:t>
            </w:r>
            <w:proofErr w:type="spellStart"/>
            <w:r w:rsidRPr="00B540E0">
              <w:rPr>
                <w:rFonts w:ascii="Times New Roman" w:hAnsi="Times New Roman"/>
                <w:sz w:val="20"/>
                <w:szCs w:val="20"/>
                <w:lang w:val="en-US" w:eastAsia="ru-RU"/>
              </w:rPr>
              <w:t>calculare</w:t>
            </w:r>
            <w:proofErr w:type="spellEnd"/>
            <w:r w:rsidRPr="00B540E0">
              <w:rPr>
                <w:rFonts w:ascii="Times New Roman" w:hAnsi="Times New Roman"/>
                <w:sz w:val="20"/>
                <w:szCs w:val="20"/>
                <w:lang w:val="en-US" w:eastAsia="ru-RU"/>
              </w:rPr>
              <w:t xml:space="preserve"> a </w:t>
            </w:r>
            <w:proofErr w:type="spellStart"/>
            <w:r w:rsidRPr="00B540E0">
              <w:rPr>
                <w:rFonts w:ascii="Times New Roman" w:hAnsi="Times New Roman"/>
                <w:sz w:val="20"/>
                <w:szCs w:val="20"/>
                <w:lang w:val="en-US" w:eastAsia="ru-RU"/>
              </w:rPr>
              <w:t>plăților</w:t>
            </w:r>
            <w:proofErr w:type="spellEnd"/>
            <w:r w:rsidRPr="00B540E0">
              <w:rPr>
                <w:rFonts w:ascii="Times New Roman" w:hAnsi="Times New Roman"/>
                <w:sz w:val="20"/>
                <w:szCs w:val="20"/>
                <w:lang w:val="en-US" w:eastAsia="ru-RU"/>
              </w:rPr>
              <w:t xml:space="preserve"> din </w:t>
            </w:r>
            <w:proofErr w:type="spellStart"/>
            <w:r w:rsidRPr="00B540E0">
              <w:rPr>
                <w:rFonts w:ascii="Times New Roman" w:hAnsi="Times New Roman"/>
                <w:sz w:val="20"/>
                <w:szCs w:val="20"/>
                <w:lang w:val="en-US" w:eastAsia="ru-RU"/>
              </w:rPr>
              <w:t>partea</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statelor</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membre</w:t>
            </w:r>
            <w:proofErr w:type="spellEnd"/>
            <w:r w:rsidRPr="00B540E0">
              <w:rPr>
                <w:rFonts w:ascii="Times New Roman" w:hAnsi="Times New Roman"/>
                <w:sz w:val="20"/>
                <w:szCs w:val="20"/>
                <w:lang w:val="en-US" w:eastAsia="ru-RU"/>
              </w:rPr>
              <w:t xml:space="preserve"> și a </w:t>
            </w:r>
            <w:proofErr w:type="spellStart"/>
            <w:r w:rsidRPr="00B540E0">
              <w:rPr>
                <w:rFonts w:ascii="Times New Roman" w:hAnsi="Times New Roman"/>
                <w:sz w:val="20"/>
                <w:szCs w:val="20"/>
                <w:lang w:val="en-US" w:eastAsia="ru-RU"/>
              </w:rPr>
              <w:t>beneficiilor</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statistice</w:t>
            </w:r>
            <w:proofErr w:type="spellEnd"/>
            <w:r w:rsidRPr="00B540E0">
              <w:rPr>
                <w:rFonts w:ascii="Times New Roman" w:hAnsi="Times New Roman"/>
                <w:sz w:val="20"/>
                <w:szCs w:val="20"/>
                <w:lang w:val="en-US" w:eastAsia="ru-RU"/>
              </w:rPr>
              <w:t xml:space="preserve"> care </w:t>
            </w:r>
            <w:proofErr w:type="spellStart"/>
            <w:r w:rsidRPr="00B540E0">
              <w:rPr>
                <w:rFonts w:ascii="Times New Roman" w:hAnsi="Times New Roman"/>
                <w:sz w:val="20"/>
                <w:szCs w:val="20"/>
                <w:lang w:val="en-US" w:eastAsia="ru-RU"/>
              </w:rPr>
              <w:t>rezultă</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pentru</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statele</w:t>
            </w:r>
            <w:proofErr w:type="spellEnd"/>
            <w:r w:rsidRPr="00B540E0">
              <w:rPr>
                <w:rFonts w:ascii="Times New Roman" w:hAnsi="Times New Roman"/>
                <w:sz w:val="20"/>
                <w:szCs w:val="20"/>
                <w:lang w:val="en-US" w:eastAsia="ru-RU"/>
              </w:rPr>
              <w:t xml:space="preserve"> </w:t>
            </w:r>
            <w:proofErr w:type="spellStart"/>
            <w:r w:rsidRPr="00B540E0">
              <w:rPr>
                <w:rFonts w:ascii="Times New Roman" w:hAnsi="Times New Roman"/>
                <w:sz w:val="20"/>
                <w:szCs w:val="20"/>
                <w:lang w:val="en-US" w:eastAsia="ru-RU"/>
              </w:rPr>
              <w:t>membre</w:t>
            </w:r>
            <w:proofErr w:type="spellEnd"/>
            <w:r w:rsidRPr="00B540E0">
              <w:rPr>
                <w:rFonts w:ascii="Times New Roman" w:hAnsi="Times New Roman"/>
                <w:sz w:val="20"/>
                <w:szCs w:val="20"/>
                <w:lang w:val="en-US" w:eastAsia="ru-RU"/>
              </w:rPr>
              <w:t xml:space="preserve"> care </w:t>
            </w:r>
            <w:proofErr w:type="spellStart"/>
            <w:r w:rsidRPr="00B540E0">
              <w:rPr>
                <w:rFonts w:ascii="Times New Roman" w:hAnsi="Times New Roman"/>
                <w:sz w:val="20"/>
                <w:szCs w:val="20"/>
                <w:lang w:val="en-US" w:eastAsia="ru-RU"/>
              </w:rPr>
              <w:t>contribuie</w:t>
            </w:r>
            <w:proofErr w:type="spellEnd"/>
            <w:r w:rsidRPr="00B540E0">
              <w:rPr>
                <w:rFonts w:ascii="Times New Roman" w:hAnsi="Times New Roman"/>
                <w:sz w:val="20"/>
                <w:szCs w:val="20"/>
                <w:lang w:val="en-US" w:eastAsia="ru-RU"/>
              </w:rPr>
              <w:t>;</w:t>
            </w:r>
          </w:p>
          <w:p w14:paraId="28BAF3D2" w14:textId="169FCA02" w:rsidR="0059162A" w:rsidRPr="00B540E0" w:rsidRDefault="0059162A" w:rsidP="000C5A3B">
            <w:pPr>
              <w:pStyle w:val="af3"/>
              <w:numPr>
                <w:ilvl w:val="0"/>
                <w:numId w:val="129"/>
              </w:numPr>
              <w:jc w:val="both"/>
              <w:rPr>
                <w:rFonts w:ascii="Times New Roman" w:hAnsi="Times New Roman"/>
                <w:sz w:val="20"/>
                <w:szCs w:val="20"/>
                <w:lang w:val="fr-FR" w:eastAsia="ru-RU"/>
              </w:rPr>
            </w:pPr>
            <w:proofErr w:type="spellStart"/>
            <w:proofErr w:type="gramStart"/>
            <w:r w:rsidRPr="00B540E0">
              <w:rPr>
                <w:rFonts w:ascii="Times New Roman" w:hAnsi="Times New Roman"/>
                <w:sz w:val="20"/>
                <w:szCs w:val="20"/>
                <w:lang w:val="fr-FR" w:eastAsia="ru-RU"/>
              </w:rPr>
              <w:t>cerințele</w:t>
            </w:r>
            <w:proofErr w:type="spellEnd"/>
            <w:proofErr w:type="gramEnd"/>
            <w:r w:rsidRPr="00B540E0">
              <w:rPr>
                <w:rFonts w:ascii="Times New Roman" w:hAnsi="Times New Roman"/>
                <w:sz w:val="20"/>
                <w:szCs w:val="20"/>
                <w:lang w:val="fr-FR" w:eastAsia="ru-RU"/>
              </w:rPr>
              <w:t xml:space="preserve"> minime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participarea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w:t>
            </w:r>
            <w:proofErr w:type="spellStart"/>
            <w:r w:rsidRPr="00B540E0">
              <w:rPr>
                <w:rFonts w:ascii="Times New Roman" w:hAnsi="Times New Roman"/>
                <w:sz w:val="20"/>
                <w:szCs w:val="20"/>
                <w:lang w:val="fr-FR" w:eastAsia="ru-RU"/>
              </w:rPr>
              <w:t>ținând</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seama</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necesitatea</w:t>
            </w:r>
            <w:proofErr w:type="spellEnd"/>
            <w:r w:rsidRPr="00B540E0">
              <w:rPr>
                <w:rFonts w:ascii="Times New Roman" w:hAnsi="Times New Roman"/>
                <w:sz w:val="20"/>
                <w:szCs w:val="20"/>
                <w:lang w:val="fr-FR" w:eastAsia="ru-RU"/>
              </w:rPr>
              <w:t xml:space="preserve"> de a </w:t>
            </w:r>
            <w:proofErr w:type="spellStart"/>
            <w:r w:rsidRPr="00B540E0">
              <w:rPr>
                <w:rFonts w:ascii="Times New Roman" w:hAnsi="Times New Roman"/>
                <w:sz w:val="20"/>
                <w:szCs w:val="20"/>
                <w:lang w:val="fr-FR" w:eastAsia="ru-RU"/>
              </w:rPr>
              <w:t>asigura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atât</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continuitatea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mecanismului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intermediul</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unei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durate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suficiente</w:t>
            </w:r>
            <w:proofErr w:type="spellEnd"/>
            <w:r w:rsidRPr="00B540E0">
              <w:rPr>
                <w:rFonts w:ascii="Times New Roman" w:hAnsi="Times New Roman"/>
                <w:sz w:val="20"/>
                <w:szCs w:val="20"/>
                <w:lang w:val="fr-FR" w:eastAsia="ru-RU"/>
              </w:rPr>
              <w:t xml:space="preserve"> a </w:t>
            </w:r>
            <w:proofErr w:type="spellStart"/>
            <w:r w:rsidRPr="00B540E0">
              <w:rPr>
                <w:rFonts w:ascii="Times New Roman" w:hAnsi="Times New Roman"/>
                <w:sz w:val="20"/>
                <w:szCs w:val="20"/>
                <w:lang w:val="fr-FR" w:eastAsia="ru-RU"/>
              </w:rPr>
              <w:t>plăților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din</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w:t>
            </w:r>
            <w:proofErr w:type="spellStart"/>
            <w:r w:rsidRPr="00B540E0">
              <w:rPr>
                <w:rFonts w:ascii="Times New Roman" w:hAnsi="Times New Roman"/>
                <w:sz w:val="20"/>
                <w:szCs w:val="20"/>
                <w:lang w:val="fr-FR" w:eastAsia="ru-RU"/>
              </w:rPr>
              <w:t>cât</w:t>
            </w:r>
            <w:proofErr w:type="spellEnd"/>
            <w:r w:rsidRPr="00B540E0">
              <w:rPr>
                <w:rFonts w:ascii="Times New Roman" w:hAnsi="Times New Roman"/>
                <w:sz w:val="20"/>
                <w:szCs w:val="20"/>
                <w:lang w:val="fr-FR" w:eastAsia="ru-RU"/>
              </w:rPr>
              <w:t xml:space="preserve"> și un </w:t>
            </w:r>
            <w:proofErr w:type="spellStart"/>
            <w:r w:rsidRPr="00B540E0">
              <w:rPr>
                <w:rFonts w:ascii="Times New Roman" w:hAnsi="Times New Roman"/>
                <w:sz w:val="20"/>
                <w:szCs w:val="20"/>
                <w:lang w:val="fr-FR" w:eastAsia="ru-RU"/>
              </w:rPr>
              <w:t>maxim</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flexibilitate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pentru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participarea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w:t>
            </w:r>
          </w:p>
          <w:p w14:paraId="0252F3F1" w14:textId="07676DE6" w:rsidR="0059162A" w:rsidRPr="00B540E0" w:rsidRDefault="00552C68" w:rsidP="000C5A3B">
            <w:pPr>
              <w:pStyle w:val="af3"/>
              <w:numPr>
                <w:ilvl w:val="0"/>
                <w:numId w:val="129"/>
              </w:numPr>
              <w:spacing w:after="0" w:line="240" w:lineRule="auto"/>
              <w:jc w:val="both"/>
              <w:rPr>
                <w:rFonts w:ascii="Times New Roman" w:hAnsi="Times New Roman"/>
                <w:sz w:val="20"/>
                <w:szCs w:val="20"/>
                <w:lang w:val="fr-FR" w:eastAsia="ru-RU"/>
              </w:rPr>
            </w:pPr>
            <w:proofErr w:type="spellStart"/>
            <w:proofErr w:type="gramStart"/>
            <w:r w:rsidRPr="00B540E0">
              <w:rPr>
                <w:rFonts w:ascii="Times New Roman" w:hAnsi="Times New Roman"/>
                <w:sz w:val="20"/>
                <w:szCs w:val="20"/>
                <w:lang w:val="fr-FR" w:eastAsia="ru-RU"/>
              </w:rPr>
              <w:lastRenderedPageBreak/>
              <w:t>dispoziții</w:t>
            </w:r>
            <w:proofErr w:type="spellEnd"/>
            <w:proofErr w:type="gramEnd"/>
            <w:r w:rsidRPr="00B540E0">
              <w:rPr>
                <w:rFonts w:ascii="Times New Roman" w:hAnsi="Times New Roman"/>
                <w:sz w:val="20"/>
                <w:szCs w:val="20"/>
                <w:lang w:val="fr-FR" w:eastAsia="ru-RU"/>
              </w:rPr>
              <w:t xml:space="preserve"> care </w:t>
            </w:r>
            <w:proofErr w:type="spellStart"/>
            <w:r w:rsidRPr="00B540E0">
              <w:rPr>
                <w:rFonts w:ascii="Times New Roman" w:hAnsi="Times New Roman"/>
                <w:sz w:val="20"/>
                <w:szCs w:val="20"/>
                <w:lang w:val="fr-FR" w:eastAsia="ru-RU"/>
              </w:rPr>
              <w:t>asigură</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participarea</w:t>
            </w:r>
            <w:proofErr w:type="spellEnd"/>
            <w:r w:rsidRPr="00B540E0">
              <w:rPr>
                <w:rFonts w:ascii="Times New Roman" w:hAnsi="Times New Roman"/>
                <w:sz w:val="20"/>
                <w:szCs w:val="20"/>
                <w:lang w:val="fr-FR" w:eastAsia="ru-RU"/>
              </w:rPr>
              <w:t xml:space="preserve"> și/</w:t>
            </w:r>
            <w:proofErr w:type="spellStart"/>
            <w:r w:rsidRPr="00B540E0">
              <w:rPr>
                <w:rFonts w:ascii="Times New Roman" w:hAnsi="Times New Roman"/>
                <w:sz w:val="20"/>
                <w:szCs w:val="20"/>
                <w:lang w:val="fr-FR" w:eastAsia="ru-RU"/>
              </w:rPr>
              <w:t>sau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aprobarea</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statelor</w:t>
            </w:r>
            <w:proofErr w:type="spellEnd"/>
            <w:r w:rsidRPr="00B540E0">
              <w:rPr>
                <w:rFonts w:ascii="Times New Roman" w:hAnsi="Times New Roman"/>
                <w:sz w:val="20"/>
                <w:szCs w:val="20"/>
                <w:lang w:val="fr-FR" w:eastAsia="ru-RU"/>
              </w:rPr>
              <w:t xml:space="preserve"> membre </w:t>
            </w:r>
            <w:proofErr w:type="spellStart"/>
            <w:r w:rsidRPr="00B540E0">
              <w:rPr>
                <w:rFonts w:ascii="Times New Roman" w:hAnsi="Times New Roman"/>
                <w:sz w:val="20"/>
                <w:szCs w:val="20"/>
                <w:lang w:val="fr-FR" w:eastAsia="ru-RU"/>
              </w:rPr>
              <w:t>gazdă</w:t>
            </w:r>
            <w:proofErr w:type="spellEnd"/>
            <w:r w:rsidRPr="00B540E0">
              <w:rPr>
                <w:rFonts w:ascii="Times New Roman" w:hAnsi="Times New Roman"/>
                <w:sz w:val="20"/>
                <w:szCs w:val="20"/>
                <w:lang w:val="fr-FR" w:eastAsia="ru-RU"/>
              </w:rPr>
              <w:t xml:space="preserve"> și, </w:t>
            </w:r>
            <w:proofErr w:type="spellStart"/>
            <w:r w:rsidRPr="00B540E0">
              <w:rPr>
                <w:rFonts w:ascii="Times New Roman" w:hAnsi="Times New Roman"/>
                <w:sz w:val="20"/>
                <w:szCs w:val="20"/>
                <w:lang w:val="fr-FR" w:eastAsia="ru-RU"/>
              </w:rPr>
              <w:t>dacă</w:t>
            </w:r>
            <w:proofErr w:type="spellEnd"/>
            <w:r w:rsidRPr="00B540E0">
              <w:rPr>
                <w:rFonts w:ascii="Times New Roman" w:hAnsi="Times New Roman"/>
                <w:sz w:val="20"/>
                <w:szCs w:val="20"/>
                <w:lang w:val="fr-FR" w:eastAsia="ru-RU"/>
              </w:rPr>
              <w:t xml:space="preserve"> este </w:t>
            </w:r>
            <w:proofErr w:type="spellStart"/>
            <w:r w:rsidRPr="00B540E0">
              <w:rPr>
                <w:rFonts w:ascii="Times New Roman" w:hAnsi="Times New Roman"/>
                <w:sz w:val="20"/>
                <w:szCs w:val="20"/>
                <w:lang w:val="fr-FR" w:eastAsia="ru-RU"/>
              </w:rPr>
              <w:t>necesar</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dispoziții</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referitoare</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costurile</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sistem</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suplimentare</w:t>
            </w:r>
            <w:proofErr w:type="spellEnd"/>
            <w:r w:rsidRPr="00B540E0">
              <w:rPr>
                <w:rFonts w:ascii="Times New Roman" w:hAnsi="Times New Roman"/>
                <w:sz w:val="20"/>
                <w:szCs w:val="20"/>
                <w:lang w:val="fr-FR" w:eastAsia="ru-RU"/>
              </w:rPr>
              <w:t>.</w:t>
            </w:r>
          </w:p>
          <w:p w14:paraId="4A2D4E9C" w14:textId="77777777" w:rsidR="0059162A" w:rsidRPr="00B540E0" w:rsidRDefault="00552C68" w:rsidP="00552C68">
            <w:pPr>
              <w:spacing w:after="0" w:line="240" w:lineRule="auto"/>
              <w:jc w:val="both"/>
              <w:rPr>
                <w:rFonts w:ascii="Times New Roman" w:hAnsi="Times New Roman"/>
                <w:sz w:val="20"/>
                <w:szCs w:val="20"/>
                <w:lang w:val="fr-FR" w:eastAsia="ru-RU"/>
              </w:rPr>
            </w:pPr>
            <w:proofErr w:type="spellStart"/>
            <w:r w:rsidRPr="00B540E0">
              <w:rPr>
                <w:rFonts w:ascii="Times New Roman" w:hAnsi="Times New Roman"/>
                <w:sz w:val="20"/>
                <w:szCs w:val="20"/>
                <w:lang w:val="fr-FR" w:eastAsia="ru-RU"/>
              </w:rPr>
              <w:t>Respectivele</w:t>
            </w:r>
            <w:proofErr w:type="spellEnd"/>
            <w:r w:rsidRPr="00B540E0">
              <w:rPr>
                <w:rFonts w:ascii="Times New Roman" w:hAnsi="Times New Roman"/>
                <w:sz w:val="20"/>
                <w:szCs w:val="20"/>
                <w:lang w:val="fr-FR" w:eastAsia="ru-RU"/>
              </w:rPr>
              <w:t xml:space="preserve"> acte de </w:t>
            </w:r>
            <w:proofErr w:type="spellStart"/>
            <w:r w:rsidRPr="00B540E0">
              <w:rPr>
                <w:rFonts w:ascii="Times New Roman" w:hAnsi="Times New Roman"/>
                <w:sz w:val="20"/>
                <w:szCs w:val="20"/>
                <w:lang w:val="fr-FR" w:eastAsia="ru-RU"/>
              </w:rPr>
              <w:t>punere</w:t>
            </w:r>
            <w:proofErr w:type="spellEnd"/>
            <w:r w:rsidRPr="00B540E0">
              <w:rPr>
                <w:rFonts w:ascii="Times New Roman" w:hAnsi="Times New Roman"/>
                <w:sz w:val="20"/>
                <w:szCs w:val="20"/>
                <w:lang w:val="fr-FR" w:eastAsia="ru-RU"/>
              </w:rPr>
              <w:t xml:space="preserve"> în </w:t>
            </w:r>
            <w:proofErr w:type="spellStart"/>
            <w:r w:rsidRPr="00B540E0">
              <w:rPr>
                <w:rFonts w:ascii="Times New Roman" w:hAnsi="Times New Roman"/>
                <w:sz w:val="20"/>
                <w:szCs w:val="20"/>
                <w:lang w:val="fr-FR" w:eastAsia="ru-RU"/>
              </w:rPr>
              <w:t>aplicare</w:t>
            </w:r>
            <w:proofErr w:type="spellEnd"/>
            <w:r w:rsidRPr="00B540E0">
              <w:rPr>
                <w:rFonts w:ascii="Times New Roman" w:hAnsi="Times New Roman"/>
                <w:sz w:val="20"/>
                <w:szCs w:val="20"/>
                <w:lang w:val="fr-FR" w:eastAsia="ru-RU"/>
              </w:rPr>
              <w:t xml:space="preserve"> se </w:t>
            </w:r>
            <w:proofErr w:type="spellStart"/>
            <w:r w:rsidRPr="00B540E0">
              <w:rPr>
                <w:rFonts w:ascii="Times New Roman" w:hAnsi="Times New Roman"/>
                <w:sz w:val="20"/>
                <w:szCs w:val="20"/>
                <w:lang w:val="fr-FR" w:eastAsia="ru-RU"/>
              </w:rPr>
              <w:t>adoptă</w:t>
            </w:r>
            <w:proofErr w:type="spellEnd"/>
            <w:r w:rsidRPr="00B540E0">
              <w:rPr>
                <w:rFonts w:ascii="Times New Roman" w:hAnsi="Times New Roman"/>
                <w:sz w:val="20"/>
                <w:szCs w:val="20"/>
                <w:lang w:val="fr-FR" w:eastAsia="ru-RU"/>
              </w:rPr>
              <w:t xml:space="preserve"> în conformitate </w:t>
            </w:r>
            <w:proofErr w:type="spellStart"/>
            <w:r w:rsidRPr="00B540E0">
              <w:rPr>
                <w:rFonts w:ascii="Times New Roman" w:hAnsi="Times New Roman"/>
                <w:sz w:val="20"/>
                <w:szCs w:val="20"/>
                <w:lang w:val="fr-FR" w:eastAsia="ru-RU"/>
              </w:rPr>
              <w:t>cu</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procedura</w:t>
            </w:r>
            <w:proofErr w:type="spellEnd"/>
            <w:r w:rsidRPr="00B540E0">
              <w:rPr>
                <w:rFonts w:ascii="Times New Roman" w:hAnsi="Times New Roman"/>
                <w:sz w:val="20"/>
                <w:szCs w:val="20"/>
                <w:lang w:val="fr-FR" w:eastAsia="ru-RU"/>
              </w:rPr>
              <w:t xml:space="preserve"> de </w:t>
            </w:r>
            <w:proofErr w:type="spellStart"/>
            <w:r w:rsidRPr="00B540E0">
              <w:rPr>
                <w:rFonts w:ascii="Times New Roman" w:hAnsi="Times New Roman"/>
                <w:sz w:val="20"/>
                <w:szCs w:val="20"/>
                <w:lang w:val="fr-FR" w:eastAsia="ru-RU"/>
              </w:rPr>
              <w:t>examinare</w:t>
            </w:r>
            <w:proofErr w:type="spellEnd"/>
            <w:r w:rsidRPr="00B540E0">
              <w:rPr>
                <w:rFonts w:ascii="Times New Roman" w:hAnsi="Times New Roman"/>
                <w:sz w:val="20"/>
                <w:szCs w:val="20"/>
                <w:lang w:val="fr-FR" w:eastAsia="ru-RU"/>
              </w:rPr>
              <w:t xml:space="preserve"> </w:t>
            </w:r>
            <w:proofErr w:type="spellStart"/>
            <w:r w:rsidRPr="00B540E0">
              <w:rPr>
                <w:rFonts w:ascii="Times New Roman" w:hAnsi="Times New Roman"/>
                <w:sz w:val="20"/>
                <w:szCs w:val="20"/>
                <w:lang w:val="fr-FR" w:eastAsia="ru-RU"/>
              </w:rPr>
              <w:t>menționată</w:t>
            </w:r>
            <w:proofErr w:type="spellEnd"/>
            <w:r w:rsidRPr="00B540E0">
              <w:rPr>
                <w:rFonts w:ascii="Times New Roman" w:hAnsi="Times New Roman"/>
                <w:sz w:val="20"/>
                <w:szCs w:val="20"/>
                <w:lang w:val="fr-FR" w:eastAsia="ru-RU"/>
              </w:rPr>
              <w:t xml:space="preserve"> la </w:t>
            </w:r>
            <w:proofErr w:type="spellStart"/>
            <w:r w:rsidRPr="00B540E0">
              <w:rPr>
                <w:rFonts w:ascii="Times New Roman" w:hAnsi="Times New Roman"/>
                <w:sz w:val="20"/>
                <w:szCs w:val="20"/>
                <w:lang w:val="fr-FR" w:eastAsia="ru-RU"/>
              </w:rPr>
              <w:t>articolul</w:t>
            </w:r>
            <w:proofErr w:type="spellEnd"/>
            <w:r w:rsidRPr="00B540E0">
              <w:rPr>
                <w:rFonts w:ascii="Times New Roman" w:hAnsi="Times New Roman"/>
                <w:sz w:val="20"/>
                <w:szCs w:val="20"/>
                <w:lang w:val="fr-FR" w:eastAsia="ru-RU"/>
              </w:rPr>
              <w:t xml:space="preserve"> 44 </w:t>
            </w:r>
            <w:proofErr w:type="spellStart"/>
            <w:r w:rsidRPr="00B540E0">
              <w:rPr>
                <w:rFonts w:ascii="Times New Roman" w:hAnsi="Times New Roman"/>
                <w:sz w:val="20"/>
                <w:szCs w:val="20"/>
                <w:lang w:val="fr-FR" w:eastAsia="ru-RU"/>
              </w:rPr>
              <w:t>alineatul</w:t>
            </w:r>
            <w:proofErr w:type="spellEnd"/>
            <w:r w:rsidRPr="00B540E0">
              <w:rPr>
                <w:rFonts w:ascii="Times New Roman" w:hAnsi="Times New Roman"/>
                <w:sz w:val="20"/>
                <w:szCs w:val="20"/>
                <w:lang w:val="fr-FR" w:eastAsia="ru-RU"/>
              </w:rPr>
              <w:t xml:space="preserve"> (6).</w:t>
            </w:r>
          </w:p>
          <w:p w14:paraId="3FAD4920" w14:textId="2C958600" w:rsidR="00552C68" w:rsidRPr="0059162A" w:rsidRDefault="00552C68" w:rsidP="00552C68">
            <w:pPr>
              <w:jc w:val="both"/>
              <w:rPr>
                <w:rFonts w:ascii="Times New Roman" w:hAnsi="Times New Roman"/>
                <w:sz w:val="20"/>
                <w:szCs w:val="20"/>
                <w:lang w:val="fr-FR"/>
              </w:rPr>
            </w:pPr>
            <w:r w:rsidRPr="00B540E0">
              <w:rPr>
                <w:rFonts w:ascii="Times New Roman" w:hAnsi="Times New Roman"/>
                <w:sz w:val="20"/>
                <w:szCs w:val="20"/>
                <w:lang w:val="fr-FR"/>
              </w:rPr>
              <w:t>(</w:t>
            </w:r>
            <w:proofErr w:type="gramStart"/>
            <w:r w:rsidRPr="00B540E0">
              <w:rPr>
                <w:rFonts w:ascii="Times New Roman" w:hAnsi="Times New Roman"/>
                <w:sz w:val="20"/>
                <w:szCs w:val="20"/>
                <w:lang w:val="fr-FR"/>
              </w:rPr>
              <w:t>5)În</w:t>
            </w:r>
            <w:proofErr w:type="gram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fiecare</w:t>
            </w:r>
            <w:proofErr w:type="spellEnd"/>
            <w:r w:rsidRPr="00B540E0">
              <w:rPr>
                <w:rFonts w:ascii="Times New Roman" w:hAnsi="Times New Roman"/>
                <w:sz w:val="20"/>
                <w:szCs w:val="20"/>
                <w:lang w:val="fr-FR"/>
              </w:rPr>
              <w:t xml:space="preserve"> an, </w:t>
            </w:r>
            <w:proofErr w:type="spellStart"/>
            <w:r w:rsidRPr="00B540E0">
              <w:rPr>
                <w:rFonts w:ascii="Times New Roman" w:hAnsi="Times New Roman"/>
                <w:sz w:val="20"/>
                <w:szCs w:val="20"/>
                <w:lang w:val="fr-FR"/>
              </w:rPr>
              <w:t>energia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surse </w:t>
            </w:r>
            <w:proofErr w:type="spellStart"/>
            <w:r w:rsidRPr="00B540E0">
              <w:rPr>
                <w:rFonts w:ascii="Times New Roman" w:hAnsi="Times New Roman"/>
                <w:sz w:val="20"/>
                <w:szCs w:val="20"/>
                <w:lang w:val="fr-FR"/>
              </w:rPr>
              <w:t>regenerabile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generată</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instalațiile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finanțate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mecanismul</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finanțare</w:t>
            </w:r>
            <w:proofErr w:type="spellEnd"/>
            <w:r w:rsidRPr="00B540E0">
              <w:rPr>
                <w:rFonts w:ascii="Times New Roman" w:hAnsi="Times New Roman"/>
                <w:sz w:val="20"/>
                <w:szCs w:val="20"/>
                <w:lang w:val="fr-FR"/>
              </w:rPr>
              <w:t xml:space="preserve"> este </w:t>
            </w:r>
            <w:proofErr w:type="spellStart"/>
            <w:r w:rsidRPr="00B540E0">
              <w:rPr>
                <w:rFonts w:ascii="Times New Roman" w:hAnsi="Times New Roman"/>
                <w:sz w:val="20"/>
                <w:szCs w:val="20"/>
                <w:lang w:val="fr-FR"/>
              </w:rPr>
              <w:t>atribuită</w:t>
            </w:r>
            <w:proofErr w:type="spellEnd"/>
            <w:r w:rsidRPr="00B540E0">
              <w:rPr>
                <w:rFonts w:ascii="Times New Roman" w:hAnsi="Times New Roman"/>
                <w:sz w:val="20"/>
                <w:szCs w:val="20"/>
                <w:lang w:val="fr-FR"/>
              </w:rPr>
              <w:t xml:space="preserve"> în mod </w:t>
            </w:r>
            <w:proofErr w:type="spellStart"/>
            <w:r w:rsidRPr="00B540E0">
              <w:rPr>
                <w:rFonts w:ascii="Times New Roman" w:hAnsi="Times New Roman"/>
                <w:sz w:val="20"/>
                <w:szCs w:val="20"/>
                <w:lang w:val="fr-FR"/>
              </w:rPr>
              <w:t>statistic</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statelor</w:t>
            </w:r>
            <w:proofErr w:type="spellEnd"/>
            <w:r w:rsidRPr="00B540E0">
              <w:rPr>
                <w:rFonts w:ascii="Times New Roman" w:hAnsi="Times New Roman"/>
                <w:sz w:val="20"/>
                <w:szCs w:val="20"/>
                <w:lang w:val="fr-FR"/>
              </w:rPr>
              <w:t xml:space="preserve"> membre participante, </w:t>
            </w:r>
            <w:proofErr w:type="spellStart"/>
            <w:r w:rsidRPr="00B540E0">
              <w:rPr>
                <w:rFonts w:ascii="Times New Roman" w:hAnsi="Times New Roman"/>
                <w:sz w:val="20"/>
                <w:szCs w:val="20"/>
                <w:lang w:val="fr-FR"/>
              </w:rPr>
              <w:t>reflectând</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plățile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lor</w:t>
            </w:r>
            <w:proofErr w:type="spellEnd"/>
            <w:r w:rsidRPr="00B540E0">
              <w:rPr>
                <w:rFonts w:ascii="Times New Roman" w:hAnsi="Times New Roman"/>
                <w:sz w:val="20"/>
                <w:szCs w:val="20"/>
                <w:lang w:val="fr-FR"/>
              </w:rPr>
              <w:t xml:space="preserve"> relative. </w:t>
            </w:r>
            <w:proofErr w:type="spellStart"/>
            <w:r w:rsidRPr="00B540E0">
              <w:rPr>
                <w:rFonts w:ascii="Times New Roman" w:hAnsi="Times New Roman"/>
                <w:sz w:val="20"/>
                <w:szCs w:val="20"/>
                <w:lang w:val="fr-FR"/>
              </w:rPr>
              <w:t>Proiectele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sprijinite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prin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intermediul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acestui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mecanism</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finanțare</w:t>
            </w:r>
            <w:proofErr w:type="spellEnd"/>
            <w:r w:rsidRPr="00B540E0">
              <w:rPr>
                <w:rFonts w:ascii="Times New Roman" w:hAnsi="Times New Roman"/>
                <w:sz w:val="20"/>
                <w:szCs w:val="20"/>
                <w:lang w:val="fr-FR"/>
              </w:rPr>
              <w:t xml:space="preserve"> care </w:t>
            </w:r>
            <w:proofErr w:type="spellStart"/>
            <w:r w:rsidRPr="00B540E0">
              <w:rPr>
                <w:rFonts w:ascii="Times New Roman" w:hAnsi="Times New Roman"/>
                <w:sz w:val="20"/>
                <w:szCs w:val="20"/>
                <w:lang w:val="fr-FR"/>
              </w:rPr>
              <w:t>beneficiază</w:t>
            </w:r>
            <w:proofErr w:type="spellEnd"/>
            <w:r w:rsidRPr="00B540E0">
              <w:rPr>
                <w:rFonts w:ascii="Times New Roman" w:hAnsi="Times New Roman"/>
                <w:sz w:val="20"/>
                <w:szCs w:val="20"/>
                <w:lang w:val="fr-FR"/>
              </w:rPr>
              <w:t xml:space="preserve"> de </w:t>
            </w:r>
            <w:proofErr w:type="spellStart"/>
            <w:r w:rsidRPr="00B540E0">
              <w:rPr>
                <w:rFonts w:ascii="Times New Roman" w:hAnsi="Times New Roman"/>
                <w:sz w:val="20"/>
                <w:szCs w:val="20"/>
                <w:lang w:val="fr-FR"/>
              </w:rPr>
              <w:t>finanțare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alte</w:t>
            </w:r>
            <w:proofErr w:type="spellEnd"/>
            <w:r w:rsidRPr="00B540E0">
              <w:rPr>
                <w:rFonts w:ascii="Times New Roman" w:hAnsi="Times New Roman"/>
                <w:sz w:val="20"/>
                <w:szCs w:val="20"/>
                <w:lang w:val="fr-FR"/>
              </w:rPr>
              <w:t xml:space="preserve"> surse </w:t>
            </w:r>
            <w:proofErr w:type="spellStart"/>
            <w:r w:rsidRPr="00B540E0">
              <w:rPr>
                <w:rFonts w:ascii="Times New Roman" w:hAnsi="Times New Roman"/>
                <w:sz w:val="20"/>
                <w:szCs w:val="20"/>
                <w:lang w:val="fr-FR"/>
              </w:rPr>
              <w:t>decât</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plățile</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partea</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statelor</w:t>
            </w:r>
            <w:proofErr w:type="spellEnd"/>
            <w:r w:rsidRPr="00B540E0">
              <w:rPr>
                <w:rFonts w:ascii="Times New Roman" w:hAnsi="Times New Roman"/>
                <w:sz w:val="20"/>
                <w:szCs w:val="20"/>
                <w:lang w:val="fr-FR"/>
              </w:rPr>
              <w:t xml:space="preserve"> membre nu se </w:t>
            </w:r>
            <w:proofErr w:type="spellStart"/>
            <w:r w:rsidRPr="00B540E0">
              <w:rPr>
                <w:rFonts w:ascii="Times New Roman" w:hAnsi="Times New Roman"/>
                <w:sz w:val="20"/>
                <w:szCs w:val="20"/>
                <w:lang w:val="fr-FR"/>
              </w:rPr>
              <w:t>contabilizează</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contul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contribuțiilor</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naționale</w:t>
            </w:r>
            <w:proofErr w:type="spellEnd"/>
            <w:r w:rsidRPr="00B540E0">
              <w:rPr>
                <w:rFonts w:ascii="Times New Roman" w:hAnsi="Times New Roman"/>
                <w:sz w:val="20"/>
                <w:szCs w:val="20"/>
                <w:lang w:val="fr-FR"/>
              </w:rPr>
              <w:t xml:space="preserve"> ale </w:t>
            </w:r>
            <w:proofErr w:type="spellStart"/>
            <w:r w:rsidRPr="00B540E0">
              <w:rPr>
                <w:rFonts w:ascii="Times New Roman" w:hAnsi="Times New Roman"/>
                <w:sz w:val="20"/>
                <w:szCs w:val="20"/>
                <w:lang w:val="fr-FR"/>
              </w:rPr>
              <w:t>statelor</w:t>
            </w:r>
            <w:proofErr w:type="spellEnd"/>
            <w:r w:rsidRPr="00B540E0">
              <w:rPr>
                <w:rFonts w:ascii="Times New Roman" w:hAnsi="Times New Roman"/>
                <w:sz w:val="20"/>
                <w:szCs w:val="20"/>
                <w:lang w:val="fr-FR"/>
              </w:rPr>
              <w:t xml:space="preserve"> membre, ci în </w:t>
            </w:r>
            <w:proofErr w:type="spellStart"/>
            <w:r w:rsidRPr="00B540E0">
              <w:rPr>
                <w:rFonts w:ascii="Times New Roman" w:hAnsi="Times New Roman"/>
                <w:sz w:val="20"/>
                <w:szCs w:val="20"/>
                <w:lang w:val="fr-FR"/>
              </w:rPr>
              <w:t>contul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obiectivului</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obligatoriu</w:t>
            </w:r>
            <w:proofErr w:type="spellEnd"/>
            <w:r w:rsidRPr="00B540E0">
              <w:rPr>
                <w:rFonts w:ascii="Times New Roman" w:hAnsi="Times New Roman"/>
                <w:sz w:val="20"/>
                <w:szCs w:val="20"/>
                <w:lang w:val="fr-FR"/>
              </w:rPr>
              <w:t xml:space="preserve"> al </w:t>
            </w:r>
            <w:proofErr w:type="spellStart"/>
            <w:r w:rsidRPr="00B540E0">
              <w:rPr>
                <w:rFonts w:ascii="Times New Roman" w:hAnsi="Times New Roman"/>
                <w:sz w:val="20"/>
                <w:szCs w:val="20"/>
                <w:lang w:val="fr-FR"/>
              </w:rPr>
              <w:t>Uniunii</w:t>
            </w:r>
            <w:proofErr w:type="spellEnd"/>
            <w:r w:rsidRPr="00B540E0">
              <w:rPr>
                <w:rFonts w:ascii="Times New Roman" w:hAnsi="Times New Roman"/>
                <w:sz w:val="20"/>
                <w:szCs w:val="20"/>
                <w:lang w:val="fr-FR"/>
              </w:rPr>
              <w:t xml:space="preserve"> în </w:t>
            </w:r>
            <w:proofErr w:type="spellStart"/>
            <w:r w:rsidRPr="00B540E0">
              <w:rPr>
                <w:rFonts w:ascii="Times New Roman" w:hAnsi="Times New Roman"/>
                <w:sz w:val="20"/>
                <w:szCs w:val="20"/>
                <w:lang w:val="fr-FR"/>
              </w:rPr>
              <w:t>temeiul</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articolului</w:t>
            </w:r>
            <w:proofErr w:type="spellEnd"/>
            <w:r w:rsidRPr="00B540E0">
              <w:rPr>
                <w:rFonts w:ascii="Times New Roman" w:hAnsi="Times New Roman"/>
                <w:sz w:val="20"/>
                <w:szCs w:val="20"/>
                <w:lang w:val="fr-FR"/>
              </w:rPr>
              <w:t xml:space="preserve"> 3 </w:t>
            </w:r>
            <w:proofErr w:type="spellStart"/>
            <w:r w:rsidRPr="00B540E0">
              <w:rPr>
                <w:rFonts w:ascii="Times New Roman" w:hAnsi="Times New Roman"/>
                <w:sz w:val="20"/>
                <w:szCs w:val="20"/>
                <w:lang w:val="fr-FR"/>
              </w:rPr>
              <w:t>alineatul</w:t>
            </w:r>
            <w:proofErr w:type="spellEnd"/>
            <w:r w:rsidRPr="00B540E0">
              <w:rPr>
                <w:rFonts w:ascii="Times New Roman" w:hAnsi="Times New Roman"/>
                <w:sz w:val="20"/>
                <w:szCs w:val="20"/>
                <w:lang w:val="fr-FR"/>
              </w:rPr>
              <w:t xml:space="preserve"> (1) </w:t>
            </w:r>
            <w:proofErr w:type="spellStart"/>
            <w:r w:rsidRPr="00B540E0">
              <w:rPr>
                <w:rFonts w:ascii="Times New Roman" w:hAnsi="Times New Roman"/>
                <w:sz w:val="20"/>
                <w:szCs w:val="20"/>
                <w:lang w:val="fr-FR"/>
              </w:rPr>
              <w:t>din</w:t>
            </w:r>
            <w:proofErr w:type="spellEnd"/>
            <w:r w:rsidRPr="00B540E0">
              <w:rPr>
                <w:rFonts w:ascii="Times New Roman" w:hAnsi="Times New Roman"/>
                <w:sz w:val="20"/>
                <w:szCs w:val="20"/>
                <w:lang w:val="fr-FR"/>
              </w:rPr>
              <w:t xml:space="preserve"> </w:t>
            </w:r>
            <w:proofErr w:type="spellStart"/>
            <w:r w:rsidRPr="00B540E0">
              <w:rPr>
                <w:rFonts w:ascii="Times New Roman" w:hAnsi="Times New Roman"/>
                <w:sz w:val="20"/>
                <w:szCs w:val="20"/>
                <w:lang w:val="fr-FR"/>
              </w:rPr>
              <w:t>Directiva</w:t>
            </w:r>
            <w:proofErr w:type="spellEnd"/>
            <w:r w:rsidRPr="00B540E0">
              <w:rPr>
                <w:rFonts w:ascii="Times New Roman" w:hAnsi="Times New Roman"/>
                <w:sz w:val="20"/>
                <w:szCs w:val="20"/>
                <w:lang w:val="fr-FR"/>
              </w:rPr>
              <w:t xml:space="preserve"> (UE) 2018/2001.</w:t>
            </w:r>
          </w:p>
        </w:tc>
        <w:tc>
          <w:tcPr>
            <w:tcW w:w="4440" w:type="dxa"/>
          </w:tcPr>
          <w:p w14:paraId="75DB2E95" w14:textId="77777777" w:rsidR="008F5636" w:rsidRPr="0059162A" w:rsidRDefault="008F5636" w:rsidP="008F5636">
            <w:pPr>
              <w:pStyle w:val="ColorfulList-Accent11"/>
              <w:spacing w:after="0" w:line="240" w:lineRule="auto"/>
              <w:ind w:left="0"/>
              <w:jc w:val="both"/>
              <w:rPr>
                <w:lang w:val="fr-FR"/>
              </w:rPr>
            </w:pPr>
          </w:p>
        </w:tc>
        <w:tc>
          <w:tcPr>
            <w:tcW w:w="1276" w:type="dxa"/>
          </w:tcPr>
          <w:p w14:paraId="749701C9" w14:textId="7371EB01" w:rsidR="008F5636" w:rsidRPr="00745D9A" w:rsidRDefault="0059162A"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602C7F5E" w14:textId="77777777" w:rsidR="008F5636" w:rsidRPr="00745D9A" w:rsidRDefault="008F5636" w:rsidP="008F5636">
            <w:pPr>
              <w:pStyle w:val="ColorfulList-Accent11"/>
              <w:spacing w:after="0" w:line="240" w:lineRule="auto"/>
              <w:ind w:left="0"/>
              <w:jc w:val="both"/>
              <w:rPr>
                <w:lang w:val="fr-FR"/>
              </w:rPr>
            </w:pPr>
          </w:p>
        </w:tc>
        <w:tc>
          <w:tcPr>
            <w:tcW w:w="1701" w:type="dxa"/>
          </w:tcPr>
          <w:p w14:paraId="261F2306" w14:textId="0CF91926" w:rsidR="008F5636" w:rsidRPr="00745D9A" w:rsidRDefault="0059162A" w:rsidP="008F5636">
            <w:pPr>
              <w:pStyle w:val="ColorfulList-Accent11"/>
              <w:spacing w:after="0" w:line="240" w:lineRule="auto"/>
              <w:ind w:left="0"/>
              <w:jc w:val="both"/>
              <w:rPr>
                <w:lang w:val="fr-FR"/>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138F69E9" w14:textId="77777777" w:rsidR="008F5636" w:rsidRPr="00745D9A" w:rsidRDefault="008F5636" w:rsidP="008F5636">
            <w:pPr>
              <w:pStyle w:val="ColorfulList-Accent11"/>
              <w:spacing w:after="0" w:line="240" w:lineRule="auto"/>
              <w:ind w:left="0"/>
              <w:jc w:val="both"/>
              <w:rPr>
                <w:lang w:val="fr-FR"/>
              </w:rPr>
            </w:pPr>
          </w:p>
        </w:tc>
      </w:tr>
      <w:tr w:rsidR="008F5636" w:rsidRPr="00DE584E" w14:paraId="7232906C" w14:textId="77777777" w:rsidTr="00A90105">
        <w:tc>
          <w:tcPr>
            <w:tcW w:w="4945" w:type="dxa"/>
          </w:tcPr>
          <w:p w14:paraId="63BDD74B" w14:textId="77777777" w:rsidR="008F5636" w:rsidRPr="00CC3856" w:rsidRDefault="008F5636" w:rsidP="00552C68">
            <w:pPr>
              <w:spacing w:after="0" w:line="240" w:lineRule="auto"/>
              <w:jc w:val="center"/>
              <w:rPr>
                <w:rFonts w:ascii="Times New Roman" w:hAnsi="Times New Roman"/>
                <w:sz w:val="20"/>
                <w:szCs w:val="20"/>
                <w:lang w:val="fr-FR" w:eastAsia="ru-RU"/>
              </w:rPr>
            </w:pPr>
            <w:proofErr w:type="spellStart"/>
            <w:r w:rsidRPr="00CC3856">
              <w:rPr>
                <w:rFonts w:ascii="Times New Roman" w:hAnsi="Times New Roman"/>
                <w:sz w:val="20"/>
                <w:szCs w:val="20"/>
                <w:lang w:val="fr-FR" w:eastAsia="ru-RU"/>
              </w:rPr>
              <w:lastRenderedPageBreak/>
              <w:t>Articolul</w:t>
            </w:r>
            <w:proofErr w:type="spellEnd"/>
            <w:r w:rsidRPr="00CC3856">
              <w:rPr>
                <w:rFonts w:ascii="Times New Roman" w:hAnsi="Times New Roman"/>
                <w:sz w:val="20"/>
                <w:szCs w:val="20"/>
                <w:lang w:val="fr-FR" w:eastAsia="ru-RU"/>
              </w:rPr>
              <w:t xml:space="preserve"> 34</w:t>
            </w:r>
          </w:p>
          <w:p w14:paraId="04F945B8" w14:textId="77777777" w:rsidR="008F5636" w:rsidRPr="00CC3856" w:rsidRDefault="008F5636" w:rsidP="00552C68">
            <w:pPr>
              <w:spacing w:after="0" w:line="240" w:lineRule="auto"/>
              <w:jc w:val="center"/>
              <w:rPr>
                <w:rFonts w:ascii="Times New Roman" w:hAnsi="Times New Roman"/>
                <w:b/>
                <w:bCs/>
                <w:sz w:val="20"/>
                <w:szCs w:val="20"/>
                <w:lang w:val="fr-FR" w:eastAsia="ru-RU"/>
              </w:rPr>
            </w:pPr>
            <w:proofErr w:type="spellStart"/>
            <w:r w:rsidRPr="00CC3856">
              <w:rPr>
                <w:rFonts w:ascii="Times New Roman" w:hAnsi="Times New Roman"/>
                <w:b/>
                <w:bCs/>
                <w:sz w:val="20"/>
                <w:szCs w:val="20"/>
                <w:lang w:val="fr-FR" w:eastAsia="ru-RU"/>
              </w:rPr>
              <w:t>Recomandări</w:t>
            </w:r>
            <w:proofErr w:type="spellEnd"/>
            <w:r w:rsidRPr="00CC3856">
              <w:rPr>
                <w:rFonts w:ascii="Times New Roman" w:hAnsi="Times New Roman"/>
                <w:b/>
                <w:bCs/>
                <w:sz w:val="20"/>
                <w:szCs w:val="20"/>
                <w:lang w:val="fr-FR" w:eastAsia="ru-RU"/>
              </w:rPr>
              <w:t xml:space="preserve"> ale </w:t>
            </w:r>
            <w:proofErr w:type="spellStart"/>
            <w:r w:rsidRPr="00CC3856">
              <w:rPr>
                <w:rFonts w:ascii="Times New Roman" w:hAnsi="Times New Roman"/>
                <w:b/>
                <w:bCs/>
                <w:sz w:val="20"/>
                <w:szCs w:val="20"/>
                <w:lang w:val="fr-FR" w:eastAsia="ru-RU"/>
              </w:rPr>
              <w:t>Comisiei</w:t>
            </w:r>
            <w:proofErr w:type="spellEnd"/>
            <w:r w:rsidRPr="00CC3856">
              <w:rPr>
                <w:rFonts w:ascii="Times New Roman" w:hAnsi="Times New Roman"/>
                <w:b/>
                <w:bCs/>
                <w:sz w:val="20"/>
                <w:szCs w:val="20"/>
                <w:lang w:val="fr-FR" w:eastAsia="ru-RU"/>
              </w:rPr>
              <w:t xml:space="preserve"> </w:t>
            </w:r>
            <w:proofErr w:type="spellStart"/>
            <w:r w:rsidRPr="00CC3856">
              <w:rPr>
                <w:rFonts w:ascii="Times New Roman" w:hAnsi="Times New Roman"/>
                <w:b/>
                <w:bCs/>
                <w:sz w:val="20"/>
                <w:szCs w:val="20"/>
                <w:lang w:val="fr-FR" w:eastAsia="ru-RU"/>
              </w:rPr>
              <w:t>adresate</w:t>
            </w:r>
            <w:proofErr w:type="spellEnd"/>
            <w:r w:rsidRPr="00CC3856">
              <w:rPr>
                <w:rFonts w:ascii="Times New Roman" w:hAnsi="Times New Roman"/>
                <w:b/>
                <w:bCs/>
                <w:sz w:val="20"/>
                <w:szCs w:val="20"/>
                <w:lang w:val="fr-FR" w:eastAsia="ru-RU"/>
              </w:rPr>
              <w:t xml:space="preserve"> </w:t>
            </w:r>
            <w:proofErr w:type="spellStart"/>
            <w:r w:rsidRPr="00CC3856">
              <w:rPr>
                <w:rFonts w:ascii="Times New Roman" w:hAnsi="Times New Roman"/>
                <w:b/>
                <w:bCs/>
                <w:sz w:val="20"/>
                <w:szCs w:val="20"/>
                <w:lang w:val="fr-FR" w:eastAsia="ru-RU"/>
              </w:rPr>
              <w:t>statelor</w:t>
            </w:r>
            <w:proofErr w:type="spellEnd"/>
            <w:r w:rsidRPr="00CC3856">
              <w:rPr>
                <w:rFonts w:ascii="Times New Roman" w:hAnsi="Times New Roman"/>
                <w:b/>
                <w:bCs/>
                <w:sz w:val="20"/>
                <w:szCs w:val="20"/>
                <w:lang w:val="fr-FR" w:eastAsia="ru-RU"/>
              </w:rPr>
              <w:t xml:space="preserve"> membre</w:t>
            </w:r>
          </w:p>
          <w:p w14:paraId="69F465C7" w14:textId="2B0EB804" w:rsidR="008F5636" w:rsidRPr="00CC3856" w:rsidRDefault="008F5636" w:rsidP="00552C68">
            <w:pPr>
              <w:spacing w:after="0" w:line="240" w:lineRule="auto"/>
              <w:jc w:val="both"/>
              <w:rPr>
                <w:rFonts w:ascii="Times New Roman" w:hAnsi="Times New Roman"/>
                <w:sz w:val="20"/>
                <w:szCs w:val="20"/>
                <w:lang w:val="fr-FR" w:eastAsia="ru-RU"/>
              </w:rPr>
            </w:pPr>
            <w:r w:rsidRPr="00CC3856">
              <w:rPr>
                <w:rFonts w:ascii="Times New Roman" w:hAnsi="Times New Roman"/>
                <w:sz w:val="20"/>
                <w:szCs w:val="20"/>
                <w:lang w:val="fr-FR" w:eastAsia="ru-RU"/>
              </w:rPr>
              <w:t>(</w:t>
            </w:r>
            <w:proofErr w:type="gramStart"/>
            <w:r w:rsidRPr="00CC3856">
              <w:rPr>
                <w:rFonts w:ascii="Times New Roman" w:hAnsi="Times New Roman"/>
                <w:sz w:val="20"/>
                <w:szCs w:val="20"/>
                <w:lang w:val="fr-FR" w:eastAsia="ru-RU"/>
              </w:rPr>
              <w:t>1)</w:t>
            </w:r>
            <w:proofErr w:type="spellStart"/>
            <w:r w:rsidRPr="00CC3856">
              <w:rPr>
                <w:rFonts w:ascii="Times New Roman" w:hAnsi="Times New Roman"/>
                <w:sz w:val="20"/>
                <w:szCs w:val="20"/>
                <w:lang w:val="fr-FR" w:eastAsia="ru-RU"/>
              </w:rPr>
              <w:t>După</w:t>
            </w:r>
            <w:proofErr w:type="spellEnd"/>
            <w:proofErr w:type="gram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caz</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Comisia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emite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recomandări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adresate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statelor</w:t>
            </w:r>
            <w:proofErr w:type="spellEnd"/>
            <w:r w:rsidRPr="00CC3856">
              <w:rPr>
                <w:rFonts w:ascii="Times New Roman" w:hAnsi="Times New Roman"/>
                <w:sz w:val="20"/>
                <w:szCs w:val="20"/>
                <w:lang w:val="fr-FR" w:eastAsia="ru-RU"/>
              </w:rPr>
              <w:t xml:space="preserve"> membre </w:t>
            </w:r>
            <w:proofErr w:type="spellStart"/>
            <w:r w:rsidRPr="00CC3856">
              <w:rPr>
                <w:rFonts w:ascii="Times New Roman" w:hAnsi="Times New Roman"/>
                <w:sz w:val="20"/>
                <w:szCs w:val="20"/>
                <w:lang w:val="fr-FR" w:eastAsia="ru-RU"/>
              </w:rPr>
              <w:t>pentru</w:t>
            </w:r>
            <w:proofErr w:type="spellEnd"/>
            <w:r w:rsidRPr="00CC3856">
              <w:rPr>
                <w:rFonts w:ascii="Times New Roman" w:hAnsi="Times New Roman"/>
                <w:sz w:val="20"/>
                <w:szCs w:val="20"/>
                <w:lang w:val="fr-FR" w:eastAsia="ru-RU"/>
              </w:rPr>
              <w:t xml:space="preserve"> a </w:t>
            </w:r>
            <w:proofErr w:type="spellStart"/>
            <w:r w:rsidRPr="00CC3856">
              <w:rPr>
                <w:rFonts w:ascii="Times New Roman" w:hAnsi="Times New Roman"/>
                <w:sz w:val="20"/>
                <w:szCs w:val="20"/>
                <w:lang w:val="fr-FR" w:eastAsia="ru-RU"/>
              </w:rPr>
              <w:t>asigura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realizarea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obiectivelor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uniunii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energetice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Comisia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pune</w:t>
            </w:r>
            <w:proofErr w:type="spellEnd"/>
            <w:r w:rsidRPr="00CC3856">
              <w:rPr>
                <w:rFonts w:ascii="Times New Roman" w:hAnsi="Times New Roman"/>
                <w:sz w:val="20"/>
                <w:szCs w:val="20"/>
                <w:lang w:val="fr-FR" w:eastAsia="ru-RU"/>
              </w:rPr>
              <w:t xml:space="preserve"> de </w:t>
            </w:r>
            <w:proofErr w:type="spellStart"/>
            <w:r w:rsidRPr="00CC3856">
              <w:rPr>
                <w:rFonts w:ascii="Times New Roman" w:hAnsi="Times New Roman"/>
                <w:sz w:val="20"/>
                <w:szCs w:val="20"/>
                <w:lang w:val="fr-FR" w:eastAsia="ru-RU"/>
              </w:rPr>
              <w:t>îndată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aceste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recomandări</w:t>
            </w:r>
            <w:proofErr w:type="spellEnd"/>
            <w:r w:rsidRPr="00CC3856">
              <w:rPr>
                <w:rFonts w:ascii="Times New Roman" w:hAnsi="Times New Roman"/>
                <w:sz w:val="20"/>
                <w:szCs w:val="20"/>
                <w:lang w:val="fr-FR" w:eastAsia="ru-RU"/>
              </w:rPr>
              <w:t xml:space="preserve"> la </w:t>
            </w:r>
            <w:proofErr w:type="spellStart"/>
            <w:r w:rsidRPr="00CC3856">
              <w:rPr>
                <w:rFonts w:ascii="Times New Roman" w:hAnsi="Times New Roman"/>
                <w:sz w:val="20"/>
                <w:szCs w:val="20"/>
                <w:lang w:val="fr-FR" w:eastAsia="ru-RU"/>
              </w:rPr>
              <w:t>dispoziția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publicului</w:t>
            </w:r>
            <w:proofErr w:type="spellEnd"/>
          </w:p>
          <w:p w14:paraId="7741300A" w14:textId="77777777" w:rsidR="00552C68" w:rsidRPr="00CC3856" w:rsidRDefault="00552C68" w:rsidP="00552C68">
            <w:pPr>
              <w:spacing w:after="0" w:line="240" w:lineRule="auto"/>
              <w:jc w:val="both"/>
              <w:rPr>
                <w:rFonts w:ascii="Times New Roman" w:hAnsi="Times New Roman"/>
                <w:sz w:val="20"/>
                <w:szCs w:val="20"/>
                <w:lang w:val="fr-FR" w:eastAsia="ru-RU"/>
              </w:rPr>
            </w:pPr>
            <w:r w:rsidRPr="00CC3856">
              <w:rPr>
                <w:rFonts w:ascii="Times New Roman" w:hAnsi="Times New Roman"/>
                <w:sz w:val="20"/>
                <w:szCs w:val="20"/>
                <w:lang w:val="fr-FR" w:eastAsia="ru-RU"/>
              </w:rPr>
              <w:t>(</w:t>
            </w:r>
            <w:proofErr w:type="gramStart"/>
            <w:r w:rsidRPr="00CC3856">
              <w:rPr>
                <w:rFonts w:ascii="Times New Roman" w:hAnsi="Times New Roman"/>
                <w:sz w:val="20"/>
                <w:szCs w:val="20"/>
                <w:lang w:val="fr-FR" w:eastAsia="ru-RU"/>
              </w:rPr>
              <w:t>2)În</w:t>
            </w:r>
            <w:proofErr w:type="gram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cazul</w:t>
            </w:r>
            <w:proofErr w:type="spellEnd"/>
            <w:r w:rsidRPr="00CC3856">
              <w:rPr>
                <w:rFonts w:ascii="Times New Roman" w:hAnsi="Times New Roman"/>
                <w:sz w:val="20"/>
                <w:szCs w:val="20"/>
                <w:lang w:val="fr-FR" w:eastAsia="ru-RU"/>
              </w:rPr>
              <w:t xml:space="preserve"> în care, în </w:t>
            </w:r>
            <w:proofErr w:type="spellStart"/>
            <w:r w:rsidRPr="00CC3856">
              <w:rPr>
                <w:rFonts w:ascii="Times New Roman" w:hAnsi="Times New Roman"/>
                <w:sz w:val="20"/>
                <w:szCs w:val="20"/>
                <w:lang w:val="fr-FR" w:eastAsia="ru-RU"/>
              </w:rPr>
              <w:t>prezentul</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regulament</w:t>
            </w:r>
            <w:proofErr w:type="spellEnd"/>
            <w:r w:rsidRPr="00CC3856">
              <w:rPr>
                <w:rFonts w:ascii="Times New Roman" w:hAnsi="Times New Roman"/>
                <w:sz w:val="20"/>
                <w:szCs w:val="20"/>
                <w:lang w:val="fr-FR" w:eastAsia="ru-RU"/>
              </w:rPr>
              <w:t xml:space="preserve">, se face </w:t>
            </w:r>
            <w:proofErr w:type="spellStart"/>
            <w:r w:rsidRPr="00CC3856">
              <w:rPr>
                <w:rFonts w:ascii="Times New Roman" w:hAnsi="Times New Roman"/>
                <w:sz w:val="20"/>
                <w:szCs w:val="20"/>
                <w:lang w:val="fr-FR" w:eastAsia="ru-RU"/>
              </w:rPr>
              <w:t>trimitere</w:t>
            </w:r>
            <w:proofErr w:type="spellEnd"/>
            <w:r w:rsidRPr="00CC3856">
              <w:rPr>
                <w:rFonts w:ascii="Times New Roman" w:hAnsi="Times New Roman"/>
                <w:sz w:val="20"/>
                <w:szCs w:val="20"/>
                <w:lang w:val="fr-FR" w:eastAsia="ru-RU"/>
              </w:rPr>
              <w:t xml:space="preserve"> la </w:t>
            </w:r>
            <w:proofErr w:type="spellStart"/>
            <w:r w:rsidRPr="00CC3856">
              <w:rPr>
                <w:rFonts w:ascii="Times New Roman" w:hAnsi="Times New Roman"/>
                <w:sz w:val="20"/>
                <w:szCs w:val="20"/>
                <w:lang w:val="fr-FR" w:eastAsia="ru-RU"/>
              </w:rPr>
              <w:t>prezentul</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articol</w:t>
            </w:r>
            <w:proofErr w:type="spellEnd"/>
            <w:r w:rsidRPr="00CC3856">
              <w:rPr>
                <w:rFonts w:ascii="Times New Roman" w:hAnsi="Times New Roman"/>
                <w:sz w:val="20"/>
                <w:szCs w:val="20"/>
                <w:lang w:val="fr-FR" w:eastAsia="ru-RU"/>
              </w:rPr>
              <w:t xml:space="preserve">, se </w:t>
            </w:r>
            <w:proofErr w:type="spellStart"/>
            <w:r w:rsidRPr="00CC3856">
              <w:rPr>
                <w:rFonts w:ascii="Times New Roman" w:hAnsi="Times New Roman"/>
                <w:sz w:val="20"/>
                <w:szCs w:val="20"/>
                <w:lang w:val="fr-FR" w:eastAsia="ru-RU"/>
              </w:rPr>
              <w:t>aplică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următoarele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principii</w:t>
            </w:r>
            <w:proofErr w:type="spellEnd"/>
            <w:r w:rsidRPr="00CC3856">
              <w:rPr>
                <w:rFonts w:ascii="Times New Roman" w:hAnsi="Times New Roman"/>
                <w:sz w:val="20"/>
                <w:szCs w:val="20"/>
                <w:lang w:val="fr-FR" w:eastAsia="ru-RU"/>
              </w:rPr>
              <w:t>:</w:t>
            </w:r>
          </w:p>
          <w:p w14:paraId="12252BA9" w14:textId="77777777" w:rsidR="008F5636" w:rsidRPr="00CC3856" w:rsidRDefault="00552C68" w:rsidP="000C5A3B">
            <w:pPr>
              <w:pStyle w:val="ColorfulList-Accent11"/>
              <w:numPr>
                <w:ilvl w:val="0"/>
                <w:numId w:val="130"/>
              </w:numPr>
              <w:spacing w:after="0" w:line="240" w:lineRule="auto"/>
              <w:jc w:val="both"/>
              <w:rPr>
                <w:rFonts w:ascii="Times New Roman" w:hAnsi="Times New Roman"/>
                <w:sz w:val="20"/>
                <w:szCs w:val="20"/>
                <w:lang w:val="fr-FR"/>
              </w:rPr>
            </w:pPr>
            <w:proofErr w:type="spellStart"/>
            <w:proofErr w:type="gramStart"/>
            <w:r w:rsidRPr="00CC3856">
              <w:rPr>
                <w:rFonts w:ascii="Times New Roman" w:hAnsi="Times New Roman"/>
                <w:sz w:val="20"/>
                <w:szCs w:val="20"/>
                <w:lang w:val="fr-FR" w:eastAsia="ru-RU"/>
              </w:rPr>
              <w:t>statul</w:t>
            </w:r>
            <w:proofErr w:type="spellEnd"/>
            <w:proofErr w:type="gramEnd"/>
            <w:r w:rsidRPr="00CC3856">
              <w:rPr>
                <w:rFonts w:ascii="Times New Roman" w:hAnsi="Times New Roman"/>
                <w:sz w:val="20"/>
                <w:szCs w:val="20"/>
                <w:lang w:val="fr-FR" w:eastAsia="ru-RU"/>
              </w:rPr>
              <w:t xml:space="preserve"> membru în </w:t>
            </w:r>
            <w:proofErr w:type="spellStart"/>
            <w:r w:rsidRPr="00CC3856">
              <w:rPr>
                <w:rFonts w:ascii="Times New Roman" w:hAnsi="Times New Roman"/>
                <w:sz w:val="20"/>
                <w:szCs w:val="20"/>
                <w:lang w:val="fr-FR" w:eastAsia="ru-RU"/>
              </w:rPr>
              <w:t>cauză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ține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seama</w:t>
            </w:r>
            <w:proofErr w:type="spellEnd"/>
            <w:r w:rsidRPr="00CC3856">
              <w:rPr>
                <w:rFonts w:ascii="Times New Roman" w:hAnsi="Times New Roman"/>
                <w:sz w:val="20"/>
                <w:szCs w:val="20"/>
                <w:lang w:val="fr-FR" w:eastAsia="ru-RU"/>
              </w:rPr>
              <w:t xml:space="preserve"> de </w:t>
            </w:r>
            <w:proofErr w:type="spellStart"/>
            <w:r w:rsidRPr="00CC3856">
              <w:rPr>
                <w:rFonts w:ascii="Times New Roman" w:hAnsi="Times New Roman"/>
                <w:sz w:val="20"/>
                <w:szCs w:val="20"/>
                <w:lang w:val="fr-FR" w:eastAsia="ru-RU"/>
              </w:rPr>
              <w:t>recomandare</w:t>
            </w:r>
            <w:proofErr w:type="spellEnd"/>
            <w:r w:rsidRPr="00CC3856">
              <w:rPr>
                <w:rFonts w:ascii="Times New Roman" w:hAnsi="Times New Roman"/>
                <w:sz w:val="20"/>
                <w:szCs w:val="20"/>
                <w:lang w:val="fr-FR" w:eastAsia="ru-RU"/>
              </w:rPr>
              <w:t xml:space="preserve"> în mod </w:t>
            </w:r>
            <w:proofErr w:type="spellStart"/>
            <w:r w:rsidRPr="00CC3856">
              <w:rPr>
                <w:rFonts w:ascii="Times New Roman" w:hAnsi="Times New Roman"/>
                <w:sz w:val="20"/>
                <w:szCs w:val="20"/>
                <w:lang w:val="fr-FR" w:eastAsia="ru-RU"/>
              </w:rPr>
              <w:t>corespunzător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într</w:t>
            </w:r>
            <w:proofErr w:type="spellEnd"/>
            <w:r w:rsidRPr="00CC3856">
              <w:rPr>
                <w:rFonts w:ascii="Times New Roman" w:hAnsi="Times New Roman"/>
                <w:sz w:val="20"/>
                <w:szCs w:val="20"/>
                <w:lang w:val="fr-FR" w:eastAsia="ru-RU"/>
              </w:rPr>
              <w:t xml:space="preserve">-un spirit de </w:t>
            </w:r>
            <w:proofErr w:type="spellStart"/>
            <w:r w:rsidRPr="00CC3856">
              <w:rPr>
                <w:rFonts w:ascii="Times New Roman" w:hAnsi="Times New Roman"/>
                <w:sz w:val="20"/>
                <w:szCs w:val="20"/>
                <w:lang w:val="fr-FR" w:eastAsia="ru-RU"/>
              </w:rPr>
              <w:t>solidaritate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între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statele</w:t>
            </w:r>
            <w:proofErr w:type="spellEnd"/>
            <w:r w:rsidRPr="00CC3856">
              <w:rPr>
                <w:rFonts w:ascii="Times New Roman" w:hAnsi="Times New Roman"/>
                <w:sz w:val="20"/>
                <w:szCs w:val="20"/>
                <w:lang w:val="fr-FR" w:eastAsia="ru-RU"/>
              </w:rPr>
              <w:t xml:space="preserve"> membre și </w:t>
            </w:r>
            <w:proofErr w:type="spellStart"/>
            <w:r w:rsidRPr="00CC3856">
              <w:rPr>
                <w:rFonts w:ascii="Times New Roman" w:hAnsi="Times New Roman"/>
                <w:sz w:val="20"/>
                <w:szCs w:val="20"/>
                <w:lang w:val="fr-FR" w:eastAsia="ru-RU"/>
              </w:rPr>
              <w:t>Uniune</w:t>
            </w:r>
            <w:proofErr w:type="spellEnd"/>
            <w:r w:rsidRPr="00CC3856">
              <w:rPr>
                <w:rFonts w:ascii="Times New Roman" w:hAnsi="Times New Roman"/>
                <w:sz w:val="20"/>
                <w:szCs w:val="20"/>
                <w:lang w:val="fr-FR" w:eastAsia="ru-RU"/>
              </w:rPr>
              <w:t xml:space="preserve"> și </w:t>
            </w:r>
            <w:proofErr w:type="spellStart"/>
            <w:r w:rsidRPr="00CC3856">
              <w:rPr>
                <w:rFonts w:ascii="Times New Roman" w:hAnsi="Times New Roman"/>
                <w:sz w:val="20"/>
                <w:szCs w:val="20"/>
                <w:lang w:val="fr-FR" w:eastAsia="ru-RU"/>
              </w:rPr>
              <w:t>între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statele</w:t>
            </w:r>
            <w:proofErr w:type="spellEnd"/>
            <w:r w:rsidRPr="00CC3856">
              <w:rPr>
                <w:rFonts w:ascii="Times New Roman" w:hAnsi="Times New Roman"/>
                <w:sz w:val="20"/>
                <w:szCs w:val="20"/>
                <w:lang w:val="fr-FR" w:eastAsia="ru-RU"/>
              </w:rPr>
              <w:t xml:space="preserve"> membre;</w:t>
            </w:r>
          </w:p>
          <w:p w14:paraId="064AA48F" w14:textId="77777777" w:rsidR="00552C68" w:rsidRPr="00CC3856" w:rsidRDefault="00552C68" w:rsidP="000C5A3B">
            <w:pPr>
              <w:pStyle w:val="ColorfulList-Accent11"/>
              <w:numPr>
                <w:ilvl w:val="0"/>
                <w:numId w:val="130"/>
              </w:numPr>
              <w:spacing w:after="0" w:line="240" w:lineRule="auto"/>
              <w:jc w:val="both"/>
              <w:rPr>
                <w:rFonts w:ascii="Times New Roman" w:hAnsi="Times New Roman"/>
                <w:sz w:val="20"/>
                <w:szCs w:val="20"/>
                <w:lang w:val="fr-FR"/>
              </w:rPr>
            </w:pPr>
            <w:proofErr w:type="spellStart"/>
            <w:proofErr w:type="gramStart"/>
            <w:r w:rsidRPr="00CC3856">
              <w:rPr>
                <w:rFonts w:ascii="Times New Roman" w:hAnsi="Times New Roman"/>
                <w:sz w:val="20"/>
                <w:szCs w:val="20"/>
                <w:lang w:val="fr-FR" w:eastAsia="ru-RU"/>
              </w:rPr>
              <w:t>statul</w:t>
            </w:r>
            <w:proofErr w:type="spellEnd"/>
            <w:proofErr w:type="gramEnd"/>
            <w:r w:rsidRPr="00CC3856">
              <w:rPr>
                <w:rFonts w:ascii="Times New Roman" w:hAnsi="Times New Roman"/>
                <w:sz w:val="20"/>
                <w:szCs w:val="20"/>
                <w:lang w:val="fr-FR" w:eastAsia="ru-RU"/>
              </w:rPr>
              <w:t xml:space="preserve"> membru </w:t>
            </w:r>
            <w:proofErr w:type="spellStart"/>
            <w:r w:rsidRPr="00CC3856">
              <w:rPr>
                <w:rFonts w:ascii="Times New Roman" w:hAnsi="Times New Roman"/>
                <w:sz w:val="20"/>
                <w:szCs w:val="20"/>
                <w:lang w:val="fr-FR" w:eastAsia="ru-RU"/>
              </w:rPr>
              <w:t>stabilește</w:t>
            </w:r>
            <w:proofErr w:type="spellEnd"/>
            <w:r w:rsidRPr="00CC3856">
              <w:rPr>
                <w:rFonts w:ascii="Times New Roman" w:hAnsi="Times New Roman"/>
                <w:sz w:val="20"/>
                <w:szCs w:val="20"/>
                <w:lang w:val="fr-FR" w:eastAsia="ru-RU"/>
              </w:rPr>
              <w:t xml:space="preserve">, în </w:t>
            </w:r>
            <w:proofErr w:type="spellStart"/>
            <w:r w:rsidRPr="00CC3856">
              <w:rPr>
                <w:rFonts w:ascii="Times New Roman" w:hAnsi="Times New Roman"/>
                <w:sz w:val="20"/>
                <w:szCs w:val="20"/>
                <w:lang w:val="fr-FR" w:eastAsia="ru-RU"/>
              </w:rPr>
              <w:t>raportul</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său</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național</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intermediar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integrat</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privind</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energia</w:t>
            </w:r>
            <w:proofErr w:type="spellEnd"/>
            <w:r w:rsidRPr="00CC3856">
              <w:rPr>
                <w:rFonts w:ascii="Times New Roman" w:hAnsi="Times New Roman"/>
                <w:sz w:val="20"/>
                <w:szCs w:val="20"/>
                <w:lang w:val="fr-FR" w:eastAsia="ru-RU"/>
              </w:rPr>
              <w:t xml:space="preserve"> și </w:t>
            </w:r>
            <w:proofErr w:type="spellStart"/>
            <w:r w:rsidRPr="00CC3856">
              <w:rPr>
                <w:rFonts w:ascii="Times New Roman" w:hAnsi="Times New Roman"/>
                <w:sz w:val="20"/>
                <w:szCs w:val="20"/>
                <w:lang w:val="fr-FR" w:eastAsia="ru-RU"/>
              </w:rPr>
              <w:t>clima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întocmit</w:t>
            </w:r>
            <w:proofErr w:type="spellEnd"/>
            <w:r w:rsidRPr="00CC3856">
              <w:rPr>
                <w:rFonts w:ascii="Times New Roman" w:hAnsi="Times New Roman"/>
                <w:sz w:val="20"/>
                <w:szCs w:val="20"/>
                <w:lang w:val="fr-FR" w:eastAsia="ru-RU"/>
              </w:rPr>
              <w:t xml:space="preserve"> în anul </w:t>
            </w:r>
            <w:proofErr w:type="spellStart"/>
            <w:r w:rsidRPr="00CC3856">
              <w:rPr>
                <w:rFonts w:ascii="Times New Roman" w:hAnsi="Times New Roman"/>
                <w:sz w:val="20"/>
                <w:szCs w:val="20"/>
                <w:lang w:val="fr-FR" w:eastAsia="ru-RU"/>
              </w:rPr>
              <w:t>următor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anului</w:t>
            </w:r>
            <w:proofErr w:type="spellEnd"/>
            <w:r w:rsidRPr="00CC3856">
              <w:rPr>
                <w:rFonts w:ascii="Times New Roman" w:hAnsi="Times New Roman"/>
                <w:sz w:val="20"/>
                <w:szCs w:val="20"/>
                <w:lang w:val="fr-FR" w:eastAsia="ru-RU"/>
              </w:rPr>
              <w:t xml:space="preserve"> în care a </w:t>
            </w:r>
            <w:proofErr w:type="spellStart"/>
            <w:r w:rsidRPr="00CC3856">
              <w:rPr>
                <w:rFonts w:ascii="Times New Roman" w:hAnsi="Times New Roman"/>
                <w:sz w:val="20"/>
                <w:szCs w:val="20"/>
                <w:lang w:val="fr-FR" w:eastAsia="ru-RU"/>
              </w:rPr>
              <w:t>fost</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emisă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recomandarea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modul</w:t>
            </w:r>
            <w:proofErr w:type="spellEnd"/>
            <w:r w:rsidRPr="00CC3856">
              <w:rPr>
                <w:rFonts w:ascii="Times New Roman" w:hAnsi="Times New Roman"/>
                <w:sz w:val="20"/>
                <w:szCs w:val="20"/>
                <w:lang w:val="fr-FR" w:eastAsia="ru-RU"/>
              </w:rPr>
              <w:t xml:space="preserve"> în care a </w:t>
            </w:r>
            <w:proofErr w:type="spellStart"/>
            <w:r w:rsidRPr="00CC3856">
              <w:rPr>
                <w:rFonts w:ascii="Times New Roman" w:hAnsi="Times New Roman"/>
                <w:sz w:val="20"/>
                <w:szCs w:val="20"/>
                <w:lang w:val="fr-FR" w:eastAsia="ru-RU"/>
              </w:rPr>
              <w:t>ținut</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seama</w:t>
            </w:r>
            <w:proofErr w:type="spellEnd"/>
            <w:r w:rsidRPr="00CC3856">
              <w:rPr>
                <w:rFonts w:ascii="Times New Roman" w:hAnsi="Times New Roman"/>
                <w:sz w:val="20"/>
                <w:szCs w:val="20"/>
                <w:lang w:val="fr-FR" w:eastAsia="ru-RU"/>
              </w:rPr>
              <w:t xml:space="preserve"> de </w:t>
            </w:r>
            <w:proofErr w:type="spellStart"/>
            <w:r w:rsidRPr="00CC3856">
              <w:rPr>
                <w:rFonts w:ascii="Times New Roman" w:hAnsi="Times New Roman"/>
                <w:sz w:val="20"/>
                <w:szCs w:val="20"/>
                <w:lang w:val="fr-FR" w:eastAsia="ru-RU"/>
              </w:rPr>
              <w:t>recomandare</w:t>
            </w:r>
            <w:proofErr w:type="spellEnd"/>
            <w:r w:rsidRPr="00CC3856">
              <w:rPr>
                <w:rFonts w:ascii="Times New Roman" w:hAnsi="Times New Roman"/>
                <w:sz w:val="20"/>
                <w:szCs w:val="20"/>
                <w:lang w:val="fr-FR" w:eastAsia="ru-RU"/>
              </w:rPr>
              <w:t xml:space="preserve"> în mod </w:t>
            </w:r>
            <w:proofErr w:type="spellStart"/>
            <w:r w:rsidRPr="00CC3856">
              <w:rPr>
                <w:rFonts w:ascii="Times New Roman" w:hAnsi="Times New Roman"/>
                <w:sz w:val="20"/>
                <w:szCs w:val="20"/>
                <w:lang w:val="fr-FR" w:eastAsia="ru-RU"/>
              </w:rPr>
              <w:t>corespunzător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Dacă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statul</w:t>
            </w:r>
            <w:proofErr w:type="spellEnd"/>
            <w:r w:rsidRPr="00CC3856">
              <w:rPr>
                <w:rFonts w:ascii="Times New Roman" w:hAnsi="Times New Roman"/>
                <w:sz w:val="20"/>
                <w:szCs w:val="20"/>
                <w:lang w:val="fr-FR" w:eastAsia="ru-RU"/>
              </w:rPr>
              <w:t xml:space="preserve"> membru în </w:t>
            </w:r>
            <w:proofErr w:type="spellStart"/>
            <w:r w:rsidRPr="00CC3856">
              <w:rPr>
                <w:rFonts w:ascii="Times New Roman" w:hAnsi="Times New Roman"/>
                <w:sz w:val="20"/>
                <w:szCs w:val="20"/>
                <w:lang w:val="fr-FR" w:eastAsia="ru-RU"/>
              </w:rPr>
              <w:t>cauză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decide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să</w:t>
            </w:r>
            <w:proofErr w:type="spellEnd"/>
            <w:r w:rsidRPr="00CC3856">
              <w:rPr>
                <w:rFonts w:ascii="Times New Roman" w:hAnsi="Times New Roman"/>
                <w:sz w:val="20"/>
                <w:szCs w:val="20"/>
                <w:lang w:val="fr-FR" w:eastAsia="ru-RU"/>
              </w:rPr>
              <w:t xml:space="preserve"> nu </w:t>
            </w:r>
            <w:proofErr w:type="spellStart"/>
            <w:r w:rsidRPr="00CC3856">
              <w:rPr>
                <w:rFonts w:ascii="Times New Roman" w:hAnsi="Times New Roman"/>
                <w:sz w:val="20"/>
                <w:szCs w:val="20"/>
                <w:lang w:val="fr-FR" w:eastAsia="ru-RU"/>
              </w:rPr>
              <w:t>dea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curs</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unei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recomandări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sau</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unei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părți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considerabile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dintr</w:t>
            </w:r>
            <w:proofErr w:type="spellEnd"/>
            <w:r w:rsidRPr="00CC3856">
              <w:rPr>
                <w:rFonts w:ascii="Times New Roman" w:hAnsi="Times New Roman"/>
                <w:sz w:val="20"/>
                <w:szCs w:val="20"/>
                <w:lang w:val="fr-FR" w:eastAsia="ru-RU"/>
              </w:rPr>
              <w:t xml:space="preserve">-o </w:t>
            </w:r>
            <w:proofErr w:type="spellStart"/>
            <w:r w:rsidRPr="00CC3856">
              <w:rPr>
                <w:rFonts w:ascii="Times New Roman" w:hAnsi="Times New Roman"/>
                <w:sz w:val="20"/>
                <w:szCs w:val="20"/>
                <w:lang w:val="fr-FR" w:eastAsia="ru-RU"/>
              </w:rPr>
              <w:t>recomandare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acesta</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prezintă</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motivele</w:t>
            </w:r>
            <w:proofErr w:type="spellEnd"/>
            <w:r w:rsidRPr="00CC3856">
              <w:rPr>
                <w:rFonts w:ascii="Times New Roman" w:hAnsi="Times New Roman"/>
                <w:sz w:val="20"/>
                <w:szCs w:val="20"/>
                <w:lang w:val="fr-FR" w:eastAsia="ru-RU"/>
              </w:rPr>
              <w:t xml:space="preserve"> </w:t>
            </w:r>
            <w:proofErr w:type="gramStart"/>
            <w:r w:rsidRPr="00CC3856">
              <w:rPr>
                <w:rFonts w:ascii="Times New Roman" w:hAnsi="Times New Roman"/>
                <w:sz w:val="20"/>
                <w:szCs w:val="20"/>
                <w:lang w:val="fr-FR" w:eastAsia="ru-RU"/>
              </w:rPr>
              <w:t>sale;</w:t>
            </w:r>
            <w:proofErr w:type="gramEnd"/>
          </w:p>
          <w:p w14:paraId="3910E1E3" w14:textId="618B1344" w:rsidR="00552C68" w:rsidRPr="00745D9A" w:rsidRDefault="00552C68" w:rsidP="000C5A3B">
            <w:pPr>
              <w:pStyle w:val="ColorfulList-Accent11"/>
              <w:numPr>
                <w:ilvl w:val="0"/>
                <w:numId w:val="130"/>
              </w:numPr>
              <w:spacing w:after="0" w:line="240" w:lineRule="auto"/>
              <w:jc w:val="both"/>
              <w:rPr>
                <w:lang w:val="fr-FR"/>
              </w:rPr>
            </w:pPr>
            <w:proofErr w:type="spellStart"/>
            <w:proofErr w:type="gramStart"/>
            <w:r w:rsidRPr="00CC3856">
              <w:rPr>
                <w:rFonts w:ascii="Times New Roman" w:hAnsi="Times New Roman"/>
                <w:sz w:val="20"/>
                <w:szCs w:val="20"/>
                <w:lang w:val="fr-FR" w:eastAsia="ru-RU"/>
              </w:rPr>
              <w:t>recomandările</w:t>
            </w:r>
            <w:proofErr w:type="spellEnd"/>
            <w:proofErr w:type="gram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ar</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trebui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să</w:t>
            </w:r>
            <w:proofErr w:type="spellEnd"/>
            <w:r w:rsidRPr="00CC3856">
              <w:rPr>
                <w:rFonts w:ascii="Times New Roman" w:hAnsi="Times New Roman"/>
                <w:sz w:val="20"/>
                <w:szCs w:val="20"/>
                <w:lang w:val="fr-FR" w:eastAsia="ru-RU"/>
              </w:rPr>
              <w:t xml:space="preserve"> fie </w:t>
            </w:r>
            <w:proofErr w:type="spellStart"/>
            <w:r w:rsidRPr="00CC3856">
              <w:rPr>
                <w:rFonts w:ascii="Times New Roman" w:hAnsi="Times New Roman"/>
                <w:sz w:val="20"/>
                <w:szCs w:val="20"/>
                <w:lang w:val="fr-FR" w:eastAsia="ru-RU"/>
              </w:rPr>
              <w:t>complementare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celor</w:t>
            </w:r>
            <w:proofErr w:type="spellEnd"/>
            <w:r w:rsidRPr="00CC3856">
              <w:rPr>
                <w:rFonts w:ascii="Times New Roman" w:hAnsi="Times New Roman"/>
                <w:sz w:val="20"/>
                <w:szCs w:val="20"/>
                <w:lang w:val="fr-FR" w:eastAsia="ru-RU"/>
              </w:rPr>
              <w:t xml:space="preserve"> mai </w:t>
            </w:r>
            <w:proofErr w:type="spellStart"/>
            <w:r w:rsidRPr="00CC3856">
              <w:rPr>
                <w:rFonts w:ascii="Times New Roman" w:hAnsi="Times New Roman"/>
                <w:sz w:val="20"/>
                <w:szCs w:val="20"/>
                <w:lang w:val="fr-FR" w:eastAsia="ru-RU"/>
              </w:rPr>
              <w:t>recente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recomandări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specifice</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fiecărei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țări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emise</w:t>
            </w:r>
            <w:proofErr w:type="spellEnd"/>
            <w:r w:rsidRPr="00CC3856">
              <w:rPr>
                <w:rFonts w:ascii="Times New Roman" w:hAnsi="Times New Roman"/>
                <w:sz w:val="20"/>
                <w:szCs w:val="20"/>
                <w:lang w:val="fr-FR" w:eastAsia="ru-RU"/>
              </w:rPr>
              <w:t xml:space="preserve"> în </w:t>
            </w:r>
            <w:proofErr w:type="spellStart"/>
            <w:r w:rsidRPr="00CC3856">
              <w:rPr>
                <w:rFonts w:ascii="Times New Roman" w:hAnsi="Times New Roman"/>
                <w:sz w:val="20"/>
                <w:szCs w:val="20"/>
                <w:lang w:val="fr-FR" w:eastAsia="ru-RU"/>
              </w:rPr>
              <w:t>contextul</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semestrului</w:t>
            </w:r>
            <w:proofErr w:type="spellEnd"/>
            <w:r w:rsidRPr="00CC3856">
              <w:rPr>
                <w:rFonts w:ascii="Times New Roman" w:hAnsi="Times New Roman"/>
                <w:sz w:val="20"/>
                <w:szCs w:val="20"/>
                <w:lang w:val="fr-FR" w:eastAsia="ru-RU"/>
              </w:rPr>
              <w:t xml:space="preserve"> </w:t>
            </w:r>
            <w:proofErr w:type="spellStart"/>
            <w:r w:rsidRPr="00CC3856">
              <w:rPr>
                <w:rFonts w:ascii="Times New Roman" w:hAnsi="Times New Roman"/>
                <w:sz w:val="20"/>
                <w:szCs w:val="20"/>
                <w:lang w:val="fr-FR" w:eastAsia="ru-RU"/>
              </w:rPr>
              <w:t>european</w:t>
            </w:r>
            <w:proofErr w:type="spellEnd"/>
            <w:r w:rsidRPr="00CC3856">
              <w:rPr>
                <w:rFonts w:ascii="Times New Roman" w:hAnsi="Times New Roman"/>
                <w:sz w:val="20"/>
                <w:szCs w:val="20"/>
                <w:lang w:val="fr-FR" w:eastAsia="ru-RU"/>
              </w:rPr>
              <w:t>.</w:t>
            </w:r>
          </w:p>
        </w:tc>
        <w:tc>
          <w:tcPr>
            <w:tcW w:w="4440" w:type="dxa"/>
          </w:tcPr>
          <w:p w14:paraId="57B68B1E" w14:textId="77777777" w:rsidR="008F5636" w:rsidRPr="00645F9C" w:rsidRDefault="008F5636" w:rsidP="00645F9C">
            <w:pPr>
              <w:suppressAutoHyphens w:val="0"/>
              <w:autoSpaceDN/>
              <w:spacing w:after="0" w:line="240" w:lineRule="auto"/>
              <w:jc w:val="both"/>
              <w:textAlignment w:val="auto"/>
              <w:rPr>
                <w:lang w:val="ro-MD"/>
              </w:rPr>
            </w:pPr>
          </w:p>
        </w:tc>
        <w:tc>
          <w:tcPr>
            <w:tcW w:w="1276" w:type="dxa"/>
          </w:tcPr>
          <w:p w14:paraId="2C097920" w14:textId="11B6531C" w:rsidR="00CC3856" w:rsidRDefault="00CC3856" w:rsidP="008F5636">
            <w:pPr>
              <w:pStyle w:val="ColorfulList-Accent11"/>
              <w:spacing w:after="0" w:line="240" w:lineRule="auto"/>
              <w:ind w:left="0"/>
              <w:jc w:val="both"/>
              <w:rPr>
                <w:rFonts w:ascii="Times New Roman" w:hAnsi="Times New Roman"/>
                <w:sz w:val="20"/>
                <w:szCs w:val="20"/>
                <w:lang w:val="ro-RO"/>
              </w:rPr>
            </w:pPr>
            <w:r w:rsidRPr="00C951E7">
              <w:rPr>
                <w:rFonts w:ascii="Times New Roman" w:hAnsi="Times New Roman"/>
                <w:sz w:val="20"/>
                <w:szCs w:val="20"/>
                <w:lang w:val="ro-RO"/>
              </w:rPr>
              <w:t>Parțial compatibil</w:t>
            </w:r>
          </w:p>
          <w:p w14:paraId="02787887"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62B4737C"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3FBF4ED7"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29406313"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2625A8FE"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0DD0F0FE"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23B9F626"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3024DA49"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10D6EB21"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200704D7"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48517A41"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78CBFAC2"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445FDAF0"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2C5F09C6"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5506A993"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7BA45287"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69FEF4FC"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75094F9F" w14:textId="77777777" w:rsidR="00CC3856" w:rsidRDefault="00CC3856" w:rsidP="008F5636">
            <w:pPr>
              <w:pStyle w:val="ColorfulList-Accent11"/>
              <w:spacing w:after="0" w:line="240" w:lineRule="auto"/>
              <w:ind w:left="0"/>
              <w:jc w:val="both"/>
              <w:rPr>
                <w:rFonts w:ascii="Times New Roman" w:hAnsi="Times New Roman"/>
                <w:sz w:val="20"/>
                <w:szCs w:val="20"/>
                <w:lang w:val="ro-RO"/>
              </w:rPr>
            </w:pPr>
          </w:p>
          <w:p w14:paraId="1103ECF2" w14:textId="2363AC18" w:rsidR="008F5636" w:rsidRPr="00745D9A" w:rsidRDefault="008F5636" w:rsidP="008F5636">
            <w:pPr>
              <w:pStyle w:val="ColorfulList-Accent11"/>
              <w:spacing w:after="0" w:line="240" w:lineRule="auto"/>
              <w:ind w:left="0"/>
              <w:jc w:val="both"/>
              <w:rPr>
                <w:lang w:val="fr-FR"/>
              </w:rPr>
            </w:pPr>
          </w:p>
        </w:tc>
        <w:tc>
          <w:tcPr>
            <w:tcW w:w="1276" w:type="dxa"/>
          </w:tcPr>
          <w:p w14:paraId="5EA5BABB" w14:textId="77777777" w:rsidR="008F5636" w:rsidRPr="00745D9A" w:rsidRDefault="008F5636" w:rsidP="008F5636">
            <w:pPr>
              <w:pStyle w:val="ColorfulList-Accent11"/>
              <w:spacing w:after="0" w:line="240" w:lineRule="auto"/>
              <w:ind w:left="0"/>
              <w:jc w:val="both"/>
              <w:rPr>
                <w:lang w:val="fr-FR"/>
              </w:rPr>
            </w:pPr>
          </w:p>
        </w:tc>
        <w:tc>
          <w:tcPr>
            <w:tcW w:w="1701" w:type="dxa"/>
          </w:tcPr>
          <w:p w14:paraId="4E8FCA50" w14:textId="5D181FD0" w:rsidR="00CC3856" w:rsidRPr="00F13819" w:rsidRDefault="00CC3856" w:rsidP="00CC3856">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lang w:val="ro-RO"/>
              </w:rPr>
              <w:t xml:space="preserve">Prevederile privind termenele și angajamentele din Regulamentul </w:t>
            </w:r>
            <w:r w:rsidRPr="00AE5D4F">
              <w:rPr>
                <w:rFonts w:ascii="Times New Roman" w:hAnsi="Times New Roman"/>
                <w:sz w:val="20"/>
                <w:szCs w:val="20"/>
                <w:shd w:val="clear" w:color="auto" w:fill="FFFFFF"/>
                <w:lang w:val="ro-RO"/>
              </w:rPr>
              <w:t>(UE) 2018/1999</w:t>
            </w:r>
            <w:r w:rsidRPr="00AE5D4F">
              <w:rPr>
                <w:rFonts w:ascii="Times New Roman" w:hAnsi="Times New Roman"/>
                <w:b/>
                <w:bCs/>
                <w:sz w:val="24"/>
                <w:szCs w:val="24"/>
                <w:shd w:val="clear" w:color="auto" w:fill="FFFFFF"/>
                <w:lang w:val="ro-RO"/>
              </w:rPr>
              <w:t xml:space="preserve"> </w:t>
            </w:r>
            <w:r>
              <w:rPr>
                <w:rFonts w:ascii="Times New Roman" w:hAnsi="Times New Roman"/>
                <w:sz w:val="20"/>
                <w:szCs w:val="20"/>
                <w:lang w:val="ro-RO"/>
              </w:rPr>
              <w:t xml:space="preserve">sunt transpuse în concordanță cu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a</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sidR="00821CF8">
              <w:rPr>
                <w:rFonts w:ascii="Times New Roman" w:eastAsia="Times New Roman" w:hAnsi="Times New Roman"/>
                <w:sz w:val="20"/>
                <w:szCs w:val="20"/>
                <w:lang w:val="ro-RO"/>
              </w:rPr>
              <w:t xml:space="preserve"> </w:t>
            </w:r>
            <w:r w:rsidR="00821CF8" w:rsidRPr="00F13819">
              <w:rPr>
                <w:rFonts w:ascii="Times New Roman" w:eastAsia="Times New Roman" w:hAnsi="Times New Roman"/>
                <w:sz w:val="20"/>
                <w:szCs w:val="20"/>
                <w:lang w:val="ro-RO"/>
              </w:rPr>
              <w:t>D/202</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w:t>
            </w:r>
            <w:r w:rsidR="00821CF8">
              <w:rPr>
                <w:rFonts w:ascii="Times New Roman" w:eastAsia="Times New Roman" w:hAnsi="Times New Roman"/>
                <w:sz w:val="20"/>
                <w:szCs w:val="20"/>
                <w:lang w:val="ro-RO"/>
              </w:rPr>
              <w:t>02</w:t>
            </w:r>
            <w:r w:rsidR="00821CF8" w:rsidRPr="00F13819">
              <w:rPr>
                <w:rFonts w:ascii="Times New Roman" w:eastAsia="Times New Roman" w:hAnsi="Times New Roman"/>
                <w:sz w:val="20"/>
                <w:szCs w:val="20"/>
                <w:lang w:val="ro-RO"/>
              </w:rPr>
              <w:t>/MC-</w:t>
            </w:r>
            <w:proofErr w:type="spellStart"/>
            <w:r w:rsidR="00821CF8" w:rsidRPr="00F13819">
              <w:rPr>
                <w:rFonts w:ascii="Times New Roman" w:eastAsia="Times New Roman" w:hAnsi="Times New Roman"/>
                <w:sz w:val="20"/>
                <w:szCs w:val="20"/>
                <w:lang w:val="ro-RO"/>
              </w:rPr>
              <w:t>EnC</w:t>
            </w:r>
            <w:proofErr w:type="spellEnd"/>
            <w:r w:rsidR="00821CF8" w:rsidRPr="00F13819">
              <w:rPr>
                <w:rFonts w:ascii="Times New Roman" w:eastAsia="Times New Roman" w:hAnsi="Times New Roman"/>
                <w:sz w:val="20"/>
                <w:szCs w:val="20"/>
                <w:lang w:val="ro-RO"/>
              </w:rPr>
              <w:t xml:space="preserve"> din </w:t>
            </w:r>
            <w:r w:rsidR="00821CF8">
              <w:rPr>
                <w:rFonts w:ascii="Times New Roman" w:eastAsia="Times New Roman" w:hAnsi="Times New Roman"/>
                <w:sz w:val="20"/>
                <w:szCs w:val="20"/>
                <w:lang w:val="ro-RO"/>
              </w:rPr>
              <w:t>15</w:t>
            </w:r>
            <w:r w:rsidR="00821CF8" w:rsidRPr="00F13819">
              <w:rPr>
                <w:rFonts w:ascii="Times New Roman" w:eastAsia="Times New Roman" w:hAnsi="Times New Roman"/>
                <w:sz w:val="20"/>
                <w:szCs w:val="20"/>
                <w:lang w:val="ro-RO"/>
              </w:rPr>
              <w:t>.1</w:t>
            </w:r>
            <w:r w:rsidR="00821CF8">
              <w:rPr>
                <w:rFonts w:ascii="Times New Roman" w:eastAsia="Times New Roman" w:hAnsi="Times New Roman"/>
                <w:sz w:val="20"/>
                <w:szCs w:val="20"/>
                <w:lang w:val="ro-RO"/>
              </w:rPr>
              <w:t>2</w:t>
            </w:r>
            <w:r w:rsidR="00821CF8" w:rsidRPr="00F13819">
              <w:rPr>
                <w:rFonts w:ascii="Times New Roman" w:eastAsia="Times New Roman" w:hAnsi="Times New Roman"/>
                <w:sz w:val="20"/>
                <w:szCs w:val="20"/>
                <w:lang w:val="ro-RO"/>
              </w:rPr>
              <w:t>.202</w:t>
            </w:r>
            <w:r w:rsidR="00821CF8">
              <w:rPr>
                <w:rFonts w:ascii="Times New Roman" w:eastAsia="Times New Roman" w:hAnsi="Times New Roman"/>
                <w:sz w:val="20"/>
                <w:szCs w:val="20"/>
                <w:lang w:val="ro-RO"/>
              </w:rPr>
              <w:t>2.</w:t>
            </w:r>
            <w:r>
              <w:rPr>
                <w:rFonts w:ascii="Times New Roman" w:eastAsia="Times New Roman" w:hAnsi="Times New Roman"/>
                <w:sz w:val="20"/>
                <w:szCs w:val="20"/>
                <w:lang w:val="ro-RO"/>
              </w:rPr>
              <w:t xml:space="preserve"> </w:t>
            </w:r>
          </w:p>
          <w:p w14:paraId="792D32C0" w14:textId="77777777" w:rsidR="008F5636" w:rsidRDefault="008F5636" w:rsidP="00CC3856">
            <w:pPr>
              <w:autoSpaceDE w:val="0"/>
              <w:adjustRightInd w:val="0"/>
              <w:spacing w:after="0" w:line="240" w:lineRule="auto"/>
              <w:rPr>
                <w:lang w:val="ro-RO"/>
              </w:rPr>
            </w:pPr>
          </w:p>
          <w:p w14:paraId="5600EF80" w14:textId="16778426" w:rsidR="00645F9C" w:rsidRPr="003C74D7" w:rsidRDefault="00645F9C" w:rsidP="00645F9C">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 xml:space="preserve">la pct.69 din </w:t>
            </w:r>
            <w:r>
              <w:rPr>
                <w:rFonts w:ascii="Times New Roman" w:eastAsia="Times New Roman" w:hAnsi="Times New Roman"/>
                <w:sz w:val="20"/>
                <w:szCs w:val="20"/>
                <w:lang w:val="ro-RO" w:eastAsia="ru-RU"/>
              </w:rPr>
              <w:t xml:space="preserve"> </w:t>
            </w:r>
          </w:p>
          <w:p w14:paraId="16F98854" w14:textId="43207BFB" w:rsidR="00645F9C" w:rsidRPr="00552C68" w:rsidRDefault="00645F9C" w:rsidP="00645F9C">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w:t>
            </w:r>
            <w:r w:rsidRPr="007E64AF">
              <w:rPr>
                <w:rFonts w:ascii="Times New Roman" w:hAnsi="Times New Roman"/>
                <w:color w:val="000000" w:themeColor="text1"/>
                <w:sz w:val="20"/>
                <w:szCs w:val="20"/>
                <w:shd w:val="clear" w:color="auto" w:fill="FFFFFF"/>
              </w:rPr>
              <w:lastRenderedPageBreak/>
              <w:t xml:space="preserve">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tc>
        <w:tc>
          <w:tcPr>
            <w:tcW w:w="1460" w:type="dxa"/>
          </w:tcPr>
          <w:p w14:paraId="20FCDDBF" w14:textId="77777777" w:rsidR="00CC3856" w:rsidRPr="003F755D" w:rsidRDefault="00552C68" w:rsidP="00CC385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CC3856" w:rsidRPr="00A81801">
              <w:rPr>
                <w:rFonts w:ascii="Times New Roman" w:hAnsi="Times New Roman"/>
                <w:color w:val="000000" w:themeColor="text1"/>
                <w:sz w:val="20"/>
                <w:szCs w:val="20"/>
              </w:rPr>
              <w:t>Energiei</w:t>
            </w:r>
          </w:p>
          <w:p w14:paraId="1689D00C" w14:textId="309360FF" w:rsidR="00552C68" w:rsidRPr="003F755D" w:rsidRDefault="00552C68" w:rsidP="00552C68">
            <w:pPr>
              <w:autoSpaceDE w:val="0"/>
              <w:spacing w:after="0" w:line="240" w:lineRule="auto"/>
              <w:rPr>
                <w:rFonts w:ascii="Times New Roman" w:hAnsi="Times New Roman"/>
                <w:sz w:val="20"/>
                <w:szCs w:val="20"/>
                <w:shd w:val="clear" w:color="auto" w:fill="FFFFFF"/>
                <w:lang w:val="ro-RO"/>
              </w:rPr>
            </w:pPr>
          </w:p>
          <w:p w14:paraId="7DEFC3AC" w14:textId="77777777" w:rsidR="008F5636" w:rsidRPr="00552C68" w:rsidRDefault="008F5636" w:rsidP="008F5636">
            <w:pPr>
              <w:pStyle w:val="ColorfulList-Accent11"/>
              <w:spacing w:after="0" w:line="240" w:lineRule="auto"/>
              <w:ind w:left="0"/>
              <w:jc w:val="both"/>
              <w:rPr>
                <w:lang w:val="ro-RO"/>
              </w:rPr>
            </w:pPr>
          </w:p>
        </w:tc>
      </w:tr>
      <w:tr w:rsidR="008F5636" w:rsidRPr="00263A32" w14:paraId="597561C7" w14:textId="77777777" w:rsidTr="00A90105">
        <w:tc>
          <w:tcPr>
            <w:tcW w:w="4945" w:type="dxa"/>
          </w:tcPr>
          <w:p w14:paraId="5372C659" w14:textId="77777777" w:rsidR="008F5636" w:rsidRPr="00A723F5" w:rsidRDefault="008F5636" w:rsidP="00552C68">
            <w:pPr>
              <w:spacing w:after="0" w:line="240" w:lineRule="auto"/>
              <w:jc w:val="center"/>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Articolul</w:t>
            </w:r>
            <w:proofErr w:type="spellEnd"/>
            <w:r w:rsidRPr="00A723F5">
              <w:rPr>
                <w:rFonts w:ascii="Times New Roman" w:hAnsi="Times New Roman"/>
                <w:sz w:val="20"/>
                <w:szCs w:val="20"/>
                <w:lang w:val="en-US" w:eastAsia="ru-RU"/>
              </w:rPr>
              <w:t xml:space="preserve"> 35</w:t>
            </w:r>
          </w:p>
          <w:p w14:paraId="753029A2" w14:textId="77777777" w:rsidR="008F5636" w:rsidRPr="00A723F5" w:rsidRDefault="008F5636" w:rsidP="00552C68">
            <w:pPr>
              <w:spacing w:after="0" w:line="240" w:lineRule="auto"/>
              <w:jc w:val="center"/>
              <w:rPr>
                <w:rFonts w:ascii="Times New Roman" w:hAnsi="Times New Roman"/>
                <w:b/>
                <w:bCs/>
                <w:sz w:val="20"/>
                <w:szCs w:val="20"/>
                <w:lang w:val="en-US" w:eastAsia="ru-RU"/>
              </w:rPr>
            </w:pPr>
            <w:proofErr w:type="spellStart"/>
            <w:r w:rsidRPr="00A723F5">
              <w:rPr>
                <w:rFonts w:ascii="Times New Roman" w:hAnsi="Times New Roman"/>
                <w:b/>
                <w:bCs/>
                <w:sz w:val="20"/>
                <w:szCs w:val="20"/>
                <w:lang w:val="en-US" w:eastAsia="ru-RU"/>
              </w:rPr>
              <w:t>Raport</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privind</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starea</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uniunii</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energetice</w:t>
            </w:r>
            <w:proofErr w:type="spellEnd"/>
          </w:p>
          <w:p w14:paraId="53BA1BDE" w14:textId="61D5792C" w:rsidR="008F5636" w:rsidRPr="00A723F5" w:rsidRDefault="008F5636" w:rsidP="00552C68">
            <w:p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fr-FR" w:eastAsia="ru-RU"/>
              </w:rPr>
              <w:t>(</w:t>
            </w:r>
            <w:proofErr w:type="gramStart"/>
            <w:r w:rsidRPr="00A723F5">
              <w:rPr>
                <w:rFonts w:ascii="Times New Roman" w:hAnsi="Times New Roman"/>
                <w:sz w:val="20"/>
                <w:szCs w:val="20"/>
                <w:lang w:val="fr-FR" w:eastAsia="ru-RU"/>
              </w:rPr>
              <w:t>1)Până</w:t>
            </w:r>
            <w:proofErr w:type="gramEnd"/>
            <w:r w:rsidRPr="00A723F5">
              <w:rPr>
                <w:rFonts w:ascii="Times New Roman" w:hAnsi="Times New Roman"/>
                <w:sz w:val="20"/>
                <w:szCs w:val="20"/>
                <w:lang w:val="fr-FR" w:eastAsia="ru-RU"/>
              </w:rPr>
              <w:t xml:space="preserve"> la data de</w:t>
            </w:r>
            <w:r w:rsidR="00552C68"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31</w:t>
            </w:r>
            <w:r w:rsidR="00552C68"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octombrie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fiecărui</w:t>
            </w:r>
            <w:proofErr w:type="spellEnd"/>
            <w:r w:rsidRPr="00A723F5">
              <w:rPr>
                <w:rFonts w:ascii="Times New Roman" w:hAnsi="Times New Roman"/>
                <w:sz w:val="20"/>
                <w:szCs w:val="20"/>
                <w:lang w:val="fr-FR" w:eastAsia="ru-RU"/>
              </w:rPr>
              <w:t xml:space="preserve"> an, </w:t>
            </w:r>
            <w:proofErr w:type="spellStart"/>
            <w:r w:rsidRPr="00A723F5">
              <w:rPr>
                <w:rFonts w:ascii="Times New Roman" w:hAnsi="Times New Roman"/>
                <w:sz w:val="20"/>
                <w:szCs w:val="20"/>
                <w:lang w:val="fr-FR" w:eastAsia="ru-RU"/>
              </w:rPr>
              <w:t>Comisia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înaintează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Parlamentului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European</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Consiliului</w:t>
            </w:r>
            <w:proofErr w:type="spellEnd"/>
            <w:r w:rsidRPr="00A723F5">
              <w:rPr>
                <w:rFonts w:ascii="Times New Roman" w:hAnsi="Times New Roman"/>
                <w:sz w:val="20"/>
                <w:szCs w:val="20"/>
                <w:lang w:val="fr-FR" w:eastAsia="ru-RU"/>
              </w:rPr>
              <w:t xml:space="preserve"> un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starea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energetice</w:t>
            </w:r>
            <w:proofErr w:type="spellEnd"/>
          </w:p>
          <w:p w14:paraId="6849C326" w14:textId="61CB7037" w:rsidR="00552C68" w:rsidRPr="00A723F5" w:rsidRDefault="00552C68" w:rsidP="00552C68">
            <w:pPr>
              <w:spacing w:after="0" w:line="240" w:lineRule="auto"/>
              <w:jc w:val="both"/>
              <w:rPr>
                <w:rFonts w:ascii="Times New Roman" w:hAnsi="Times New Roman"/>
                <w:sz w:val="20"/>
                <w:szCs w:val="20"/>
                <w:lang w:val="en-US" w:eastAsia="ru-RU"/>
              </w:rPr>
            </w:pPr>
            <w:r w:rsidRPr="00A723F5">
              <w:rPr>
                <w:rFonts w:ascii="Times New Roman" w:hAnsi="Times New Roman"/>
                <w:sz w:val="20"/>
                <w:szCs w:val="20"/>
                <w:lang w:val="en-US" w:eastAsia="ru-RU"/>
              </w:rPr>
              <w:t>(</w:t>
            </w:r>
            <w:proofErr w:type="gramStart"/>
            <w:r w:rsidRPr="00A723F5">
              <w:rPr>
                <w:rFonts w:ascii="Times New Roman" w:hAnsi="Times New Roman"/>
                <w:sz w:val="20"/>
                <w:szCs w:val="20"/>
                <w:lang w:val="en-US" w:eastAsia="ru-RU"/>
              </w:rPr>
              <w:t>2)</w:t>
            </w:r>
            <w:proofErr w:type="spellStart"/>
            <w:r w:rsidRPr="00A723F5">
              <w:rPr>
                <w:rFonts w:ascii="Times New Roman" w:hAnsi="Times New Roman"/>
                <w:sz w:val="20"/>
                <w:szCs w:val="20"/>
                <w:lang w:val="en-US" w:eastAsia="ru-RU"/>
              </w:rPr>
              <w:t>Raportul</w:t>
            </w:r>
            <w:proofErr w:type="spellEnd"/>
            <w:proofErr w:type="gram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starea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uniunii</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energetice</w:t>
            </w:r>
            <w:proofErr w:type="spellEnd"/>
            <w:r w:rsidRPr="00A723F5">
              <w:rPr>
                <w:rFonts w:ascii="Times New Roman" w:hAnsi="Times New Roman"/>
                <w:sz w:val="20"/>
                <w:szCs w:val="20"/>
                <w:lang w:val="en-US" w:eastAsia="ru-RU"/>
              </w:rPr>
              <w:t xml:space="preserve"> include </w:t>
            </w:r>
            <w:proofErr w:type="spellStart"/>
            <w:r w:rsidRPr="00A723F5">
              <w:rPr>
                <w:rFonts w:ascii="Times New Roman" w:hAnsi="Times New Roman"/>
                <w:sz w:val="20"/>
                <w:szCs w:val="20"/>
                <w:lang w:val="en-US" w:eastAsia="ru-RU"/>
              </w:rPr>
              <w:t>următoarele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elemente</w:t>
            </w:r>
            <w:proofErr w:type="spellEnd"/>
            <w:r w:rsidRPr="00A723F5">
              <w:rPr>
                <w:rFonts w:ascii="Times New Roman" w:hAnsi="Times New Roman"/>
                <w:sz w:val="20"/>
                <w:szCs w:val="20"/>
                <w:lang w:val="en-US" w:eastAsia="ru-RU"/>
              </w:rPr>
              <w:t>:</w:t>
            </w:r>
          </w:p>
          <w:p w14:paraId="7F560C63" w14:textId="77777777" w:rsidR="00552C68" w:rsidRPr="00A723F5" w:rsidRDefault="00552C68" w:rsidP="000C5A3B">
            <w:pPr>
              <w:pStyle w:val="af3"/>
              <w:numPr>
                <w:ilvl w:val="0"/>
                <w:numId w:val="131"/>
              </w:numPr>
              <w:spacing w:after="0" w:line="240" w:lineRule="auto"/>
              <w:jc w:val="both"/>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evaluarea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efectuată</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29;</w:t>
            </w:r>
          </w:p>
          <w:p w14:paraId="79211371" w14:textId="2DFDDEB8"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dacă</w:t>
            </w:r>
            <w:proofErr w:type="spellEnd"/>
            <w:proofErr w:type="gramEnd"/>
            <w:r w:rsidRPr="00A723F5">
              <w:rPr>
                <w:rFonts w:ascii="Times New Roman" w:hAnsi="Times New Roman"/>
                <w:sz w:val="20"/>
                <w:szCs w:val="20"/>
                <w:lang w:val="fr-FR" w:eastAsia="ru-RU"/>
              </w:rPr>
              <w:t xml:space="preserve"> este </w:t>
            </w:r>
            <w:proofErr w:type="spellStart"/>
            <w:r w:rsidRPr="00A723F5">
              <w:rPr>
                <w:rFonts w:ascii="Times New Roman" w:hAnsi="Times New Roman"/>
                <w:sz w:val="20"/>
                <w:szCs w:val="20"/>
                <w:lang w:val="fr-FR" w:eastAsia="ru-RU"/>
              </w:rPr>
              <w:t>cazul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recomandările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formulate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articolului</w:t>
            </w:r>
            <w:proofErr w:type="spellEnd"/>
            <w:r w:rsidRPr="00A723F5">
              <w:rPr>
                <w:rFonts w:ascii="Times New Roman" w:hAnsi="Times New Roman"/>
                <w:sz w:val="20"/>
                <w:szCs w:val="20"/>
                <w:lang w:val="fr-FR" w:eastAsia="ru-RU"/>
              </w:rPr>
              <w:t xml:space="preserve"> 34;</w:t>
            </w:r>
          </w:p>
          <w:p w14:paraId="699C5FC8" w14:textId="416CD598"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raportul</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funcționarea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pieței</w:t>
            </w:r>
            <w:proofErr w:type="spellEnd"/>
            <w:r w:rsidRPr="00A723F5">
              <w:rPr>
                <w:rFonts w:ascii="Times New Roman" w:hAnsi="Times New Roman"/>
                <w:sz w:val="20"/>
                <w:szCs w:val="20"/>
                <w:lang w:val="fr-FR" w:eastAsia="ru-RU"/>
              </w:rPr>
              <w:t xml:space="preserve"> carbonului </w:t>
            </w:r>
            <w:proofErr w:type="spellStart"/>
            <w:r w:rsidRPr="00A723F5">
              <w:rPr>
                <w:rFonts w:ascii="Times New Roman" w:hAnsi="Times New Roman"/>
                <w:sz w:val="20"/>
                <w:szCs w:val="20"/>
                <w:lang w:val="fr-FR" w:eastAsia="ru-RU"/>
              </w:rPr>
              <w:t>menționat</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10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(5)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2003/87/CE, </w:t>
            </w:r>
            <w:proofErr w:type="spellStart"/>
            <w:r w:rsidRPr="00A723F5">
              <w:rPr>
                <w:rFonts w:ascii="Times New Roman" w:hAnsi="Times New Roman"/>
                <w:sz w:val="20"/>
                <w:szCs w:val="20"/>
                <w:lang w:val="fr-FR" w:eastAsia="ru-RU"/>
              </w:rPr>
              <w:t>inclusiv</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informații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privire</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aplicarea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directivei</w:t>
            </w:r>
            <w:proofErr w:type="spellEnd"/>
            <w:r w:rsidRPr="00A723F5">
              <w:rPr>
                <w:rFonts w:ascii="Times New Roman" w:hAnsi="Times New Roman"/>
                <w:sz w:val="20"/>
                <w:szCs w:val="20"/>
                <w:lang w:val="fr-FR" w:eastAsia="ru-RU"/>
              </w:rPr>
              <w:t xml:space="preserve"> respective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21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(2)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respectivă</w:t>
            </w:r>
            <w:proofErr w:type="spellEnd"/>
            <w:r w:rsidRPr="00A723F5">
              <w:rPr>
                <w:rFonts w:ascii="Times New Roman" w:hAnsi="Times New Roman"/>
                <w:sz w:val="20"/>
                <w:szCs w:val="20"/>
                <w:lang w:val="fr-FR" w:eastAsia="ru-RU"/>
              </w:rPr>
              <w:t>;</w:t>
            </w:r>
          </w:p>
          <w:p w14:paraId="39C33D3D" w14:textId="77777777" w:rsidR="008F5636"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la</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doi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începând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2023, un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durabilitatea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bioenergiei</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nivelul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cuprinzând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informațiile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specificate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anexa</w:t>
            </w:r>
            <w:proofErr w:type="spellEnd"/>
            <w:r w:rsidRPr="00A723F5">
              <w:rPr>
                <w:rFonts w:ascii="Times New Roman" w:hAnsi="Times New Roman"/>
                <w:sz w:val="20"/>
                <w:szCs w:val="20"/>
                <w:lang w:val="fr-FR" w:eastAsia="ru-RU"/>
              </w:rPr>
              <w:t xml:space="preserve"> X;</w:t>
            </w:r>
          </w:p>
          <w:p w14:paraId="0805E0B0" w14:textId="77777777"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la</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doi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ani</w:t>
            </w:r>
            <w:proofErr w:type="spellEnd"/>
            <w:r w:rsidRPr="00A723F5">
              <w:rPr>
                <w:rFonts w:ascii="Times New Roman" w:hAnsi="Times New Roman"/>
                <w:sz w:val="20"/>
                <w:szCs w:val="20"/>
                <w:lang w:val="fr-FR" w:eastAsia="ru-RU"/>
              </w:rPr>
              <w:t xml:space="preserve">, un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schemele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voluntare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care </w:t>
            </w:r>
            <w:proofErr w:type="spellStart"/>
            <w:r w:rsidRPr="00A723F5">
              <w:rPr>
                <w:rFonts w:ascii="Times New Roman" w:hAnsi="Times New Roman"/>
                <w:sz w:val="20"/>
                <w:szCs w:val="20"/>
                <w:lang w:val="fr-FR" w:eastAsia="ru-RU"/>
              </w:rPr>
              <w:t>Comisia</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adoptat</w:t>
            </w:r>
            <w:proofErr w:type="spellEnd"/>
            <w:r w:rsidRPr="00A723F5">
              <w:rPr>
                <w:rFonts w:ascii="Times New Roman" w:hAnsi="Times New Roman"/>
                <w:sz w:val="20"/>
                <w:szCs w:val="20"/>
                <w:lang w:val="fr-FR" w:eastAsia="ru-RU"/>
              </w:rPr>
              <w:t xml:space="preserve"> o </w:t>
            </w:r>
            <w:proofErr w:type="spellStart"/>
            <w:r w:rsidRPr="00A723F5">
              <w:rPr>
                <w:rFonts w:ascii="Times New Roman" w:hAnsi="Times New Roman"/>
                <w:sz w:val="20"/>
                <w:szCs w:val="20"/>
                <w:lang w:val="fr-FR" w:eastAsia="ru-RU"/>
              </w:rPr>
              <w:t>decizie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articolului</w:t>
            </w:r>
            <w:proofErr w:type="spellEnd"/>
            <w:r w:rsidRPr="00A723F5">
              <w:rPr>
                <w:rFonts w:ascii="Times New Roman" w:hAnsi="Times New Roman"/>
                <w:sz w:val="20"/>
                <w:szCs w:val="20"/>
                <w:lang w:val="fr-FR" w:eastAsia="ru-RU"/>
              </w:rPr>
              <w:t xml:space="preserve"> 30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(4)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(UE) 2018/2001, </w:t>
            </w:r>
            <w:proofErr w:type="spellStart"/>
            <w:r w:rsidRPr="00A723F5">
              <w:rPr>
                <w:rFonts w:ascii="Times New Roman" w:hAnsi="Times New Roman"/>
                <w:sz w:val="20"/>
                <w:szCs w:val="20"/>
                <w:lang w:val="fr-FR" w:eastAsia="ru-RU"/>
              </w:rPr>
              <w:t>cuprinzând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informațiile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specificate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anexa</w:t>
            </w:r>
            <w:proofErr w:type="spellEnd"/>
            <w:r w:rsidRPr="00A723F5">
              <w:rPr>
                <w:rFonts w:ascii="Times New Roman" w:hAnsi="Times New Roman"/>
                <w:sz w:val="20"/>
                <w:szCs w:val="20"/>
                <w:lang w:val="fr-FR" w:eastAsia="ru-RU"/>
              </w:rPr>
              <w:t xml:space="preserve"> XI la </w:t>
            </w:r>
            <w:proofErr w:type="spellStart"/>
            <w:r w:rsidRPr="00A723F5">
              <w:rPr>
                <w:rFonts w:ascii="Times New Roman" w:hAnsi="Times New Roman"/>
                <w:sz w:val="20"/>
                <w:szCs w:val="20"/>
                <w:lang w:val="fr-FR" w:eastAsia="ru-RU"/>
              </w:rPr>
              <w:t>prezentul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regulament</w:t>
            </w:r>
            <w:proofErr w:type="spellEnd"/>
            <w:r w:rsidRPr="00A723F5">
              <w:rPr>
                <w:rFonts w:ascii="Times New Roman" w:hAnsi="Times New Roman"/>
                <w:sz w:val="20"/>
                <w:szCs w:val="20"/>
                <w:lang w:val="fr-FR" w:eastAsia="ru-RU"/>
              </w:rPr>
              <w:t>;</w:t>
            </w:r>
          </w:p>
          <w:p w14:paraId="58E56CA6" w14:textId="77777777"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en-US" w:eastAsia="ru-RU"/>
              </w:rPr>
              <w:t xml:space="preserve">un </w:t>
            </w:r>
            <w:proofErr w:type="spellStart"/>
            <w:r w:rsidRPr="00A723F5">
              <w:rPr>
                <w:rFonts w:ascii="Times New Roman" w:hAnsi="Times New Roman"/>
                <w:sz w:val="20"/>
                <w:szCs w:val="20"/>
                <w:lang w:val="en-US" w:eastAsia="ru-RU"/>
              </w:rPr>
              <w:t>raport</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intermediar</w:t>
            </w:r>
            <w:proofErr w:type="spellEnd"/>
            <w:r w:rsidRPr="00A723F5">
              <w:rPr>
                <w:rFonts w:ascii="Times New Roman" w:hAnsi="Times New Roman"/>
                <w:sz w:val="20"/>
                <w:szCs w:val="20"/>
                <w:lang w:val="en-US" w:eastAsia="ru-RU"/>
              </w:rPr>
              <w:t xml:space="preserve"> general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aplicarea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Directivei</w:t>
            </w:r>
            <w:proofErr w:type="spellEnd"/>
            <w:r w:rsidRPr="00A723F5">
              <w:rPr>
                <w:rFonts w:ascii="Times New Roman" w:hAnsi="Times New Roman"/>
                <w:sz w:val="20"/>
                <w:szCs w:val="20"/>
                <w:lang w:val="en-US" w:eastAsia="ru-RU"/>
              </w:rPr>
              <w:t xml:space="preserve"> 2009/72/CE;</w:t>
            </w:r>
          </w:p>
          <w:p w14:paraId="60D82777" w14:textId="77777777"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en-US" w:eastAsia="ru-RU"/>
              </w:rPr>
              <w:t xml:space="preserve">un </w:t>
            </w:r>
            <w:proofErr w:type="spellStart"/>
            <w:r w:rsidRPr="00A723F5">
              <w:rPr>
                <w:rFonts w:ascii="Times New Roman" w:hAnsi="Times New Roman"/>
                <w:sz w:val="20"/>
                <w:szCs w:val="20"/>
                <w:lang w:val="en-US" w:eastAsia="ru-RU"/>
              </w:rPr>
              <w:t>raport</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intermediar</w:t>
            </w:r>
            <w:proofErr w:type="spellEnd"/>
            <w:r w:rsidRPr="00A723F5">
              <w:rPr>
                <w:rFonts w:ascii="Times New Roman" w:hAnsi="Times New Roman"/>
                <w:sz w:val="20"/>
                <w:szCs w:val="20"/>
                <w:lang w:val="en-US" w:eastAsia="ru-RU"/>
              </w:rPr>
              <w:t xml:space="preserve"> general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aplicarea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Directivei</w:t>
            </w:r>
            <w:proofErr w:type="spellEnd"/>
            <w:r w:rsidRPr="00A723F5">
              <w:rPr>
                <w:rFonts w:ascii="Times New Roman" w:hAnsi="Times New Roman"/>
                <w:sz w:val="20"/>
                <w:szCs w:val="20"/>
                <w:lang w:val="en-US" w:eastAsia="ru-RU"/>
              </w:rPr>
              <w:t xml:space="preserve"> 2009/73/CE,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52 din </w:t>
            </w:r>
            <w:proofErr w:type="spellStart"/>
            <w:r w:rsidRPr="00A723F5">
              <w:rPr>
                <w:rFonts w:ascii="Times New Roman" w:hAnsi="Times New Roman"/>
                <w:sz w:val="20"/>
                <w:szCs w:val="20"/>
                <w:lang w:val="en-US" w:eastAsia="ru-RU"/>
              </w:rPr>
              <w:t>directiva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respectivă</w:t>
            </w:r>
            <w:proofErr w:type="spellEnd"/>
            <w:r w:rsidRPr="00A723F5">
              <w:rPr>
                <w:rFonts w:ascii="Times New Roman" w:hAnsi="Times New Roman"/>
                <w:sz w:val="20"/>
                <w:szCs w:val="20"/>
                <w:lang w:val="en-US" w:eastAsia="ru-RU"/>
              </w:rPr>
              <w:t>;</w:t>
            </w:r>
          </w:p>
          <w:p w14:paraId="40E8CDFB" w14:textId="77777777" w:rsidR="00552C68" w:rsidRPr="00A723F5" w:rsidRDefault="00552C68"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un</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intermediar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general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schemele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obligații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ceea</w:t>
            </w:r>
            <w:proofErr w:type="spellEnd"/>
            <w:r w:rsidRPr="00A723F5">
              <w:rPr>
                <w:rFonts w:ascii="Times New Roman" w:hAnsi="Times New Roman"/>
                <w:sz w:val="20"/>
                <w:szCs w:val="20"/>
                <w:lang w:val="fr-FR" w:eastAsia="ru-RU"/>
              </w:rPr>
              <w:t xml:space="preserve"> ce </w:t>
            </w:r>
            <w:proofErr w:type="spellStart"/>
            <w:r w:rsidRPr="00A723F5">
              <w:rPr>
                <w:rFonts w:ascii="Times New Roman" w:hAnsi="Times New Roman"/>
                <w:sz w:val="20"/>
                <w:szCs w:val="20"/>
                <w:lang w:val="fr-FR" w:eastAsia="ru-RU"/>
              </w:rPr>
              <w:t>privește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eficiența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energetică</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măsurile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politică</w:t>
            </w:r>
            <w:proofErr w:type="spellEnd"/>
            <w:r w:rsidRPr="00A723F5">
              <w:rPr>
                <w:rFonts w:ascii="Times New Roman" w:hAnsi="Times New Roman"/>
                <w:sz w:val="20"/>
                <w:szCs w:val="20"/>
                <w:lang w:val="fr-FR" w:eastAsia="ru-RU"/>
              </w:rPr>
              <w:t xml:space="preserve"> alternative </w:t>
            </w:r>
            <w:proofErr w:type="spellStart"/>
            <w:r w:rsidRPr="00A723F5">
              <w:rPr>
                <w:rFonts w:ascii="Times New Roman" w:hAnsi="Times New Roman"/>
                <w:sz w:val="20"/>
                <w:szCs w:val="20"/>
                <w:lang w:val="fr-FR" w:eastAsia="ru-RU"/>
              </w:rPr>
              <w:t>astfel</w:t>
            </w:r>
            <w:proofErr w:type="spellEnd"/>
            <w:r w:rsidRPr="00A723F5">
              <w:rPr>
                <w:rFonts w:ascii="Times New Roman" w:hAnsi="Times New Roman"/>
                <w:sz w:val="20"/>
                <w:szCs w:val="20"/>
                <w:lang w:val="fr-FR" w:eastAsia="ru-RU"/>
              </w:rPr>
              <w:t xml:space="preserve"> cum </w:t>
            </w:r>
            <w:proofErr w:type="spellStart"/>
            <w:r w:rsidRPr="00A723F5">
              <w:rPr>
                <w:rFonts w:ascii="Times New Roman" w:hAnsi="Times New Roman"/>
                <w:sz w:val="20"/>
                <w:szCs w:val="20"/>
                <w:lang w:val="fr-FR" w:eastAsia="ru-RU"/>
              </w:rPr>
              <w:t>sunt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menționate</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articolele</w:t>
            </w:r>
            <w:proofErr w:type="spellEnd"/>
            <w:r w:rsidRPr="00A723F5">
              <w:rPr>
                <w:rFonts w:ascii="Times New Roman" w:hAnsi="Times New Roman"/>
                <w:sz w:val="20"/>
                <w:szCs w:val="20"/>
                <w:lang w:val="fr-FR" w:eastAsia="ru-RU"/>
              </w:rPr>
              <w:t xml:space="preserve"> 7a și 7b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2012/27/UE;</w:t>
            </w:r>
          </w:p>
          <w:p w14:paraId="4ADA50E1" w14:textId="77777777"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la</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doi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ani</w:t>
            </w:r>
            <w:proofErr w:type="spellEnd"/>
            <w:r w:rsidRPr="00A723F5">
              <w:rPr>
                <w:rFonts w:ascii="Times New Roman" w:hAnsi="Times New Roman"/>
                <w:sz w:val="20"/>
                <w:szCs w:val="20"/>
                <w:lang w:val="fr-FR" w:eastAsia="ru-RU"/>
              </w:rPr>
              <w:t xml:space="preserve">, un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intermediar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general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renovarea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parcului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național</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clădiri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rezidențiale</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nerezidențiale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atât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publice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cât</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private</w:t>
            </w:r>
            <w:proofErr w:type="spellEnd"/>
            <w:r w:rsidRPr="00A723F5">
              <w:rPr>
                <w:rFonts w:ascii="Times New Roman" w:hAnsi="Times New Roman"/>
                <w:sz w:val="20"/>
                <w:szCs w:val="20"/>
                <w:lang w:val="fr-FR" w:eastAsia="ru-RU"/>
              </w:rPr>
              <w:t xml:space="preser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foile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parcurs</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stabilite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strategiile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renovare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termen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lung</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w:t>
            </w:r>
            <w:proofErr w:type="spellEnd"/>
            <w:r w:rsidRPr="00A723F5">
              <w:rPr>
                <w:rFonts w:ascii="Times New Roman" w:hAnsi="Times New Roman"/>
                <w:sz w:val="20"/>
                <w:szCs w:val="20"/>
                <w:lang w:val="fr-FR" w:eastAsia="ru-RU"/>
              </w:rPr>
              <w:t xml:space="preserve"> care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stat membru le </w:t>
            </w:r>
            <w:proofErr w:type="spellStart"/>
            <w:r w:rsidRPr="00A723F5">
              <w:rPr>
                <w:rFonts w:ascii="Times New Roman" w:hAnsi="Times New Roman"/>
                <w:sz w:val="20"/>
                <w:szCs w:val="20"/>
                <w:lang w:val="fr-FR" w:eastAsia="ru-RU"/>
              </w:rPr>
              <w:t>elaborează</w:t>
            </w:r>
            <w:proofErr w:type="spellEnd"/>
            <w:r w:rsidRPr="00A723F5">
              <w:rPr>
                <w:rFonts w:ascii="Times New Roman" w:hAnsi="Times New Roman"/>
                <w:sz w:val="20"/>
                <w:szCs w:val="20"/>
                <w:lang w:val="fr-FR" w:eastAsia="ru-RU"/>
              </w:rPr>
              <w:t xml:space="preser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2a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2010/31/UE;</w:t>
            </w:r>
          </w:p>
          <w:p w14:paraId="3E8363B9" w14:textId="5605BAAB"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la</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ani</w:t>
            </w:r>
            <w:proofErr w:type="spellEnd"/>
            <w:r w:rsidRPr="00A723F5">
              <w:rPr>
                <w:rFonts w:ascii="Times New Roman" w:hAnsi="Times New Roman"/>
                <w:sz w:val="20"/>
                <w:szCs w:val="20"/>
                <w:lang w:val="fr-FR" w:eastAsia="ru-RU"/>
              </w:rPr>
              <w:t xml:space="preserve">, un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intermediar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general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creșterea</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către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statele</w:t>
            </w:r>
            <w:proofErr w:type="spellEnd"/>
            <w:r w:rsidRPr="00A723F5">
              <w:rPr>
                <w:rFonts w:ascii="Times New Roman" w:hAnsi="Times New Roman"/>
                <w:sz w:val="20"/>
                <w:szCs w:val="20"/>
                <w:lang w:val="fr-FR" w:eastAsia="ru-RU"/>
              </w:rPr>
              <w:t xml:space="preserve"> membre a </w:t>
            </w:r>
            <w:proofErr w:type="spellStart"/>
            <w:r w:rsidRPr="00A723F5">
              <w:rPr>
                <w:rFonts w:ascii="Times New Roman" w:hAnsi="Times New Roman"/>
                <w:sz w:val="20"/>
                <w:szCs w:val="20"/>
                <w:lang w:val="fr-FR" w:eastAsia="ru-RU"/>
              </w:rPr>
              <w:t>numărului</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clădiri</w:t>
            </w:r>
            <w:proofErr w:type="spellEnd"/>
            <w:r w:rsidRPr="00A723F5">
              <w:rPr>
                <w:rFonts w:ascii="Times New Roman" w:hAnsi="Times New Roman"/>
                <w:sz w:val="20"/>
                <w:szCs w:val="20"/>
                <w:lang w:val="fr-FR" w:eastAsia="ru-RU"/>
              </w:rPr>
              <w:t xml:space="preserve"> al </w:t>
            </w:r>
            <w:proofErr w:type="spellStart"/>
            <w:r w:rsidRPr="00A723F5">
              <w:rPr>
                <w:rFonts w:ascii="Times New Roman" w:hAnsi="Times New Roman"/>
                <w:sz w:val="20"/>
                <w:szCs w:val="20"/>
                <w:lang w:val="fr-FR" w:eastAsia="ru-RU"/>
              </w:rPr>
              <w:t>căror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consum</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energie</w:t>
            </w:r>
            <w:proofErr w:type="spellEnd"/>
            <w:r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lastRenderedPageBreak/>
              <w:t xml:space="preserve">este </w:t>
            </w:r>
            <w:proofErr w:type="spellStart"/>
            <w:r w:rsidRPr="00A723F5">
              <w:rPr>
                <w:rFonts w:ascii="Times New Roman" w:hAnsi="Times New Roman"/>
                <w:sz w:val="20"/>
                <w:szCs w:val="20"/>
                <w:lang w:val="fr-FR" w:eastAsia="ru-RU"/>
              </w:rPr>
              <w:t>aproape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egal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zero</w:t>
            </w:r>
            <w:proofErr w:type="spellEnd"/>
            <w:r w:rsidRPr="00A723F5">
              <w:rPr>
                <w:rFonts w:ascii="Times New Roman" w:hAnsi="Times New Roman"/>
                <w:sz w:val="20"/>
                <w:szCs w:val="20"/>
                <w:lang w:val="fr-FR" w:eastAsia="ru-RU"/>
              </w:rPr>
              <w:t xml:space="preser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9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(5)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Directiva</w:t>
            </w:r>
            <w:proofErr w:type="spellEnd"/>
            <w:r w:rsidRPr="00A723F5">
              <w:rPr>
                <w:rFonts w:ascii="Times New Roman" w:hAnsi="Times New Roman"/>
                <w:sz w:val="20"/>
                <w:szCs w:val="20"/>
                <w:lang w:val="fr-FR" w:eastAsia="ru-RU"/>
              </w:rPr>
              <w:t xml:space="preserve"> 2010/31/UE;</w:t>
            </w:r>
          </w:p>
          <w:p w14:paraId="13F9A10E" w14:textId="77777777"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gramStart"/>
            <w:r w:rsidRPr="00A723F5">
              <w:rPr>
                <w:rFonts w:ascii="Times New Roman" w:hAnsi="Times New Roman"/>
                <w:sz w:val="20"/>
                <w:szCs w:val="20"/>
                <w:lang w:val="fr-FR" w:eastAsia="ru-RU"/>
              </w:rPr>
              <w:t>un</w:t>
            </w:r>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raport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intermediar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general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progresele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înregistrate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statele</w:t>
            </w:r>
            <w:proofErr w:type="spellEnd"/>
            <w:r w:rsidRPr="00A723F5">
              <w:rPr>
                <w:rFonts w:ascii="Times New Roman" w:hAnsi="Times New Roman"/>
                <w:sz w:val="20"/>
                <w:szCs w:val="20"/>
                <w:lang w:val="fr-FR" w:eastAsia="ru-RU"/>
              </w:rPr>
              <w:t xml:space="preserve"> membre în </w:t>
            </w:r>
            <w:proofErr w:type="spellStart"/>
            <w:r w:rsidRPr="00A723F5">
              <w:rPr>
                <w:rFonts w:ascii="Times New Roman" w:hAnsi="Times New Roman"/>
                <w:sz w:val="20"/>
                <w:szCs w:val="20"/>
                <w:lang w:val="fr-FR" w:eastAsia="ru-RU"/>
              </w:rPr>
              <w:t>ceea</w:t>
            </w:r>
            <w:proofErr w:type="spellEnd"/>
            <w:r w:rsidRPr="00A723F5">
              <w:rPr>
                <w:rFonts w:ascii="Times New Roman" w:hAnsi="Times New Roman"/>
                <w:sz w:val="20"/>
                <w:szCs w:val="20"/>
                <w:lang w:val="fr-FR" w:eastAsia="ru-RU"/>
              </w:rPr>
              <w:t xml:space="preserve"> ce </w:t>
            </w:r>
            <w:proofErr w:type="spellStart"/>
            <w:r w:rsidRPr="00A723F5">
              <w:rPr>
                <w:rFonts w:ascii="Times New Roman" w:hAnsi="Times New Roman"/>
                <w:sz w:val="20"/>
                <w:szCs w:val="20"/>
                <w:lang w:val="fr-FR" w:eastAsia="ru-RU"/>
              </w:rPr>
              <w:t>privește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crearea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unei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piețe</w:t>
            </w:r>
            <w:proofErr w:type="spellEnd"/>
            <w:r w:rsidRPr="00A723F5">
              <w:rPr>
                <w:rFonts w:ascii="Times New Roman" w:hAnsi="Times New Roman"/>
                <w:sz w:val="20"/>
                <w:szCs w:val="20"/>
                <w:lang w:val="fr-FR" w:eastAsia="ru-RU"/>
              </w:rPr>
              <w:t xml:space="preserve"> a energiei </w:t>
            </w:r>
            <w:proofErr w:type="spellStart"/>
            <w:r w:rsidRPr="00A723F5">
              <w:rPr>
                <w:rFonts w:ascii="Times New Roman" w:hAnsi="Times New Roman"/>
                <w:sz w:val="20"/>
                <w:szCs w:val="20"/>
                <w:lang w:val="fr-FR" w:eastAsia="ru-RU"/>
              </w:rPr>
              <w:t>complete</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operaționale</w:t>
            </w:r>
            <w:proofErr w:type="spellEnd"/>
            <w:r w:rsidRPr="00A723F5">
              <w:rPr>
                <w:rFonts w:ascii="Times New Roman" w:hAnsi="Times New Roman"/>
                <w:sz w:val="20"/>
                <w:szCs w:val="20"/>
                <w:lang w:val="fr-FR" w:eastAsia="ru-RU"/>
              </w:rPr>
              <w:t>;</w:t>
            </w:r>
          </w:p>
          <w:p w14:paraId="3D02B1F4" w14:textId="77777777"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calitatea</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reală</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combustibililor</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diferitele</w:t>
            </w:r>
            <w:proofErr w:type="spellEnd"/>
            <w:r w:rsidRPr="00A723F5">
              <w:rPr>
                <w:rFonts w:ascii="Times New Roman" w:hAnsi="Times New Roman"/>
                <w:sz w:val="20"/>
                <w:szCs w:val="20"/>
                <w:lang w:val="fr-FR" w:eastAsia="ru-RU"/>
              </w:rPr>
              <w:t xml:space="preserve"> state membre și </w:t>
            </w:r>
            <w:proofErr w:type="spellStart"/>
            <w:r w:rsidRPr="00A723F5">
              <w:rPr>
                <w:rFonts w:ascii="Times New Roman" w:hAnsi="Times New Roman"/>
                <w:sz w:val="20"/>
                <w:szCs w:val="20"/>
                <w:lang w:val="fr-FR" w:eastAsia="ru-RU"/>
              </w:rPr>
              <w:t>acoperirea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geografică</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combustibililor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un </w:t>
            </w:r>
            <w:proofErr w:type="spellStart"/>
            <w:r w:rsidRPr="00A723F5">
              <w:rPr>
                <w:rFonts w:ascii="Times New Roman" w:hAnsi="Times New Roman"/>
                <w:sz w:val="20"/>
                <w:szCs w:val="20"/>
                <w:lang w:val="fr-FR" w:eastAsia="ru-RU"/>
              </w:rPr>
              <w:t>conținut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maxim</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sulf</w:t>
            </w:r>
            <w:proofErr w:type="spellEnd"/>
            <w:r w:rsidRPr="00A723F5">
              <w:rPr>
                <w:rFonts w:ascii="Times New Roman" w:hAnsi="Times New Roman"/>
                <w:sz w:val="20"/>
                <w:szCs w:val="20"/>
                <w:lang w:val="fr-FR" w:eastAsia="ru-RU"/>
              </w:rPr>
              <w:t xml:space="preserve"> de 10 mg/kg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oferi</w:t>
            </w:r>
            <w:proofErr w:type="spellEnd"/>
            <w:r w:rsidRPr="00A723F5">
              <w:rPr>
                <w:rFonts w:ascii="Times New Roman" w:hAnsi="Times New Roman"/>
                <w:sz w:val="20"/>
                <w:szCs w:val="20"/>
                <w:lang w:val="fr-FR" w:eastAsia="ru-RU"/>
              </w:rPr>
              <w:t xml:space="preserve"> o imagine de </w:t>
            </w:r>
            <w:proofErr w:type="spellStart"/>
            <w:r w:rsidRPr="00A723F5">
              <w:rPr>
                <w:rFonts w:ascii="Times New Roman" w:hAnsi="Times New Roman"/>
                <w:sz w:val="20"/>
                <w:szCs w:val="20"/>
                <w:lang w:val="fr-FR" w:eastAsia="ru-RU"/>
              </w:rPr>
              <w:t>ansamblu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datelor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referitoare</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calitatea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combustibililor</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diferitele</w:t>
            </w:r>
            <w:proofErr w:type="spellEnd"/>
            <w:r w:rsidRPr="00A723F5">
              <w:rPr>
                <w:rFonts w:ascii="Times New Roman" w:hAnsi="Times New Roman"/>
                <w:sz w:val="20"/>
                <w:szCs w:val="20"/>
                <w:lang w:val="fr-FR" w:eastAsia="ru-RU"/>
              </w:rPr>
              <w:t xml:space="preserve"> state membre, </w:t>
            </w:r>
            <w:proofErr w:type="spellStart"/>
            <w:r w:rsidRPr="00A723F5">
              <w:rPr>
                <w:rFonts w:ascii="Times New Roman" w:hAnsi="Times New Roman"/>
                <w:sz w:val="20"/>
                <w:szCs w:val="20"/>
                <w:lang w:val="fr-FR" w:eastAsia="ru-RU"/>
              </w:rPr>
              <w:t>raportate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Directivei</w:t>
            </w:r>
            <w:proofErr w:type="spellEnd"/>
            <w:r w:rsidRPr="00A723F5">
              <w:rPr>
                <w:rFonts w:ascii="Times New Roman" w:hAnsi="Times New Roman"/>
                <w:sz w:val="20"/>
                <w:szCs w:val="20"/>
                <w:lang w:val="fr-FR" w:eastAsia="ru-RU"/>
              </w:rPr>
              <w:t xml:space="preserve"> 98/70/CE;</w:t>
            </w:r>
          </w:p>
          <w:p w14:paraId="5662E836" w14:textId="77777777"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en-US" w:eastAsia="ru-RU"/>
              </w:rPr>
              <w:t xml:space="preserve">un </w:t>
            </w:r>
            <w:proofErr w:type="spellStart"/>
            <w:r w:rsidRPr="00A723F5">
              <w:rPr>
                <w:rFonts w:ascii="Times New Roman" w:hAnsi="Times New Roman"/>
                <w:sz w:val="20"/>
                <w:szCs w:val="20"/>
                <w:lang w:val="en-US" w:eastAsia="ru-RU"/>
              </w:rPr>
              <w:t>raport</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intermediar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competitivitatea</w:t>
            </w:r>
            <w:proofErr w:type="spellEnd"/>
            <w:r w:rsidRPr="00A723F5">
              <w:rPr>
                <w:rFonts w:ascii="Times New Roman" w:hAnsi="Times New Roman"/>
                <w:sz w:val="20"/>
                <w:szCs w:val="20"/>
                <w:lang w:val="en-US" w:eastAsia="ru-RU"/>
              </w:rPr>
              <w:t>;</w:t>
            </w:r>
          </w:p>
          <w:p w14:paraId="77447504" w14:textId="77777777"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progresele</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înregistrate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statele</w:t>
            </w:r>
            <w:proofErr w:type="spellEnd"/>
            <w:r w:rsidRPr="00A723F5">
              <w:rPr>
                <w:rFonts w:ascii="Times New Roman" w:hAnsi="Times New Roman"/>
                <w:sz w:val="20"/>
                <w:szCs w:val="20"/>
                <w:lang w:val="fr-FR" w:eastAsia="ru-RU"/>
              </w:rPr>
              <w:t xml:space="preserve"> membre în </w:t>
            </w:r>
            <w:proofErr w:type="spellStart"/>
            <w:r w:rsidRPr="00A723F5">
              <w:rPr>
                <w:rFonts w:ascii="Times New Roman" w:hAnsi="Times New Roman"/>
                <w:sz w:val="20"/>
                <w:szCs w:val="20"/>
                <w:lang w:val="fr-FR" w:eastAsia="ru-RU"/>
              </w:rPr>
              <w:t>ceea</w:t>
            </w:r>
            <w:proofErr w:type="spellEnd"/>
            <w:r w:rsidRPr="00A723F5">
              <w:rPr>
                <w:rFonts w:ascii="Times New Roman" w:hAnsi="Times New Roman"/>
                <w:sz w:val="20"/>
                <w:szCs w:val="20"/>
                <w:lang w:val="fr-FR" w:eastAsia="ru-RU"/>
              </w:rPr>
              <w:t xml:space="preserve"> ce </w:t>
            </w:r>
            <w:proofErr w:type="spellStart"/>
            <w:r w:rsidRPr="00A723F5">
              <w:rPr>
                <w:rFonts w:ascii="Times New Roman" w:hAnsi="Times New Roman"/>
                <w:sz w:val="20"/>
                <w:szCs w:val="20"/>
                <w:lang w:val="fr-FR" w:eastAsia="ru-RU"/>
              </w:rPr>
              <w:t>privește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eliminarea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treptată</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subvențiilor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energie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special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combustibilii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fosili</w:t>
            </w:r>
            <w:proofErr w:type="spellEnd"/>
            <w:r w:rsidRPr="00A723F5">
              <w:rPr>
                <w:rFonts w:ascii="Times New Roman" w:hAnsi="Times New Roman"/>
                <w:sz w:val="20"/>
                <w:szCs w:val="20"/>
                <w:lang w:val="fr-FR" w:eastAsia="ru-RU"/>
              </w:rPr>
              <w:t>;</w:t>
            </w:r>
          </w:p>
          <w:p w14:paraId="7C20E16B" w14:textId="043819DA" w:rsidR="00A24CA5" w:rsidRPr="00A723F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spellStart"/>
            <w:r w:rsidRPr="00A723F5">
              <w:rPr>
                <w:rFonts w:ascii="Times New Roman" w:hAnsi="Times New Roman"/>
                <w:sz w:val="20"/>
                <w:szCs w:val="20"/>
                <w:lang w:val="en-US" w:eastAsia="ru-RU"/>
              </w:rPr>
              <w:t>alte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aspecte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relevante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pentru</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punerea</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aplicare</w:t>
            </w:r>
            <w:proofErr w:type="spellEnd"/>
            <w:r w:rsidRPr="00A723F5">
              <w:rPr>
                <w:rFonts w:ascii="Times New Roman" w:hAnsi="Times New Roman"/>
                <w:sz w:val="20"/>
                <w:szCs w:val="20"/>
                <w:lang w:val="en-US" w:eastAsia="ru-RU"/>
              </w:rPr>
              <w:t xml:space="preserve"> a </w:t>
            </w:r>
            <w:proofErr w:type="spellStart"/>
            <w:r w:rsidRPr="00A723F5">
              <w:rPr>
                <w:rFonts w:ascii="Times New Roman" w:hAnsi="Times New Roman"/>
                <w:sz w:val="20"/>
                <w:szCs w:val="20"/>
                <w:lang w:val="en-US" w:eastAsia="ru-RU"/>
              </w:rPr>
              <w:t>uniunii</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energetice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inclusiv</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sprijinul</w:t>
            </w:r>
            <w:proofErr w:type="spellEnd"/>
            <w:r w:rsidRPr="00A723F5">
              <w:rPr>
                <w:rFonts w:ascii="Times New Roman" w:hAnsi="Times New Roman"/>
                <w:sz w:val="20"/>
                <w:szCs w:val="20"/>
                <w:lang w:val="en-US" w:eastAsia="ru-RU"/>
              </w:rPr>
              <w:t xml:space="preserve"> public și </w:t>
            </w:r>
            <w:proofErr w:type="spellStart"/>
            <w:r w:rsidRPr="00A723F5">
              <w:rPr>
                <w:rFonts w:ascii="Times New Roman" w:hAnsi="Times New Roman"/>
                <w:sz w:val="20"/>
                <w:szCs w:val="20"/>
                <w:lang w:val="en-US" w:eastAsia="ru-RU"/>
              </w:rPr>
              <w:t>privat</w:t>
            </w:r>
            <w:proofErr w:type="spellEnd"/>
            <w:r w:rsidRPr="00A723F5">
              <w:rPr>
                <w:rFonts w:ascii="Times New Roman" w:hAnsi="Times New Roman"/>
                <w:sz w:val="20"/>
                <w:szCs w:val="20"/>
                <w:lang w:val="en-US" w:eastAsia="ru-RU"/>
              </w:rPr>
              <w:t>;</w:t>
            </w:r>
          </w:p>
          <w:p w14:paraId="5015A7E5" w14:textId="477E0E45" w:rsidR="00A24CA5" w:rsidRPr="00A24CA5" w:rsidRDefault="00A24CA5" w:rsidP="000C5A3B">
            <w:pPr>
              <w:pStyle w:val="af3"/>
              <w:numPr>
                <w:ilvl w:val="0"/>
                <w:numId w:val="131"/>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până</w:t>
            </w:r>
            <w:proofErr w:type="spellEnd"/>
            <w:proofErr w:type="gramEnd"/>
            <w:r w:rsidRPr="00A723F5">
              <w:rPr>
                <w:rFonts w:ascii="Times New Roman" w:hAnsi="Times New Roman"/>
                <w:sz w:val="20"/>
                <w:szCs w:val="20"/>
                <w:lang w:val="fr-FR" w:eastAsia="ru-RU"/>
              </w:rPr>
              <w:t xml:space="preserve"> la 31 </w:t>
            </w:r>
            <w:proofErr w:type="spellStart"/>
            <w:r w:rsidRPr="00A723F5">
              <w:rPr>
                <w:rFonts w:ascii="Times New Roman" w:hAnsi="Times New Roman"/>
                <w:sz w:val="20"/>
                <w:szCs w:val="20"/>
                <w:lang w:val="fr-FR" w:eastAsia="ru-RU"/>
              </w:rPr>
              <w:t>octombrie</w:t>
            </w:r>
            <w:proofErr w:type="spellEnd"/>
            <w:r w:rsidRPr="00A723F5">
              <w:rPr>
                <w:rFonts w:ascii="Times New Roman" w:hAnsi="Times New Roman"/>
                <w:sz w:val="20"/>
                <w:szCs w:val="20"/>
                <w:lang w:val="fr-FR" w:eastAsia="ru-RU"/>
              </w:rPr>
              <w:t xml:space="preserve"> 2019 și, </w:t>
            </w:r>
            <w:proofErr w:type="spellStart"/>
            <w:r w:rsidRPr="00A723F5">
              <w:rPr>
                <w:rFonts w:ascii="Times New Roman" w:hAnsi="Times New Roman"/>
                <w:sz w:val="20"/>
                <w:szCs w:val="20"/>
                <w:lang w:val="fr-FR" w:eastAsia="ru-RU"/>
              </w:rPr>
              <w:t>ulterior</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ani</w:t>
            </w:r>
            <w:proofErr w:type="spellEnd"/>
            <w:r w:rsidRPr="00A723F5">
              <w:rPr>
                <w:rFonts w:ascii="Times New Roman" w:hAnsi="Times New Roman"/>
                <w:sz w:val="20"/>
                <w:szCs w:val="20"/>
                <w:lang w:val="fr-FR" w:eastAsia="ru-RU"/>
              </w:rPr>
              <w:t xml:space="preserve">, o </w:t>
            </w:r>
            <w:proofErr w:type="spellStart"/>
            <w:r w:rsidRPr="00A723F5">
              <w:rPr>
                <w:rFonts w:ascii="Times New Roman" w:hAnsi="Times New Roman"/>
                <w:sz w:val="20"/>
                <w:szCs w:val="20"/>
                <w:lang w:val="fr-FR" w:eastAsia="ru-RU"/>
              </w:rPr>
              <w:t>evaluare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punerii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aplicare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Directivei</w:t>
            </w:r>
            <w:proofErr w:type="spellEnd"/>
            <w:r w:rsidRPr="00A723F5">
              <w:rPr>
                <w:rFonts w:ascii="Times New Roman" w:hAnsi="Times New Roman"/>
                <w:sz w:val="20"/>
                <w:szCs w:val="20"/>
                <w:lang w:val="fr-FR" w:eastAsia="ru-RU"/>
              </w:rPr>
              <w:t xml:space="preserve"> 2009/31/CE.</w:t>
            </w:r>
          </w:p>
        </w:tc>
        <w:tc>
          <w:tcPr>
            <w:tcW w:w="4440" w:type="dxa"/>
          </w:tcPr>
          <w:p w14:paraId="69D6EBFB" w14:textId="77777777" w:rsidR="008F5636" w:rsidRPr="00552C68" w:rsidRDefault="008F5636" w:rsidP="008F5636">
            <w:pPr>
              <w:pStyle w:val="ColorfulList-Accent11"/>
              <w:spacing w:after="0" w:line="240" w:lineRule="auto"/>
              <w:ind w:left="0"/>
              <w:jc w:val="both"/>
              <w:rPr>
                <w:lang w:val="fr-FR"/>
              </w:rPr>
            </w:pPr>
          </w:p>
        </w:tc>
        <w:tc>
          <w:tcPr>
            <w:tcW w:w="1276" w:type="dxa"/>
          </w:tcPr>
          <w:p w14:paraId="7527FCAF" w14:textId="56D75BC8" w:rsidR="008F5636" w:rsidRPr="00552C68" w:rsidRDefault="00A24CA5"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1A15B31F" w14:textId="77777777" w:rsidR="008F5636" w:rsidRPr="00552C68" w:rsidRDefault="008F5636" w:rsidP="008F5636">
            <w:pPr>
              <w:pStyle w:val="ColorfulList-Accent11"/>
              <w:spacing w:after="0" w:line="240" w:lineRule="auto"/>
              <w:ind w:left="0"/>
              <w:jc w:val="both"/>
              <w:rPr>
                <w:lang w:val="fr-FR"/>
              </w:rPr>
            </w:pPr>
          </w:p>
        </w:tc>
        <w:tc>
          <w:tcPr>
            <w:tcW w:w="1701" w:type="dxa"/>
          </w:tcPr>
          <w:p w14:paraId="7D0EE4BE" w14:textId="77777777" w:rsidR="000643DF" w:rsidRPr="000643DF" w:rsidRDefault="000643DF" w:rsidP="000643DF">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4D857551" w14:textId="063A139B" w:rsidR="008F5636" w:rsidRPr="000643DF" w:rsidRDefault="008F5636" w:rsidP="008F5636">
            <w:pPr>
              <w:pStyle w:val="ColorfulList-Accent11"/>
              <w:spacing w:after="0" w:line="240" w:lineRule="auto"/>
              <w:ind w:left="0"/>
              <w:jc w:val="both"/>
              <w:rPr>
                <w:lang w:val="ro-RO"/>
              </w:rPr>
            </w:pPr>
          </w:p>
        </w:tc>
        <w:tc>
          <w:tcPr>
            <w:tcW w:w="1460" w:type="dxa"/>
          </w:tcPr>
          <w:p w14:paraId="13F28217" w14:textId="77777777" w:rsidR="008F5636" w:rsidRPr="00552C68" w:rsidRDefault="008F5636" w:rsidP="008F5636">
            <w:pPr>
              <w:pStyle w:val="ColorfulList-Accent11"/>
              <w:spacing w:after="0" w:line="240" w:lineRule="auto"/>
              <w:ind w:left="0"/>
              <w:jc w:val="both"/>
              <w:rPr>
                <w:lang w:val="fr-FR"/>
              </w:rPr>
            </w:pPr>
          </w:p>
        </w:tc>
      </w:tr>
      <w:tr w:rsidR="008F5636" w:rsidRPr="00263A32" w14:paraId="032695E1" w14:textId="77777777" w:rsidTr="00A90105">
        <w:tc>
          <w:tcPr>
            <w:tcW w:w="4945" w:type="dxa"/>
          </w:tcPr>
          <w:p w14:paraId="1D61BF8D" w14:textId="77777777" w:rsidR="008F5636" w:rsidRPr="00A723F5" w:rsidRDefault="008F5636" w:rsidP="00DF1994">
            <w:pPr>
              <w:spacing w:after="0" w:line="240" w:lineRule="auto"/>
              <w:jc w:val="center"/>
              <w:rPr>
                <w:rFonts w:ascii="Times New Roman" w:hAnsi="Times New Roman"/>
                <w:sz w:val="20"/>
                <w:szCs w:val="20"/>
                <w:lang w:val="fr-FR" w:eastAsia="ru-RU"/>
              </w:rPr>
            </w:pPr>
            <w:proofErr w:type="spellStart"/>
            <w:r w:rsidRPr="00A723F5">
              <w:rPr>
                <w:rFonts w:ascii="Times New Roman" w:hAnsi="Times New Roman"/>
                <w:sz w:val="20"/>
                <w:szCs w:val="20"/>
                <w:lang w:val="fr-FR" w:eastAsia="ru-RU"/>
              </w:rPr>
              <w:lastRenderedPageBreak/>
              <w:t>Articolul</w:t>
            </w:r>
            <w:proofErr w:type="spellEnd"/>
            <w:r w:rsidRPr="00A723F5">
              <w:rPr>
                <w:rFonts w:ascii="Times New Roman" w:hAnsi="Times New Roman"/>
                <w:sz w:val="20"/>
                <w:szCs w:val="20"/>
                <w:lang w:val="fr-FR" w:eastAsia="ru-RU"/>
              </w:rPr>
              <w:t xml:space="preserve"> 36</w:t>
            </w:r>
          </w:p>
          <w:p w14:paraId="49FE43FD" w14:textId="77777777" w:rsidR="008F5636" w:rsidRPr="00A723F5" w:rsidRDefault="008F5636" w:rsidP="00DF1994">
            <w:pPr>
              <w:spacing w:after="0" w:line="240" w:lineRule="auto"/>
              <w:jc w:val="center"/>
              <w:rPr>
                <w:rFonts w:ascii="Times New Roman" w:hAnsi="Times New Roman"/>
                <w:b/>
                <w:bCs/>
                <w:sz w:val="20"/>
                <w:szCs w:val="20"/>
                <w:lang w:val="fr-FR" w:eastAsia="ru-RU"/>
              </w:rPr>
            </w:pPr>
            <w:proofErr w:type="spellStart"/>
            <w:r w:rsidRPr="00A723F5">
              <w:rPr>
                <w:rFonts w:ascii="Times New Roman" w:hAnsi="Times New Roman"/>
                <w:b/>
                <w:bCs/>
                <w:sz w:val="20"/>
                <w:szCs w:val="20"/>
                <w:lang w:val="fr-FR" w:eastAsia="ru-RU"/>
              </w:rPr>
              <w:t>Monitorizarea</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mecanismului</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guvernanță</w:t>
            </w:r>
            <w:proofErr w:type="spellEnd"/>
          </w:p>
          <w:p w14:paraId="4F36F7FF" w14:textId="601A88F7" w:rsidR="008F5636" w:rsidRPr="00DF1994" w:rsidRDefault="008F5636" w:rsidP="00DF1994">
            <w:p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fr-FR" w:eastAsia="ru-RU"/>
              </w:rPr>
              <w:t xml:space="preserve">În </w:t>
            </w:r>
            <w:proofErr w:type="spellStart"/>
            <w:r w:rsidRPr="00A723F5">
              <w:rPr>
                <w:rFonts w:ascii="Times New Roman" w:hAnsi="Times New Roman"/>
                <w:sz w:val="20"/>
                <w:szCs w:val="20"/>
                <w:lang w:val="fr-FR" w:eastAsia="ru-RU"/>
              </w:rPr>
              <w:t>contextul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stării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energetice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astfel</w:t>
            </w:r>
            <w:proofErr w:type="spellEnd"/>
            <w:r w:rsidRPr="00A723F5">
              <w:rPr>
                <w:rFonts w:ascii="Times New Roman" w:hAnsi="Times New Roman"/>
                <w:sz w:val="20"/>
                <w:szCs w:val="20"/>
                <w:lang w:val="fr-FR" w:eastAsia="ru-RU"/>
              </w:rPr>
              <w:t xml:space="preserve"> cum se </w:t>
            </w:r>
            <w:proofErr w:type="spellStart"/>
            <w:r w:rsidRPr="00A723F5">
              <w:rPr>
                <w:rFonts w:ascii="Times New Roman" w:hAnsi="Times New Roman"/>
                <w:sz w:val="20"/>
                <w:szCs w:val="20"/>
                <w:lang w:val="fr-FR" w:eastAsia="ru-RU"/>
              </w:rPr>
              <w:t>menționează</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articolul</w:t>
            </w:r>
            <w:proofErr w:type="spellEnd"/>
            <w:r w:rsidR="00DF1994"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 xml:space="preserve">35, </w:t>
            </w:r>
            <w:proofErr w:type="spellStart"/>
            <w:r w:rsidRPr="00A723F5">
              <w:rPr>
                <w:rFonts w:ascii="Times New Roman" w:hAnsi="Times New Roman"/>
                <w:sz w:val="20"/>
                <w:szCs w:val="20"/>
                <w:lang w:val="fr-FR" w:eastAsia="ru-RU"/>
              </w:rPr>
              <w:t>Comisia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informează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Parlamentul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European</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Consiliul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privire</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punerea</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aplicare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planurilor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naționale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integrate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energia</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clima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Parlamentul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European</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Consiliul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abordează</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fiecare</w:t>
            </w:r>
            <w:proofErr w:type="spellEnd"/>
            <w:r w:rsidRPr="00A723F5">
              <w:rPr>
                <w:rFonts w:ascii="Times New Roman" w:hAnsi="Times New Roman"/>
                <w:sz w:val="20"/>
                <w:szCs w:val="20"/>
                <w:lang w:val="fr-FR" w:eastAsia="ru-RU"/>
              </w:rPr>
              <w:t xml:space="preserve"> an, </w:t>
            </w:r>
            <w:proofErr w:type="spellStart"/>
            <w:r w:rsidRPr="00A723F5">
              <w:rPr>
                <w:rFonts w:ascii="Times New Roman" w:hAnsi="Times New Roman"/>
                <w:sz w:val="20"/>
                <w:szCs w:val="20"/>
                <w:lang w:val="fr-FR" w:eastAsia="ru-RU"/>
              </w:rPr>
              <w:t>progresele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realizate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uniunea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energetică</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privința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tuturor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dimensiunilor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legate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politicile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energia</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clima</w:t>
            </w:r>
            <w:proofErr w:type="spellEnd"/>
            <w:r w:rsidRPr="00A723F5">
              <w:rPr>
                <w:rFonts w:ascii="Times New Roman" w:hAnsi="Times New Roman"/>
                <w:sz w:val="20"/>
                <w:szCs w:val="20"/>
                <w:lang w:val="fr-FR" w:eastAsia="ru-RU"/>
              </w:rPr>
              <w:t>.</w:t>
            </w:r>
          </w:p>
        </w:tc>
        <w:tc>
          <w:tcPr>
            <w:tcW w:w="4440" w:type="dxa"/>
          </w:tcPr>
          <w:p w14:paraId="0AD4C5EF" w14:textId="77777777" w:rsidR="008F5636" w:rsidRPr="00745D9A" w:rsidRDefault="008F5636" w:rsidP="008F5636">
            <w:pPr>
              <w:pStyle w:val="ColorfulList-Accent11"/>
              <w:spacing w:after="0" w:line="240" w:lineRule="auto"/>
              <w:ind w:left="0"/>
              <w:jc w:val="both"/>
              <w:rPr>
                <w:lang w:val="fr-FR"/>
              </w:rPr>
            </w:pPr>
          </w:p>
        </w:tc>
        <w:tc>
          <w:tcPr>
            <w:tcW w:w="1276" w:type="dxa"/>
          </w:tcPr>
          <w:p w14:paraId="1FBA2291" w14:textId="69AA7AA2" w:rsidR="008F5636" w:rsidRPr="00745D9A" w:rsidRDefault="000643DF"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42CCC5C1" w14:textId="77777777" w:rsidR="008F5636" w:rsidRPr="000643DF" w:rsidRDefault="008F5636" w:rsidP="008F5636">
            <w:pPr>
              <w:pStyle w:val="ColorfulList-Accent11"/>
              <w:spacing w:after="0" w:line="240" w:lineRule="auto"/>
              <w:ind w:left="0"/>
              <w:jc w:val="both"/>
              <w:rPr>
                <w:sz w:val="20"/>
                <w:szCs w:val="20"/>
                <w:lang w:val="fr-FR"/>
              </w:rPr>
            </w:pPr>
          </w:p>
        </w:tc>
        <w:tc>
          <w:tcPr>
            <w:tcW w:w="1701" w:type="dxa"/>
          </w:tcPr>
          <w:p w14:paraId="4D4F5723" w14:textId="77777777" w:rsidR="000643DF" w:rsidRPr="000643DF" w:rsidRDefault="000643DF" w:rsidP="000643DF">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44CB55FA" w14:textId="77777777" w:rsidR="008F5636" w:rsidRPr="000643DF" w:rsidRDefault="008F5636" w:rsidP="008F5636">
            <w:pPr>
              <w:pStyle w:val="ColorfulList-Accent11"/>
              <w:spacing w:after="0" w:line="240" w:lineRule="auto"/>
              <w:ind w:left="0"/>
              <w:jc w:val="both"/>
              <w:rPr>
                <w:sz w:val="20"/>
                <w:szCs w:val="20"/>
                <w:lang w:val="ro-RO"/>
              </w:rPr>
            </w:pPr>
          </w:p>
        </w:tc>
        <w:tc>
          <w:tcPr>
            <w:tcW w:w="1460" w:type="dxa"/>
          </w:tcPr>
          <w:p w14:paraId="47AE41FE" w14:textId="77777777" w:rsidR="008F5636" w:rsidRPr="00745D9A" w:rsidRDefault="008F5636" w:rsidP="008F5636">
            <w:pPr>
              <w:pStyle w:val="ColorfulList-Accent11"/>
              <w:spacing w:after="0" w:line="240" w:lineRule="auto"/>
              <w:ind w:left="0"/>
              <w:jc w:val="both"/>
              <w:rPr>
                <w:lang w:val="fr-FR"/>
              </w:rPr>
            </w:pPr>
          </w:p>
        </w:tc>
      </w:tr>
      <w:tr w:rsidR="008F5636" w:rsidRPr="00745D9A" w14:paraId="732AB57D" w14:textId="77777777" w:rsidTr="00A90105">
        <w:tc>
          <w:tcPr>
            <w:tcW w:w="4945" w:type="dxa"/>
          </w:tcPr>
          <w:p w14:paraId="16B86EC7" w14:textId="77777777" w:rsidR="008F5636" w:rsidRPr="00A723F5" w:rsidRDefault="008F5636" w:rsidP="00174F54">
            <w:pPr>
              <w:spacing w:after="0" w:line="240" w:lineRule="auto"/>
              <w:jc w:val="center"/>
              <w:rPr>
                <w:rFonts w:ascii="Times New Roman" w:hAnsi="Times New Roman"/>
                <w:b/>
                <w:bCs/>
                <w:sz w:val="20"/>
                <w:szCs w:val="20"/>
                <w:lang w:val="fr-FR" w:eastAsia="ru-RU"/>
              </w:rPr>
            </w:pPr>
            <w:r w:rsidRPr="00A723F5">
              <w:rPr>
                <w:rFonts w:ascii="Times New Roman" w:hAnsi="Times New Roman"/>
                <w:b/>
                <w:bCs/>
                <w:sz w:val="20"/>
                <w:szCs w:val="20"/>
                <w:lang w:val="fr-FR" w:eastAsia="ru-RU"/>
              </w:rPr>
              <w:t>CAPITOLUL 6</w:t>
            </w:r>
          </w:p>
          <w:p w14:paraId="3C7E946C" w14:textId="77777777" w:rsidR="008F5636" w:rsidRPr="00A723F5" w:rsidRDefault="008F5636" w:rsidP="00174F54">
            <w:pPr>
              <w:spacing w:after="0" w:line="240" w:lineRule="auto"/>
              <w:jc w:val="center"/>
              <w:rPr>
                <w:rFonts w:ascii="Times New Roman" w:hAnsi="Times New Roman"/>
                <w:b/>
                <w:bCs/>
                <w:sz w:val="20"/>
                <w:szCs w:val="20"/>
                <w:lang w:val="fr-FR" w:eastAsia="ru-RU"/>
              </w:rPr>
            </w:pPr>
            <w:proofErr w:type="spellStart"/>
            <w:r w:rsidRPr="00A723F5">
              <w:rPr>
                <w:rFonts w:ascii="Times New Roman" w:hAnsi="Times New Roman"/>
                <w:b/>
                <w:bCs/>
                <w:sz w:val="20"/>
                <w:szCs w:val="20"/>
                <w:lang w:val="fr-FR" w:eastAsia="ru-RU"/>
              </w:rPr>
              <w:t>Sistemele</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Uniunii</w:t>
            </w:r>
            <w:proofErr w:type="spellEnd"/>
            <w:r w:rsidRPr="00A723F5">
              <w:rPr>
                <w:rFonts w:ascii="Times New Roman" w:hAnsi="Times New Roman"/>
                <w:b/>
                <w:bCs/>
                <w:sz w:val="20"/>
                <w:szCs w:val="20"/>
                <w:lang w:val="fr-FR" w:eastAsia="ru-RU"/>
              </w:rPr>
              <w:t xml:space="preserve"> și </w:t>
            </w:r>
            <w:proofErr w:type="spellStart"/>
            <w:r w:rsidRPr="00A723F5">
              <w:rPr>
                <w:rFonts w:ascii="Times New Roman" w:hAnsi="Times New Roman"/>
                <w:b/>
                <w:bCs/>
                <w:sz w:val="20"/>
                <w:szCs w:val="20"/>
                <w:lang w:val="fr-FR" w:eastAsia="ru-RU"/>
              </w:rPr>
              <w:t>sistemele</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naționale</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pentru</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emisiile</w:t>
            </w:r>
            <w:proofErr w:type="spellEnd"/>
            <w:r w:rsidRPr="00A723F5">
              <w:rPr>
                <w:rFonts w:ascii="Times New Roman" w:hAnsi="Times New Roman"/>
                <w:b/>
                <w:bCs/>
                <w:sz w:val="20"/>
                <w:szCs w:val="20"/>
                <w:lang w:val="fr-FR" w:eastAsia="ru-RU"/>
              </w:rPr>
              <w:t xml:space="preserve"> de gaze </w:t>
            </w:r>
            <w:proofErr w:type="spellStart"/>
            <w:r w:rsidRPr="00A723F5">
              <w:rPr>
                <w:rFonts w:ascii="Times New Roman" w:hAnsi="Times New Roman"/>
                <w:b/>
                <w:bCs/>
                <w:sz w:val="20"/>
                <w:szCs w:val="20"/>
                <w:lang w:val="fr-FR" w:eastAsia="ru-RU"/>
              </w:rPr>
              <w:t>cu</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efect</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seră</w:t>
            </w:r>
            <w:proofErr w:type="spellEnd"/>
            <w:r w:rsidRPr="00A723F5">
              <w:rPr>
                <w:rFonts w:ascii="Times New Roman" w:hAnsi="Times New Roman"/>
                <w:b/>
                <w:bCs/>
                <w:sz w:val="20"/>
                <w:szCs w:val="20"/>
                <w:lang w:val="fr-FR" w:eastAsia="ru-RU"/>
              </w:rPr>
              <w:t xml:space="preserve"> și </w:t>
            </w:r>
            <w:proofErr w:type="spellStart"/>
            <w:r w:rsidRPr="00A723F5">
              <w:rPr>
                <w:rFonts w:ascii="Times New Roman" w:hAnsi="Times New Roman"/>
                <w:b/>
                <w:bCs/>
                <w:sz w:val="20"/>
                <w:szCs w:val="20"/>
                <w:lang w:val="fr-FR" w:eastAsia="ru-RU"/>
              </w:rPr>
              <w:t>absorbțiile</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către</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absorbanți</w:t>
            </w:r>
            <w:proofErr w:type="spellEnd"/>
            <w:r w:rsidRPr="00A723F5">
              <w:rPr>
                <w:rFonts w:ascii="Times New Roman" w:hAnsi="Times New Roman"/>
                <w:b/>
                <w:bCs/>
                <w:sz w:val="20"/>
                <w:szCs w:val="20"/>
                <w:lang w:val="fr-FR" w:eastAsia="ru-RU"/>
              </w:rPr>
              <w:t xml:space="preserve"> de gaze </w:t>
            </w:r>
            <w:proofErr w:type="spellStart"/>
            <w:r w:rsidRPr="00A723F5">
              <w:rPr>
                <w:rFonts w:ascii="Times New Roman" w:hAnsi="Times New Roman"/>
                <w:b/>
                <w:bCs/>
                <w:sz w:val="20"/>
                <w:szCs w:val="20"/>
                <w:lang w:val="fr-FR" w:eastAsia="ru-RU"/>
              </w:rPr>
              <w:t>cu</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efect</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seră</w:t>
            </w:r>
            <w:proofErr w:type="spellEnd"/>
          </w:p>
          <w:p w14:paraId="5F10BBB0" w14:textId="77777777" w:rsidR="008F5636" w:rsidRPr="00A723F5" w:rsidRDefault="008F5636" w:rsidP="00174F54">
            <w:pPr>
              <w:spacing w:after="0" w:line="240" w:lineRule="auto"/>
              <w:jc w:val="center"/>
              <w:rPr>
                <w:rFonts w:ascii="Times New Roman" w:hAnsi="Times New Roman"/>
                <w:sz w:val="20"/>
                <w:szCs w:val="20"/>
                <w:lang w:val="fr-FR" w:eastAsia="ru-RU"/>
              </w:rPr>
            </w:pP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37</w:t>
            </w:r>
          </w:p>
          <w:p w14:paraId="1FFD4194" w14:textId="77777777" w:rsidR="008F5636" w:rsidRPr="00A723F5" w:rsidRDefault="008F5636" w:rsidP="00723D80">
            <w:pPr>
              <w:spacing w:after="0" w:line="240" w:lineRule="auto"/>
              <w:jc w:val="center"/>
              <w:rPr>
                <w:rFonts w:ascii="Times New Roman" w:hAnsi="Times New Roman"/>
                <w:b/>
                <w:bCs/>
                <w:sz w:val="20"/>
                <w:szCs w:val="20"/>
                <w:lang w:val="fr-FR" w:eastAsia="ru-RU"/>
              </w:rPr>
            </w:pPr>
            <w:proofErr w:type="spellStart"/>
            <w:r w:rsidRPr="00A723F5">
              <w:rPr>
                <w:rFonts w:ascii="Times New Roman" w:hAnsi="Times New Roman"/>
                <w:b/>
                <w:bCs/>
                <w:sz w:val="20"/>
                <w:szCs w:val="20"/>
                <w:lang w:val="fr-FR" w:eastAsia="ru-RU"/>
              </w:rPr>
              <w:t>Sistemele</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inventariere</w:t>
            </w:r>
            <w:proofErr w:type="spellEnd"/>
            <w:r w:rsidRPr="00A723F5">
              <w:rPr>
                <w:rFonts w:ascii="Times New Roman" w:hAnsi="Times New Roman"/>
                <w:b/>
                <w:bCs/>
                <w:sz w:val="20"/>
                <w:szCs w:val="20"/>
                <w:lang w:val="fr-FR" w:eastAsia="ru-RU"/>
              </w:rPr>
              <w:t xml:space="preserve"> ale </w:t>
            </w:r>
            <w:proofErr w:type="spellStart"/>
            <w:r w:rsidRPr="00A723F5">
              <w:rPr>
                <w:rFonts w:ascii="Times New Roman" w:hAnsi="Times New Roman"/>
                <w:b/>
                <w:bCs/>
                <w:sz w:val="20"/>
                <w:szCs w:val="20"/>
                <w:lang w:val="fr-FR" w:eastAsia="ru-RU"/>
              </w:rPr>
              <w:t>Uniunii</w:t>
            </w:r>
            <w:proofErr w:type="spellEnd"/>
            <w:r w:rsidRPr="00A723F5">
              <w:rPr>
                <w:rFonts w:ascii="Times New Roman" w:hAnsi="Times New Roman"/>
                <w:b/>
                <w:bCs/>
                <w:sz w:val="20"/>
                <w:szCs w:val="20"/>
                <w:lang w:val="fr-FR" w:eastAsia="ru-RU"/>
              </w:rPr>
              <w:t xml:space="preserve"> și </w:t>
            </w:r>
            <w:proofErr w:type="spellStart"/>
            <w:r w:rsidRPr="00A723F5">
              <w:rPr>
                <w:rFonts w:ascii="Times New Roman" w:hAnsi="Times New Roman"/>
                <w:b/>
                <w:bCs/>
                <w:sz w:val="20"/>
                <w:szCs w:val="20"/>
                <w:lang w:val="fr-FR" w:eastAsia="ru-RU"/>
              </w:rPr>
              <w:t>sistemele</w:t>
            </w:r>
            <w:proofErr w:type="spellEnd"/>
            <w:r w:rsidRPr="00A723F5">
              <w:rPr>
                <w:rFonts w:ascii="Times New Roman" w:hAnsi="Times New Roman"/>
                <w:b/>
                <w:bCs/>
                <w:sz w:val="20"/>
                <w:szCs w:val="20"/>
                <w:lang w:val="fr-FR" w:eastAsia="ru-RU"/>
              </w:rPr>
              <w:t xml:space="preserve"> de </w:t>
            </w:r>
            <w:proofErr w:type="spellStart"/>
            <w:r w:rsidRPr="00A723F5">
              <w:rPr>
                <w:rFonts w:ascii="Times New Roman" w:hAnsi="Times New Roman"/>
                <w:b/>
                <w:bCs/>
                <w:sz w:val="20"/>
                <w:szCs w:val="20"/>
                <w:lang w:val="fr-FR" w:eastAsia="ru-RU"/>
              </w:rPr>
              <w:t>inventariere</w:t>
            </w:r>
            <w:proofErr w:type="spellEnd"/>
            <w:r w:rsidRPr="00A723F5">
              <w:rPr>
                <w:rFonts w:ascii="Times New Roman" w:hAnsi="Times New Roman"/>
                <w:b/>
                <w:bCs/>
                <w:sz w:val="20"/>
                <w:szCs w:val="20"/>
                <w:lang w:val="fr-FR" w:eastAsia="ru-RU"/>
              </w:rPr>
              <w:t xml:space="preserve"> </w:t>
            </w:r>
            <w:proofErr w:type="spellStart"/>
            <w:r w:rsidRPr="00A723F5">
              <w:rPr>
                <w:rFonts w:ascii="Times New Roman" w:hAnsi="Times New Roman"/>
                <w:b/>
                <w:bCs/>
                <w:sz w:val="20"/>
                <w:szCs w:val="20"/>
                <w:lang w:val="fr-FR" w:eastAsia="ru-RU"/>
              </w:rPr>
              <w:t>naționale</w:t>
            </w:r>
            <w:proofErr w:type="spellEnd"/>
          </w:p>
          <w:p w14:paraId="51C9A128" w14:textId="0E7CBA5F" w:rsidR="008F5636" w:rsidRPr="00A723F5" w:rsidRDefault="008F5636" w:rsidP="00723D80">
            <w:p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fr-FR" w:eastAsia="ru-RU"/>
              </w:rPr>
              <w:t>(</w:t>
            </w:r>
            <w:proofErr w:type="gramStart"/>
            <w:r w:rsidRPr="00A723F5">
              <w:rPr>
                <w:rFonts w:ascii="Times New Roman" w:hAnsi="Times New Roman"/>
                <w:sz w:val="20"/>
                <w:szCs w:val="20"/>
                <w:lang w:val="fr-FR" w:eastAsia="ru-RU"/>
              </w:rPr>
              <w:t>1)</w:t>
            </w:r>
            <w:proofErr w:type="spellStart"/>
            <w:r w:rsidRPr="00A723F5">
              <w:rPr>
                <w:rFonts w:ascii="Times New Roman" w:hAnsi="Times New Roman"/>
                <w:sz w:val="20"/>
                <w:szCs w:val="20"/>
                <w:lang w:val="fr-FR" w:eastAsia="ru-RU"/>
              </w:rPr>
              <w:t>Până</w:t>
            </w:r>
            <w:proofErr w:type="spellEnd"/>
            <w:proofErr w:type="gramEnd"/>
            <w:r w:rsidRPr="00A723F5">
              <w:rPr>
                <w:rFonts w:ascii="Times New Roman" w:hAnsi="Times New Roman"/>
                <w:sz w:val="20"/>
                <w:szCs w:val="20"/>
                <w:lang w:val="fr-FR" w:eastAsia="ru-RU"/>
              </w:rPr>
              <w:t xml:space="preserve"> la</w:t>
            </w:r>
            <w:r w:rsidR="00723D80"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1</w:t>
            </w:r>
            <w:r w:rsidR="00723D80"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ianuarie</w:t>
            </w:r>
            <w:proofErr w:type="spellEnd"/>
            <w:r w:rsidR="00723D80"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 xml:space="preserve">2021, </w:t>
            </w:r>
            <w:proofErr w:type="spellStart"/>
            <w:r w:rsidRPr="00A723F5">
              <w:rPr>
                <w:rFonts w:ascii="Times New Roman" w:hAnsi="Times New Roman"/>
                <w:sz w:val="20"/>
                <w:szCs w:val="20"/>
                <w:lang w:val="fr-FR" w:eastAsia="ru-RU"/>
              </w:rPr>
              <w:t>statele</w:t>
            </w:r>
            <w:proofErr w:type="spellEnd"/>
            <w:r w:rsidRPr="00A723F5">
              <w:rPr>
                <w:rFonts w:ascii="Times New Roman" w:hAnsi="Times New Roman"/>
                <w:sz w:val="20"/>
                <w:szCs w:val="20"/>
                <w:lang w:val="fr-FR" w:eastAsia="ru-RU"/>
              </w:rPr>
              <w:t xml:space="preserve"> membre </w:t>
            </w:r>
            <w:proofErr w:type="spellStart"/>
            <w:r w:rsidRPr="00A723F5">
              <w:rPr>
                <w:rFonts w:ascii="Times New Roman" w:hAnsi="Times New Roman"/>
                <w:sz w:val="20"/>
                <w:szCs w:val="20"/>
                <w:lang w:val="fr-FR" w:eastAsia="ru-RU"/>
              </w:rPr>
              <w:t>instituie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operează</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urmăresc</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îmbunătățească</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permanență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sistemele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naționale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inventariere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estima </w:t>
            </w:r>
            <w:proofErr w:type="spellStart"/>
            <w:r w:rsidRPr="00A723F5">
              <w:rPr>
                <w:rFonts w:ascii="Times New Roman" w:hAnsi="Times New Roman"/>
                <w:sz w:val="20"/>
                <w:szCs w:val="20"/>
                <w:lang w:val="fr-FR" w:eastAsia="ru-RU"/>
              </w:rPr>
              <w:t>emisiile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antropice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către</w:t>
            </w:r>
            <w:proofErr w:type="spellEnd"/>
            <w:r w:rsidRPr="00A723F5">
              <w:rPr>
                <w:rFonts w:ascii="Times New Roman" w:hAnsi="Times New Roman"/>
                <w:sz w:val="20"/>
                <w:szCs w:val="20"/>
                <w:lang w:val="fr-FR" w:eastAsia="ru-RU"/>
              </w:rPr>
              <w:t xml:space="preserve"> surse și </w:t>
            </w:r>
            <w:proofErr w:type="spellStart"/>
            <w:r w:rsidRPr="00A723F5">
              <w:rPr>
                <w:rFonts w:ascii="Times New Roman" w:hAnsi="Times New Roman"/>
                <w:sz w:val="20"/>
                <w:szCs w:val="20"/>
                <w:lang w:val="fr-FR" w:eastAsia="ru-RU"/>
              </w:rPr>
              <w:t>absorbțiile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către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absorbanți</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enumerate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partea</w:t>
            </w:r>
            <w:proofErr w:type="spellEnd"/>
            <w:r w:rsidR="00723D80"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 xml:space="preserve">2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anexa</w:t>
            </w:r>
            <w:proofErr w:type="spellEnd"/>
            <w:r w:rsidR="00723D80" w:rsidRPr="00A723F5">
              <w:rPr>
                <w:rFonts w:ascii="Times New Roman" w:hAnsi="Times New Roman"/>
                <w:sz w:val="20"/>
                <w:szCs w:val="20"/>
                <w:lang w:val="fr-FR" w:eastAsia="ru-RU"/>
              </w:rPr>
              <w:t xml:space="preserve"> </w:t>
            </w:r>
            <w:r w:rsidRPr="00A723F5">
              <w:rPr>
                <w:rFonts w:ascii="Times New Roman" w:hAnsi="Times New Roman"/>
                <w:sz w:val="20"/>
                <w:szCs w:val="20"/>
                <w:lang w:val="fr-FR" w:eastAsia="ru-RU"/>
              </w:rPr>
              <w:t xml:space="preserve">V și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asigura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actualitatea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transparența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exactitatea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coerența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comparabilitatea</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caracterul</w:t>
            </w:r>
            <w:proofErr w:type="spellEnd"/>
            <w:r w:rsidRPr="00A723F5">
              <w:rPr>
                <w:rFonts w:ascii="Times New Roman" w:hAnsi="Times New Roman"/>
                <w:sz w:val="20"/>
                <w:szCs w:val="20"/>
                <w:lang w:val="fr-FR" w:eastAsia="ru-RU"/>
              </w:rPr>
              <w:t xml:space="preserve"> complet al </w:t>
            </w:r>
            <w:proofErr w:type="spellStart"/>
            <w:r w:rsidRPr="00A723F5">
              <w:rPr>
                <w:rFonts w:ascii="Times New Roman" w:hAnsi="Times New Roman"/>
                <w:sz w:val="20"/>
                <w:szCs w:val="20"/>
                <w:lang w:val="fr-FR" w:eastAsia="ru-RU"/>
              </w:rPr>
              <w:t>inventarelor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lor</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w:t>
            </w:r>
          </w:p>
          <w:p w14:paraId="4C652016" w14:textId="77777777" w:rsidR="008F5636" w:rsidRPr="00A723F5" w:rsidRDefault="00723D80" w:rsidP="00723D80">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lastRenderedPageBreak/>
              <w:t>2)</w:t>
            </w:r>
            <w:proofErr w:type="spellStart"/>
            <w:r w:rsidRPr="00A723F5">
              <w:rPr>
                <w:rFonts w:ascii="Times New Roman" w:hAnsi="Times New Roman"/>
                <w:sz w:val="20"/>
                <w:szCs w:val="20"/>
                <w:shd w:val="clear" w:color="auto" w:fill="FFFFFF"/>
                <w:lang w:val="fr-FR"/>
              </w:rPr>
              <w:t>Statele</w:t>
            </w:r>
            <w:proofErr w:type="spellEnd"/>
            <w:r w:rsidRPr="00A723F5">
              <w:rPr>
                <w:rFonts w:ascii="Times New Roman" w:hAnsi="Times New Roman"/>
                <w:sz w:val="20"/>
                <w:szCs w:val="20"/>
                <w:shd w:val="clear" w:color="auto" w:fill="FFFFFF"/>
                <w:lang w:val="fr-FR"/>
              </w:rPr>
              <w:t xml:space="preserve"> membre </w:t>
            </w:r>
            <w:proofErr w:type="spellStart"/>
            <w:r w:rsidRPr="00A723F5">
              <w:rPr>
                <w:rFonts w:ascii="Times New Roman" w:hAnsi="Times New Roman"/>
                <w:sz w:val="20"/>
                <w:szCs w:val="20"/>
                <w:shd w:val="clear" w:color="auto" w:fill="FFFFFF"/>
                <w:lang w:val="fr-FR"/>
              </w:rPr>
              <w:t>se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asigură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propriile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autorități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competente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responsabile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inventarierea</w:t>
            </w:r>
            <w:proofErr w:type="spellEnd"/>
            <w:r w:rsidRPr="00A723F5">
              <w:rPr>
                <w:rFonts w:ascii="Times New Roman" w:hAnsi="Times New Roman"/>
                <w:sz w:val="20"/>
                <w:szCs w:val="20"/>
                <w:shd w:val="clear" w:color="auto" w:fill="FFFFFF"/>
                <w:lang w:val="fr-FR"/>
              </w:rPr>
              <w:t xml:space="preserve"> au </w:t>
            </w:r>
            <w:proofErr w:type="spellStart"/>
            <w:r w:rsidRPr="00A723F5">
              <w:rPr>
                <w:rFonts w:ascii="Times New Roman" w:hAnsi="Times New Roman"/>
                <w:sz w:val="20"/>
                <w:szCs w:val="20"/>
                <w:shd w:val="clear" w:color="auto" w:fill="FFFFFF"/>
                <w:lang w:val="fr-FR"/>
              </w:rPr>
              <w:t>acces</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informațiile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specificate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anexa</w:t>
            </w:r>
            <w:proofErr w:type="spellEnd"/>
            <w:r w:rsidRPr="00A723F5">
              <w:rPr>
                <w:rFonts w:ascii="Times New Roman" w:hAnsi="Times New Roman"/>
                <w:sz w:val="20"/>
                <w:szCs w:val="20"/>
                <w:shd w:val="clear" w:color="auto" w:fill="FFFFFF"/>
                <w:lang w:val="fr-FR"/>
              </w:rPr>
              <w:t xml:space="preserve"> XII la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utilizează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sistemele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raportare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instituite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20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nr. 517/2014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îmbunătățirea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estimării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gazele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fluorurate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naționale</w:t>
            </w:r>
            <w:proofErr w:type="spellEnd"/>
            <w:r w:rsidRPr="00A723F5">
              <w:rPr>
                <w:rFonts w:ascii="Times New Roman" w:hAnsi="Times New Roman"/>
                <w:sz w:val="20"/>
                <w:szCs w:val="20"/>
                <w:shd w:val="clear" w:color="auto" w:fill="FFFFFF"/>
                <w:lang w:val="fr-FR"/>
              </w:rPr>
              <w:t xml:space="preserve"> de gaze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seră</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sunt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capabile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efectueze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controalele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anuale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coerența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partea</w:t>
            </w:r>
            <w:proofErr w:type="spellEnd"/>
            <w:r w:rsidRPr="00A723F5">
              <w:rPr>
                <w:rFonts w:ascii="Times New Roman" w:hAnsi="Times New Roman"/>
                <w:sz w:val="20"/>
                <w:szCs w:val="20"/>
                <w:shd w:val="clear" w:color="auto" w:fill="FFFFFF"/>
                <w:lang w:val="fr-FR"/>
              </w:rPr>
              <w:t xml:space="preserve"> 1 </w:t>
            </w:r>
            <w:proofErr w:type="spellStart"/>
            <w:r w:rsidRPr="00A723F5">
              <w:rPr>
                <w:rFonts w:ascii="Times New Roman" w:hAnsi="Times New Roman"/>
                <w:sz w:val="20"/>
                <w:szCs w:val="20"/>
                <w:shd w:val="clear" w:color="auto" w:fill="FFFFFF"/>
                <w:lang w:val="fr-FR"/>
              </w:rPr>
              <w:t>literele</w:t>
            </w:r>
            <w:proofErr w:type="spellEnd"/>
            <w:r w:rsidRPr="00A723F5">
              <w:rPr>
                <w:rFonts w:ascii="Times New Roman" w:hAnsi="Times New Roman"/>
                <w:sz w:val="20"/>
                <w:szCs w:val="20"/>
                <w:shd w:val="clear" w:color="auto" w:fill="FFFFFF"/>
                <w:lang w:val="fr-FR"/>
              </w:rPr>
              <w:t xml:space="preserve"> (i) și (j)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anexa</w:t>
            </w:r>
            <w:proofErr w:type="spellEnd"/>
            <w:r w:rsidRPr="00A723F5">
              <w:rPr>
                <w:rFonts w:ascii="Times New Roman" w:hAnsi="Times New Roman"/>
                <w:sz w:val="20"/>
                <w:szCs w:val="20"/>
                <w:shd w:val="clear" w:color="auto" w:fill="FFFFFF"/>
                <w:lang w:val="fr-FR"/>
              </w:rPr>
              <w:t xml:space="preserve"> V la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w:t>
            </w:r>
            <w:proofErr w:type="spellEnd"/>
            <w:r w:rsidRPr="00A723F5">
              <w:rPr>
                <w:rFonts w:ascii="Times New Roman" w:hAnsi="Times New Roman"/>
                <w:sz w:val="20"/>
                <w:szCs w:val="20"/>
                <w:shd w:val="clear" w:color="auto" w:fill="FFFFFF"/>
                <w:lang w:val="fr-FR"/>
              </w:rPr>
              <w:t>.</w:t>
            </w:r>
          </w:p>
          <w:p w14:paraId="5932261A" w14:textId="77777777" w:rsidR="00723D80" w:rsidRPr="00A723F5" w:rsidRDefault="00723D80" w:rsidP="00723D80">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3)Se</w:t>
            </w:r>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instituie</w:t>
            </w:r>
            <w:proofErr w:type="spellEnd"/>
            <w:r w:rsidRPr="00A723F5">
              <w:rPr>
                <w:rFonts w:ascii="Times New Roman" w:hAnsi="Times New Roman"/>
                <w:sz w:val="20"/>
                <w:szCs w:val="20"/>
                <w:shd w:val="clear" w:color="auto" w:fill="FFFFFF"/>
                <w:lang w:val="fr-FR"/>
              </w:rPr>
              <w:t xml:space="preserve"> un </w:t>
            </w:r>
            <w:proofErr w:type="spellStart"/>
            <w:r w:rsidRPr="00A723F5">
              <w:rPr>
                <w:rFonts w:ascii="Times New Roman" w:hAnsi="Times New Roman"/>
                <w:sz w:val="20"/>
                <w:szCs w:val="20"/>
                <w:shd w:val="clear" w:color="auto" w:fill="FFFFFF"/>
                <w:lang w:val="fr-FR"/>
              </w:rPr>
              <w:t>sistem</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inventariere</w:t>
            </w:r>
            <w:proofErr w:type="spellEnd"/>
            <w:r w:rsidRPr="00A723F5">
              <w:rPr>
                <w:rFonts w:ascii="Times New Roman" w:hAnsi="Times New Roman"/>
                <w:sz w:val="20"/>
                <w:szCs w:val="20"/>
                <w:shd w:val="clear" w:color="auto" w:fill="FFFFFF"/>
                <w:lang w:val="fr-FR"/>
              </w:rPr>
              <w:t xml:space="preserve"> al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care </w:t>
            </w:r>
            <w:proofErr w:type="spellStart"/>
            <w:r w:rsidRPr="00A723F5">
              <w:rPr>
                <w:rFonts w:ascii="Times New Roman" w:hAnsi="Times New Roman"/>
                <w:sz w:val="20"/>
                <w:szCs w:val="20"/>
                <w:shd w:val="clear" w:color="auto" w:fill="FFFFFF"/>
                <w:lang w:val="fr-FR"/>
              </w:rPr>
              <w:t>să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asigure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actualitatea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transparența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exactitatea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coerența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comparabilitatea</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caracterul</w:t>
            </w:r>
            <w:proofErr w:type="spellEnd"/>
            <w:r w:rsidRPr="00A723F5">
              <w:rPr>
                <w:rFonts w:ascii="Times New Roman" w:hAnsi="Times New Roman"/>
                <w:sz w:val="20"/>
                <w:szCs w:val="20"/>
                <w:shd w:val="clear" w:color="auto" w:fill="FFFFFF"/>
                <w:lang w:val="fr-FR"/>
              </w:rPr>
              <w:t xml:space="preserve"> complet al </w:t>
            </w:r>
            <w:proofErr w:type="spellStart"/>
            <w:r w:rsidRPr="00A723F5">
              <w:rPr>
                <w:rFonts w:ascii="Times New Roman" w:hAnsi="Times New Roman"/>
                <w:sz w:val="20"/>
                <w:szCs w:val="20"/>
                <w:shd w:val="clear" w:color="auto" w:fill="FFFFFF"/>
                <w:lang w:val="fr-FR"/>
              </w:rPr>
              <w:t>inventarelor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naționale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privire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inventarul</w:t>
            </w:r>
            <w:proofErr w:type="spellEnd"/>
            <w:r w:rsidRPr="00A723F5">
              <w:rPr>
                <w:rFonts w:ascii="Times New Roman" w:hAnsi="Times New Roman"/>
                <w:sz w:val="20"/>
                <w:szCs w:val="20"/>
                <w:shd w:val="clear" w:color="auto" w:fill="FFFFFF"/>
                <w:lang w:val="fr-FR"/>
              </w:rPr>
              <w:t xml:space="preserve"> de gaze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seră</w:t>
            </w:r>
            <w:proofErr w:type="spellEnd"/>
            <w:r w:rsidRPr="00A723F5">
              <w:rPr>
                <w:rFonts w:ascii="Times New Roman" w:hAnsi="Times New Roman"/>
                <w:sz w:val="20"/>
                <w:szCs w:val="20"/>
                <w:shd w:val="clear" w:color="auto" w:fill="FFFFFF"/>
                <w:lang w:val="fr-FR"/>
              </w:rPr>
              <w:t xml:space="preserve"> al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gestionează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întreține</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urmărește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îmbunătățească</w:t>
            </w:r>
            <w:proofErr w:type="spellEnd"/>
            <w:r w:rsidRPr="00A723F5">
              <w:rPr>
                <w:rFonts w:ascii="Times New Roman" w:hAnsi="Times New Roman"/>
                <w:sz w:val="20"/>
                <w:szCs w:val="20"/>
                <w:shd w:val="clear" w:color="auto" w:fill="FFFFFF"/>
                <w:lang w:val="fr-FR"/>
              </w:rPr>
              <w:t xml:space="preserve"> în mod </w:t>
            </w:r>
            <w:proofErr w:type="spellStart"/>
            <w:r w:rsidRPr="00A723F5">
              <w:rPr>
                <w:rFonts w:ascii="Times New Roman" w:hAnsi="Times New Roman"/>
                <w:sz w:val="20"/>
                <w:szCs w:val="20"/>
                <w:shd w:val="clear" w:color="auto" w:fill="FFFFFF"/>
                <w:lang w:val="fr-FR"/>
              </w:rPr>
              <w:t>continuu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acest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sistem</w:t>
            </w:r>
            <w:proofErr w:type="spellEnd"/>
            <w:r w:rsidRPr="00A723F5">
              <w:rPr>
                <w:rFonts w:ascii="Times New Roman" w:hAnsi="Times New Roman"/>
                <w:sz w:val="20"/>
                <w:szCs w:val="20"/>
                <w:shd w:val="clear" w:color="auto" w:fill="FFFFFF"/>
                <w:lang w:val="fr-FR"/>
              </w:rPr>
              <w:t xml:space="preserve">, care </w:t>
            </w:r>
            <w:proofErr w:type="spellStart"/>
            <w:r w:rsidRPr="00A723F5">
              <w:rPr>
                <w:rFonts w:ascii="Times New Roman" w:hAnsi="Times New Roman"/>
                <w:sz w:val="20"/>
                <w:szCs w:val="20"/>
                <w:shd w:val="clear" w:color="auto" w:fill="FFFFFF"/>
                <w:lang w:val="fr-FR"/>
              </w:rPr>
              <w:t>include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crearea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unui</w:t>
            </w:r>
            <w:proofErr w:type="spellEnd"/>
            <w:r w:rsidRPr="00A723F5">
              <w:rPr>
                <w:rFonts w:ascii="Times New Roman" w:hAnsi="Times New Roman"/>
                <w:sz w:val="20"/>
                <w:szCs w:val="20"/>
                <w:shd w:val="clear" w:color="auto" w:fill="FFFFFF"/>
                <w:lang w:val="fr-FR"/>
              </w:rPr>
              <w:t xml:space="preserve"> program de </w:t>
            </w:r>
            <w:proofErr w:type="spellStart"/>
            <w:r w:rsidRPr="00A723F5">
              <w:rPr>
                <w:rFonts w:ascii="Times New Roman" w:hAnsi="Times New Roman"/>
                <w:sz w:val="20"/>
                <w:szCs w:val="20"/>
                <w:shd w:val="clear" w:color="auto" w:fill="FFFFFF"/>
                <w:lang w:val="fr-FR"/>
              </w:rPr>
              <w:t>asigurare</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și de control al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stabilirea</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obiective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calitate</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elaborarea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unui</w:t>
            </w:r>
            <w:proofErr w:type="spellEnd"/>
            <w:r w:rsidRPr="00A723F5">
              <w:rPr>
                <w:rFonts w:ascii="Times New Roman" w:hAnsi="Times New Roman"/>
                <w:sz w:val="20"/>
                <w:szCs w:val="20"/>
                <w:shd w:val="clear" w:color="auto" w:fill="FFFFFF"/>
                <w:lang w:val="fr-FR"/>
              </w:rPr>
              <w:t xml:space="preserve"> plan de </w:t>
            </w:r>
            <w:proofErr w:type="spellStart"/>
            <w:r w:rsidRPr="00A723F5">
              <w:rPr>
                <w:rFonts w:ascii="Times New Roman" w:hAnsi="Times New Roman"/>
                <w:sz w:val="20"/>
                <w:szCs w:val="20"/>
                <w:shd w:val="clear" w:color="auto" w:fill="FFFFFF"/>
                <w:lang w:val="fr-FR"/>
              </w:rPr>
              <w:t>asigurare</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și de control al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inventarelor</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procedurilor</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finalizare</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estimărilor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emisiile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 compila </w:t>
            </w:r>
            <w:proofErr w:type="spellStart"/>
            <w:r w:rsidRPr="00A723F5">
              <w:rPr>
                <w:rFonts w:ascii="Times New Roman" w:hAnsi="Times New Roman"/>
                <w:sz w:val="20"/>
                <w:szCs w:val="20"/>
                <w:shd w:val="clear" w:color="auto" w:fill="FFFFFF"/>
                <w:lang w:val="fr-FR"/>
              </w:rPr>
              <w:t>inventarul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alineatului</w:t>
            </w:r>
            <w:proofErr w:type="spellEnd"/>
            <w:r w:rsidRPr="00A723F5">
              <w:rPr>
                <w:rFonts w:ascii="Times New Roman" w:hAnsi="Times New Roman"/>
                <w:sz w:val="20"/>
                <w:szCs w:val="20"/>
                <w:shd w:val="clear" w:color="auto" w:fill="FFFFFF"/>
                <w:lang w:val="fr-FR"/>
              </w:rPr>
              <w:t xml:space="preserve"> (5)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 xml:space="preserve"> și a </w:t>
            </w:r>
            <w:proofErr w:type="spellStart"/>
            <w:r w:rsidRPr="00A723F5">
              <w:rPr>
                <w:rFonts w:ascii="Times New Roman" w:hAnsi="Times New Roman"/>
                <w:sz w:val="20"/>
                <w:szCs w:val="20"/>
                <w:shd w:val="clear" w:color="auto" w:fill="FFFFFF"/>
                <w:lang w:val="fr-FR"/>
              </w:rPr>
              <w:t>revizuirilor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articolul</w:t>
            </w:r>
            <w:proofErr w:type="spellEnd"/>
            <w:r w:rsidRPr="00A723F5">
              <w:rPr>
                <w:rFonts w:ascii="Times New Roman" w:hAnsi="Times New Roman"/>
                <w:sz w:val="20"/>
                <w:szCs w:val="20"/>
                <w:shd w:val="clear" w:color="auto" w:fill="FFFFFF"/>
                <w:lang w:val="fr-FR"/>
              </w:rPr>
              <w:t xml:space="preserve"> 38.</w:t>
            </w:r>
          </w:p>
          <w:p w14:paraId="258FF929" w14:textId="77777777" w:rsidR="00723D80" w:rsidRDefault="00723D80" w:rsidP="00723D80">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4)</w:t>
            </w:r>
            <w:proofErr w:type="spellStart"/>
            <w:r w:rsidRPr="00A723F5">
              <w:rPr>
                <w:rFonts w:ascii="Times New Roman" w:hAnsi="Times New Roman"/>
                <w:sz w:val="20"/>
                <w:szCs w:val="20"/>
                <w:shd w:val="clear" w:color="auto" w:fill="FFFFFF"/>
                <w:lang w:val="fr-FR"/>
              </w:rPr>
              <w:t>Comisia</w:t>
            </w:r>
            <w:proofErr w:type="spellEnd"/>
            <w:proofErr w:type="gramEnd"/>
            <w:r w:rsidRPr="00A723F5">
              <w:rPr>
                <w:rFonts w:ascii="Times New Roman" w:hAnsi="Times New Roman"/>
                <w:sz w:val="20"/>
                <w:szCs w:val="20"/>
                <w:shd w:val="clear" w:color="auto" w:fill="FFFFFF"/>
                <w:lang w:val="fr-FR"/>
              </w:rPr>
              <w:t xml:space="preserve"> efectuează o </w:t>
            </w:r>
            <w:proofErr w:type="spellStart"/>
            <w:r w:rsidRPr="00A723F5">
              <w:rPr>
                <w:rFonts w:ascii="Times New Roman" w:hAnsi="Times New Roman"/>
                <w:sz w:val="20"/>
                <w:szCs w:val="20"/>
                <w:shd w:val="clear" w:color="auto" w:fill="FFFFFF"/>
                <w:lang w:val="fr-FR"/>
              </w:rPr>
              <w:t>verificare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inițială</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exactității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datelor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preliminare</w:t>
            </w:r>
            <w:proofErr w:type="spellEnd"/>
            <w:r w:rsidRPr="00A723F5">
              <w:rPr>
                <w:rFonts w:ascii="Times New Roman" w:hAnsi="Times New Roman"/>
                <w:sz w:val="20"/>
                <w:szCs w:val="20"/>
                <w:shd w:val="clear" w:color="auto" w:fill="FFFFFF"/>
                <w:lang w:val="fr-FR"/>
              </w:rPr>
              <w:t xml:space="preserve"> ale </w:t>
            </w:r>
            <w:proofErr w:type="spellStart"/>
            <w:r w:rsidRPr="00A723F5">
              <w:rPr>
                <w:rFonts w:ascii="Times New Roman" w:hAnsi="Times New Roman"/>
                <w:sz w:val="20"/>
                <w:szCs w:val="20"/>
                <w:shd w:val="clear" w:color="auto" w:fill="FFFFFF"/>
                <w:lang w:val="fr-FR"/>
              </w:rPr>
              <w:t>inventarelor</w:t>
            </w:r>
            <w:proofErr w:type="spellEnd"/>
            <w:r w:rsidRPr="00A723F5">
              <w:rPr>
                <w:rFonts w:ascii="Times New Roman" w:hAnsi="Times New Roman"/>
                <w:sz w:val="20"/>
                <w:szCs w:val="20"/>
                <w:shd w:val="clear" w:color="auto" w:fill="FFFFFF"/>
                <w:lang w:val="fr-FR"/>
              </w:rPr>
              <w:t xml:space="preserve"> de gaze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seră</w:t>
            </w:r>
            <w:proofErr w:type="spellEnd"/>
            <w:r w:rsidRPr="00A723F5">
              <w:rPr>
                <w:rFonts w:ascii="Times New Roman" w:hAnsi="Times New Roman"/>
                <w:sz w:val="20"/>
                <w:szCs w:val="20"/>
                <w:shd w:val="clear" w:color="auto" w:fill="FFFFFF"/>
                <w:lang w:val="fr-FR"/>
              </w:rPr>
              <w:t xml:space="preserve"> care </w:t>
            </w:r>
            <w:proofErr w:type="spellStart"/>
            <w:r w:rsidRPr="00A723F5">
              <w:rPr>
                <w:rFonts w:ascii="Times New Roman" w:hAnsi="Times New Roman"/>
                <w:sz w:val="20"/>
                <w:szCs w:val="20"/>
                <w:shd w:val="clear" w:color="auto" w:fill="FFFFFF"/>
                <w:lang w:val="fr-FR"/>
              </w:rPr>
              <w:t>trebuie</w:t>
            </w:r>
            <w:proofErr w:type="spellEnd"/>
            <w:r w:rsidRPr="00A723F5">
              <w:rPr>
                <w:rFonts w:ascii="Times New Roman" w:hAnsi="Times New Roman"/>
                <w:sz w:val="20"/>
                <w:szCs w:val="20"/>
                <w:shd w:val="clear" w:color="auto" w:fill="FFFFFF"/>
                <w:lang w:val="fr-FR"/>
              </w:rPr>
              <w:t xml:space="preserve"> transmise de </w:t>
            </w:r>
            <w:proofErr w:type="spellStart"/>
            <w:r w:rsidRPr="00A723F5">
              <w:rPr>
                <w:rFonts w:ascii="Times New Roman" w:hAnsi="Times New Roman"/>
                <w:sz w:val="20"/>
                <w:szCs w:val="20"/>
                <w:shd w:val="clear" w:color="auto" w:fill="FFFFFF"/>
                <w:lang w:val="fr-FR"/>
              </w:rPr>
              <w:t>statele</w:t>
            </w:r>
            <w:proofErr w:type="spellEnd"/>
            <w:r w:rsidRPr="00A723F5">
              <w:rPr>
                <w:rFonts w:ascii="Times New Roman" w:hAnsi="Times New Roman"/>
                <w:sz w:val="20"/>
                <w:szCs w:val="20"/>
                <w:shd w:val="clear" w:color="auto" w:fill="FFFFFF"/>
                <w:lang w:val="fr-FR"/>
              </w:rPr>
              <w:t xml:space="preserve"> membre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26 </w:t>
            </w:r>
            <w:proofErr w:type="spellStart"/>
            <w:r w:rsidRPr="00A723F5">
              <w:rPr>
                <w:rFonts w:ascii="Times New Roman" w:hAnsi="Times New Roman"/>
                <w:sz w:val="20"/>
                <w:szCs w:val="20"/>
                <w:shd w:val="clear" w:color="auto" w:fill="FFFFFF"/>
                <w:lang w:val="fr-FR"/>
              </w:rPr>
              <w:t>alineatul</w:t>
            </w:r>
            <w:proofErr w:type="spellEnd"/>
            <w:r w:rsidRPr="00A723F5">
              <w:rPr>
                <w:rFonts w:ascii="Times New Roman" w:hAnsi="Times New Roman"/>
                <w:sz w:val="20"/>
                <w:szCs w:val="20"/>
                <w:shd w:val="clear" w:color="auto" w:fill="FFFFFF"/>
                <w:lang w:val="fr-FR"/>
              </w:rPr>
              <w:t xml:space="preserve"> (3).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transmite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statelor</w:t>
            </w:r>
            <w:proofErr w:type="spellEnd"/>
            <w:r w:rsidRPr="00A723F5">
              <w:rPr>
                <w:rFonts w:ascii="Times New Roman" w:hAnsi="Times New Roman"/>
                <w:sz w:val="20"/>
                <w:szCs w:val="20"/>
                <w:shd w:val="clear" w:color="auto" w:fill="FFFFFF"/>
                <w:lang w:val="fr-FR"/>
              </w:rPr>
              <w:t xml:space="preserve"> membre </w:t>
            </w:r>
            <w:proofErr w:type="spellStart"/>
            <w:r w:rsidRPr="00A723F5">
              <w:rPr>
                <w:rFonts w:ascii="Times New Roman" w:hAnsi="Times New Roman"/>
                <w:sz w:val="20"/>
                <w:szCs w:val="20"/>
                <w:shd w:val="clear" w:color="auto" w:fill="FFFFFF"/>
                <w:lang w:val="fr-FR"/>
              </w:rPr>
              <w:t>rezultatele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verificării</w:t>
            </w:r>
            <w:proofErr w:type="spellEnd"/>
            <w:r w:rsidRPr="00A723F5">
              <w:rPr>
                <w:rFonts w:ascii="Times New Roman" w:hAnsi="Times New Roman"/>
                <w:sz w:val="20"/>
                <w:szCs w:val="20"/>
                <w:shd w:val="clear" w:color="auto" w:fill="FFFFFF"/>
                <w:lang w:val="fr-FR"/>
              </w:rPr>
              <w:t xml:space="preserve"> respective în </w:t>
            </w:r>
            <w:proofErr w:type="spellStart"/>
            <w:r w:rsidRPr="00A723F5">
              <w:rPr>
                <w:rFonts w:ascii="Times New Roman" w:hAnsi="Times New Roman"/>
                <w:sz w:val="20"/>
                <w:szCs w:val="20"/>
                <w:shd w:val="clear" w:color="auto" w:fill="FFFFFF"/>
                <w:lang w:val="fr-FR"/>
              </w:rPr>
              <w:t>termen</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șase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săptămâni</w:t>
            </w:r>
            <w:proofErr w:type="spellEnd"/>
            <w:r w:rsidRPr="00A723F5">
              <w:rPr>
                <w:rFonts w:ascii="Times New Roman" w:hAnsi="Times New Roman"/>
                <w:sz w:val="20"/>
                <w:szCs w:val="20"/>
                <w:shd w:val="clear" w:color="auto" w:fill="FFFFFF"/>
                <w:lang w:val="fr-FR"/>
              </w:rPr>
              <w:t xml:space="preserve"> de la </w:t>
            </w:r>
            <w:proofErr w:type="spellStart"/>
            <w:r w:rsidRPr="00A723F5">
              <w:rPr>
                <w:rFonts w:ascii="Times New Roman" w:hAnsi="Times New Roman"/>
                <w:sz w:val="20"/>
                <w:szCs w:val="20"/>
                <w:shd w:val="clear" w:color="auto" w:fill="FFFFFF"/>
                <w:lang w:val="fr-FR"/>
              </w:rPr>
              <w:t>termenul-limită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transmiterea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informațiilor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Statele</w:t>
            </w:r>
            <w:proofErr w:type="spellEnd"/>
            <w:r w:rsidRPr="00A723F5">
              <w:rPr>
                <w:rFonts w:ascii="Times New Roman" w:hAnsi="Times New Roman"/>
                <w:sz w:val="20"/>
                <w:szCs w:val="20"/>
                <w:shd w:val="clear" w:color="auto" w:fill="FFFFFF"/>
                <w:lang w:val="fr-FR"/>
              </w:rPr>
              <w:t xml:space="preserve"> membre </w:t>
            </w:r>
            <w:proofErr w:type="spellStart"/>
            <w:r w:rsidRPr="00A723F5">
              <w:rPr>
                <w:rFonts w:ascii="Times New Roman" w:hAnsi="Times New Roman"/>
                <w:sz w:val="20"/>
                <w:szCs w:val="20"/>
                <w:shd w:val="clear" w:color="auto" w:fill="FFFFFF"/>
                <w:lang w:val="fr-FR"/>
              </w:rPr>
              <w:t>răspund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tuturor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întrebărilor</w:t>
            </w:r>
            <w:proofErr w:type="spellEnd"/>
            <w:r w:rsidRPr="00A723F5">
              <w:rPr>
                <w:rFonts w:ascii="Times New Roman" w:hAnsi="Times New Roman"/>
                <w:sz w:val="20"/>
                <w:szCs w:val="20"/>
                <w:shd w:val="clear" w:color="auto" w:fill="FFFFFF"/>
                <w:lang w:val="fr-FR"/>
              </w:rPr>
              <w:t xml:space="preserve"> pertinente care </w:t>
            </w:r>
            <w:proofErr w:type="spellStart"/>
            <w:r w:rsidRPr="00A723F5">
              <w:rPr>
                <w:rFonts w:ascii="Times New Roman" w:hAnsi="Times New Roman"/>
                <w:sz w:val="20"/>
                <w:szCs w:val="20"/>
                <w:shd w:val="clear" w:color="auto" w:fill="FFFFFF"/>
                <w:lang w:val="fr-FR"/>
              </w:rPr>
              <w:t>rezultă</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urma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verificării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inițiale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până</w:t>
            </w:r>
            <w:proofErr w:type="spellEnd"/>
            <w:r w:rsidRPr="00A723F5">
              <w:rPr>
                <w:rFonts w:ascii="Times New Roman" w:hAnsi="Times New Roman"/>
                <w:sz w:val="20"/>
                <w:szCs w:val="20"/>
                <w:shd w:val="clear" w:color="auto" w:fill="FFFFFF"/>
                <w:lang w:val="fr-FR"/>
              </w:rPr>
              <w:t xml:space="preserve"> la data de 15 </w:t>
            </w:r>
            <w:proofErr w:type="spellStart"/>
            <w:r w:rsidRPr="00A723F5">
              <w:rPr>
                <w:rFonts w:ascii="Times New Roman" w:hAnsi="Times New Roman"/>
                <w:sz w:val="20"/>
                <w:szCs w:val="20"/>
                <w:shd w:val="clear" w:color="auto" w:fill="FFFFFF"/>
                <w:lang w:val="fr-FR"/>
              </w:rPr>
              <w:t>martie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odată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transmiterea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inventarului</w:t>
            </w:r>
            <w:proofErr w:type="spellEnd"/>
            <w:r w:rsidRPr="00A723F5">
              <w:rPr>
                <w:rFonts w:ascii="Times New Roman" w:hAnsi="Times New Roman"/>
                <w:sz w:val="20"/>
                <w:szCs w:val="20"/>
                <w:shd w:val="clear" w:color="auto" w:fill="FFFFFF"/>
                <w:lang w:val="fr-FR"/>
              </w:rPr>
              <w:t xml:space="preserve"> final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anul X-2.</w:t>
            </w:r>
          </w:p>
          <w:p w14:paraId="412FE530" w14:textId="7F2D0C75" w:rsidR="00374889" w:rsidRPr="00263A32" w:rsidRDefault="00000000" w:rsidP="00723D80">
            <w:pPr>
              <w:pStyle w:val="ColorfulList-Accent11"/>
              <w:spacing w:after="0" w:line="240" w:lineRule="auto"/>
              <w:ind w:left="0"/>
              <w:jc w:val="both"/>
              <w:rPr>
                <w:rFonts w:ascii="Times New Roman" w:hAnsi="Times New Roman"/>
                <w:sz w:val="20"/>
                <w:szCs w:val="20"/>
                <w:lang w:val="fr-FR"/>
              </w:rPr>
            </w:pPr>
            <w:hyperlink r:id="rId42" w:tooltip="32023R0839: INSERTED" w:history="1">
              <w:r w:rsidR="00374889" w:rsidRPr="00263A32">
                <w:rPr>
                  <w:rStyle w:val="af6"/>
                  <w:rFonts w:ascii="Times New Roman" w:eastAsia="Arial Unicode MS" w:hAnsi="Times New Roman"/>
                  <w:b/>
                  <w:bCs/>
                  <w:color w:val="23527C"/>
                  <w:sz w:val="20"/>
                  <w:szCs w:val="20"/>
                  <w:shd w:val="clear" w:color="auto" w:fill="FFFFFF"/>
                  <w:lang w:val="fr-FR"/>
                </w:rPr>
                <w:t>▼M3</w:t>
              </w:r>
            </w:hyperlink>
          </w:p>
          <w:p w14:paraId="657D3918" w14:textId="51B64FC0" w:rsidR="000D68C7" w:rsidRPr="00263A32" w:rsidRDefault="000D68C7" w:rsidP="00723D80">
            <w:pPr>
              <w:pStyle w:val="ColorfulList-Accent11"/>
              <w:spacing w:after="0" w:line="240" w:lineRule="auto"/>
              <w:ind w:left="0"/>
              <w:jc w:val="both"/>
              <w:rPr>
                <w:rFonts w:ascii="Times New Roman" w:eastAsia="Arial Unicode MS" w:hAnsi="Times New Roman"/>
                <w:sz w:val="20"/>
                <w:szCs w:val="20"/>
                <w:shd w:val="clear" w:color="auto" w:fill="FFFFFF"/>
                <w:lang w:val="fr-FR"/>
              </w:rPr>
            </w:pPr>
            <w:r w:rsidRPr="00263A32">
              <w:rPr>
                <w:rFonts w:ascii="Times New Roman" w:eastAsia="Arial Unicode MS" w:hAnsi="Times New Roman"/>
                <w:sz w:val="20"/>
                <w:szCs w:val="20"/>
                <w:shd w:val="clear" w:color="auto" w:fill="FFFFFF"/>
                <w:lang w:val="fr-FR"/>
              </w:rPr>
              <w:t>(4</w:t>
            </w:r>
            <w:proofErr w:type="gramStart"/>
            <w:r w:rsidRPr="00263A32">
              <w:rPr>
                <w:rFonts w:ascii="Times New Roman" w:eastAsia="Arial Unicode MS" w:hAnsi="Times New Roman"/>
                <w:sz w:val="20"/>
                <w:szCs w:val="20"/>
                <w:shd w:val="clear" w:color="auto" w:fill="FFFFFF"/>
                <w:lang w:val="fr-FR"/>
              </w:rPr>
              <w:t>a)În</w:t>
            </w:r>
            <w:proofErr w:type="gram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cazul</w:t>
            </w:r>
            <w:proofErr w:type="spellEnd"/>
            <w:r w:rsidRPr="00263A32">
              <w:rPr>
                <w:rFonts w:ascii="Times New Roman" w:eastAsia="Arial Unicode MS" w:hAnsi="Times New Roman"/>
                <w:sz w:val="20"/>
                <w:szCs w:val="20"/>
                <w:shd w:val="clear" w:color="auto" w:fill="FFFFFF"/>
                <w:lang w:val="fr-FR"/>
              </w:rPr>
              <w:t xml:space="preserve"> în care, în </w:t>
            </w:r>
            <w:proofErr w:type="spellStart"/>
            <w:r w:rsidRPr="00263A32">
              <w:rPr>
                <w:rFonts w:ascii="Times New Roman" w:eastAsia="Arial Unicode MS" w:hAnsi="Times New Roman"/>
                <w:sz w:val="20"/>
                <w:szCs w:val="20"/>
                <w:shd w:val="clear" w:color="auto" w:fill="FFFFFF"/>
                <w:lang w:val="fr-FR"/>
              </w:rPr>
              <w:t>cursul</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verificării</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inițiale</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efectuate</w:t>
            </w:r>
            <w:proofErr w:type="spellEnd"/>
            <w:r w:rsidRPr="00263A32">
              <w:rPr>
                <w:rFonts w:ascii="Times New Roman" w:eastAsia="Arial Unicode MS" w:hAnsi="Times New Roman"/>
                <w:sz w:val="20"/>
                <w:szCs w:val="20"/>
                <w:shd w:val="clear" w:color="auto" w:fill="FFFFFF"/>
                <w:lang w:val="fr-FR"/>
              </w:rPr>
              <w:t xml:space="preserve"> în </w:t>
            </w:r>
            <w:proofErr w:type="spellStart"/>
            <w:r w:rsidRPr="00263A32">
              <w:rPr>
                <w:rFonts w:ascii="Times New Roman" w:eastAsia="Arial Unicode MS" w:hAnsi="Times New Roman"/>
                <w:sz w:val="20"/>
                <w:szCs w:val="20"/>
                <w:shd w:val="clear" w:color="auto" w:fill="FFFFFF"/>
                <w:lang w:val="fr-FR"/>
              </w:rPr>
              <w:t>temeiul</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alineatului</w:t>
            </w:r>
            <w:proofErr w:type="spellEnd"/>
            <w:r w:rsidRPr="00263A32">
              <w:rPr>
                <w:rFonts w:ascii="Times New Roman" w:eastAsia="Arial Unicode MS" w:hAnsi="Times New Roman"/>
                <w:sz w:val="20"/>
                <w:szCs w:val="20"/>
                <w:shd w:val="clear" w:color="auto" w:fill="FFFFFF"/>
                <w:lang w:val="fr-FR"/>
              </w:rPr>
              <w:t xml:space="preserve"> (4) de la </w:t>
            </w:r>
            <w:proofErr w:type="spellStart"/>
            <w:r w:rsidRPr="00263A32">
              <w:rPr>
                <w:rFonts w:ascii="Times New Roman" w:eastAsia="Arial Unicode MS" w:hAnsi="Times New Roman"/>
                <w:sz w:val="20"/>
                <w:szCs w:val="20"/>
                <w:shd w:val="clear" w:color="auto" w:fill="FFFFFF"/>
                <w:lang w:val="fr-FR"/>
              </w:rPr>
              <w:t>prezentul</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articol</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Comisia</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constată</w:t>
            </w:r>
            <w:proofErr w:type="spellEnd"/>
            <w:r w:rsidRPr="00263A32">
              <w:rPr>
                <w:rFonts w:ascii="Times New Roman" w:eastAsia="Arial Unicode MS" w:hAnsi="Times New Roman"/>
                <w:sz w:val="20"/>
                <w:szCs w:val="20"/>
                <w:shd w:val="clear" w:color="auto" w:fill="FFFFFF"/>
                <w:lang w:val="fr-FR"/>
              </w:rPr>
              <w:t xml:space="preserve"> o </w:t>
            </w:r>
            <w:proofErr w:type="spellStart"/>
            <w:r w:rsidRPr="00263A32">
              <w:rPr>
                <w:rFonts w:ascii="Times New Roman" w:eastAsia="Arial Unicode MS" w:hAnsi="Times New Roman"/>
                <w:sz w:val="20"/>
                <w:szCs w:val="20"/>
                <w:shd w:val="clear" w:color="auto" w:fill="FFFFFF"/>
                <w:lang w:val="fr-FR"/>
              </w:rPr>
              <w:t>diferență</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între</w:t>
            </w:r>
            <w:proofErr w:type="spellEnd"/>
            <w:r w:rsidRPr="00263A32">
              <w:rPr>
                <w:rFonts w:ascii="Times New Roman" w:eastAsia="Arial Unicode MS" w:hAnsi="Times New Roman"/>
                <w:sz w:val="20"/>
                <w:szCs w:val="20"/>
                <w:shd w:val="clear" w:color="auto" w:fill="FFFFFF"/>
                <w:lang w:val="fr-FR"/>
              </w:rPr>
              <w:t xml:space="preserve"> media </w:t>
            </w:r>
            <w:proofErr w:type="spellStart"/>
            <w:r w:rsidRPr="00263A32">
              <w:rPr>
                <w:rFonts w:ascii="Times New Roman" w:eastAsia="Arial Unicode MS" w:hAnsi="Times New Roman"/>
                <w:sz w:val="20"/>
                <w:szCs w:val="20"/>
                <w:shd w:val="clear" w:color="auto" w:fill="FFFFFF"/>
                <w:lang w:val="fr-FR"/>
              </w:rPr>
              <w:t>anuală</w:t>
            </w:r>
            <w:proofErr w:type="spellEnd"/>
            <w:r w:rsidRPr="00263A32">
              <w:rPr>
                <w:rFonts w:ascii="Times New Roman" w:eastAsia="Arial Unicode MS" w:hAnsi="Times New Roman"/>
                <w:sz w:val="20"/>
                <w:szCs w:val="20"/>
                <w:shd w:val="clear" w:color="auto" w:fill="FFFFFF"/>
                <w:lang w:val="fr-FR"/>
              </w:rPr>
              <w:t xml:space="preserve"> a </w:t>
            </w:r>
            <w:proofErr w:type="spellStart"/>
            <w:r w:rsidRPr="00263A32">
              <w:rPr>
                <w:rFonts w:ascii="Times New Roman" w:eastAsia="Arial Unicode MS" w:hAnsi="Times New Roman"/>
                <w:sz w:val="20"/>
                <w:szCs w:val="20"/>
                <w:shd w:val="clear" w:color="auto" w:fill="FFFFFF"/>
                <w:lang w:val="fr-FR"/>
              </w:rPr>
              <w:t>absorbțiilor</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nete</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din</w:t>
            </w:r>
            <w:proofErr w:type="spellEnd"/>
            <w:r w:rsidRPr="00263A32">
              <w:rPr>
                <w:rFonts w:ascii="Times New Roman" w:eastAsia="Arial Unicode MS" w:hAnsi="Times New Roman"/>
                <w:sz w:val="20"/>
                <w:szCs w:val="20"/>
                <w:shd w:val="clear" w:color="auto" w:fill="FFFFFF"/>
                <w:lang w:val="fr-FR"/>
              </w:rPr>
              <w:t xml:space="preserve"> anii </w:t>
            </w:r>
            <w:proofErr w:type="spellStart"/>
            <w:r w:rsidRPr="00263A32">
              <w:rPr>
                <w:rFonts w:ascii="Times New Roman" w:eastAsia="Arial Unicode MS" w:hAnsi="Times New Roman"/>
                <w:sz w:val="20"/>
                <w:szCs w:val="20"/>
                <w:shd w:val="clear" w:color="auto" w:fill="FFFFFF"/>
                <w:lang w:val="fr-FR"/>
              </w:rPr>
              <w:t>menționați</w:t>
            </w:r>
            <w:proofErr w:type="spellEnd"/>
            <w:r w:rsidRPr="00263A32">
              <w:rPr>
                <w:rFonts w:ascii="Times New Roman" w:eastAsia="Arial Unicode MS" w:hAnsi="Times New Roman"/>
                <w:sz w:val="20"/>
                <w:szCs w:val="20"/>
                <w:shd w:val="clear" w:color="auto" w:fill="FFFFFF"/>
                <w:lang w:val="fr-FR"/>
              </w:rPr>
              <w:t xml:space="preserve"> la </w:t>
            </w:r>
            <w:proofErr w:type="spellStart"/>
            <w:r w:rsidRPr="00263A32">
              <w:rPr>
                <w:rFonts w:ascii="Times New Roman" w:eastAsia="Arial Unicode MS" w:hAnsi="Times New Roman"/>
                <w:sz w:val="20"/>
                <w:szCs w:val="20"/>
                <w:shd w:val="clear" w:color="auto" w:fill="FFFFFF"/>
                <w:lang w:val="fr-FR"/>
              </w:rPr>
              <w:t>articolul</w:t>
            </w:r>
            <w:proofErr w:type="spellEnd"/>
            <w:r w:rsidRPr="00263A32">
              <w:rPr>
                <w:rFonts w:ascii="Times New Roman" w:eastAsia="Arial Unicode MS" w:hAnsi="Times New Roman"/>
                <w:sz w:val="20"/>
                <w:szCs w:val="20"/>
                <w:shd w:val="clear" w:color="auto" w:fill="FFFFFF"/>
                <w:lang w:val="fr-FR"/>
              </w:rPr>
              <w:t xml:space="preserve"> 4 </w:t>
            </w:r>
            <w:proofErr w:type="spellStart"/>
            <w:r w:rsidRPr="00263A32">
              <w:rPr>
                <w:rFonts w:ascii="Times New Roman" w:eastAsia="Arial Unicode MS" w:hAnsi="Times New Roman"/>
                <w:sz w:val="20"/>
                <w:szCs w:val="20"/>
                <w:shd w:val="clear" w:color="auto" w:fill="FFFFFF"/>
                <w:lang w:val="fr-FR"/>
              </w:rPr>
              <w:t>alineatul</w:t>
            </w:r>
            <w:proofErr w:type="spellEnd"/>
            <w:r w:rsidRPr="00263A32">
              <w:rPr>
                <w:rFonts w:ascii="Times New Roman" w:eastAsia="Arial Unicode MS" w:hAnsi="Times New Roman"/>
                <w:sz w:val="20"/>
                <w:szCs w:val="20"/>
                <w:shd w:val="clear" w:color="auto" w:fill="FFFFFF"/>
                <w:lang w:val="fr-FR"/>
              </w:rPr>
              <w:t xml:space="preserve"> (2) </w:t>
            </w:r>
            <w:proofErr w:type="spellStart"/>
            <w:r w:rsidRPr="00263A32">
              <w:rPr>
                <w:rFonts w:ascii="Times New Roman" w:eastAsia="Arial Unicode MS" w:hAnsi="Times New Roman"/>
                <w:sz w:val="20"/>
                <w:szCs w:val="20"/>
                <w:shd w:val="clear" w:color="auto" w:fill="FFFFFF"/>
                <w:lang w:val="fr-FR"/>
              </w:rPr>
              <w:t>din</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Regulamentul</w:t>
            </w:r>
            <w:proofErr w:type="spellEnd"/>
            <w:r w:rsidRPr="00263A32">
              <w:rPr>
                <w:rFonts w:ascii="Times New Roman" w:eastAsia="Arial Unicode MS" w:hAnsi="Times New Roman"/>
                <w:sz w:val="20"/>
                <w:szCs w:val="20"/>
                <w:shd w:val="clear" w:color="auto" w:fill="FFFFFF"/>
                <w:lang w:val="fr-FR"/>
              </w:rPr>
              <w:t xml:space="preserve"> (UE) 2018/841 </w:t>
            </w:r>
            <w:proofErr w:type="spellStart"/>
            <w:r w:rsidRPr="00263A32">
              <w:rPr>
                <w:rFonts w:ascii="Times New Roman" w:eastAsia="Arial Unicode MS" w:hAnsi="Times New Roman"/>
                <w:sz w:val="20"/>
                <w:szCs w:val="20"/>
                <w:shd w:val="clear" w:color="auto" w:fill="FFFFFF"/>
                <w:lang w:val="fr-FR"/>
              </w:rPr>
              <w:t>raportată</w:t>
            </w:r>
            <w:proofErr w:type="spellEnd"/>
            <w:r w:rsidRPr="00263A32">
              <w:rPr>
                <w:rFonts w:ascii="Times New Roman" w:eastAsia="Arial Unicode MS" w:hAnsi="Times New Roman"/>
                <w:sz w:val="20"/>
                <w:szCs w:val="20"/>
                <w:shd w:val="clear" w:color="auto" w:fill="FFFFFF"/>
                <w:lang w:val="fr-FR"/>
              </w:rPr>
              <w:t xml:space="preserve"> de </w:t>
            </w:r>
            <w:proofErr w:type="spellStart"/>
            <w:r w:rsidRPr="00263A32">
              <w:rPr>
                <w:rFonts w:ascii="Times New Roman" w:eastAsia="Arial Unicode MS" w:hAnsi="Times New Roman"/>
                <w:sz w:val="20"/>
                <w:szCs w:val="20"/>
                <w:shd w:val="clear" w:color="auto" w:fill="FFFFFF"/>
                <w:lang w:val="fr-FR"/>
              </w:rPr>
              <w:t>orice</w:t>
            </w:r>
            <w:proofErr w:type="spellEnd"/>
            <w:r w:rsidRPr="00263A32">
              <w:rPr>
                <w:rFonts w:ascii="Times New Roman" w:eastAsia="Arial Unicode MS" w:hAnsi="Times New Roman"/>
                <w:sz w:val="20"/>
                <w:szCs w:val="20"/>
                <w:shd w:val="clear" w:color="auto" w:fill="FFFFFF"/>
                <w:lang w:val="fr-FR"/>
              </w:rPr>
              <w:t xml:space="preserve"> stat membru în 2020 și 2023 </w:t>
            </w:r>
            <w:proofErr w:type="spellStart"/>
            <w:r w:rsidRPr="00263A32">
              <w:rPr>
                <w:rFonts w:ascii="Times New Roman" w:eastAsia="Arial Unicode MS" w:hAnsi="Times New Roman"/>
                <w:sz w:val="20"/>
                <w:szCs w:val="20"/>
                <w:shd w:val="clear" w:color="auto" w:fill="FFFFFF"/>
                <w:lang w:val="fr-FR"/>
              </w:rPr>
              <w:t>sau</w:t>
            </w:r>
            <w:proofErr w:type="spellEnd"/>
            <w:r w:rsidRPr="00263A32">
              <w:rPr>
                <w:rFonts w:ascii="Times New Roman" w:eastAsia="Arial Unicode MS" w:hAnsi="Times New Roman"/>
                <w:sz w:val="20"/>
                <w:szCs w:val="20"/>
                <w:shd w:val="clear" w:color="auto" w:fill="FFFFFF"/>
                <w:lang w:val="fr-FR"/>
              </w:rPr>
              <w:t xml:space="preserve"> în </w:t>
            </w:r>
            <w:proofErr w:type="spellStart"/>
            <w:r w:rsidRPr="00263A32">
              <w:rPr>
                <w:rFonts w:ascii="Times New Roman" w:eastAsia="Arial Unicode MS" w:hAnsi="Times New Roman"/>
                <w:sz w:val="20"/>
                <w:szCs w:val="20"/>
                <w:shd w:val="clear" w:color="auto" w:fill="FFFFFF"/>
                <w:lang w:val="fr-FR"/>
              </w:rPr>
              <w:t>transmiterea</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ulterioară</w:t>
            </w:r>
            <w:proofErr w:type="spellEnd"/>
            <w:r w:rsidRPr="00263A32">
              <w:rPr>
                <w:rFonts w:ascii="Times New Roman" w:eastAsia="Arial Unicode MS" w:hAnsi="Times New Roman"/>
                <w:sz w:val="20"/>
                <w:szCs w:val="20"/>
                <w:shd w:val="clear" w:color="auto" w:fill="FFFFFF"/>
                <w:lang w:val="fr-FR"/>
              </w:rPr>
              <w:t xml:space="preserve"> a </w:t>
            </w:r>
            <w:proofErr w:type="spellStart"/>
            <w:r w:rsidRPr="00263A32">
              <w:rPr>
                <w:rFonts w:ascii="Times New Roman" w:eastAsia="Arial Unicode MS" w:hAnsi="Times New Roman"/>
                <w:sz w:val="20"/>
                <w:szCs w:val="20"/>
                <w:shd w:val="clear" w:color="auto" w:fill="FFFFFF"/>
                <w:lang w:val="fr-FR"/>
              </w:rPr>
              <w:t>inventarului</w:t>
            </w:r>
            <w:proofErr w:type="spellEnd"/>
            <w:r w:rsidRPr="00263A32">
              <w:rPr>
                <w:rFonts w:ascii="Times New Roman" w:eastAsia="Arial Unicode MS" w:hAnsi="Times New Roman"/>
                <w:sz w:val="20"/>
                <w:szCs w:val="20"/>
                <w:shd w:val="clear" w:color="auto" w:fill="FFFFFF"/>
                <w:lang w:val="fr-FR"/>
              </w:rPr>
              <w:t xml:space="preserve"> de gaze </w:t>
            </w:r>
            <w:proofErr w:type="spellStart"/>
            <w:r w:rsidRPr="00263A32">
              <w:rPr>
                <w:rFonts w:ascii="Times New Roman" w:eastAsia="Arial Unicode MS" w:hAnsi="Times New Roman"/>
                <w:sz w:val="20"/>
                <w:szCs w:val="20"/>
                <w:shd w:val="clear" w:color="auto" w:fill="FFFFFF"/>
                <w:lang w:val="fr-FR"/>
              </w:rPr>
              <w:t>cu</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efect</w:t>
            </w:r>
            <w:proofErr w:type="spellEnd"/>
            <w:r w:rsidRPr="00263A32">
              <w:rPr>
                <w:rFonts w:ascii="Times New Roman" w:eastAsia="Arial Unicode MS" w:hAnsi="Times New Roman"/>
                <w:sz w:val="20"/>
                <w:szCs w:val="20"/>
                <w:shd w:val="clear" w:color="auto" w:fill="FFFFFF"/>
                <w:lang w:val="fr-FR"/>
              </w:rPr>
              <w:t xml:space="preserve"> de </w:t>
            </w:r>
            <w:proofErr w:type="spellStart"/>
            <w:r w:rsidRPr="00263A32">
              <w:rPr>
                <w:rFonts w:ascii="Times New Roman" w:eastAsia="Arial Unicode MS" w:hAnsi="Times New Roman"/>
                <w:sz w:val="20"/>
                <w:szCs w:val="20"/>
                <w:shd w:val="clear" w:color="auto" w:fill="FFFFFF"/>
                <w:lang w:val="fr-FR"/>
              </w:rPr>
              <w:t>seră</w:t>
            </w:r>
            <w:proofErr w:type="spellEnd"/>
            <w:r w:rsidRPr="00263A32">
              <w:rPr>
                <w:rFonts w:ascii="Times New Roman" w:eastAsia="Arial Unicode MS" w:hAnsi="Times New Roman"/>
                <w:sz w:val="20"/>
                <w:szCs w:val="20"/>
                <w:shd w:val="clear" w:color="auto" w:fill="FFFFFF"/>
                <w:lang w:val="fr-FR"/>
              </w:rPr>
              <w:t xml:space="preserve"> care este mai mare de 500 kt CO</w:t>
            </w:r>
            <w:r w:rsidRPr="00263A32">
              <w:rPr>
                <w:rStyle w:val="subscript"/>
                <w:rFonts w:ascii="Times New Roman" w:eastAsia="Arial Unicode MS" w:hAnsi="Times New Roman"/>
                <w:sz w:val="20"/>
                <w:szCs w:val="20"/>
                <w:shd w:val="clear" w:color="auto" w:fill="FFFFFF"/>
                <w:vertAlign w:val="subscript"/>
                <w:lang w:val="fr-FR"/>
              </w:rPr>
              <w:t>2</w:t>
            </w:r>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echivalent</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Comisia</w:t>
            </w:r>
            <w:proofErr w:type="spellEnd"/>
            <w:r w:rsidRPr="00263A32">
              <w:rPr>
                <w:rFonts w:ascii="Times New Roman" w:eastAsia="Arial Unicode MS" w:hAnsi="Times New Roman"/>
                <w:sz w:val="20"/>
                <w:szCs w:val="20"/>
                <w:shd w:val="clear" w:color="auto" w:fill="FFFFFF"/>
                <w:lang w:val="fr-FR"/>
              </w:rPr>
              <w:t xml:space="preserve"> </w:t>
            </w:r>
            <w:proofErr w:type="spellStart"/>
            <w:r w:rsidRPr="00263A32">
              <w:rPr>
                <w:rFonts w:ascii="Times New Roman" w:eastAsia="Arial Unicode MS" w:hAnsi="Times New Roman"/>
                <w:sz w:val="20"/>
                <w:szCs w:val="20"/>
                <w:shd w:val="clear" w:color="auto" w:fill="FFFFFF"/>
                <w:lang w:val="fr-FR"/>
              </w:rPr>
              <w:t>verifică</w:t>
            </w:r>
            <w:proofErr w:type="spellEnd"/>
            <w:r w:rsidRPr="00263A32">
              <w:rPr>
                <w:rFonts w:ascii="Times New Roman" w:eastAsia="Arial Unicode MS" w:hAnsi="Times New Roman"/>
                <w:sz w:val="20"/>
                <w:szCs w:val="20"/>
                <w:shd w:val="clear" w:color="auto" w:fill="FFFFFF"/>
                <w:lang w:val="fr-FR"/>
              </w:rPr>
              <w:t>:</w:t>
            </w:r>
          </w:p>
          <w:p w14:paraId="1AC4F10A" w14:textId="77777777" w:rsidR="000D68C7" w:rsidRDefault="000D68C7" w:rsidP="000D68C7">
            <w:pPr>
              <w:pStyle w:val="ColorfulList-Accent11"/>
              <w:numPr>
                <w:ilvl w:val="0"/>
                <w:numId w:val="250"/>
              </w:numPr>
              <w:spacing w:after="0" w:line="240" w:lineRule="auto"/>
              <w:jc w:val="both"/>
              <w:rPr>
                <w:rFonts w:ascii="Times New Roman" w:eastAsia="Arial Unicode MS" w:hAnsi="Times New Roman"/>
                <w:sz w:val="20"/>
                <w:szCs w:val="20"/>
                <w:shd w:val="clear" w:color="auto" w:fill="FFFFFF"/>
              </w:rPr>
            </w:pPr>
            <w:proofErr w:type="spellStart"/>
            <w:r w:rsidRPr="000D68C7">
              <w:rPr>
                <w:rFonts w:ascii="Times New Roman" w:eastAsia="Arial Unicode MS" w:hAnsi="Times New Roman"/>
                <w:sz w:val="20"/>
                <w:szCs w:val="20"/>
                <w:shd w:val="clear" w:color="auto" w:fill="FFFFFF"/>
              </w:rPr>
              <w:t>transparența</w:t>
            </w:r>
            <w:proofErr w:type="spellEnd"/>
            <w:r w:rsidRPr="000D68C7">
              <w:rPr>
                <w:rFonts w:ascii="Times New Roman" w:eastAsia="Arial Unicode MS" w:hAnsi="Times New Roman"/>
                <w:sz w:val="20"/>
                <w:szCs w:val="20"/>
                <w:shd w:val="clear" w:color="auto" w:fill="FFFFFF"/>
              </w:rPr>
              <w:t xml:space="preserve">, </w:t>
            </w:r>
            <w:proofErr w:type="spellStart"/>
            <w:r w:rsidRPr="000D68C7">
              <w:rPr>
                <w:rFonts w:ascii="Times New Roman" w:eastAsia="Arial Unicode MS" w:hAnsi="Times New Roman"/>
                <w:sz w:val="20"/>
                <w:szCs w:val="20"/>
                <w:shd w:val="clear" w:color="auto" w:fill="FFFFFF"/>
              </w:rPr>
              <w:t>exactitatea</w:t>
            </w:r>
            <w:proofErr w:type="spellEnd"/>
            <w:r w:rsidRPr="000D68C7">
              <w:rPr>
                <w:rFonts w:ascii="Times New Roman" w:eastAsia="Arial Unicode MS" w:hAnsi="Times New Roman"/>
                <w:sz w:val="20"/>
                <w:szCs w:val="20"/>
                <w:shd w:val="clear" w:color="auto" w:fill="FFFFFF"/>
              </w:rPr>
              <w:t xml:space="preserve">, </w:t>
            </w:r>
            <w:proofErr w:type="spellStart"/>
            <w:r w:rsidRPr="000D68C7">
              <w:rPr>
                <w:rFonts w:ascii="Times New Roman" w:eastAsia="Arial Unicode MS" w:hAnsi="Times New Roman"/>
                <w:sz w:val="20"/>
                <w:szCs w:val="20"/>
                <w:shd w:val="clear" w:color="auto" w:fill="FFFFFF"/>
              </w:rPr>
              <w:t>coerența</w:t>
            </w:r>
            <w:proofErr w:type="spellEnd"/>
            <w:r w:rsidRPr="000D68C7">
              <w:rPr>
                <w:rFonts w:ascii="Times New Roman" w:eastAsia="Arial Unicode MS" w:hAnsi="Times New Roman"/>
                <w:sz w:val="20"/>
                <w:szCs w:val="20"/>
                <w:shd w:val="clear" w:color="auto" w:fill="FFFFFF"/>
              </w:rPr>
              <w:t xml:space="preserve">, </w:t>
            </w:r>
            <w:proofErr w:type="spellStart"/>
            <w:r w:rsidRPr="000D68C7">
              <w:rPr>
                <w:rFonts w:ascii="Times New Roman" w:eastAsia="Arial Unicode MS" w:hAnsi="Times New Roman"/>
                <w:sz w:val="20"/>
                <w:szCs w:val="20"/>
                <w:shd w:val="clear" w:color="auto" w:fill="FFFFFF"/>
              </w:rPr>
              <w:t>comparabilitatea</w:t>
            </w:r>
            <w:proofErr w:type="spellEnd"/>
            <w:r w:rsidRPr="000D68C7">
              <w:rPr>
                <w:rFonts w:ascii="Times New Roman" w:eastAsia="Arial Unicode MS" w:hAnsi="Times New Roman"/>
                <w:sz w:val="20"/>
                <w:szCs w:val="20"/>
                <w:shd w:val="clear" w:color="auto" w:fill="FFFFFF"/>
              </w:rPr>
              <w:t xml:space="preserve"> și </w:t>
            </w:r>
            <w:proofErr w:type="spellStart"/>
            <w:r w:rsidRPr="000D68C7">
              <w:rPr>
                <w:rFonts w:ascii="Times New Roman" w:eastAsia="Arial Unicode MS" w:hAnsi="Times New Roman"/>
                <w:sz w:val="20"/>
                <w:szCs w:val="20"/>
                <w:shd w:val="clear" w:color="auto" w:fill="FFFFFF"/>
              </w:rPr>
              <w:t>caracterul</w:t>
            </w:r>
            <w:proofErr w:type="spellEnd"/>
            <w:r w:rsidRPr="000D68C7">
              <w:rPr>
                <w:rFonts w:ascii="Times New Roman" w:eastAsia="Arial Unicode MS" w:hAnsi="Times New Roman"/>
                <w:sz w:val="20"/>
                <w:szCs w:val="20"/>
                <w:shd w:val="clear" w:color="auto" w:fill="FFFFFF"/>
              </w:rPr>
              <w:t xml:space="preserve"> </w:t>
            </w:r>
            <w:proofErr w:type="spellStart"/>
            <w:r w:rsidRPr="000D68C7">
              <w:rPr>
                <w:rFonts w:ascii="Times New Roman" w:eastAsia="Arial Unicode MS" w:hAnsi="Times New Roman"/>
                <w:sz w:val="20"/>
                <w:szCs w:val="20"/>
                <w:shd w:val="clear" w:color="auto" w:fill="FFFFFF"/>
              </w:rPr>
              <w:t>complet</w:t>
            </w:r>
            <w:proofErr w:type="spellEnd"/>
            <w:r w:rsidRPr="000D68C7">
              <w:rPr>
                <w:rFonts w:ascii="Times New Roman" w:eastAsia="Arial Unicode MS" w:hAnsi="Times New Roman"/>
                <w:sz w:val="20"/>
                <w:szCs w:val="20"/>
                <w:shd w:val="clear" w:color="auto" w:fill="FFFFFF"/>
              </w:rPr>
              <w:t xml:space="preserve"> al </w:t>
            </w:r>
            <w:proofErr w:type="spellStart"/>
            <w:r w:rsidRPr="000D68C7">
              <w:rPr>
                <w:rFonts w:ascii="Times New Roman" w:eastAsia="Arial Unicode MS" w:hAnsi="Times New Roman"/>
                <w:sz w:val="20"/>
                <w:szCs w:val="20"/>
                <w:shd w:val="clear" w:color="auto" w:fill="FFFFFF"/>
              </w:rPr>
              <w:t>informațiilor</w:t>
            </w:r>
            <w:proofErr w:type="spellEnd"/>
            <w:r w:rsidRPr="000D68C7">
              <w:rPr>
                <w:rFonts w:ascii="Times New Roman" w:eastAsia="Arial Unicode MS" w:hAnsi="Times New Roman"/>
                <w:sz w:val="20"/>
                <w:szCs w:val="20"/>
                <w:shd w:val="clear" w:color="auto" w:fill="FFFFFF"/>
              </w:rPr>
              <w:t xml:space="preserve"> </w:t>
            </w:r>
            <w:proofErr w:type="spellStart"/>
            <w:r w:rsidRPr="000D68C7">
              <w:rPr>
                <w:rFonts w:ascii="Times New Roman" w:eastAsia="Arial Unicode MS" w:hAnsi="Times New Roman"/>
                <w:sz w:val="20"/>
                <w:szCs w:val="20"/>
                <w:shd w:val="clear" w:color="auto" w:fill="FFFFFF"/>
              </w:rPr>
              <w:t>prezentate</w:t>
            </w:r>
            <w:proofErr w:type="spellEnd"/>
            <w:r w:rsidRPr="000D68C7">
              <w:rPr>
                <w:rFonts w:ascii="Times New Roman" w:eastAsia="Arial Unicode MS" w:hAnsi="Times New Roman"/>
                <w:sz w:val="20"/>
                <w:szCs w:val="20"/>
                <w:shd w:val="clear" w:color="auto" w:fill="FFFFFF"/>
              </w:rPr>
              <w:t>; și</w:t>
            </w:r>
          </w:p>
          <w:p w14:paraId="7DDAE22A" w14:textId="31AED242" w:rsidR="000D68C7" w:rsidRPr="000D68C7" w:rsidRDefault="000D68C7" w:rsidP="000D68C7">
            <w:pPr>
              <w:pStyle w:val="ColorfulList-Accent11"/>
              <w:numPr>
                <w:ilvl w:val="0"/>
                <w:numId w:val="250"/>
              </w:numPr>
              <w:spacing w:after="0" w:line="240" w:lineRule="auto"/>
              <w:jc w:val="both"/>
              <w:rPr>
                <w:rFonts w:ascii="Times New Roman" w:eastAsia="Arial Unicode MS" w:hAnsi="Times New Roman"/>
                <w:sz w:val="20"/>
                <w:szCs w:val="20"/>
                <w:shd w:val="clear" w:color="auto" w:fill="FFFFFF"/>
                <w:lang w:val="fr-FR"/>
              </w:rPr>
            </w:pPr>
            <w:proofErr w:type="spellStart"/>
            <w:proofErr w:type="gramStart"/>
            <w:r w:rsidRPr="000D68C7">
              <w:rPr>
                <w:rFonts w:ascii="Times New Roman" w:eastAsia="Arial Unicode MS" w:hAnsi="Times New Roman"/>
                <w:sz w:val="20"/>
                <w:szCs w:val="20"/>
                <w:shd w:val="clear" w:color="auto" w:fill="FFFFFF"/>
                <w:lang w:val="fr-FR"/>
              </w:rPr>
              <w:t>că</w:t>
            </w:r>
            <w:proofErr w:type="spellEnd"/>
            <w:proofErr w:type="gram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raportarea</w:t>
            </w:r>
            <w:proofErr w:type="spellEnd"/>
            <w:r w:rsidRPr="000D68C7">
              <w:rPr>
                <w:rFonts w:ascii="Times New Roman" w:eastAsia="Arial Unicode MS" w:hAnsi="Times New Roman"/>
                <w:sz w:val="20"/>
                <w:szCs w:val="20"/>
                <w:shd w:val="clear" w:color="auto" w:fill="FFFFFF"/>
                <w:lang w:val="fr-FR"/>
              </w:rPr>
              <w:t xml:space="preserve"> LULUCF este </w:t>
            </w:r>
            <w:proofErr w:type="spellStart"/>
            <w:r w:rsidRPr="000D68C7">
              <w:rPr>
                <w:rFonts w:ascii="Times New Roman" w:eastAsia="Arial Unicode MS" w:hAnsi="Times New Roman"/>
                <w:sz w:val="20"/>
                <w:szCs w:val="20"/>
                <w:shd w:val="clear" w:color="auto" w:fill="FFFFFF"/>
                <w:lang w:val="fr-FR"/>
              </w:rPr>
              <w:t>efectuată</w:t>
            </w:r>
            <w:proofErr w:type="spellEnd"/>
            <w:r w:rsidRPr="000D68C7">
              <w:rPr>
                <w:rFonts w:ascii="Times New Roman" w:eastAsia="Arial Unicode MS" w:hAnsi="Times New Roman"/>
                <w:sz w:val="20"/>
                <w:szCs w:val="20"/>
                <w:shd w:val="clear" w:color="auto" w:fill="FFFFFF"/>
                <w:lang w:val="fr-FR"/>
              </w:rPr>
              <w:t xml:space="preserve"> în conformitate </w:t>
            </w:r>
            <w:proofErr w:type="spellStart"/>
            <w:r w:rsidRPr="000D68C7">
              <w:rPr>
                <w:rFonts w:ascii="Times New Roman" w:eastAsia="Arial Unicode MS" w:hAnsi="Times New Roman"/>
                <w:sz w:val="20"/>
                <w:szCs w:val="20"/>
                <w:shd w:val="clear" w:color="auto" w:fill="FFFFFF"/>
                <w:lang w:val="fr-FR"/>
              </w:rPr>
              <w:t>cu</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documentația</w:t>
            </w:r>
            <w:proofErr w:type="spellEnd"/>
            <w:r w:rsidRPr="000D68C7">
              <w:rPr>
                <w:rFonts w:ascii="Times New Roman" w:eastAsia="Arial Unicode MS" w:hAnsi="Times New Roman"/>
                <w:sz w:val="20"/>
                <w:szCs w:val="20"/>
                <w:shd w:val="clear" w:color="auto" w:fill="FFFFFF"/>
                <w:lang w:val="fr-FR"/>
              </w:rPr>
              <w:t xml:space="preserve"> care </w:t>
            </w:r>
            <w:proofErr w:type="spellStart"/>
            <w:r w:rsidRPr="000D68C7">
              <w:rPr>
                <w:rFonts w:ascii="Times New Roman" w:eastAsia="Arial Unicode MS" w:hAnsi="Times New Roman"/>
                <w:sz w:val="20"/>
                <w:szCs w:val="20"/>
                <w:shd w:val="clear" w:color="auto" w:fill="FFFFFF"/>
                <w:lang w:val="fr-FR"/>
              </w:rPr>
              <w:t>cuprinde</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orientările</w:t>
            </w:r>
            <w:proofErr w:type="spellEnd"/>
            <w:r w:rsidRPr="000D68C7">
              <w:rPr>
                <w:rFonts w:ascii="Times New Roman" w:eastAsia="Arial Unicode MS" w:hAnsi="Times New Roman"/>
                <w:sz w:val="20"/>
                <w:szCs w:val="20"/>
                <w:shd w:val="clear" w:color="auto" w:fill="FFFFFF"/>
                <w:lang w:val="fr-FR"/>
              </w:rPr>
              <w:t xml:space="preserve"> CCONUSC </w:t>
            </w:r>
            <w:proofErr w:type="spellStart"/>
            <w:r w:rsidRPr="000D68C7">
              <w:rPr>
                <w:rFonts w:ascii="Times New Roman" w:eastAsia="Arial Unicode MS" w:hAnsi="Times New Roman"/>
                <w:sz w:val="20"/>
                <w:szCs w:val="20"/>
                <w:shd w:val="clear" w:color="auto" w:fill="FFFFFF"/>
                <w:lang w:val="fr-FR"/>
              </w:rPr>
              <w:t>sau</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cu</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normele</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Uniunii</w:t>
            </w:r>
            <w:proofErr w:type="spellEnd"/>
            <w:r w:rsidRPr="000D68C7">
              <w:rPr>
                <w:rFonts w:ascii="Times New Roman" w:eastAsia="Arial Unicode MS" w:hAnsi="Times New Roman"/>
                <w:sz w:val="20"/>
                <w:szCs w:val="20"/>
                <w:shd w:val="clear" w:color="auto" w:fill="FFFFFF"/>
                <w:lang w:val="fr-FR"/>
              </w:rPr>
              <w:t>.</w:t>
            </w:r>
          </w:p>
          <w:p w14:paraId="696B73E2" w14:textId="5B05C897" w:rsidR="000D68C7" w:rsidRDefault="000D68C7" w:rsidP="00723D80">
            <w:pPr>
              <w:pStyle w:val="ColorfulList-Accent11"/>
              <w:spacing w:after="0" w:line="240" w:lineRule="auto"/>
              <w:ind w:left="0"/>
              <w:jc w:val="both"/>
              <w:rPr>
                <w:rFonts w:ascii="Times New Roman" w:eastAsia="Arial Unicode MS" w:hAnsi="Times New Roman"/>
                <w:sz w:val="20"/>
                <w:szCs w:val="20"/>
                <w:shd w:val="clear" w:color="auto" w:fill="FFFFFF"/>
                <w:lang w:val="fr-FR"/>
              </w:rPr>
            </w:pPr>
            <w:proofErr w:type="spellStart"/>
            <w:r w:rsidRPr="000D68C7">
              <w:rPr>
                <w:rFonts w:ascii="Times New Roman" w:eastAsia="Arial Unicode MS" w:hAnsi="Times New Roman"/>
                <w:sz w:val="20"/>
                <w:szCs w:val="20"/>
                <w:shd w:val="clear" w:color="auto" w:fill="FFFFFF"/>
                <w:lang w:val="fr-FR"/>
              </w:rPr>
              <w:lastRenderedPageBreak/>
              <w:t>Comisia</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pune</w:t>
            </w:r>
            <w:proofErr w:type="spellEnd"/>
            <w:r w:rsidRPr="000D68C7">
              <w:rPr>
                <w:rFonts w:ascii="Times New Roman" w:eastAsia="Arial Unicode MS" w:hAnsi="Times New Roman"/>
                <w:sz w:val="20"/>
                <w:szCs w:val="20"/>
                <w:shd w:val="clear" w:color="auto" w:fill="FFFFFF"/>
                <w:lang w:val="fr-FR"/>
              </w:rPr>
              <w:t xml:space="preserve"> la </w:t>
            </w:r>
            <w:proofErr w:type="spellStart"/>
            <w:r w:rsidRPr="000D68C7">
              <w:rPr>
                <w:rFonts w:ascii="Times New Roman" w:eastAsia="Arial Unicode MS" w:hAnsi="Times New Roman"/>
                <w:sz w:val="20"/>
                <w:szCs w:val="20"/>
                <w:shd w:val="clear" w:color="auto" w:fill="FFFFFF"/>
                <w:lang w:val="fr-FR"/>
              </w:rPr>
              <w:t>dispoziția</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publicului</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rezultatele</w:t>
            </w:r>
            <w:proofErr w:type="spellEnd"/>
            <w:r w:rsidRPr="000D68C7">
              <w:rPr>
                <w:rFonts w:ascii="Times New Roman" w:eastAsia="Arial Unicode MS" w:hAnsi="Times New Roman"/>
                <w:sz w:val="20"/>
                <w:szCs w:val="20"/>
                <w:shd w:val="clear" w:color="auto" w:fill="FFFFFF"/>
                <w:lang w:val="fr-FR"/>
              </w:rPr>
              <w:t xml:space="preserve"> </w:t>
            </w:r>
            <w:proofErr w:type="spellStart"/>
            <w:r w:rsidRPr="000D68C7">
              <w:rPr>
                <w:rFonts w:ascii="Times New Roman" w:eastAsia="Arial Unicode MS" w:hAnsi="Times New Roman"/>
                <w:sz w:val="20"/>
                <w:szCs w:val="20"/>
                <w:shd w:val="clear" w:color="auto" w:fill="FFFFFF"/>
                <w:lang w:val="fr-FR"/>
              </w:rPr>
              <w:t>verificării</w:t>
            </w:r>
            <w:proofErr w:type="spellEnd"/>
            <w:r w:rsidRPr="000D68C7">
              <w:rPr>
                <w:rFonts w:ascii="Times New Roman" w:eastAsia="Arial Unicode MS" w:hAnsi="Times New Roman"/>
                <w:sz w:val="20"/>
                <w:szCs w:val="20"/>
                <w:shd w:val="clear" w:color="auto" w:fill="FFFFFF"/>
                <w:lang w:val="fr-FR"/>
              </w:rPr>
              <w:t xml:space="preserve"> respective.</w:t>
            </w:r>
          </w:p>
          <w:p w14:paraId="479E3E36" w14:textId="63AF6D33" w:rsidR="000D68C7" w:rsidRPr="000D68C7" w:rsidRDefault="00000000" w:rsidP="00723D80">
            <w:pPr>
              <w:pStyle w:val="ColorfulList-Accent11"/>
              <w:spacing w:after="0" w:line="240" w:lineRule="auto"/>
              <w:ind w:left="0"/>
              <w:jc w:val="both"/>
              <w:rPr>
                <w:rFonts w:ascii="Times New Roman" w:hAnsi="Times New Roman"/>
                <w:sz w:val="20"/>
                <w:szCs w:val="20"/>
                <w:shd w:val="clear" w:color="auto" w:fill="FFFFFF"/>
                <w:lang w:val="fr-FR"/>
              </w:rPr>
            </w:pPr>
            <w:hyperlink r:id="rId43" w:tooltip="32018R1999" w:history="1">
              <w:r w:rsidR="000D68C7" w:rsidRPr="00263A32">
                <w:rPr>
                  <w:rStyle w:val="af6"/>
                  <w:rFonts w:ascii="Times New Roman" w:eastAsia="Arial Unicode MS" w:hAnsi="Times New Roman"/>
                  <w:b/>
                  <w:bCs/>
                  <w:color w:val="23527C"/>
                  <w:sz w:val="20"/>
                  <w:szCs w:val="20"/>
                  <w:shd w:val="clear" w:color="auto" w:fill="FFFFFF"/>
                  <w:lang w:val="fr-FR"/>
                </w:rPr>
                <w:t>▼B</w:t>
              </w:r>
            </w:hyperlink>
          </w:p>
          <w:p w14:paraId="5A35038B" w14:textId="77777777" w:rsidR="00723D80" w:rsidRPr="00A723F5" w:rsidRDefault="00723D80" w:rsidP="00723D80">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5)În</w:t>
            </w:r>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cazul</w:t>
            </w:r>
            <w:proofErr w:type="spellEnd"/>
            <w:r w:rsidRPr="00A723F5">
              <w:rPr>
                <w:rFonts w:ascii="Times New Roman" w:hAnsi="Times New Roman"/>
                <w:sz w:val="20"/>
                <w:szCs w:val="20"/>
                <w:shd w:val="clear" w:color="auto" w:fill="FFFFFF"/>
                <w:lang w:val="fr-FR"/>
              </w:rPr>
              <w:t xml:space="preserve"> în care un stat membru nu </w:t>
            </w:r>
            <w:proofErr w:type="spellStart"/>
            <w:r w:rsidRPr="00A723F5">
              <w:rPr>
                <w:rFonts w:ascii="Times New Roman" w:hAnsi="Times New Roman"/>
                <w:sz w:val="20"/>
                <w:szCs w:val="20"/>
                <w:shd w:val="clear" w:color="auto" w:fill="FFFFFF"/>
                <w:lang w:val="fr-FR"/>
              </w:rPr>
              <w:t>transmite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până</w:t>
            </w:r>
            <w:proofErr w:type="spellEnd"/>
            <w:r w:rsidRPr="00A723F5">
              <w:rPr>
                <w:rFonts w:ascii="Times New Roman" w:hAnsi="Times New Roman"/>
                <w:sz w:val="20"/>
                <w:szCs w:val="20"/>
                <w:shd w:val="clear" w:color="auto" w:fill="FFFFFF"/>
                <w:lang w:val="fr-FR"/>
              </w:rPr>
              <w:t xml:space="preserve"> la data de 15 </w:t>
            </w:r>
            <w:proofErr w:type="spellStart"/>
            <w:r w:rsidRPr="00A723F5">
              <w:rPr>
                <w:rFonts w:ascii="Times New Roman" w:hAnsi="Times New Roman"/>
                <w:sz w:val="20"/>
                <w:szCs w:val="20"/>
                <w:shd w:val="clear" w:color="auto" w:fill="FFFFFF"/>
                <w:lang w:val="fr-FR"/>
              </w:rPr>
              <w:t>martie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datele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inventar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necesare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compilarea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inventarului</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nivelul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poate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elabora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estimări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completa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datele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prezentate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statul</w:t>
            </w:r>
            <w:proofErr w:type="spellEnd"/>
            <w:r w:rsidRPr="00A723F5">
              <w:rPr>
                <w:rFonts w:ascii="Times New Roman" w:hAnsi="Times New Roman"/>
                <w:sz w:val="20"/>
                <w:szCs w:val="20"/>
                <w:shd w:val="clear" w:color="auto" w:fill="FFFFFF"/>
                <w:lang w:val="fr-FR"/>
              </w:rPr>
              <w:t xml:space="preserve"> membru în </w:t>
            </w:r>
            <w:proofErr w:type="spellStart"/>
            <w:r w:rsidRPr="00A723F5">
              <w:rPr>
                <w:rFonts w:ascii="Times New Roman" w:hAnsi="Times New Roman"/>
                <w:sz w:val="20"/>
                <w:szCs w:val="20"/>
                <w:shd w:val="clear" w:color="auto" w:fill="FFFFFF"/>
                <w:lang w:val="fr-FR"/>
              </w:rPr>
              <w:t>cauză</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consultare</w:t>
            </w:r>
            <w:proofErr w:type="spellEnd"/>
            <w:r w:rsidRPr="00A723F5">
              <w:rPr>
                <w:rFonts w:ascii="Times New Roman" w:hAnsi="Times New Roman"/>
                <w:sz w:val="20"/>
                <w:szCs w:val="20"/>
                <w:shd w:val="clear" w:color="auto" w:fill="FFFFFF"/>
                <w:lang w:val="fr-FR"/>
              </w:rPr>
              <w:t xml:space="preserve"> și în </w:t>
            </w:r>
            <w:proofErr w:type="spellStart"/>
            <w:r w:rsidRPr="00A723F5">
              <w:rPr>
                <w:rFonts w:ascii="Times New Roman" w:hAnsi="Times New Roman"/>
                <w:sz w:val="20"/>
                <w:szCs w:val="20"/>
                <w:shd w:val="clear" w:color="auto" w:fill="FFFFFF"/>
                <w:lang w:val="fr-FR"/>
              </w:rPr>
              <w:t>strânsă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cooperare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acesta</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acest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scop</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folosește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orientările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aplicabile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întocmirea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inventarelor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naționale</w:t>
            </w:r>
            <w:proofErr w:type="spellEnd"/>
            <w:r w:rsidRPr="00A723F5">
              <w:rPr>
                <w:rFonts w:ascii="Times New Roman" w:hAnsi="Times New Roman"/>
                <w:sz w:val="20"/>
                <w:szCs w:val="20"/>
                <w:shd w:val="clear" w:color="auto" w:fill="FFFFFF"/>
                <w:lang w:val="fr-FR"/>
              </w:rPr>
              <w:t xml:space="preserve"> de gaze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seră</w:t>
            </w:r>
            <w:proofErr w:type="spellEnd"/>
            <w:r w:rsidRPr="00A723F5">
              <w:rPr>
                <w:rFonts w:ascii="Times New Roman" w:hAnsi="Times New Roman"/>
                <w:sz w:val="20"/>
                <w:szCs w:val="20"/>
                <w:shd w:val="clear" w:color="auto" w:fill="FFFFFF"/>
                <w:lang w:val="fr-FR"/>
              </w:rPr>
              <w:t>.</w:t>
            </w:r>
          </w:p>
          <w:p w14:paraId="1D8DD8B8" w14:textId="77777777" w:rsidR="00723D80" w:rsidRPr="00A723F5" w:rsidRDefault="00723D80" w:rsidP="00723D80">
            <w:pPr>
              <w:spacing w:after="0" w:line="240" w:lineRule="auto"/>
              <w:jc w:val="both"/>
              <w:rPr>
                <w:rFonts w:ascii="Times New Roman" w:hAnsi="Times New Roman"/>
                <w:sz w:val="20"/>
                <w:szCs w:val="20"/>
                <w:lang w:val="fr-FR"/>
              </w:rPr>
            </w:pPr>
            <w:r w:rsidRPr="00A723F5">
              <w:rPr>
                <w:rFonts w:ascii="Times New Roman" w:hAnsi="Times New Roman"/>
                <w:sz w:val="20"/>
                <w:szCs w:val="20"/>
                <w:lang w:val="fr-FR"/>
              </w:rPr>
              <w:t>(</w:t>
            </w:r>
            <w:proofErr w:type="gramStart"/>
            <w:r w:rsidRPr="00A723F5">
              <w:rPr>
                <w:rFonts w:ascii="Times New Roman" w:hAnsi="Times New Roman"/>
                <w:sz w:val="20"/>
                <w:szCs w:val="20"/>
                <w:lang w:val="fr-FR"/>
              </w:rPr>
              <w:t>6)</w:t>
            </w:r>
            <w:proofErr w:type="spellStart"/>
            <w:r w:rsidRPr="00A723F5">
              <w:rPr>
                <w:rFonts w:ascii="Times New Roman" w:hAnsi="Times New Roman"/>
                <w:sz w:val="20"/>
                <w:szCs w:val="20"/>
                <w:lang w:val="fr-FR"/>
              </w:rPr>
              <w:t>Comisia</w:t>
            </w:r>
            <w:proofErr w:type="spellEnd"/>
            <w:proofErr w:type="gram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asistată</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Comitetul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privind</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schimbările</w:t>
            </w:r>
            <w:proofErr w:type="spellEnd"/>
            <w:r w:rsidRPr="00A723F5">
              <w:rPr>
                <w:rFonts w:ascii="Times New Roman" w:hAnsi="Times New Roman"/>
                <w:sz w:val="20"/>
                <w:szCs w:val="20"/>
                <w:lang w:val="fr-FR"/>
              </w:rPr>
              <w:t xml:space="preserve"> climatice </w:t>
            </w:r>
            <w:proofErr w:type="spellStart"/>
            <w:r w:rsidRPr="00A723F5">
              <w:rPr>
                <w:rFonts w:ascii="Times New Roman" w:hAnsi="Times New Roman"/>
                <w:sz w:val="20"/>
                <w:szCs w:val="20"/>
                <w:lang w:val="fr-FR"/>
              </w:rPr>
              <w:t>prevăzut</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articolul</w:t>
            </w:r>
            <w:proofErr w:type="spellEnd"/>
            <w:r w:rsidRPr="00A723F5">
              <w:rPr>
                <w:rFonts w:ascii="Times New Roman" w:hAnsi="Times New Roman"/>
                <w:sz w:val="20"/>
                <w:szCs w:val="20"/>
                <w:lang w:val="fr-FR"/>
              </w:rPr>
              <w:t xml:space="preserve"> 44 </w:t>
            </w:r>
            <w:proofErr w:type="spellStart"/>
            <w:r w:rsidRPr="00A723F5">
              <w:rPr>
                <w:rFonts w:ascii="Times New Roman" w:hAnsi="Times New Roman"/>
                <w:sz w:val="20"/>
                <w:szCs w:val="20"/>
                <w:lang w:val="fr-FR"/>
              </w:rPr>
              <w:t>alineatul</w:t>
            </w:r>
            <w:proofErr w:type="spellEnd"/>
            <w:r w:rsidRPr="00A723F5">
              <w:rPr>
                <w:rFonts w:ascii="Times New Roman" w:hAnsi="Times New Roman"/>
                <w:sz w:val="20"/>
                <w:szCs w:val="20"/>
                <w:lang w:val="fr-FR"/>
              </w:rPr>
              <w:t xml:space="preserve"> (1) litera (a), </w:t>
            </w:r>
            <w:proofErr w:type="spellStart"/>
            <w:r w:rsidRPr="00A723F5">
              <w:rPr>
                <w:rFonts w:ascii="Times New Roman" w:hAnsi="Times New Roman"/>
                <w:sz w:val="20"/>
                <w:szCs w:val="20"/>
                <w:lang w:val="fr-FR"/>
              </w:rPr>
              <w:t>adoptă</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pentru</w:t>
            </w:r>
            <w:proofErr w:type="spellEnd"/>
            <w:r w:rsidRPr="00A723F5">
              <w:rPr>
                <w:rFonts w:ascii="Times New Roman" w:hAnsi="Times New Roman"/>
                <w:sz w:val="20"/>
                <w:szCs w:val="20"/>
                <w:lang w:val="fr-FR"/>
              </w:rPr>
              <w:t xml:space="preserve"> a </w:t>
            </w:r>
            <w:proofErr w:type="spellStart"/>
            <w:r w:rsidRPr="00A723F5">
              <w:rPr>
                <w:rFonts w:ascii="Times New Roman" w:hAnsi="Times New Roman"/>
                <w:sz w:val="20"/>
                <w:szCs w:val="20"/>
                <w:lang w:val="fr-FR"/>
              </w:rPr>
              <w:t>stabili</w:t>
            </w:r>
            <w:proofErr w:type="spellEnd"/>
            <w:r w:rsidRPr="00A723F5">
              <w:rPr>
                <w:rFonts w:ascii="Times New Roman" w:hAnsi="Times New Roman"/>
                <w:sz w:val="20"/>
                <w:szCs w:val="20"/>
                <w:lang w:val="fr-FR"/>
              </w:rPr>
              <w:t xml:space="preserve"> norme </w:t>
            </w:r>
            <w:proofErr w:type="spellStart"/>
            <w:r w:rsidRPr="00A723F5">
              <w:rPr>
                <w:rFonts w:ascii="Times New Roman" w:hAnsi="Times New Roman"/>
                <w:sz w:val="20"/>
                <w:szCs w:val="20"/>
                <w:lang w:val="fr-FR"/>
              </w:rPr>
              <w:t>privind</w:t>
            </w:r>
            <w:proofErr w:type="spellEnd"/>
            <w:r w:rsidRPr="00A723F5">
              <w:rPr>
                <w:rFonts w:ascii="Times New Roman" w:hAnsi="Times New Roman"/>
                <w:sz w:val="20"/>
                <w:szCs w:val="20"/>
                <w:lang w:val="fr-FR"/>
              </w:rPr>
              <w:t xml:space="preserve"> structura, </w:t>
            </w:r>
            <w:proofErr w:type="spellStart"/>
            <w:r w:rsidRPr="00A723F5">
              <w:rPr>
                <w:rFonts w:ascii="Times New Roman" w:hAnsi="Times New Roman"/>
                <w:sz w:val="20"/>
                <w:szCs w:val="20"/>
                <w:lang w:val="fr-FR"/>
              </w:rPr>
              <w:t>formatul</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procedura</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transmitere</w:t>
            </w:r>
            <w:proofErr w:type="spellEnd"/>
            <w:r w:rsidRPr="00A723F5">
              <w:rPr>
                <w:rFonts w:ascii="Times New Roman" w:hAnsi="Times New Roman"/>
                <w:sz w:val="20"/>
                <w:szCs w:val="20"/>
                <w:lang w:val="fr-FR"/>
              </w:rPr>
              <w:t xml:space="preserve"> a </w:t>
            </w:r>
            <w:proofErr w:type="spellStart"/>
            <w:r w:rsidRPr="00A723F5">
              <w:rPr>
                <w:rFonts w:ascii="Times New Roman" w:hAnsi="Times New Roman"/>
                <w:sz w:val="20"/>
                <w:szCs w:val="20"/>
                <w:lang w:val="fr-FR"/>
              </w:rPr>
              <w:t>informațiilor</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referitoare</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sistemele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naționale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inventariere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precum</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cerințe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privind</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înființarea</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operarea</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funcționarea</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sistemelor</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inventariere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naționale</w:t>
            </w:r>
            <w:proofErr w:type="spellEnd"/>
            <w:r w:rsidRPr="00A723F5">
              <w:rPr>
                <w:rFonts w:ascii="Times New Roman" w:hAnsi="Times New Roman"/>
                <w:sz w:val="20"/>
                <w:szCs w:val="20"/>
                <w:lang w:val="fr-FR"/>
              </w:rPr>
              <w:t>.</w:t>
            </w:r>
          </w:p>
          <w:p w14:paraId="65BFC549" w14:textId="77777777" w:rsidR="00723D80" w:rsidRPr="00A723F5" w:rsidRDefault="00723D80" w:rsidP="00723D80">
            <w:pPr>
              <w:spacing w:after="0" w:line="240" w:lineRule="auto"/>
              <w:jc w:val="both"/>
              <w:rPr>
                <w:rFonts w:ascii="Times New Roman" w:hAnsi="Times New Roman"/>
                <w:sz w:val="20"/>
                <w:szCs w:val="20"/>
                <w:lang w:val="fr-FR"/>
              </w:rPr>
            </w:pPr>
            <w:r w:rsidRPr="00A723F5">
              <w:rPr>
                <w:rFonts w:ascii="Times New Roman" w:hAnsi="Times New Roman"/>
                <w:sz w:val="20"/>
                <w:szCs w:val="20"/>
                <w:lang w:val="fr-FR"/>
              </w:rPr>
              <w:t xml:space="preserve">La </w:t>
            </w:r>
            <w:proofErr w:type="spellStart"/>
            <w:r w:rsidRPr="00A723F5">
              <w:rPr>
                <w:rFonts w:ascii="Times New Roman" w:hAnsi="Times New Roman"/>
                <w:sz w:val="20"/>
                <w:szCs w:val="20"/>
                <w:lang w:val="fr-FR"/>
              </w:rPr>
              <w:t>propunerea</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acestor</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Comisia</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ia</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considerare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toate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deciziile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relevante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adoptate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organismele</w:t>
            </w:r>
            <w:proofErr w:type="spellEnd"/>
            <w:r w:rsidRPr="00A723F5">
              <w:rPr>
                <w:rFonts w:ascii="Times New Roman" w:hAnsi="Times New Roman"/>
                <w:sz w:val="20"/>
                <w:szCs w:val="20"/>
                <w:lang w:val="fr-FR"/>
              </w:rPr>
              <w:t xml:space="preserve"> CCONUSC </w:t>
            </w:r>
            <w:proofErr w:type="spellStart"/>
            <w:r w:rsidRPr="00A723F5">
              <w:rPr>
                <w:rFonts w:ascii="Times New Roman" w:hAnsi="Times New Roman"/>
                <w:sz w:val="20"/>
                <w:szCs w:val="20"/>
                <w:lang w:val="fr-FR"/>
              </w:rPr>
              <w:t>sau</w:t>
            </w:r>
            <w:proofErr w:type="spellEnd"/>
            <w:r w:rsidRPr="00A723F5">
              <w:rPr>
                <w:rFonts w:ascii="Times New Roman" w:hAnsi="Times New Roman"/>
                <w:sz w:val="20"/>
                <w:szCs w:val="20"/>
                <w:lang w:val="fr-FR"/>
              </w:rPr>
              <w:t xml:space="preserve"> ale </w:t>
            </w:r>
            <w:proofErr w:type="spellStart"/>
            <w:r w:rsidRPr="00A723F5">
              <w:rPr>
                <w:rFonts w:ascii="Times New Roman" w:hAnsi="Times New Roman"/>
                <w:sz w:val="20"/>
                <w:szCs w:val="20"/>
                <w:lang w:val="fr-FR"/>
              </w:rPr>
              <w:t>Acordului</w:t>
            </w:r>
            <w:proofErr w:type="spellEnd"/>
            <w:r w:rsidRPr="00A723F5">
              <w:rPr>
                <w:rFonts w:ascii="Times New Roman" w:hAnsi="Times New Roman"/>
                <w:sz w:val="20"/>
                <w:szCs w:val="20"/>
                <w:lang w:val="fr-FR"/>
              </w:rPr>
              <w:t xml:space="preserve"> de la Paris.</w:t>
            </w:r>
          </w:p>
          <w:p w14:paraId="46687D8B" w14:textId="77777777" w:rsidR="00723D80" w:rsidRPr="00A723F5" w:rsidRDefault="00723D80" w:rsidP="00723D80">
            <w:pPr>
              <w:pStyle w:val="ColorfulList-Accent11"/>
              <w:spacing w:after="0" w:line="240" w:lineRule="auto"/>
              <w:ind w:left="0"/>
              <w:jc w:val="both"/>
              <w:rPr>
                <w:rFonts w:ascii="Times New Roman" w:hAnsi="Times New Roman"/>
                <w:sz w:val="20"/>
                <w:szCs w:val="20"/>
                <w:lang w:val="fr-FR"/>
              </w:rPr>
            </w:pPr>
            <w:proofErr w:type="spellStart"/>
            <w:r w:rsidRPr="00A723F5">
              <w:rPr>
                <w:rFonts w:ascii="Times New Roman" w:hAnsi="Times New Roman"/>
                <w:sz w:val="20"/>
                <w:szCs w:val="20"/>
                <w:lang w:val="fr-FR"/>
              </w:rPr>
              <w:t>Respectivele</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se </w:t>
            </w:r>
            <w:proofErr w:type="spellStart"/>
            <w:r w:rsidRPr="00A723F5">
              <w:rPr>
                <w:rFonts w:ascii="Times New Roman" w:hAnsi="Times New Roman"/>
                <w:sz w:val="20"/>
                <w:szCs w:val="20"/>
                <w:lang w:val="fr-FR"/>
              </w:rPr>
              <w:t>adoptă</w:t>
            </w:r>
            <w:proofErr w:type="spellEnd"/>
            <w:r w:rsidRPr="00A723F5">
              <w:rPr>
                <w:rFonts w:ascii="Times New Roman" w:hAnsi="Times New Roman"/>
                <w:sz w:val="20"/>
                <w:szCs w:val="20"/>
                <w:lang w:val="fr-FR"/>
              </w:rPr>
              <w:t xml:space="preserve"> în conformitate </w:t>
            </w:r>
            <w:proofErr w:type="spellStart"/>
            <w:r w:rsidRPr="00A723F5">
              <w:rPr>
                <w:rFonts w:ascii="Times New Roman" w:hAnsi="Times New Roman"/>
                <w:sz w:val="20"/>
                <w:szCs w:val="20"/>
                <w:lang w:val="fr-FR"/>
              </w:rPr>
              <w:t>cu</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procedura</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examinare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menționată</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articolul</w:t>
            </w:r>
            <w:proofErr w:type="spellEnd"/>
            <w:r w:rsidRPr="00A723F5">
              <w:rPr>
                <w:rFonts w:ascii="Times New Roman" w:hAnsi="Times New Roman"/>
                <w:sz w:val="20"/>
                <w:szCs w:val="20"/>
                <w:lang w:val="fr-FR"/>
              </w:rPr>
              <w:t xml:space="preserve"> 44 </w:t>
            </w:r>
            <w:proofErr w:type="spellStart"/>
            <w:r w:rsidRPr="00A723F5">
              <w:rPr>
                <w:rFonts w:ascii="Times New Roman" w:hAnsi="Times New Roman"/>
                <w:sz w:val="20"/>
                <w:szCs w:val="20"/>
                <w:lang w:val="fr-FR"/>
              </w:rPr>
              <w:t>alineatul</w:t>
            </w:r>
            <w:proofErr w:type="spellEnd"/>
            <w:r w:rsidRPr="00A723F5">
              <w:rPr>
                <w:rFonts w:ascii="Times New Roman" w:hAnsi="Times New Roman"/>
                <w:sz w:val="20"/>
                <w:szCs w:val="20"/>
                <w:lang w:val="fr-FR"/>
              </w:rPr>
              <w:t xml:space="preserve"> (6)</w:t>
            </w:r>
          </w:p>
          <w:p w14:paraId="7A507BBA" w14:textId="20C62DD9" w:rsidR="00723D80" w:rsidRPr="00061115" w:rsidRDefault="00D92F92" w:rsidP="00723D80">
            <w:pPr>
              <w:pStyle w:val="ColorfulList-Accent11"/>
              <w:spacing w:after="0" w:line="240" w:lineRule="auto"/>
              <w:ind w:left="0"/>
              <w:jc w:val="both"/>
              <w:rPr>
                <w:highlight w:val="yellow"/>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7)</w:t>
            </w:r>
            <w:proofErr w:type="spellStart"/>
            <w:r w:rsidRPr="00A723F5">
              <w:rPr>
                <w:rFonts w:ascii="Times New Roman" w:hAnsi="Times New Roman"/>
                <w:sz w:val="20"/>
                <w:szCs w:val="20"/>
                <w:shd w:val="clear" w:color="auto" w:fill="FFFFFF"/>
                <w:lang w:val="fr-FR"/>
              </w:rPr>
              <w:t>Comisia</w:t>
            </w:r>
            <w:proofErr w:type="spellEnd"/>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adoptă</w:t>
            </w:r>
            <w:proofErr w:type="spellEnd"/>
            <w:r w:rsidRPr="00A723F5">
              <w:rPr>
                <w:rFonts w:ascii="Times New Roman" w:hAnsi="Times New Roman"/>
                <w:sz w:val="20"/>
                <w:szCs w:val="20"/>
                <w:shd w:val="clear" w:color="auto" w:fill="FFFFFF"/>
                <w:lang w:val="fr-FR"/>
              </w:rPr>
              <w:t xml:space="preserve"> acte </w:t>
            </w:r>
            <w:proofErr w:type="spellStart"/>
            <w:r w:rsidRPr="00A723F5">
              <w:rPr>
                <w:rFonts w:ascii="Times New Roman" w:hAnsi="Times New Roman"/>
                <w:sz w:val="20"/>
                <w:szCs w:val="20"/>
                <w:shd w:val="clear" w:color="auto" w:fill="FFFFFF"/>
                <w:lang w:val="fr-FR"/>
              </w:rPr>
              <w:t>delegate</w:t>
            </w:r>
            <w:proofErr w:type="spellEnd"/>
            <w:r w:rsidRPr="00A723F5">
              <w:rPr>
                <w:rFonts w:ascii="Times New Roman" w:hAnsi="Times New Roman"/>
                <w:sz w:val="20"/>
                <w:szCs w:val="20"/>
                <w:shd w:val="clear" w:color="auto" w:fill="FFFFFF"/>
                <w:lang w:val="fr-FR"/>
              </w:rPr>
              <w:t xml:space="preserve"> în conformitate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w:t>
            </w:r>
            <w:proofErr w:type="spellEnd"/>
            <w:r w:rsidRPr="00A723F5">
              <w:rPr>
                <w:rFonts w:ascii="Times New Roman" w:hAnsi="Times New Roman"/>
                <w:sz w:val="20"/>
                <w:szCs w:val="20"/>
                <w:shd w:val="clear" w:color="auto" w:fill="FFFFFF"/>
                <w:lang w:val="fr-FR"/>
              </w:rPr>
              <w:t xml:space="preserve"> 43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completa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stabilirea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unor</w:t>
            </w:r>
            <w:proofErr w:type="spellEnd"/>
            <w:r w:rsidRPr="00A723F5">
              <w:rPr>
                <w:rFonts w:ascii="Times New Roman" w:hAnsi="Times New Roman"/>
                <w:sz w:val="20"/>
                <w:szCs w:val="20"/>
                <w:shd w:val="clear" w:color="auto" w:fill="FFFFFF"/>
                <w:lang w:val="fr-FR"/>
              </w:rPr>
              <w:t xml:space="preserve"> norme </w:t>
            </w:r>
            <w:proofErr w:type="spellStart"/>
            <w:r w:rsidRPr="00A723F5">
              <w:rPr>
                <w:rFonts w:ascii="Times New Roman" w:hAnsi="Times New Roman"/>
                <w:sz w:val="20"/>
                <w:szCs w:val="20"/>
                <w:shd w:val="clear" w:color="auto" w:fill="FFFFFF"/>
                <w:lang w:val="fr-FR"/>
              </w:rPr>
              <w:t>referitoare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cerințele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înființarea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operarea</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funcționarea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sistemului</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inventariere</w:t>
            </w:r>
            <w:proofErr w:type="spellEnd"/>
            <w:r w:rsidRPr="00A723F5">
              <w:rPr>
                <w:rFonts w:ascii="Times New Roman" w:hAnsi="Times New Roman"/>
                <w:sz w:val="20"/>
                <w:szCs w:val="20"/>
                <w:shd w:val="clear" w:color="auto" w:fill="FFFFFF"/>
                <w:lang w:val="fr-FR"/>
              </w:rPr>
              <w:t xml:space="preserve"> al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propunerea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acestor</w:t>
            </w:r>
            <w:proofErr w:type="spellEnd"/>
            <w:r w:rsidRPr="00A723F5">
              <w:rPr>
                <w:rFonts w:ascii="Times New Roman" w:hAnsi="Times New Roman"/>
                <w:sz w:val="20"/>
                <w:szCs w:val="20"/>
                <w:shd w:val="clear" w:color="auto" w:fill="FFFFFF"/>
                <w:lang w:val="fr-FR"/>
              </w:rPr>
              <w:t xml:space="preserve"> acte </w:t>
            </w:r>
            <w:proofErr w:type="spellStart"/>
            <w:r w:rsidRPr="00A723F5">
              <w:rPr>
                <w:rFonts w:ascii="Times New Roman" w:hAnsi="Times New Roman"/>
                <w:sz w:val="20"/>
                <w:szCs w:val="20"/>
                <w:shd w:val="clear" w:color="auto" w:fill="FFFFFF"/>
                <w:lang w:val="fr-FR"/>
              </w:rPr>
              <w:t>delegate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ia</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considerare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toate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deciziile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relevante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adoptate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organismele</w:t>
            </w:r>
            <w:proofErr w:type="spellEnd"/>
            <w:r w:rsidRPr="00A723F5">
              <w:rPr>
                <w:rFonts w:ascii="Times New Roman" w:hAnsi="Times New Roman"/>
                <w:sz w:val="20"/>
                <w:szCs w:val="20"/>
                <w:shd w:val="clear" w:color="auto" w:fill="FFFFFF"/>
                <w:lang w:val="fr-FR"/>
              </w:rPr>
              <w:t xml:space="preserve"> CCONUSC </w:t>
            </w:r>
            <w:proofErr w:type="spellStart"/>
            <w:r w:rsidRPr="00A723F5">
              <w:rPr>
                <w:rFonts w:ascii="Times New Roman" w:hAnsi="Times New Roman"/>
                <w:sz w:val="20"/>
                <w:szCs w:val="20"/>
                <w:shd w:val="clear" w:color="auto" w:fill="FFFFFF"/>
                <w:lang w:val="fr-FR"/>
              </w:rPr>
              <w:t>sau</w:t>
            </w:r>
            <w:proofErr w:type="spellEnd"/>
            <w:r w:rsidRPr="00A723F5">
              <w:rPr>
                <w:rFonts w:ascii="Times New Roman" w:hAnsi="Times New Roman"/>
                <w:sz w:val="20"/>
                <w:szCs w:val="20"/>
                <w:shd w:val="clear" w:color="auto" w:fill="FFFFFF"/>
                <w:lang w:val="fr-FR"/>
              </w:rPr>
              <w:t xml:space="preserve"> ale </w:t>
            </w:r>
            <w:proofErr w:type="spellStart"/>
            <w:r w:rsidRPr="00A723F5">
              <w:rPr>
                <w:rFonts w:ascii="Times New Roman" w:hAnsi="Times New Roman"/>
                <w:sz w:val="20"/>
                <w:szCs w:val="20"/>
                <w:shd w:val="clear" w:color="auto" w:fill="FFFFFF"/>
                <w:lang w:val="fr-FR"/>
              </w:rPr>
              <w:t>Acordului</w:t>
            </w:r>
            <w:proofErr w:type="spellEnd"/>
            <w:r w:rsidRPr="00A723F5">
              <w:rPr>
                <w:rFonts w:ascii="Times New Roman" w:hAnsi="Times New Roman"/>
                <w:sz w:val="20"/>
                <w:szCs w:val="20"/>
                <w:shd w:val="clear" w:color="auto" w:fill="FFFFFF"/>
                <w:lang w:val="fr-FR"/>
              </w:rPr>
              <w:t xml:space="preserve"> de la Paris.</w:t>
            </w:r>
          </w:p>
        </w:tc>
        <w:tc>
          <w:tcPr>
            <w:tcW w:w="4440" w:type="dxa"/>
          </w:tcPr>
          <w:p w14:paraId="7CA7881A" w14:textId="7613F5BF" w:rsidR="009723EB" w:rsidRPr="001944AD" w:rsidRDefault="009723EB" w:rsidP="00355607">
            <w:pPr>
              <w:shd w:val="clear" w:color="auto" w:fill="FFFFFF"/>
              <w:adjustRightInd w:val="0"/>
              <w:spacing w:after="0" w:line="240" w:lineRule="auto"/>
              <w:ind w:firstLine="720"/>
              <w:jc w:val="both"/>
              <w:textAlignment w:val="top"/>
              <w:rPr>
                <w:lang w:val="ro-MD"/>
              </w:rPr>
            </w:pPr>
          </w:p>
        </w:tc>
        <w:tc>
          <w:tcPr>
            <w:tcW w:w="1276" w:type="dxa"/>
          </w:tcPr>
          <w:p w14:paraId="421D5631" w14:textId="5EC7F24C" w:rsidR="008F5636" w:rsidRPr="00745D9A" w:rsidRDefault="00723D80" w:rsidP="008F5636">
            <w:pPr>
              <w:pStyle w:val="ColorfulList-Accent11"/>
              <w:spacing w:after="0" w:line="240" w:lineRule="auto"/>
              <w:ind w:left="0"/>
              <w:jc w:val="both"/>
              <w:rPr>
                <w:lang w:val="fr-FR"/>
              </w:rPr>
            </w:pPr>
            <w:r w:rsidRPr="00C951E7">
              <w:rPr>
                <w:rFonts w:ascii="Times New Roman" w:hAnsi="Times New Roman"/>
                <w:sz w:val="20"/>
                <w:szCs w:val="20"/>
                <w:lang w:val="ro-RO"/>
              </w:rPr>
              <w:t>Parțial compatibil</w:t>
            </w:r>
          </w:p>
        </w:tc>
        <w:tc>
          <w:tcPr>
            <w:tcW w:w="1276" w:type="dxa"/>
          </w:tcPr>
          <w:p w14:paraId="7A805C4E" w14:textId="77777777" w:rsidR="008F5636" w:rsidRPr="00745D9A" w:rsidRDefault="008F5636" w:rsidP="008F5636">
            <w:pPr>
              <w:pStyle w:val="ColorfulList-Accent11"/>
              <w:spacing w:after="0" w:line="240" w:lineRule="auto"/>
              <w:ind w:left="0"/>
              <w:jc w:val="both"/>
              <w:rPr>
                <w:lang w:val="fr-FR"/>
              </w:rPr>
            </w:pPr>
          </w:p>
        </w:tc>
        <w:tc>
          <w:tcPr>
            <w:tcW w:w="1701" w:type="dxa"/>
          </w:tcPr>
          <w:p w14:paraId="23A3599E" w14:textId="18C4903B" w:rsidR="00355607" w:rsidRPr="00355607" w:rsidRDefault="00355607" w:rsidP="00355607">
            <w:pPr>
              <w:pStyle w:val="af3"/>
              <w:spacing w:after="0" w:line="240" w:lineRule="auto"/>
              <w:ind w:left="0"/>
              <w:jc w:val="both"/>
              <w:rPr>
                <w:rFonts w:ascii="Times New Roman" w:hAnsi="Times New Roman"/>
                <w:sz w:val="20"/>
                <w:szCs w:val="20"/>
                <w:lang w:val="ro-RO"/>
              </w:rPr>
            </w:pPr>
            <w:r>
              <w:rPr>
                <w:rFonts w:ascii="Times New Roman" w:hAnsi="Times New Roman"/>
                <w:sz w:val="20"/>
                <w:szCs w:val="20"/>
                <w:shd w:val="clear" w:color="auto" w:fill="FFFFFF"/>
                <w:lang w:val="ro-RO"/>
              </w:rPr>
              <w:t>Prevederile referitoare la sistemele naționale pentru emisiile de gaze cu efect de seră sunt prevăzute la pct.11și pct.</w:t>
            </w:r>
            <w:r w:rsidRPr="009723EB">
              <w:rPr>
                <w:rFonts w:ascii="Times New Roman" w:hAnsi="Times New Roman"/>
                <w:sz w:val="20"/>
                <w:szCs w:val="20"/>
                <w:lang w:val="pt-PT"/>
              </w:rPr>
              <w:t>21</w:t>
            </w:r>
            <w:r w:rsidRPr="009723EB">
              <w:rPr>
                <w:rFonts w:ascii="Times New Roman" w:hAnsi="Times New Roman"/>
                <w:sz w:val="20"/>
                <w:szCs w:val="20"/>
                <w:vertAlign w:val="superscript"/>
                <w:lang w:val="pt-PT"/>
              </w:rPr>
              <w:t>1</w:t>
            </w:r>
            <w:r w:rsidRPr="00355607">
              <w:rPr>
                <w:rFonts w:ascii="Times New Roman" w:hAnsi="Times New Roman"/>
                <w:sz w:val="20"/>
                <w:szCs w:val="20"/>
                <w:lang w:val="pt-PT"/>
              </w:rPr>
              <w:t>-</w:t>
            </w:r>
            <w:r w:rsidRPr="009723EB">
              <w:rPr>
                <w:rFonts w:ascii="Times New Roman" w:hAnsi="Times New Roman"/>
                <w:sz w:val="20"/>
                <w:szCs w:val="20"/>
                <w:lang w:val="pt-PT"/>
              </w:rPr>
              <w:t>21</w:t>
            </w:r>
            <w:r w:rsidRPr="009723EB">
              <w:rPr>
                <w:rFonts w:ascii="Times New Roman" w:hAnsi="Times New Roman"/>
                <w:sz w:val="20"/>
                <w:szCs w:val="20"/>
                <w:vertAlign w:val="superscript"/>
                <w:lang w:val="pt-PT"/>
              </w:rPr>
              <w:t>1</w:t>
            </w:r>
            <w:r>
              <w:rPr>
                <w:rFonts w:ascii="Times New Roman" w:hAnsi="Times New Roman"/>
                <w:sz w:val="20"/>
                <w:szCs w:val="20"/>
                <w:vertAlign w:val="superscript"/>
                <w:lang w:val="pt-PT"/>
              </w:rPr>
              <w:t>1</w:t>
            </w:r>
            <w:r w:rsidRPr="00D70655">
              <w:rPr>
                <w:rStyle w:val="apple-converted-space"/>
                <w:rFonts w:ascii="Times New Roman" w:hAnsi="Times New Roman"/>
                <w:b/>
                <w:bCs/>
                <w:sz w:val="20"/>
                <w:szCs w:val="20"/>
                <w:shd w:val="clear" w:color="auto" w:fill="FFFFFF"/>
                <w:lang w:val="ro-RO"/>
              </w:rPr>
              <w:t xml:space="preserve"> </w:t>
            </w:r>
            <w:r w:rsidRPr="00355607">
              <w:rPr>
                <w:rStyle w:val="apple-converted-space"/>
                <w:rFonts w:ascii="Times New Roman" w:hAnsi="Times New Roman"/>
                <w:sz w:val="20"/>
                <w:szCs w:val="20"/>
                <w:shd w:val="clear" w:color="auto" w:fill="FFFFFF"/>
                <w:lang w:val="ro-RO"/>
              </w:rPr>
              <w:t>din HG nr.</w:t>
            </w:r>
            <w:r w:rsidRPr="00355607">
              <w:rPr>
                <w:rFonts w:ascii="Times New Roman" w:hAnsi="Times New Roman"/>
                <w:sz w:val="20"/>
                <w:szCs w:val="20"/>
                <w:lang w:val="ro-RO"/>
              </w:rPr>
              <w:t xml:space="preserve">1277/2018 cu privire la instituirea și funcționarea sistemului național de </w:t>
            </w:r>
            <w:r w:rsidRPr="00355607">
              <w:rPr>
                <w:rFonts w:ascii="Times New Roman" w:hAnsi="Times New Roman"/>
                <w:sz w:val="20"/>
                <w:szCs w:val="20"/>
                <w:lang w:val="ro-RO"/>
              </w:rPr>
              <w:lastRenderedPageBreak/>
              <w:t>monitorizare și raportare a emisiilor de gaze cu efect de seră și altor informații relevante pentru schimbările climatice</w:t>
            </w:r>
          </w:p>
          <w:p w14:paraId="57B30D29" w14:textId="4CB1B6D9" w:rsidR="00355607" w:rsidRPr="00355607" w:rsidRDefault="00355607" w:rsidP="009723EB">
            <w:pPr>
              <w:pStyle w:val="ColorfulList-Accent11"/>
              <w:spacing w:after="0" w:line="240" w:lineRule="auto"/>
              <w:ind w:left="0"/>
              <w:jc w:val="both"/>
              <w:rPr>
                <w:rFonts w:ascii="Times New Roman" w:hAnsi="Times New Roman"/>
                <w:sz w:val="20"/>
                <w:szCs w:val="20"/>
                <w:shd w:val="clear" w:color="auto" w:fill="FFFFFF"/>
                <w:lang w:val="ro-RO"/>
              </w:rPr>
            </w:pPr>
          </w:p>
          <w:p w14:paraId="023675DE" w14:textId="77777777" w:rsidR="00355607" w:rsidRDefault="00355607" w:rsidP="009723EB">
            <w:pPr>
              <w:pStyle w:val="ColorfulList-Accent11"/>
              <w:spacing w:after="0" w:line="240" w:lineRule="auto"/>
              <w:ind w:left="0"/>
              <w:jc w:val="both"/>
              <w:rPr>
                <w:rFonts w:ascii="Times New Roman" w:hAnsi="Times New Roman"/>
                <w:sz w:val="20"/>
                <w:szCs w:val="20"/>
                <w:shd w:val="clear" w:color="auto" w:fill="FFFFFF"/>
                <w:lang w:val="ro-RO"/>
              </w:rPr>
            </w:pPr>
          </w:p>
          <w:p w14:paraId="2962199E" w14:textId="4AC62A58" w:rsidR="008F5636" w:rsidRPr="00D16D6D" w:rsidRDefault="009723EB" w:rsidP="009723EB">
            <w:pPr>
              <w:pStyle w:val="ColorfulList-Accent11"/>
              <w:spacing w:after="0" w:line="240" w:lineRule="auto"/>
              <w:ind w:left="0"/>
              <w:jc w:val="both"/>
              <w:rPr>
                <w:lang w:val="ro-MD"/>
              </w:rPr>
            </w:pPr>
            <w:r>
              <w:rPr>
                <w:rFonts w:ascii="Times New Roman" w:hAnsi="Times New Roman"/>
                <w:sz w:val="20"/>
                <w:szCs w:val="20"/>
                <w:shd w:val="clear" w:color="auto" w:fill="FFFFFF"/>
                <w:lang w:val="ro-RO"/>
              </w:rPr>
              <w:t xml:space="preserve">Prevederile </w:t>
            </w:r>
            <w:r w:rsidR="00355607">
              <w:rPr>
                <w:rFonts w:ascii="Times New Roman" w:hAnsi="Times New Roman"/>
                <w:sz w:val="20"/>
                <w:szCs w:val="20"/>
                <w:shd w:val="clear" w:color="auto" w:fill="FFFFFF"/>
                <w:lang w:val="ro-RO"/>
              </w:rPr>
              <w:t>referitoare la</w:t>
            </w:r>
            <w:r>
              <w:rPr>
                <w:rFonts w:ascii="Times New Roman" w:hAnsi="Times New Roman"/>
                <w:sz w:val="20"/>
                <w:szCs w:val="20"/>
                <w:shd w:val="clear" w:color="auto" w:fill="FFFFFF"/>
                <w:lang w:val="ro-RO"/>
              </w:rPr>
              <w:t xml:space="preserve">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416F5B68" w14:textId="3D5C61F1" w:rsidR="008F5636" w:rsidRDefault="00D16D6D" w:rsidP="008F5636">
            <w:pPr>
              <w:pStyle w:val="ColorfulList-Accent11"/>
              <w:spacing w:after="0" w:line="240" w:lineRule="auto"/>
              <w:ind w:left="0"/>
              <w:jc w:val="both"/>
              <w:rPr>
                <w:rFonts w:ascii="Times New Roman" w:hAnsi="Times New Roman"/>
                <w:sz w:val="20"/>
                <w:szCs w:val="20"/>
                <w:lang w:val="fr-FR"/>
              </w:rPr>
            </w:pPr>
            <w:proofErr w:type="spellStart"/>
            <w:r w:rsidRPr="00D16D6D">
              <w:rPr>
                <w:rFonts w:ascii="Times New Roman" w:hAnsi="Times New Roman"/>
                <w:sz w:val="20"/>
                <w:szCs w:val="20"/>
                <w:lang w:val="fr-FR"/>
              </w:rPr>
              <w:lastRenderedPageBreak/>
              <w:t>Ministerul</w:t>
            </w:r>
            <w:proofErr w:type="spellEnd"/>
            <w:r w:rsidRPr="00D16D6D">
              <w:rPr>
                <w:rFonts w:ascii="Times New Roman" w:hAnsi="Times New Roman"/>
                <w:sz w:val="20"/>
                <w:szCs w:val="20"/>
                <w:lang w:val="fr-FR"/>
              </w:rPr>
              <w:t xml:space="preserve"> </w:t>
            </w:r>
            <w:proofErr w:type="spellStart"/>
            <w:r w:rsidRPr="00D16D6D">
              <w:rPr>
                <w:rFonts w:ascii="Times New Roman" w:hAnsi="Times New Roman"/>
                <w:sz w:val="20"/>
                <w:szCs w:val="20"/>
                <w:lang w:val="fr-FR"/>
              </w:rPr>
              <w:t>Mediului</w:t>
            </w:r>
            <w:proofErr w:type="spellEnd"/>
          </w:p>
          <w:p w14:paraId="1C262F4C" w14:textId="77777777" w:rsidR="00D16D6D" w:rsidRPr="00D16D6D" w:rsidRDefault="00D16D6D" w:rsidP="008F5636">
            <w:pPr>
              <w:pStyle w:val="ColorfulList-Accent11"/>
              <w:spacing w:after="0" w:line="240" w:lineRule="auto"/>
              <w:ind w:left="0"/>
              <w:jc w:val="both"/>
              <w:rPr>
                <w:rFonts w:ascii="Times New Roman" w:hAnsi="Times New Roman"/>
                <w:sz w:val="20"/>
                <w:szCs w:val="20"/>
                <w:lang w:val="fr-FR"/>
              </w:rPr>
            </w:pPr>
          </w:p>
          <w:p w14:paraId="337D90D9" w14:textId="2D2D4928" w:rsidR="00D16D6D" w:rsidRPr="00745D9A" w:rsidRDefault="00D16D6D" w:rsidP="008F5636">
            <w:pPr>
              <w:pStyle w:val="ColorfulList-Accent11"/>
              <w:spacing w:after="0" w:line="240" w:lineRule="auto"/>
              <w:ind w:left="0"/>
              <w:jc w:val="both"/>
              <w:rPr>
                <w:lang w:val="fr-FR"/>
              </w:rPr>
            </w:pPr>
            <w:proofErr w:type="spellStart"/>
            <w:r w:rsidRPr="00D16D6D">
              <w:rPr>
                <w:rFonts w:ascii="Times New Roman" w:hAnsi="Times New Roman"/>
                <w:sz w:val="20"/>
                <w:szCs w:val="20"/>
                <w:lang w:val="fr-FR"/>
              </w:rPr>
              <w:t>A</w:t>
            </w:r>
            <w:r>
              <w:rPr>
                <w:rFonts w:ascii="Times New Roman" w:hAnsi="Times New Roman"/>
                <w:sz w:val="20"/>
                <w:szCs w:val="20"/>
                <w:lang w:val="fr-FR"/>
              </w:rPr>
              <w:t>g</w:t>
            </w:r>
            <w:r w:rsidRPr="00D16D6D">
              <w:rPr>
                <w:rFonts w:ascii="Times New Roman" w:hAnsi="Times New Roman"/>
                <w:sz w:val="20"/>
                <w:szCs w:val="20"/>
                <w:lang w:val="fr-FR"/>
              </w:rPr>
              <w:t>enția</w:t>
            </w:r>
            <w:proofErr w:type="spellEnd"/>
            <w:r w:rsidRPr="00D16D6D">
              <w:rPr>
                <w:rFonts w:ascii="Times New Roman" w:hAnsi="Times New Roman"/>
                <w:sz w:val="20"/>
                <w:szCs w:val="20"/>
                <w:lang w:val="fr-FR"/>
              </w:rPr>
              <w:t xml:space="preserve"> de </w:t>
            </w:r>
            <w:proofErr w:type="spellStart"/>
            <w:r w:rsidRPr="00D16D6D">
              <w:rPr>
                <w:rFonts w:ascii="Times New Roman" w:hAnsi="Times New Roman"/>
                <w:sz w:val="20"/>
                <w:szCs w:val="20"/>
                <w:lang w:val="fr-FR"/>
              </w:rPr>
              <w:t>Mediu</w:t>
            </w:r>
            <w:proofErr w:type="spellEnd"/>
          </w:p>
        </w:tc>
      </w:tr>
      <w:tr w:rsidR="008F5636" w:rsidRPr="00296F7B" w14:paraId="74FA1C16" w14:textId="77777777" w:rsidTr="00A90105">
        <w:tc>
          <w:tcPr>
            <w:tcW w:w="4945" w:type="dxa"/>
          </w:tcPr>
          <w:p w14:paraId="3019C906" w14:textId="77777777" w:rsidR="008F5636" w:rsidRPr="00A723F5" w:rsidRDefault="008F5636" w:rsidP="005B4AED">
            <w:pPr>
              <w:spacing w:after="0" w:line="240" w:lineRule="auto"/>
              <w:jc w:val="center"/>
              <w:rPr>
                <w:rFonts w:ascii="Times New Roman" w:hAnsi="Times New Roman"/>
                <w:sz w:val="20"/>
                <w:szCs w:val="20"/>
                <w:lang w:eastAsia="ru-RU"/>
              </w:rPr>
            </w:pPr>
            <w:proofErr w:type="spellStart"/>
            <w:r w:rsidRPr="00A723F5">
              <w:rPr>
                <w:rFonts w:ascii="Times New Roman" w:hAnsi="Times New Roman"/>
                <w:sz w:val="20"/>
                <w:szCs w:val="20"/>
                <w:lang w:eastAsia="ru-RU"/>
              </w:rPr>
              <w:lastRenderedPageBreak/>
              <w:t>Articolul</w:t>
            </w:r>
            <w:proofErr w:type="spellEnd"/>
            <w:r w:rsidRPr="00A723F5">
              <w:rPr>
                <w:rFonts w:ascii="Times New Roman" w:hAnsi="Times New Roman"/>
                <w:sz w:val="20"/>
                <w:szCs w:val="20"/>
                <w:lang w:eastAsia="ru-RU"/>
              </w:rPr>
              <w:t xml:space="preserve"> 38</w:t>
            </w:r>
          </w:p>
          <w:p w14:paraId="6841B3A2" w14:textId="77777777" w:rsidR="008F5636" w:rsidRPr="00A723F5" w:rsidRDefault="008F5636" w:rsidP="005B4AED">
            <w:pPr>
              <w:spacing w:after="0" w:line="240" w:lineRule="auto"/>
              <w:jc w:val="center"/>
              <w:rPr>
                <w:rFonts w:ascii="Times New Roman" w:hAnsi="Times New Roman"/>
                <w:b/>
                <w:bCs/>
                <w:sz w:val="20"/>
                <w:szCs w:val="20"/>
                <w:lang w:eastAsia="ru-RU"/>
              </w:rPr>
            </w:pPr>
            <w:proofErr w:type="spellStart"/>
            <w:r w:rsidRPr="00A723F5">
              <w:rPr>
                <w:rFonts w:ascii="Times New Roman" w:hAnsi="Times New Roman"/>
                <w:b/>
                <w:bCs/>
                <w:sz w:val="20"/>
                <w:szCs w:val="20"/>
                <w:lang w:eastAsia="ru-RU"/>
              </w:rPr>
              <w:t>Revizuirea</w:t>
            </w:r>
            <w:proofErr w:type="spellEnd"/>
            <w:r w:rsidRPr="00A723F5">
              <w:rPr>
                <w:rFonts w:ascii="Times New Roman" w:hAnsi="Times New Roman"/>
                <w:b/>
                <w:bCs/>
                <w:sz w:val="20"/>
                <w:szCs w:val="20"/>
                <w:lang w:eastAsia="ru-RU"/>
              </w:rPr>
              <w:t xml:space="preserve"> </w:t>
            </w:r>
            <w:proofErr w:type="spellStart"/>
            <w:r w:rsidRPr="00A723F5">
              <w:rPr>
                <w:rFonts w:ascii="Times New Roman" w:hAnsi="Times New Roman"/>
                <w:b/>
                <w:bCs/>
                <w:sz w:val="20"/>
                <w:szCs w:val="20"/>
                <w:lang w:eastAsia="ru-RU"/>
              </w:rPr>
              <w:t>inventarelor</w:t>
            </w:r>
            <w:proofErr w:type="spellEnd"/>
          </w:p>
          <w:p w14:paraId="3B95407E" w14:textId="478B2D2E" w:rsidR="008F5636" w:rsidRPr="001A1E50" w:rsidRDefault="008F5636" w:rsidP="00296F7B">
            <w:pPr>
              <w:spacing w:after="0" w:line="240" w:lineRule="auto"/>
              <w:jc w:val="both"/>
              <w:rPr>
                <w:rFonts w:ascii="Times New Roman" w:hAnsi="Times New Roman"/>
                <w:sz w:val="20"/>
                <w:szCs w:val="20"/>
                <w:lang w:eastAsia="ru-RU"/>
              </w:rPr>
            </w:pPr>
            <w:r w:rsidRPr="00A723F5">
              <w:rPr>
                <w:rFonts w:ascii="Times New Roman" w:hAnsi="Times New Roman"/>
                <w:sz w:val="20"/>
                <w:szCs w:val="20"/>
                <w:lang w:eastAsia="ru-RU"/>
              </w:rPr>
              <w:t>(1)</w:t>
            </w:r>
            <w:proofErr w:type="spellStart"/>
            <w:r w:rsidRPr="00A723F5">
              <w:rPr>
                <w:rFonts w:ascii="Times New Roman" w:hAnsi="Times New Roman"/>
                <w:sz w:val="20"/>
                <w:szCs w:val="20"/>
                <w:lang w:eastAsia="ru-RU"/>
              </w:rPr>
              <w:t>Pentru</w:t>
            </w:r>
            <w:proofErr w:type="spellEnd"/>
            <w:r w:rsidRPr="00A723F5">
              <w:rPr>
                <w:rFonts w:ascii="Times New Roman" w:hAnsi="Times New Roman"/>
                <w:sz w:val="20"/>
                <w:szCs w:val="20"/>
                <w:lang w:eastAsia="ru-RU"/>
              </w:rPr>
              <w:t xml:space="preserve"> a </w:t>
            </w:r>
            <w:proofErr w:type="spellStart"/>
            <w:r w:rsidRPr="00A723F5">
              <w:rPr>
                <w:rFonts w:ascii="Times New Roman" w:hAnsi="Times New Roman"/>
                <w:sz w:val="20"/>
                <w:szCs w:val="20"/>
                <w:lang w:eastAsia="ru-RU"/>
              </w:rPr>
              <w:t>monitoriza</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reducerile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sau</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limitările</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către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statele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membre</w:t>
            </w:r>
            <w:proofErr w:type="spellEnd"/>
            <w:r w:rsidRPr="00A723F5">
              <w:rPr>
                <w:rFonts w:ascii="Times New Roman" w:hAnsi="Times New Roman"/>
                <w:sz w:val="20"/>
                <w:szCs w:val="20"/>
                <w:lang w:eastAsia="ru-RU"/>
              </w:rPr>
              <w:t xml:space="preserve"> ale </w:t>
            </w:r>
            <w:proofErr w:type="spellStart"/>
            <w:r w:rsidRPr="00A723F5">
              <w:rPr>
                <w:rFonts w:ascii="Times New Roman" w:hAnsi="Times New Roman"/>
                <w:sz w:val="20"/>
                <w:szCs w:val="20"/>
                <w:lang w:eastAsia="ru-RU"/>
              </w:rPr>
              <w:t>emisiilor</w:t>
            </w:r>
            <w:proofErr w:type="spellEnd"/>
            <w:r w:rsidRPr="00A723F5">
              <w:rPr>
                <w:rFonts w:ascii="Times New Roman" w:hAnsi="Times New Roman"/>
                <w:sz w:val="20"/>
                <w:szCs w:val="20"/>
                <w:lang w:eastAsia="ru-RU"/>
              </w:rPr>
              <w:t xml:space="preserve"> de gaze cu </w:t>
            </w:r>
            <w:proofErr w:type="spellStart"/>
            <w:r w:rsidRPr="00A723F5">
              <w:rPr>
                <w:rFonts w:ascii="Times New Roman" w:hAnsi="Times New Roman"/>
                <w:sz w:val="20"/>
                <w:szCs w:val="20"/>
                <w:lang w:eastAsia="ru-RU"/>
              </w:rPr>
              <w:t>efect</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seră</w:t>
            </w:r>
            <w:proofErr w:type="spellEnd"/>
            <w:r w:rsidRPr="00A723F5">
              <w:rPr>
                <w:rFonts w:ascii="Times New Roman" w:hAnsi="Times New Roman"/>
                <w:sz w:val="20"/>
                <w:szCs w:val="20"/>
                <w:lang w:eastAsia="ru-RU"/>
              </w:rPr>
              <w:t xml:space="preserve"> în </w:t>
            </w:r>
            <w:proofErr w:type="spellStart"/>
            <w:r w:rsidRPr="00A723F5">
              <w:rPr>
                <w:rFonts w:ascii="Times New Roman" w:hAnsi="Times New Roman"/>
                <w:sz w:val="20"/>
                <w:szCs w:val="20"/>
                <w:lang w:eastAsia="ru-RU"/>
              </w:rPr>
              <w:t>temeiul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articolelor</w:t>
            </w:r>
            <w:proofErr w:type="spellEnd"/>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4,</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9 și</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10 din </w:t>
            </w:r>
            <w:proofErr w:type="spellStart"/>
            <w:r w:rsidRPr="00A723F5">
              <w:rPr>
                <w:rFonts w:ascii="Times New Roman" w:hAnsi="Times New Roman"/>
                <w:sz w:val="20"/>
                <w:szCs w:val="20"/>
                <w:lang w:eastAsia="ru-RU"/>
              </w:rPr>
              <w:t>Regulamentul</w:t>
            </w:r>
            <w:proofErr w:type="spellEnd"/>
            <w:r w:rsidRPr="00A723F5">
              <w:rPr>
                <w:rFonts w:ascii="Times New Roman" w:hAnsi="Times New Roman"/>
                <w:sz w:val="20"/>
                <w:szCs w:val="20"/>
                <w:lang w:eastAsia="ru-RU"/>
              </w:rPr>
              <w:t xml:space="preserve"> (UE)</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2018/842, </w:t>
            </w:r>
            <w:proofErr w:type="spellStart"/>
            <w:r w:rsidRPr="00A723F5">
              <w:rPr>
                <w:rFonts w:ascii="Times New Roman" w:hAnsi="Times New Roman"/>
                <w:sz w:val="20"/>
                <w:szCs w:val="20"/>
                <w:lang w:eastAsia="ru-RU"/>
              </w:rPr>
              <w:t>reducerea</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emisiilor</w:t>
            </w:r>
            <w:proofErr w:type="spellEnd"/>
            <w:r w:rsidRPr="00A723F5">
              <w:rPr>
                <w:rFonts w:ascii="Times New Roman" w:hAnsi="Times New Roman"/>
                <w:sz w:val="20"/>
                <w:szCs w:val="20"/>
                <w:lang w:eastAsia="ru-RU"/>
              </w:rPr>
              <w:t xml:space="preserve"> și </w:t>
            </w:r>
            <w:proofErr w:type="spellStart"/>
            <w:r w:rsidRPr="00A723F5">
              <w:rPr>
                <w:rFonts w:ascii="Times New Roman" w:hAnsi="Times New Roman"/>
                <w:sz w:val="20"/>
                <w:szCs w:val="20"/>
                <w:lang w:eastAsia="ru-RU"/>
              </w:rPr>
              <w:t>sporirea</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absorbțiilor</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către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absorbanți</w:t>
            </w:r>
            <w:proofErr w:type="spellEnd"/>
            <w:r w:rsidRPr="00A723F5">
              <w:rPr>
                <w:rFonts w:ascii="Times New Roman" w:hAnsi="Times New Roman"/>
                <w:sz w:val="20"/>
                <w:szCs w:val="20"/>
                <w:lang w:eastAsia="ru-RU"/>
              </w:rPr>
              <w:t xml:space="preserve"> în </w:t>
            </w:r>
            <w:proofErr w:type="spellStart"/>
            <w:r w:rsidRPr="00A723F5">
              <w:rPr>
                <w:rFonts w:ascii="Times New Roman" w:hAnsi="Times New Roman"/>
                <w:sz w:val="20"/>
                <w:szCs w:val="20"/>
                <w:lang w:eastAsia="ru-RU"/>
              </w:rPr>
              <w:t>temeiul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articolelor</w:t>
            </w:r>
            <w:proofErr w:type="spellEnd"/>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4 și</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14 din </w:t>
            </w:r>
            <w:proofErr w:type="spellStart"/>
            <w:r w:rsidRPr="00A723F5">
              <w:rPr>
                <w:rFonts w:ascii="Times New Roman" w:hAnsi="Times New Roman"/>
                <w:sz w:val="20"/>
                <w:szCs w:val="20"/>
                <w:lang w:eastAsia="ru-RU"/>
              </w:rPr>
              <w:t>Regulamentul</w:t>
            </w:r>
            <w:proofErr w:type="spellEnd"/>
            <w:r w:rsidRPr="00A723F5">
              <w:rPr>
                <w:rFonts w:ascii="Times New Roman" w:hAnsi="Times New Roman"/>
                <w:sz w:val="20"/>
                <w:szCs w:val="20"/>
                <w:lang w:eastAsia="ru-RU"/>
              </w:rPr>
              <w:t xml:space="preserve"> (EU)</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2018/841, precum și </w:t>
            </w:r>
            <w:proofErr w:type="spellStart"/>
            <w:r w:rsidRPr="00A723F5">
              <w:rPr>
                <w:rFonts w:ascii="Times New Roman" w:hAnsi="Times New Roman"/>
                <w:sz w:val="20"/>
                <w:szCs w:val="20"/>
                <w:lang w:eastAsia="ru-RU"/>
              </w:rPr>
              <w:t>orice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alte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obiective</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reducere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sau</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limitare</w:t>
            </w:r>
            <w:proofErr w:type="spellEnd"/>
            <w:r w:rsidRPr="00A723F5">
              <w:rPr>
                <w:rFonts w:ascii="Times New Roman" w:hAnsi="Times New Roman"/>
                <w:sz w:val="20"/>
                <w:szCs w:val="20"/>
                <w:lang w:eastAsia="ru-RU"/>
              </w:rPr>
              <w:t xml:space="preserve"> a </w:t>
            </w:r>
            <w:proofErr w:type="spellStart"/>
            <w:r w:rsidRPr="00A723F5">
              <w:rPr>
                <w:rFonts w:ascii="Times New Roman" w:hAnsi="Times New Roman"/>
                <w:sz w:val="20"/>
                <w:szCs w:val="20"/>
                <w:lang w:eastAsia="ru-RU"/>
              </w:rPr>
              <w:t>emisiilor</w:t>
            </w:r>
            <w:proofErr w:type="spellEnd"/>
            <w:r w:rsidRPr="00A723F5">
              <w:rPr>
                <w:rFonts w:ascii="Times New Roman" w:hAnsi="Times New Roman"/>
                <w:sz w:val="20"/>
                <w:szCs w:val="20"/>
                <w:lang w:eastAsia="ru-RU"/>
              </w:rPr>
              <w:t xml:space="preserve"> de gaze cu </w:t>
            </w:r>
            <w:proofErr w:type="spellStart"/>
            <w:r w:rsidRPr="00A723F5">
              <w:rPr>
                <w:rFonts w:ascii="Times New Roman" w:hAnsi="Times New Roman"/>
                <w:sz w:val="20"/>
                <w:szCs w:val="20"/>
                <w:lang w:eastAsia="ru-RU"/>
              </w:rPr>
              <w:t>efect</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seră</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prevăzute</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dreptul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Uniunii</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Comisia</w:t>
            </w:r>
            <w:proofErr w:type="spellEnd"/>
            <w:r w:rsidRPr="00A723F5">
              <w:rPr>
                <w:rFonts w:ascii="Times New Roman" w:hAnsi="Times New Roman"/>
                <w:sz w:val="20"/>
                <w:szCs w:val="20"/>
                <w:lang w:eastAsia="ru-RU"/>
              </w:rPr>
              <w:t xml:space="preserve"> efectuează, în</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2027 și</w:t>
            </w:r>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2032, o </w:t>
            </w:r>
            <w:proofErr w:type="spellStart"/>
            <w:r w:rsidRPr="00A723F5">
              <w:rPr>
                <w:rFonts w:ascii="Times New Roman" w:hAnsi="Times New Roman"/>
                <w:sz w:val="20"/>
                <w:szCs w:val="20"/>
                <w:lang w:eastAsia="ru-RU"/>
              </w:rPr>
              <w:t>revizuire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cuprinzătoare</w:t>
            </w:r>
            <w:proofErr w:type="spellEnd"/>
            <w:r w:rsidRPr="00A723F5">
              <w:rPr>
                <w:rFonts w:ascii="Times New Roman" w:hAnsi="Times New Roman"/>
                <w:sz w:val="20"/>
                <w:szCs w:val="20"/>
                <w:lang w:eastAsia="ru-RU"/>
              </w:rPr>
              <w:t xml:space="preserve"> a </w:t>
            </w:r>
            <w:proofErr w:type="spellStart"/>
            <w:r w:rsidRPr="00A723F5">
              <w:rPr>
                <w:rFonts w:ascii="Times New Roman" w:hAnsi="Times New Roman"/>
                <w:sz w:val="20"/>
                <w:szCs w:val="20"/>
                <w:lang w:eastAsia="ru-RU"/>
              </w:rPr>
              <w:t>datelor</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inventarelor</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naționale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prezentate</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către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statele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membre</w:t>
            </w:r>
            <w:proofErr w:type="spellEnd"/>
            <w:r w:rsidRPr="00A723F5">
              <w:rPr>
                <w:rFonts w:ascii="Times New Roman" w:hAnsi="Times New Roman"/>
                <w:sz w:val="20"/>
                <w:szCs w:val="20"/>
                <w:lang w:eastAsia="ru-RU"/>
              </w:rPr>
              <w:t xml:space="preserve"> în </w:t>
            </w:r>
            <w:proofErr w:type="spellStart"/>
            <w:r w:rsidRPr="00A723F5">
              <w:rPr>
                <w:rFonts w:ascii="Times New Roman" w:hAnsi="Times New Roman"/>
                <w:sz w:val="20"/>
                <w:szCs w:val="20"/>
                <w:lang w:eastAsia="ru-RU"/>
              </w:rPr>
              <w:t>temeiul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articolului</w:t>
            </w:r>
            <w:proofErr w:type="spellEnd"/>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26 </w:t>
            </w:r>
            <w:proofErr w:type="spellStart"/>
            <w:r w:rsidRPr="00A723F5">
              <w:rPr>
                <w:rFonts w:ascii="Times New Roman" w:hAnsi="Times New Roman"/>
                <w:sz w:val="20"/>
                <w:szCs w:val="20"/>
                <w:lang w:eastAsia="ru-RU"/>
              </w:rPr>
              <w:t>alineatul</w:t>
            </w:r>
            <w:proofErr w:type="spellEnd"/>
            <w:r w:rsidR="005B4AED"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(4) din </w:t>
            </w:r>
            <w:proofErr w:type="spellStart"/>
            <w:r w:rsidRPr="00A723F5">
              <w:rPr>
                <w:rFonts w:ascii="Times New Roman" w:hAnsi="Times New Roman"/>
                <w:sz w:val="20"/>
                <w:szCs w:val="20"/>
                <w:lang w:eastAsia="ru-RU"/>
              </w:rPr>
              <w:t>prezentul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regulament</w:t>
            </w:r>
            <w:proofErr w:type="spellEnd"/>
            <w:r w:rsidRPr="00A723F5">
              <w:rPr>
                <w:rFonts w:ascii="Times New Roman" w:hAnsi="Times New Roman"/>
                <w:sz w:val="20"/>
                <w:szCs w:val="20"/>
                <w:lang w:eastAsia="ru-RU"/>
              </w:rPr>
              <w:t xml:space="preserve">. </w:t>
            </w:r>
            <w:proofErr w:type="spellStart"/>
            <w:r w:rsidRPr="001A1E50">
              <w:rPr>
                <w:rFonts w:ascii="Times New Roman" w:hAnsi="Times New Roman"/>
                <w:sz w:val="20"/>
                <w:szCs w:val="20"/>
                <w:lang w:eastAsia="ru-RU"/>
              </w:rPr>
              <w:t>Statele</w:t>
            </w:r>
            <w:proofErr w:type="spellEnd"/>
            <w:r w:rsidR="005B4AED" w:rsidRPr="001A1E50">
              <w:rPr>
                <w:rFonts w:ascii="Times New Roman" w:hAnsi="Times New Roman"/>
                <w:sz w:val="20"/>
                <w:szCs w:val="20"/>
                <w:lang w:eastAsia="ru-RU"/>
              </w:rPr>
              <w:t xml:space="preserve"> </w:t>
            </w:r>
            <w:proofErr w:type="spellStart"/>
            <w:r w:rsidRPr="001A1E50">
              <w:rPr>
                <w:rFonts w:ascii="Times New Roman" w:hAnsi="Times New Roman"/>
                <w:sz w:val="20"/>
                <w:szCs w:val="20"/>
                <w:lang w:eastAsia="ru-RU"/>
              </w:rPr>
              <w:t>membre</w:t>
            </w:r>
            <w:proofErr w:type="spellEnd"/>
            <w:r w:rsidRPr="001A1E50">
              <w:rPr>
                <w:rFonts w:ascii="Times New Roman" w:hAnsi="Times New Roman"/>
                <w:sz w:val="20"/>
                <w:szCs w:val="20"/>
                <w:lang w:eastAsia="ru-RU"/>
              </w:rPr>
              <w:t xml:space="preserve"> </w:t>
            </w:r>
            <w:proofErr w:type="spellStart"/>
            <w:r w:rsidRPr="001A1E50">
              <w:rPr>
                <w:rFonts w:ascii="Times New Roman" w:hAnsi="Times New Roman"/>
                <w:sz w:val="20"/>
                <w:szCs w:val="20"/>
                <w:lang w:eastAsia="ru-RU"/>
              </w:rPr>
              <w:t>participă</w:t>
            </w:r>
            <w:proofErr w:type="spellEnd"/>
            <w:r w:rsidRPr="001A1E50">
              <w:rPr>
                <w:rFonts w:ascii="Times New Roman" w:hAnsi="Times New Roman"/>
                <w:sz w:val="20"/>
                <w:szCs w:val="20"/>
                <w:lang w:eastAsia="ru-RU"/>
              </w:rPr>
              <w:t xml:space="preserve"> pe </w:t>
            </w:r>
            <w:proofErr w:type="spellStart"/>
            <w:r w:rsidRPr="001A1E50">
              <w:rPr>
                <w:rFonts w:ascii="Times New Roman" w:hAnsi="Times New Roman"/>
                <w:sz w:val="20"/>
                <w:szCs w:val="20"/>
                <w:lang w:eastAsia="ru-RU"/>
              </w:rPr>
              <w:t>deplin</w:t>
            </w:r>
            <w:proofErr w:type="spellEnd"/>
            <w:r w:rsidRPr="001A1E50">
              <w:rPr>
                <w:rFonts w:ascii="Times New Roman" w:hAnsi="Times New Roman"/>
                <w:sz w:val="20"/>
                <w:szCs w:val="20"/>
                <w:lang w:eastAsia="ru-RU"/>
              </w:rPr>
              <w:t xml:space="preserve"> la </w:t>
            </w:r>
            <w:proofErr w:type="spellStart"/>
            <w:r w:rsidRPr="001A1E50">
              <w:rPr>
                <w:rFonts w:ascii="Times New Roman" w:hAnsi="Times New Roman"/>
                <w:sz w:val="20"/>
                <w:szCs w:val="20"/>
                <w:lang w:eastAsia="ru-RU"/>
              </w:rPr>
              <w:t>acest</w:t>
            </w:r>
            <w:proofErr w:type="spellEnd"/>
            <w:r w:rsidRPr="001A1E50">
              <w:rPr>
                <w:rFonts w:ascii="Times New Roman" w:hAnsi="Times New Roman"/>
                <w:sz w:val="20"/>
                <w:szCs w:val="20"/>
                <w:lang w:eastAsia="ru-RU"/>
              </w:rPr>
              <w:t xml:space="preserve"> </w:t>
            </w:r>
            <w:proofErr w:type="spellStart"/>
            <w:r w:rsidRPr="001A1E50">
              <w:rPr>
                <w:rFonts w:ascii="Times New Roman" w:hAnsi="Times New Roman"/>
                <w:sz w:val="20"/>
                <w:szCs w:val="20"/>
                <w:lang w:eastAsia="ru-RU"/>
              </w:rPr>
              <w:t>proces</w:t>
            </w:r>
            <w:proofErr w:type="spellEnd"/>
            <w:r w:rsidRPr="001A1E50">
              <w:rPr>
                <w:rFonts w:ascii="Times New Roman" w:hAnsi="Times New Roman"/>
                <w:sz w:val="20"/>
                <w:szCs w:val="20"/>
                <w:lang w:eastAsia="ru-RU"/>
              </w:rPr>
              <w:t>.</w:t>
            </w:r>
          </w:p>
          <w:p w14:paraId="4A3EFDF2" w14:textId="0E41EEA1" w:rsidR="00B63589" w:rsidRDefault="00000000" w:rsidP="00296F7B">
            <w:pPr>
              <w:spacing w:after="0" w:line="240" w:lineRule="auto"/>
              <w:jc w:val="both"/>
              <w:rPr>
                <w:rFonts w:ascii="Times New Roman" w:hAnsi="Times New Roman"/>
                <w:sz w:val="20"/>
                <w:szCs w:val="20"/>
              </w:rPr>
            </w:pPr>
            <w:hyperlink r:id="rId44" w:tooltip="32023R0839: INSERTED" w:history="1">
              <w:r w:rsidR="00B63589" w:rsidRPr="00B63589">
                <w:rPr>
                  <w:rStyle w:val="af6"/>
                  <w:rFonts w:ascii="Times New Roman" w:eastAsia="Arial Unicode MS" w:hAnsi="Times New Roman"/>
                  <w:b/>
                  <w:bCs/>
                  <w:color w:val="23527C"/>
                  <w:sz w:val="20"/>
                  <w:szCs w:val="20"/>
                  <w:shd w:val="clear" w:color="auto" w:fill="FFFFFF"/>
                </w:rPr>
                <w:t>▼M3</w:t>
              </w:r>
            </w:hyperlink>
          </w:p>
          <w:p w14:paraId="0A5A6E58" w14:textId="4A47D7F2" w:rsidR="00A7551F" w:rsidRDefault="00B63589" w:rsidP="00296F7B">
            <w:pPr>
              <w:spacing w:after="0" w:line="240" w:lineRule="auto"/>
              <w:jc w:val="both"/>
              <w:rPr>
                <w:rFonts w:ascii="Times New Roman" w:eastAsia="Arial Unicode MS" w:hAnsi="Times New Roman"/>
                <w:sz w:val="20"/>
                <w:szCs w:val="20"/>
                <w:shd w:val="clear" w:color="auto" w:fill="FFFFFF"/>
              </w:rPr>
            </w:pPr>
            <w:r>
              <w:rPr>
                <w:rFonts w:ascii="Times New Roman" w:hAnsi="Times New Roman"/>
                <w:sz w:val="20"/>
                <w:szCs w:val="20"/>
              </w:rPr>
              <w:lastRenderedPageBreak/>
              <w:t>(1a)</w:t>
            </w:r>
            <w:r>
              <w:rPr>
                <w:rFonts w:ascii="Arial Unicode MS" w:eastAsia="Arial Unicode MS" w:hAnsi="Arial Unicode MS" w:cs="Arial Unicode MS" w:hint="eastAsia"/>
                <w:color w:val="333333"/>
                <w:sz w:val="21"/>
                <w:szCs w:val="21"/>
                <w:shd w:val="clear" w:color="auto" w:fill="FFFFFF"/>
              </w:rPr>
              <w:t xml:space="preserve"> </w:t>
            </w:r>
            <w:r w:rsidRPr="00B63589">
              <w:rPr>
                <w:rFonts w:ascii="Times New Roman" w:eastAsia="Arial Unicode MS" w:hAnsi="Times New Roman"/>
                <w:sz w:val="20"/>
                <w:szCs w:val="20"/>
                <w:shd w:val="clear" w:color="auto" w:fill="FFFFFF"/>
              </w:rPr>
              <w:t xml:space="preserve">În 2025, </w:t>
            </w:r>
            <w:proofErr w:type="spellStart"/>
            <w:r w:rsidRPr="00B63589">
              <w:rPr>
                <w:rFonts w:ascii="Times New Roman" w:eastAsia="Arial Unicode MS" w:hAnsi="Times New Roman"/>
                <w:sz w:val="20"/>
                <w:szCs w:val="20"/>
                <w:shd w:val="clear" w:color="auto" w:fill="FFFFFF"/>
              </w:rPr>
              <w:t>Comisia</w:t>
            </w:r>
            <w:proofErr w:type="spellEnd"/>
            <w:r w:rsidRPr="00B63589">
              <w:rPr>
                <w:rFonts w:ascii="Times New Roman" w:eastAsia="Arial Unicode MS" w:hAnsi="Times New Roman"/>
                <w:sz w:val="20"/>
                <w:szCs w:val="20"/>
                <w:shd w:val="clear" w:color="auto" w:fill="FFFFFF"/>
              </w:rPr>
              <w:t xml:space="preserve"> efectuează o </w:t>
            </w:r>
            <w:proofErr w:type="spellStart"/>
            <w:r w:rsidRPr="00B63589">
              <w:rPr>
                <w:rFonts w:ascii="Times New Roman" w:eastAsia="Arial Unicode MS" w:hAnsi="Times New Roman"/>
                <w:sz w:val="20"/>
                <w:szCs w:val="20"/>
                <w:shd w:val="clear" w:color="auto" w:fill="FFFFFF"/>
              </w:rPr>
              <w:t>revizuire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cuprinzătoare</w:t>
            </w:r>
            <w:proofErr w:type="spellEnd"/>
            <w:r w:rsidRPr="00B63589">
              <w:rPr>
                <w:rFonts w:ascii="Times New Roman" w:eastAsia="Arial Unicode MS" w:hAnsi="Times New Roman"/>
                <w:sz w:val="20"/>
                <w:szCs w:val="20"/>
                <w:shd w:val="clear" w:color="auto" w:fill="FFFFFF"/>
              </w:rPr>
              <w:t xml:space="preserve"> a </w:t>
            </w:r>
            <w:proofErr w:type="spellStart"/>
            <w:r w:rsidRPr="00B63589">
              <w:rPr>
                <w:rFonts w:ascii="Times New Roman" w:eastAsia="Arial Unicode MS" w:hAnsi="Times New Roman"/>
                <w:sz w:val="20"/>
                <w:szCs w:val="20"/>
                <w:shd w:val="clear" w:color="auto" w:fill="FFFFFF"/>
              </w:rPr>
              <w:t>datelor</w:t>
            </w:r>
            <w:proofErr w:type="spellEnd"/>
            <w:r w:rsidRPr="00B63589">
              <w:rPr>
                <w:rFonts w:ascii="Times New Roman" w:eastAsia="Arial Unicode MS" w:hAnsi="Times New Roman"/>
                <w:sz w:val="20"/>
                <w:szCs w:val="20"/>
                <w:shd w:val="clear" w:color="auto" w:fill="FFFFFF"/>
              </w:rPr>
              <w:t xml:space="preserve"> din </w:t>
            </w:r>
            <w:proofErr w:type="spellStart"/>
            <w:r w:rsidRPr="00B63589">
              <w:rPr>
                <w:rFonts w:ascii="Times New Roman" w:eastAsia="Arial Unicode MS" w:hAnsi="Times New Roman"/>
                <w:sz w:val="20"/>
                <w:szCs w:val="20"/>
                <w:shd w:val="clear" w:color="auto" w:fill="FFFFFF"/>
              </w:rPr>
              <w:t>inventarele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naționale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prezentate</w:t>
            </w:r>
            <w:proofErr w:type="spellEnd"/>
            <w:r w:rsidRPr="00B63589">
              <w:rPr>
                <w:rFonts w:ascii="Times New Roman" w:eastAsia="Arial Unicode MS" w:hAnsi="Times New Roman"/>
                <w:sz w:val="20"/>
                <w:szCs w:val="20"/>
                <w:shd w:val="clear" w:color="auto" w:fill="FFFFFF"/>
              </w:rPr>
              <w:t xml:space="preserve"> de </w:t>
            </w:r>
            <w:proofErr w:type="spellStart"/>
            <w:r w:rsidRPr="00B63589">
              <w:rPr>
                <w:rFonts w:ascii="Times New Roman" w:eastAsia="Arial Unicode MS" w:hAnsi="Times New Roman"/>
                <w:sz w:val="20"/>
                <w:szCs w:val="20"/>
                <w:shd w:val="clear" w:color="auto" w:fill="FFFFFF"/>
              </w:rPr>
              <w:t>statele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membre</w:t>
            </w:r>
            <w:proofErr w:type="spellEnd"/>
            <w:r w:rsidRPr="00B63589">
              <w:rPr>
                <w:rFonts w:ascii="Times New Roman" w:eastAsia="Arial Unicode MS" w:hAnsi="Times New Roman"/>
                <w:sz w:val="20"/>
                <w:szCs w:val="20"/>
                <w:shd w:val="clear" w:color="auto" w:fill="FFFFFF"/>
              </w:rPr>
              <w:t xml:space="preserve"> în </w:t>
            </w:r>
            <w:proofErr w:type="spellStart"/>
            <w:r w:rsidRPr="00B63589">
              <w:rPr>
                <w:rFonts w:ascii="Times New Roman" w:eastAsia="Arial Unicode MS" w:hAnsi="Times New Roman"/>
                <w:sz w:val="20"/>
                <w:szCs w:val="20"/>
                <w:shd w:val="clear" w:color="auto" w:fill="FFFFFF"/>
              </w:rPr>
              <w:t>temeiul</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articolului</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26 </w:t>
            </w:r>
            <w:proofErr w:type="spellStart"/>
            <w:r w:rsidRPr="00B63589">
              <w:rPr>
                <w:rFonts w:ascii="Times New Roman" w:eastAsia="Arial Unicode MS" w:hAnsi="Times New Roman"/>
                <w:sz w:val="20"/>
                <w:szCs w:val="20"/>
                <w:shd w:val="clear" w:color="auto" w:fill="FFFFFF"/>
              </w:rPr>
              <w:t>alineatul</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(4) din </w:t>
            </w:r>
            <w:proofErr w:type="spellStart"/>
            <w:r w:rsidRPr="00B63589">
              <w:rPr>
                <w:rFonts w:ascii="Times New Roman" w:eastAsia="Arial Unicode MS" w:hAnsi="Times New Roman"/>
                <w:sz w:val="20"/>
                <w:szCs w:val="20"/>
                <w:shd w:val="clear" w:color="auto" w:fill="FFFFFF"/>
              </w:rPr>
              <w:t>prezentul</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regulament</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pentru</w:t>
            </w:r>
            <w:proofErr w:type="spellEnd"/>
            <w:r w:rsidRPr="00B63589">
              <w:rPr>
                <w:rFonts w:ascii="Times New Roman" w:eastAsia="Arial Unicode MS" w:hAnsi="Times New Roman"/>
                <w:sz w:val="20"/>
                <w:szCs w:val="20"/>
                <w:shd w:val="clear" w:color="auto" w:fill="FFFFFF"/>
              </w:rPr>
              <w:t xml:space="preserve"> a </w:t>
            </w:r>
            <w:proofErr w:type="spellStart"/>
            <w:r w:rsidRPr="00B63589">
              <w:rPr>
                <w:rFonts w:ascii="Times New Roman" w:eastAsia="Arial Unicode MS" w:hAnsi="Times New Roman"/>
                <w:sz w:val="20"/>
                <w:szCs w:val="20"/>
                <w:shd w:val="clear" w:color="auto" w:fill="FFFFFF"/>
              </w:rPr>
              <w:t>stabili</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obiectivele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anuale</w:t>
            </w:r>
            <w:proofErr w:type="spellEnd"/>
            <w:r w:rsidRPr="00B63589">
              <w:rPr>
                <w:rFonts w:ascii="Times New Roman" w:eastAsia="Arial Unicode MS" w:hAnsi="Times New Roman"/>
                <w:sz w:val="20"/>
                <w:szCs w:val="20"/>
                <w:shd w:val="clear" w:color="auto" w:fill="FFFFFF"/>
              </w:rPr>
              <w:t xml:space="preserve"> de </w:t>
            </w:r>
            <w:proofErr w:type="spellStart"/>
            <w:r w:rsidRPr="00B63589">
              <w:rPr>
                <w:rFonts w:ascii="Times New Roman" w:eastAsia="Arial Unicode MS" w:hAnsi="Times New Roman"/>
                <w:sz w:val="20"/>
                <w:szCs w:val="20"/>
                <w:shd w:val="clear" w:color="auto" w:fill="FFFFFF"/>
              </w:rPr>
              <w:t>reducere</w:t>
            </w:r>
            <w:proofErr w:type="spellEnd"/>
            <w:r w:rsidRPr="00B63589">
              <w:rPr>
                <w:rFonts w:ascii="Times New Roman" w:eastAsia="Arial Unicode MS" w:hAnsi="Times New Roman"/>
                <w:sz w:val="20"/>
                <w:szCs w:val="20"/>
                <w:shd w:val="clear" w:color="auto" w:fill="FFFFFF"/>
              </w:rPr>
              <w:t xml:space="preserve"> a </w:t>
            </w:r>
            <w:proofErr w:type="spellStart"/>
            <w:r w:rsidRPr="00B63589">
              <w:rPr>
                <w:rFonts w:ascii="Times New Roman" w:eastAsia="Arial Unicode MS" w:hAnsi="Times New Roman"/>
                <w:sz w:val="20"/>
                <w:szCs w:val="20"/>
                <w:shd w:val="clear" w:color="auto" w:fill="FFFFFF"/>
              </w:rPr>
              <w:t>emisiilor</w:t>
            </w:r>
            <w:proofErr w:type="spellEnd"/>
            <w:r w:rsidRPr="00B63589">
              <w:rPr>
                <w:rFonts w:ascii="Times New Roman" w:eastAsia="Arial Unicode MS" w:hAnsi="Times New Roman"/>
                <w:sz w:val="20"/>
                <w:szCs w:val="20"/>
                <w:shd w:val="clear" w:color="auto" w:fill="FFFFFF"/>
              </w:rPr>
              <w:t xml:space="preserve"> nete de gaze cu </w:t>
            </w:r>
            <w:proofErr w:type="spellStart"/>
            <w:r w:rsidRPr="00B63589">
              <w:rPr>
                <w:rFonts w:ascii="Times New Roman" w:eastAsia="Arial Unicode MS" w:hAnsi="Times New Roman"/>
                <w:sz w:val="20"/>
                <w:szCs w:val="20"/>
                <w:shd w:val="clear" w:color="auto" w:fill="FFFFFF"/>
              </w:rPr>
              <w:t>efect</w:t>
            </w:r>
            <w:proofErr w:type="spellEnd"/>
            <w:r w:rsidRPr="00B63589">
              <w:rPr>
                <w:rFonts w:ascii="Times New Roman" w:eastAsia="Arial Unicode MS" w:hAnsi="Times New Roman"/>
                <w:sz w:val="20"/>
                <w:szCs w:val="20"/>
                <w:shd w:val="clear" w:color="auto" w:fill="FFFFFF"/>
              </w:rPr>
              <w:t xml:space="preserve"> de </w:t>
            </w:r>
            <w:proofErr w:type="spellStart"/>
            <w:r w:rsidRPr="00B63589">
              <w:rPr>
                <w:rFonts w:ascii="Times New Roman" w:eastAsia="Arial Unicode MS" w:hAnsi="Times New Roman"/>
                <w:sz w:val="20"/>
                <w:szCs w:val="20"/>
                <w:shd w:val="clear" w:color="auto" w:fill="FFFFFF"/>
              </w:rPr>
              <w:t>seră</w:t>
            </w:r>
            <w:proofErr w:type="spellEnd"/>
            <w:r w:rsidRPr="00B63589">
              <w:rPr>
                <w:rFonts w:ascii="Times New Roman" w:eastAsia="Arial Unicode MS" w:hAnsi="Times New Roman"/>
                <w:sz w:val="20"/>
                <w:szCs w:val="20"/>
                <w:shd w:val="clear" w:color="auto" w:fill="FFFFFF"/>
              </w:rPr>
              <w:t xml:space="preserve"> ale </w:t>
            </w:r>
            <w:proofErr w:type="spellStart"/>
            <w:r w:rsidRPr="00B63589">
              <w:rPr>
                <w:rFonts w:ascii="Times New Roman" w:eastAsia="Arial Unicode MS" w:hAnsi="Times New Roman"/>
                <w:sz w:val="20"/>
                <w:szCs w:val="20"/>
                <w:shd w:val="clear" w:color="auto" w:fill="FFFFFF"/>
              </w:rPr>
              <w:t>statelor</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membre</w:t>
            </w:r>
            <w:proofErr w:type="spellEnd"/>
            <w:r w:rsidRPr="00B63589">
              <w:rPr>
                <w:rFonts w:ascii="Times New Roman" w:eastAsia="Arial Unicode MS" w:hAnsi="Times New Roman"/>
                <w:sz w:val="20"/>
                <w:szCs w:val="20"/>
                <w:shd w:val="clear" w:color="auto" w:fill="FFFFFF"/>
              </w:rPr>
              <w:t xml:space="preserve"> în </w:t>
            </w:r>
            <w:proofErr w:type="spellStart"/>
            <w:r w:rsidRPr="00B63589">
              <w:rPr>
                <w:rFonts w:ascii="Times New Roman" w:eastAsia="Arial Unicode MS" w:hAnsi="Times New Roman"/>
                <w:sz w:val="20"/>
                <w:szCs w:val="20"/>
                <w:shd w:val="clear" w:color="auto" w:fill="FFFFFF"/>
              </w:rPr>
              <w:t>temeiul</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articolului</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4 </w:t>
            </w:r>
            <w:proofErr w:type="spellStart"/>
            <w:r w:rsidRPr="00B63589">
              <w:rPr>
                <w:rFonts w:ascii="Times New Roman" w:eastAsia="Arial Unicode MS" w:hAnsi="Times New Roman"/>
                <w:sz w:val="20"/>
                <w:szCs w:val="20"/>
                <w:shd w:val="clear" w:color="auto" w:fill="FFFFFF"/>
              </w:rPr>
              <w:t>alineatul</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(3) din </w:t>
            </w:r>
            <w:proofErr w:type="spellStart"/>
            <w:r w:rsidRPr="00B63589">
              <w:rPr>
                <w:rFonts w:ascii="Times New Roman" w:eastAsia="Arial Unicode MS" w:hAnsi="Times New Roman"/>
                <w:sz w:val="20"/>
                <w:szCs w:val="20"/>
                <w:shd w:val="clear" w:color="auto" w:fill="FFFFFF"/>
              </w:rPr>
              <w:t>Regulamentul</w:t>
            </w:r>
            <w:proofErr w:type="spellEnd"/>
            <w:r w:rsidRPr="00B63589">
              <w:rPr>
                <w:rFonts w:ascii="Times New Roman" w:eastAsia="Arial Unicode MS" w:hAnsi="Times New Roman"/>
                <w:sz w:val="20"/>
                <w:szCs w:val="20"/>
                <w:shd w:val="clear" w:color="auto" w:fill="FFFFFF"/>
              </w:rPr>
              <w:t xml:space="preserve"> (UE)</w:t>
            </w:r>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2018/841 și </w:t>
            </w:r>
            <w:proofErr w:type="spellStart"/>
            <w:r w:rsidRPr="00B63589">
              <w:rPr>
                <w:rFonts w:ascii="Times New Roman" w:eastAsia="Arial Unicode MS" w:hAnsi="Times New Roman"/>
                <w:sz w:val="20"/>
                <w:szCs w:val="20"/>
                <w:shd w:val="clear" w:color="auto" w:fill="FFFFFF"/>
              </w:rPr>
              <w:t>pentru</w:t>
            </w:r>
            <w:proofErr w:type="spellEnd"/>
            <w:r w:rsidRPr="00B63589">
              <w:rPr>
                <w:rFonts w:ascii="Times New Roman" w:eastAsia="Arial Unicode MS" w:hAnsi="Times New Roman"/>
                <w:sz w:val="20"/>
                <w:szCs w:val="20"/>
                <w:shd w:val="clear" w:color="auto" w:fill="FFFFFF"/>
              </w:rPr>
              <w:t xml:space="preserve"> a </w:t>
            </w:r>
            <w:proofErr w:type="spellStart"/>
            <w:r w:rsidRPr="00B63589">
              <w:rPr>
                <w:rFonts w:ascii="Times New Roman" w:eastAsia="Arial Unicode MS" w:hAnsi="Times New Roman"/>
                <w:sz w:val="20"/>
                <w:szCs w:val="20"/>
                <w:shd w:val="clear" w:color="auto" w:fill="FFFFFF"/>
              </w:rPr>
              <w:t>stabili</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nivelurile</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anuale</w:t>
            </w:r>
            <w:proofErr w:type="spellEnd"/>
            <w:r w:rsidRPr="00B63589">
              <w:rPr>
                <w:rFonts w:ascii="Times New Roman" w:eastAsia="Arial Unicode MS" w:hAnsi="Times New Roman"/>
                <w:sz w:val="20"/>
                <w:szCs w:val="20"/>
                <w:shd w:val="clear" w:color="auto" w:fill="FFFFFF"/>
              </w:rPr>
              <w:t xml:space="preserve"> de </w:t>
            </w:r>
            <w:proofErr w:type="spellStart"/>
            <w:r w:rsidRPr="00B63589">
              <w:rPr>
                <w:rFonts w:ascii="Times New Roman" w:eastAsia="Arial Unicode MS" w:hAnsi="Times New Roman"/>
                <w:sz w:val="20"/>
                <w:szCs w:val="20"/>
                <w:shd w:val="clear" w:color="auto" w:fill="FFFFFF"/>
              </w:rPr>
              <w:t>emisii</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alocate</w:t>
            </w:r>
            <w:proofErr w:type="spellEnd"/>
            <w:r w:rsidRPr="00B63589">
              <w:rPr>
                <w:rFonts w:ascii="Times New Roman" w:eastAsia="Arial Unicode MS" w:hAnsi="Times New Roman"/>
                <w:sz w:val="20"/>
                <w:szCs w:val="20"/>
                <w:shd w:val="clear" w:color="auto" w:fill="FFFFFF"/>
              </w:rPr>
              <w:t xml:space="preserve"> ale </w:t>
            </w:r>
            <w:proofErr w:type="spellStart"/>
            <w:r w:rsidRPr="00B63589">
              <w:rPr>
                <w:rFonts w:ascii="Times New Roman" w:eastAsia="Arial Unicode MS" w:hAnsi="Times New Roman"/>
                <w:sz w:val="20"/>
                <w:szCs w:val="20"/>
                <w:shd w:val="clear" w:color="auto" w:fill="FFFFFF"/>
              </w:rPr>
              <w:t>statelor</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membre</w:t>
            </w:r>
            <w:proofErr w:type="spellEnd"/>
            <w:r w:rsidRPr="00B63589">
              <w:rPr>
                <w:rFonts w:ascii="Times New Roman" w:eastAsia="Arial Unicode MS" w:hAnsi="Times New Roman"/>
                <w:sz w:val="20"/>
                <w:szCs w:val="20"/>
                <w:shd w:val="clear" w:color="auto" w:fill="FFFFFF"/>
              </w:rPr>
              <w:t xml:space="preserve"> în </w:t>
            </w:r>
            <w:proofErr w:type="spellStart"/>
            <w:r w:rsidRPr="00B63589">
              <w:rPr>
                <w:rFonts w:ascii="Times New Roman" w:eastAsia="Arial Unicode MS" w:hAnsi="Times New Roman"/>
                <w:sz w:val="20"/>
                <w:szCs w:val="20"/>
                <w:shd w:val="clear" w:color="auto" w:fill="FFFFFF"/>
              </w:rPr>
              <w:t>temeiul</w:t>
            </w:r>
            <w:proofErr w:type="spellEnd"/>
            <w:r w:rsidRPr="00B63589">
              <w:rPr>
                <w:rFonts w:ascii="Times New Roman" w:eastAsia="Arial Unicode MS" w:hAnsi="Times New Roman"/>
                <w:sz w:val="20"/>
                <w:szCs w:val="20"/>
                <w:shd w:val="clear" w:color="auto" w:fill="FFFFFF"/>
              </w:rPr>
              <w:t xml:space="preserve"> </w:t>
            </w:r>
            <w:proofErr w:type="spellStart"/>
            <w:r w:rsidRPr="00B63589">
              <w:rPr>
                <w:rFonts w:ascii="Times New Roman" w:eastAsia="Arial Unicode MS" w:hAnsi="Times New Roman"/>
                <w:sz w:val="20"/>
                <w:szCs w:val="20"/>
                <w:shd w:val="clear" w:color="auto" w:fill="FFFFFF"/>
              </w:rPr>
              <w:t>articolului</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4 </w:t>
            </w:r>
            <w:proofErr w:type="spellStart"/>
            <w:r w:rsidRPr="00B63589">
              <w:rPr>
                <w:rFonts w:ascii="Times New Roman" w:eastAsia="Arial Unicode MS" w:hAnsi="Times New Roman"/>
                <w:sz w:val="20"/>
                <w:szCs w:val="20"/>
                <w:shd w:val="clear" w:color="auto" w:fill="FFFFFF"/>
              </w:rPr>
              <w:t>alineatul</w:t>
            </w:r>
            <w:proofErr w:type="spellEnd"/>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 xml:space="preserve">(3) din </w:t>
            </w:r>
            <w:proofErr w:type="spellStart"/>
            <w:r w:rsidRPr="00B63589">
              <w:rPr>
                <w:rFonts w:ascii="Times New Roman" w:eastAsia="Arial Unicode MS" w:hAnsi="Times New Roman"/>
                <w:sz w:val="20"/>
                <w:szCs w:val="20"/>
                <w:shd w:val="clear" w:color="auto" w:fill="FFFFFF"/>
              </w:rPr>
              <w:t>Regulamentul</w:t>
            </w:r>
            <w:proofErr w:type="spellEnd"/>
            <w:r w:rsidRPr="00B63589">
              <w:rPr>
                <w:rFonts w:ascii="Times New Roman" w:eastAsia="Arial Unicode MS" w:hAnsi="Times New Roman"/>
                <w:sz w:val="20"/>
                <w:szCs w:val="20"/>
                <w:shd w:val="clear" w:color="auto" w:fill="FFFFFF"/>
              </w:rPr>
              <w:t xml:space="preserve"> (UE)</w:t>
            </w:r>
            <w:r>
              <w:rPr>
                <w:rFonts w:ascii="Times New Roman" w:eastAsia="Arial Unicode MS" w:hAnsi="Times New Roman"/>
                <w:sz w:val="20"/>
                <w:szCs w:val="20"/>
                <w:shd w:val="clear" w:color="auto" w:fill="FFFFFF"/>
              </w:rPr>
              <w:t xml:space="preserve"> </w:t>
            </w:r>
            <w:r w:rsidRPr="00B63589">
              <w:rPr>
                <w:rFonts w:ascii="Times New Roman" w:eastAsia="Arial Unicode MS" w:hAnsi="Times New Roman"/>
                <w:sz w:val="20"/>
                <w:szCs w:val="20"/>
                <w:shd w:val="clear" w:color="auto" w:fill="FFFFFF"/>
              </w:rPr>
              <w:t>2018/842.</w:t>
            </w:r>
          </w:p>
          <w:p w14:paraId="0C552B92" w14:textId="4415A109" w:rsidR="00A7551F" w:rsidRPr="00A7551F" w:rsidRDefault="00000000" w:rsidP="00296F7B">
            <w:pPr>
              <w:spacing w:after="0" w:line="240" w:lineRule="auto"/>
              <w:jc w:val="both"/>
              <w:rPr>
                <w:rFonts w:ascii="Times New Roman" w:eastAsia="Arial Unicode MS" w:hAnsi="Times New Roman"/>
                <w:sz w:val="20"/>
                <w:szCs w:val="20"/>
                <w:shd w:val="clear" w:color="auto" w:fill="FFFFFF"/>
              </w:rPr>
            </w:pPr>
            <w:hyperlink r:id="rId45" w:tooltip="32018R1999" w:history="1">
              <w:r w:rsidR="00A7551F" w:rsidRPr="00A7551F">
                <w:rPr>
                  <w:rStyle w:val="af6"/>
                  <w:rFonts w:ascii="Times New Roman" w:eastAsia="Arial Unicode MS" w:hAnsi="Times New Roman"/>
                  <w:b/>
                  <w:bCs/>
                  <w:color w:val="23527C"/>
                  <w:sz w:val="20"/>
                  <w:szCs w:val="20"/>
                  <w:shd w:val="clear" w:color="auto" w:fill="FFFFFF"/>
                </w:rPr>
                <w:t>▼B</w:t>
              </w:r>
            </w:hyperlink>
          </w:p>
          <w:p w14:paraId="28B448A2" w14:textId="2A5F17A2" w:rsidR="00296F7B" w:rsidRPr="00A7551F" w:rsidRDefault="00296F7B" w:rsidP="00296F7B">
            <w:pPr>
              <w:spacing w:after="0" w:line="240" w:lineRule="auto"/>
              <w:jc w:val="both"/>
              <w:rPr>
                <w:rFonts w:ascii="Times New Roman" w:hAnsi="Times New Roman"/>
                <w:sz w:val="20"/>
                <w:szCs w:val="20"/>
                <w:lang w:val="en-US" w:eastAsia="ru-RU"/>
              </w:rPr>
            </w:pPr>
            <w:r w:rsidRPr="00A7551F">
              <w:rPr>
                <w:rFonts w:ascii="Times New Roman" w:hAnsi="Times New Roman"/>
                <w:sz w:val="20"/>
                <w:szCs w:val="20"/>
                <w:lang w:val="en-US" w:eastAsia="ru-RU"/>
              </w:rPr>
              <w:t>(2)</w:t>
            </w:r>
            <w:r w:rsidR="00A7551F" w:rsidRPr="00A7551F">
              <w:rPr>
                <w:rFonts w:ascii="Times New Roman" w:hAnsi="Times New Roman"/>
                <w:sz w:val="20"/>
                <w:szCs w:val="20"/>
                <w:lang w:val="en-US" w:eastAsia="ru-RU"/>
              </w:rPr>
              <w:t xml:space="preserve"> </w:t>
            </w:r>
            <w:hyperlink r:id="rId46" w:tooltip="32023R0839: INSERTED" w:history="1">
              <w:r w:rsidR="00A7551F" w:rsidRPr="00A7551F">
                <w:rPr>
                  <w:rStyle w:val="af6"/>
                  <w:rFonts w:ascii="Times New Roman" w:eastAsia="Arial Unicode MS" w:hAnsi="Times New Roman"/>
                  <w:b/>
                  <w:bCs/>
                  <w:color w:val="23527C"/>
                  <w:sz w:val="20"/>
                  <w:szCs w:val="20"/>
                  <w:shd w:val="clear" w:color="auto" w:fill="FFFFFF"/>
                </w:rPr>
                <w:t>▼M3</w:t>
              </w:r>
            </w:hyperlink>
            <w:r w:rsidR="00A7551F">
              <w:rPr>
                <w:rFonts w:ascii="Times New Roman" w:hAnsi="Times New Roman"/>
                <w:sz w:val="20"/>
                <w:szCs w:val="20"/>
                <w:lang w:val="en-US" w:eastAsia="ru-RU"/>
              </w:rPr>
              <w:t xml:space="preserve"> </w:t>
            </w:r>
            <w:proofErr w:type="spellStart"/>
            <w:r w:rsidRPr="00A7551F">
              <w:rPr>
                <w:rFonts w:ascii="Times New Roman" w:hAnsi="Times New Roman"/>
                <w:sz w:val="20"/>
                <w:szCs w:val="20"/>
                <w:lang w:val="en-US" w:eastAsia="ru-RU"/>
              </w:rPr>
              <w:t>Revizuirea</w:t>
            </w:r>
            <w:proofErr w:type="spellEnd"/>
            <w:r w:rsidRPr="00A7551F">
              <w:rPr>
                <w:rFonts w:ascii="Times New Roman" w:hAnsi="Times New Roman"/>
                <w:sz w:val="20"/>
                <w:szCs w:val="20"/>
                <w:lang w:val="en-US" w:eastAsia="ru-RU"/>
              </w:rPr>
              <w:t xml:space="preserve"> </w:t>
            </w:r>
            <w:proofErr w:type="spellStart"/>
            <w:r w:rsidRPr="00A7551F">
              <w:rPr>
                <w:rFonts w:ascii="Times New Roman" w:hAnsi="Times New Roman"/>
                <w:sz w:val="20"/>
                <w:szCs w:val="20"/>
                <w:lang w:val="en-US" w:eastAsia="ru-RU"/>
              </w:rPr>
              <w:t>completă</w:t>
            </w:r>
            <w:proofErr w:type="spellEnd"/>
            <w:r w:rsidRPr="00A7551F">
              <w:rPr>
                <w:rFonts w:ascii="Times New Roman" w:hAnsi="Times New Roman"/>
                <w:sz w:val="20"/>
                <w:szCs w:val="20"/>
                <w:lang w:val="en-US" w:eastAsia="ru-RU"/>
              </w:rPr>
              <w:t xml:space="preserve"> </w:t>
            </w:r>
            <w:proofErr w:type="spellStart"/>
            <w:r w:rsidRPr="00A7551F">
              <w:rPr>
                <w:rFonts w:ascii="Times New Roman" w:hAnsi="Times New Roman"/>
                <w:sz w:val="20"/>
                <w:szCs w:val="20"/>
                <w:lang w:val="en-US" w:eastAsia="ru-RU"/>
              </w:rPr>
              <w:t>menționată</w:t>
            </w:r>
            <w:proofErr w:type="spellEnd"/>
            <w:r w:rsidRPr="00A7551F">
              <w:rPr>
                <w:rFonts w:ascii="Times New Roman" w:hAnsi="Times New Roman"/>
                <w:sz w:val="20"/>
                <w:szCs w:val="20"/>
                <w:lang w:val="en-US" w:eastAsia="ru-RU"/>
              </w:rPr>
              <w:t xml:space="preserve"> la </w:t>
            </w:r>
            <w:proofErr w:type="spellStart"/>
            <w:r w:rsidRPr="00A7551F">
              <w:rPr>
                <w:rFonts w:ascii="Times New Roman" w:hAnsi="Times New Roman"/>
                <w:sz w:val="20"/>
                <w:szCs w:val="20"/>
                <w:lang w:val="en-US" w:eastAsia="ru-RU"/>
              </w:rPr>
              <w:t>alineatul</w:t>
            </w:r>
            <w:proofErr w:type="spellEnd"/>
            <w:r w:rsidRPr="00A7551F">
              <w:rPr>
                <w:rFonts w:ascii="Times New Roman" w:hAnsi="Times New Roman"/>
                <w:sz w:val="20"/>
                <w:szCs w:val="20"/>
                <w:lang w:val="en-US" w:eastAsia="ru-RU"/>
              </w:rPr>
              <w:t xml:space="preserve"> (1) include:</w:t>
            </w:r>
          </w:p>
          <w:p w14:paraId="071A5966" w14:textId="354DB4DA" w:rsidR="00296F7B" w:rsidRPr="00A723F5" w:rsidRDefault="00296F7B" w:rsidP="000C5A3B">
            <w:pPr>
              <w:pStyle w:val="af3"/>
              <w:numPr>
                <w:ilvl w:val="0"/>
                <w:numId w:val="132"/>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controale</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verifica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transparența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exactitatea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coerența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comparabilitatea</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caracterul</w:t>
            </w:r>
            <w:proofErr w:type="spellEnd"/>
            <w:r w:rsidRPr="00A723F5">
              <w:rPr>
                <w:rFonts w:ascii="Times New Roman" w:hAnsi="Times New Roman"/>
                <w:sz w:val="20"/>
                <w:szCs w:val="20"/>
                <w:lang w:val="fr-FR" w:eastAsia="ru-RU"/>
              </w:rPr>
              <w:t xml:space="preserve"> complet al </w:t>
            </w:r>
            <w:proofErr w:type="spellStart"/>
            <w:r w:rsidRPr="00A723F5">
              <w:rPr>
                <w:rFonts w:ascii="Times New Roman" w:hAnsi="Times New Roman"/>
                <w:sz w:val="20"/>
                <w:szCs w:val="20"/>
                <w:lang w:val="fr-FR" w:eastAsia="ru-RU"/>
              </w:rPr>
              <w:t>informațiilor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prezentate</w:t>
            </w:r>
            <w:proofErr w:type="spellEnd"/>
            <w:r w:rsidRPr="00A723F5">
              <w:rPr>
                <w:rFonts w:ascii="Times New Roman" w:hAnsi="Times New Roman"/>
                <w:sz w:val="20"/>
                <w:szCs w:val="20"/>
                <w:lang w:val="fr-FR" w:eastAsia="ru-RU"/>
              </w:rPr>
              <w:t>;</w:t>
            </w:r>
          </w:p>
          <w:p w14:paraId="011FDF86" w14:textId="5717B5A6" w:rsidR="00296F7B" w:rsidRPr="00A723F5" w:rsidRDefault="00296F7B" w:rsidP="000C5A3B">
            <w:pPr>
              <w:pStyle w:val="af3"/>
              <w:numPr>
                <w:ilvl w:val="0"/>
                <w:numId w:val="132"/>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controale</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identifica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situațiile</w:t>
            </w:r>
            <w:proofErr w:type="spellEnd"/>
            <w:r w:rsidRPr="00A723F5">
              <w:rPr>
                <w:rFonts w:ascii="Times New Roman" w:hAnsi="Times New Roman"/>
                <w:sz w:val="20"/>
                <w:szCs w:val="20"/>
                <w:lang w:val="fr-FR" w:eastAsia="ru-RU"/>
              </w:rPr>
              <w:t xml:space="preserve"> în care </w:t>
            </w:r>
            <w:proofErr w:type="spellStart"/>
            <w:r w:rsidRPr="00A723F5">
              <w:rPr>
                <w:rFonts w:ascii="Times New Roman" w:hAnsi="Times New Roman"/>
                <w:sz w:val="20"/>
                <w:szCs w:val="20"/>
                <w:lang w:val="fr-FR" w:eastAsia="ru-RU"/>
              </w:rPr>
              <w:t>datele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inventar</w:t>
            </w:r>
            <w:proofErr w:type="spellEnd"/>
            <w:r w:rsidRPr="00A723F5">
              <w:rPr>
                <w:rFonts w:ascii="Times New Roman" w:hAnsi="Times New Roman"/>
                <w:sz w:val="20"/>
                <w:szCs w:val="20"/>
                <w:lang w:val="fr-FR" w:eastAsia="ru-RU"/>
              </w:rPr>
              <w:t xml:space="preserve"> nu </w:t>
            </w:r>
            <w:proofErr w:type="spellStart"/>
            <w:r w:rsidRPr="00A723F5">
              <w:rPr>
                <w:rFonts w:ascii="Times New Roman" w:hAnsi="Times New Roman"/>
                <w:sz w:val="20"/>
                <w:szCs w:val="20"/>
                <w:lang w:val="fr-FR" w:eastAsia="ru-RU"/>
              </w:rPr>
              <w:t>sunt</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elaborate</w:t>
            </w:r>
            <w:proofErr w:type="spellEnd"/>
            <w:r w:rsidRPr="00A723F5">
              <w:rPr>
                <w:rFonts w:ascii="Times New Roman" w:hAnsi="Times New Roman"/>
                <w:sz w:val="20"/>
                <w:szCs w:val="20"/>
                <w:lang w:val="fr-FR" w:eastAsia="ru-RU"/>
              </w:rPr>
              <w:t xml:space="preser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documentația</w:t>
            </w:r>
            <w:proofErr w:type="spellEnd"/>
            <w:r w:rsidRPr="00A723F5">
              <w:rPr>
                <w:rFonts w:ascii="Times New Roman" w:hAnsi="Times New Roman"/>
                <w:sz w:val="20"/>
                <w:szCs w:val="20"/>
                <w:lang w:val="fr-FR" w:eastAsia="ru-RU"/>
              </w:rPr>
              <w:t xml:space="preserve"> care </w:t>
            </w:r>
            <w:proofErr w:type="spellStart"/>
            <w:r w:rsidRPr="00A723F5">
              <w:rPr>
                <w:rFonts w:ascii="Times New Roman" w:hAnsi="Times New Roman"/>
                <w:sz w:val="20"/>
                <w:szCs w:val="20"/>
                <w:lang w:val="fr-FR" w:eastAsia="ru-RU"/>
              </w:rPr>
              <w:t>cuprinde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orientările</w:t>
            </w:r>
            <w:proofErr w:type="spellEnd"/>
            <w:r w:rsidRPr="00A723F5">
              <w:rPr>
                <w:rFonts w:ascii="Times New Roman" w:hAnsi="Times New Roman"/>
                <w:sz w:val="20"/>
                <w:szCs w:val="20"/>
                <w:lang w:val="fr-FR" w:eastAsia="ru-RU"/>
              </w:rPr>
              <w:t xml:space="preserve"> CCONUSC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normele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w:t>
            </w:r>
          </w:p>
          <w:p w14:paraId="43A07B25" w14:textId="329CEDA1" w:rsidR="00296F7B" w:rsidRPr="00A723F5" w:rsidRDefault="00296F7B" w:rsidP="000C5A3B">
            <w:pPr>
              <w:pStyle w:val="af3"/>
              <w:numPr>
                <w:ilvl w:val="0"/>
                <w:numId w:val="132"/>
              </w:numPr>
              <w:spacing w:after="0" w:line="240" w:lineRule="auto"/>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controale</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identifica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situațiile</w:t>
            </w:r>
            <w:proofErr w:type="spellEnd"/>
            <w:r w:rsidRPr="00A723F5">
              <w:rPr>
                <w:rFonts w:ascii="Times New Roman" w:hAnsi="Times New Roman"/>
                <w:sz w:val="20"/>
                <w:szCs w:val="20"/>
                <w:lang w:val="fr-FR" w:eastAsia="ru-RU"/>
              </w:rPr>
              <w:t xml:space="preserve"> în care </w:t>
            </w:r>
            <w:proofErr w:type="spellStart"/>
            <w:r w:rsidRPr="00A723F5">
              <w:rPr>
                <w:rFonts w:ascii="Times New Roman" w:hAnsi="Times New Roman"/>
                <w:sz w:val="20"/>
                <w:szCs w:val="20"/>
                <w:lang w:val="fr-FR" w:eastAsia="ru-RU"/>
              </w:rPr>
              <w:t>contabilizarea</w:t>
            </w:r>
            <w:proofErr w:type="spellEnd"/>
            <w:r w:rsidRPr="00A723F5">
              <w:rPr>
                <w:rFonts w:ascii="Times New Roman" w:hAnsi="Times New Roman"/>
                <w:sz w:val="20"/>
                <w:szCs w:val="20"/>
                <w:lang w:val="fr-FR" w:eastAsia="ru-RU"/>
              </w:rPr>
              <w:t xml:space="preserve"> LULUCF nu este </w:t>
            </w:r>
            <w:proofErr w:type="spellStart"/>
            <w:r w:rsidRPr="00A723F5">
              <w:rPr>
                <w:rFonts w:ascii="Times New Roman" w:hAnsi="Times New Roman"/>
                <w:sz w:val="20"/>
                <w:szCs w:val="20"/>
                <w:lang w:val="fr-FR" w:eastAsia="ru-RU"/>
              </w:rPr>
              <w:t>efectuată</w:t>
            </w:r>
            <w:proofErr w:type="spellEnd"/>
            <w:r w:rsidRPr="00A723F5">
              <w:rPr>
                <w:rFonts w:ascii="Times New Roman" w:hAnsi="Times New Roman"/>
                <w:sz w:val="20"/>
                <w:szCs w:val="20"/>
                <w:lang w:val="fr-FR" w:eastAsia="ru-RU"/>
              </w:rPr>
              <w:t xml:space="preserve">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documentația</w:t>
            </w:r>
            <w:proofErr w:type="spellEnd"/>
            <w:r w:rsidRPr="00A723F5">
              <w:rPr>
                <w:rFonts w:ascii="Times New Roman" w:hAnsi="Times New Roman"/>
                <w:sz w:val="20"/>
                <w:szCs w:val="20"/>
                <w:lang w:val="fr-FR" w:eastAsia="ru-RU"/>
              </w:rPr>
              <w:t xml:space="preserve"> care </w:t>
            </w:r>
            <w:proofErr w:type="spellStart"/>
            <w:r w:rsidRPr="00A723F5">
              <w:rPr>
                <w:rFonts w:ascii="Times New Roman" w:hAnsi="Times New Roman"/>
                <w:sz w:val="20"/>
                <w:szCs w:val="20"/>
                <w:lang w:val="fr-FR" w:eastAsia="ru-RU"/>
              </w:rPr>
              <w:t>cuprinde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orientările</w:t>
            </w:r>
            <w:proofErr w:type="spellEnd"/>
            <w:r w:rsidRPr="00A723F5">
              <w:rPr>
                <w:rFonts w:ascii="Times New Roman" w:hAnsi="Times New Roman"/>
                <w:sz w:val="20"/>
                <w:szCs w:val="20"/>
                <w:lang w:val="fr-FR" w:eastAsia="ru-RU"/>
              </w:rPr>
              <w:t xml:space="preserve"> CCONUSC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normele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w:t>
            </w:r>
            <w:r w:rsidRPr="00A723F5">
              <w:rPr>
                <w:lang w:val="fr-FR" w:eastAsia="ru-RU"/>
              </w:rPr>
              <w:t xml:space="preserve"> și</w:t>
            </w:r>
          </w:p>
          <w:p w14:paraId="495507CA" w14:textId="1928C4C0" w:rsidR="00296F7B" w:rsidRPr="00A723F5" w:rsidRDefault="00296F7B" w:rsidP="000C5A3B">
            <w:pPr>
              <w:pStyle w:val="af3"/>
              <w:numPr>
                <w:ilvl w:val="0"/>
                <w:numId w:val="132"/>
              </w:numPr>
              <w:spacing w:after="0" w:line="240" w:lineRule="auto"/>
              <w:jc w:val="both"/>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dacă</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este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cazul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calcularea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corecțiilor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tehnice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necesare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rezultate</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consultare</w:t>
            </w:r>
            <w:proofErr w:type="spellEnd"/>
            <w:r w:rsidRPr="00A723F5">
              <w:rPr>
                <w:rFonts w:ascii="Times New Roman" w:hAnsi="Times New Roman"/>
                <w:sz w:val="20"/>
                <w:szCs w:val="20"/>
                <w:lang w:val="en-US" w:eastAsia="ru-RU"/>
              </w:rPr>
              <w:t xml:space="preserve"> cu </w:t>
            </w:r>
            <w:proofErr w:type="spellStart"/>
            <w:r w:rsidRPr="00A723F5">
              <w:rPr>
                <w:rFonts w:ascii="Times New Roman" w:hAnsi="Times New Roman"/>
                <w:sz w:val="20"/>
                <w:szCs w:val="20"/>
                <w:lang w:val="en-US" w:eastAsia="ru-RU"/>
              </w:rPr>
              <w:t>statele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membre</w:t>
            </w:r>
            <w:proofErr w:type="spellEnd"/>
            <w:r w:rsidRPr="00A723F5">
              <w:rPr>
                <w:rFonts w:ascii="Times New Roman" w:hAnsi="Times New Roman"/>
                <w:sz w:val="20"/>
                <w:szCs w:val="20"/>
                <w:lang w:val="en-US" w:eastAsia="ru-RU"/>
              </w:rPr>
              <w:t>.</w:t>
            </w:r>
          </w:p>
          <w:p w14:paraId="43539ED1" w14:textId="23B4A6F2" w:rsidR="00296F7B" w:rsidRPr="00A723F5" w:rsidRDefault="00296F7B" w:rsidP="00296F7B">
            <w:pPr>
              <w:spacing w:after="0" w:line="240" w:lineRule="auto"/>
              <w:jc w:val="both"/>
              <w:rPr>
                <w:rFonts w:ascii="Times New Roman" w:hAnsi="Times New Roman"/>
                <w:sz w:val="20"/>
                <w:szCs w:val="20"/>
                <w:lang w:val="en-US"/>
              </w:rPr>
            </w:pPr>
            <w:r w:rsidRPr="00A723F5">
              <w:rPr>
                <w:rFonts w:ascii="Times New Roman" w:hAnsi="Times New Roman"/>
                <w:sz w:val="20"/>
                <w:szCs w:val="20"/>
                <w:lang w:val="en-US"/>
              </w:rPr>
              <w:t>(3)</w:t>
            </w:r>
            <w:r w:rsidR="00D63014">
              <w:rPr>
                <w:rFonts w:ascii="Times New Roman" w:hAnsi="Times New Roman"/>
                <w:sz w:val="20"/>
                <w:szCs w:val="20"/>
                <w:lang w:val="en-US"/>
              </w:rPr>
              <w:t xml:space="preserve"> </w:t>
            </w:r>
            <w:proofErr w:type="spellStart"/>
            <w:r w:rsidRPr="00A723F5">
              <w:rPr>
                <w:rFonts w:ascii="Times New Roman" w:hAnsi="Times New Roman"/>
                <w:sz w:val="20"/>
                <w:szCs w:val="20"/>
                <w:lang w:val="en-US"/>
              </w:rPr>
              <w:t>Comisia</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asistată</w:t>
            </w:r>
            <w:proofErr w:type="spellEnd"/>
            <w:r w:rsidRPr="00A723F5">
              <w:rPr>
                <w:rFonts w:ascii="Times New Roman" w:hAnsi="Times New Roman"/>
                <w:sz w:val="20"/>
                <w:szCs w:val="20"/>
                <w:lang w:val="en-US"/>
              </w:rPr>
              <w:t xml:space="preserve"> de </w:t>
            </w:r>
            <w:proofErr w:type="spellStart"/>
            <w:r w:rsidRPr="00A723F5">
              <w:rPr>
                <w:rFonts w:ascii="Times New Roman" w:hAnsi="Times New Roman"/>
                <w:sz w:val="20"/>
                <w:szCs w:val="20"/>
                <w:lang w:val="en-US"/>
              </w:rPr>
              <w:t>Comitetul</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privind</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schimbările</w:t>
            </w:r>
            <w:proofErr w:type="spellEnd"/>
            <w:r w:rsidRPr="00A723F5">
              <w:rPr>
                <w:rFonts w:ascii="Times New Roman" w:hAnsi="Times New Roman"/>
                <w:sz w:val="20"/>
                <w:szCs w:val="20"/>
                <w:lang w:val="en-US"/>
              </w:rPr>
              <w:t xml:space="preserve"> climatice </w:t>
            </w:r>
            <w:proofErr w:type="spellStart"/>
            <w:r w:rsidRPr="00A723F5">
              <w:rPr>
                <w:rFonts w:ascii="Times New Roman" w:hAnsi="Times New Roman"/>
                <w:sz w:val="20"/>
                <w:szCs w:val="20"/>
                <w:lang w:val="en-US"/>
              </w:rPr>
              <w:t>menționat</w:t>
            </w:r>
            <w:proofErr w:type="spellEnd"/>
            <w:r w:rsidRPr="00A723F5">
              <w:rPr>
                <w:rFonts w:ascii="Times New Roman" w:hAnsi="Times New Roman"/>
                <w:sz w:val="20"/>
                <w:szCs w:val="20"/>
                <w:lang w:val="en-US"/>
              </w:rPr>
              <w:t xml:space="preserve"> la </w:t>
            </w:r>
            <w:proofErr w:type="spellStart"/>
            <w:r w:rsidRPr="00A723F5">
              <w:rPr>
                <w:rFonts w:ascii="Times New Roman" w:hAnsi="Times New Roman"/>
                <w:sz w:val="20"/>
                <w:szCs w:val="20"/>
                <w:lang w:val="en-US"/>
              </w:rPr>
              <w:t>articolul</w:t>
            </w:r>
            <w:proofErr w:type="spellEnd"/>
            <w:r w:rsidRPr="00A723F5">
              <w:rPr>
                <w:rFonts w:ascii="Times New Roman" w:hAnsi="Times New Roman"/>
                <w:sz w:val="20"/>
                <w:szCs w:val="20"/>
                <w:lang w:val="en-US"/>
              </w:rPr>
              <w:t xml:space="preserve"> 44 </w:t>
            </w:r>
            <w:proofErr w:type="spellStart"/>
            <w:r w:rsidRPr="00A723F5">
              <w:rPr>
                <w:rFonts w:ascii="Times New Roman" w:hAnsi="Times New Roman"/>
                <w:sz w:val="20"/>
                <w:szCs w:val="20"/>
                <w:lang w:val="en-US"/>
              </w:rPr>
              <w:t>alineatul</w:t>
            </w:r>
            <w:proofErr w:type="spellEnd"/>
            <w:r w:rsidRPr="00A723F5">
              <w:rPr>
                <w:rFonts w:ascii="Times New Roman" w:hAnsi="Times New Roman"/>
                <w:sz w:val="20"/>
                <w:szCs w:val="20"/>
                <w:lang w:val="en-US"/>
              </w:rPr>
              <w:t xml:space="preserve"> (1) </w:t>
            </w:r>
            <w:proofErr w:type="spellStart"/>
            <w:r w:rsidRPr="00A723F5">
              <w:rPr>
                <w:rFonts w:ascii="Times New Roman" w:hAnsi="Times New Roman"/>
                <w:sz w:val="20"/>
                <w:szCs w:val="20"/>
                <w:lang w:val="en-US"/>
              </w:rPr>
              <w:t>litera</w:t>
            </w:r>
            <w:proofErr w:type="spellEnd"/>
            <w:r w:rsidRPr="00A723F5">
              <w:rPr>
                <w:rFonts w:ascii="Times New Roman" w:hAnsi="Times New Roman"/>
                <w:sz w:val="20"/>
                <w:szCs w:val="20"/>
                <w:lang w:val="en-US"/>
              </w:rPr>
              <w:t xml:space="preserve"> (a), </w:t>
            </w:r>
            <w:proofErr w:type="spellStart"/>
            <w:r w:rsidRPr="00A723F5">
              <w:rPr>
                <w:rFonts w:ascii="Times New Roman" w:hAnsi="Times New Roman"/>
                <w:sz w:val="20"/>
                <w:szCs w:val="20"/>
                <w:lang w:val="en-US"/>
              </w:rPr>
              <w:t>adoptă</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acte</w:t>
            </w:r>
            <w:proofErr w:type="spellEnd"/>
            <w:r w:rsidRPr="00A723F5">
              <w:rPr>
                <w:rFonts w:ascii="Times New Roman" w:hAnsi="Times New Roman"/>
                <w:sz w:val="20"/>
                <w:szCs w:val="20"/>
                <w:lang w:val="en-US"/>
              </w:rPr>
              <w:t xml:space="preserve"> de </w:t>
            </w:r>
            <w:proofErr w:type="spellStart"/>
            <w:r w:rsidRPr="00A723F5">
              <w:rPr>
                <w:rFonts w:ascii="Times New Roman" w:hAnsi="Times New Roman"/>
                <w:sz w:val="20"/>
                <w:szCs w:val="20"/>
                <w:lang w:val="en-US"/>
              </w:rPr>
              <w:t>punere</w:t>
            </w:r>
            <w:proofErr w:type="spellEnd"/>
            <w:r w:rsidRPr="00A723F5">
              <w:rPr>
                <w:rFonts w:ascii="Times New Roman" w:hAnsi="Times New Roman"/>
                <w:sz w:val="20"/>
                <w:szCs w:val="20"/>
                <w:lang w:val="en-US"/>
              </w:rPr>
              <w:t xml:space="preserve"> în </w:t>
            </w:r>
            <w:proofErr w:type="spellStart"/>
            <w:r w:rsidRPr="00A723F5">
              <w:rPr>
                <w:rFonts w:ascii="Times New Roman" w:hAnsi="Times New Roman"/>
                <w:sz w:val="20"/>
                <w:szCs w:val="20"/>
                <w:lang w:val="en-US"/>
              </w:rPr>
              <w:t>aplicare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pentru</w:t>
            </w:r>
            <w:proofErr w:type="spellEnd"/>
            <w:r w:rsidRPr="00A723F5">
              <w:rPr>
                <w:rFonts w:ascii="Times New Roman" w:hAnsi="Times New Roman"/>
                <w:sz w:val="20"/>
                <w:szCs w:val="20"/>
                <w:lang w:val="en-US"/>
              </w:rPr>
              <w:t xml:space="preserve"> a </w:t>
            </w:r>
            <w:proofErr w:type="spellStart"/>
            <w:r w:rsidRPr="00A723F5">
              <w:rPr>
                <w:rFonts w:ascii="Times New Roman" w:hAnsi="Times New Roman"/>
                <w:sz w:val="20"/>
                <w:szCs w:val="20"/>
                <w:lang w:val="en-US"/>
              </w:rPr>
              <w:t>stabili</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calendarul</w:t>
            </w:r>
            <w:proofErr w:type="spellEnd"/>
            <w:r w:rsidRPr="00A723F5">
              <w:rPr>
                <w:rFonts w:ascii="Times New Roman" w:hAnsi="Times New Roman"/>
                <w:sz w:val="20"/>
                <w:szCs w:val="20"/>
                <w:lang w:val="en-US"/>
              </w:rPr>
              <w:t xml:space="preserve"> și </w:t>
            </w:r>
            <w:proofErr w:type="spellStart"/>
            <w:r w:rsidRPr="00A723F5">
              <w:rPr>
                <w:rFonts w:ascii="Times New Roman" w:hAnsi="Times New Roman"/>
                <w:sz w:val="20"/>
                <w:szCs w:val="20"/>
                <w:lang w:val="en-US"/>
              </w:rPr>
              <w:t>procedura</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pentru</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efectuarea</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revizuirii</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cuprinzătoare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inclusiv</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sarcinile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stabilite</w:t>
            </w:r>
            <w:proofErr w:type="spellEnd"/>
            <w:r w:rsidRPr="00A723F5">
              <w:rPr>
                <w:rFonts w:ascii="Times New Roman" w:hAnsi="Times New Roman"/>
                <w:sz w:val="20"/>
                <w:szCs w:val="20"/>
                <w:lang w:val="en-US"/>
              </w:rPr>
              <w:t xml:space="preserve"> la </w:t>
            </w:r>
            <w:proofErr w:type="spellStart"/>
            <w:r w:rsidRPr="00A723F5">
              <w:rPr>
                <w:rFonts w:ascii="Times New Roman" w:hAnsi="Times New Roman"/>
                <w:sz w:val="20"/>
                <w:szCs w:val="20"/>
                <w:lang w:val="en-US"/>
              </w:rPr>
              <w:t>alineatul</w:t>
            </w:r>
            <w:proofErr w:type="spellEnd"/>
            <w:r w:rsidRPr="00A723F5">
              <w:rPr>
                <w:rFonts w:ascii="Times New Roman" w:hAnsi="Times New Roman"/>
                <w:sz w:val="20"/>
                <w:szCs w:val="20"/>
                <w:lang w:val="en-US"/>
              </w:rPr>
              <w:t xml:space="preserve"> (2) din </w:t>
            </w:r>
            <w:proofErr w:type="spellStart"/>
            <w:r w:rsidRPr="00A723F5">
              <w:rPr>
                <w:rFonts w:ascii="Times New Roman" w:hAnsi="Times New Roman"/>
                <w:sz w:val="20"/>
                <w:szCs w:val="20"/>
                <w:lang w:val="en-US"/>
              </w:rPr>
              <w:t>prezentul</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articol</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asigurând</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totodată</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consultarea</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corespunzătoare</w:t>
            </w:r>
            <w:proofErr w:type="spellEnd"/>
            <w:r w:rsidRPr="00A723F5">
              <w:rPr>
                <w:rFonts w:ascii="Times New Roman" w:hAnsi="Times New Roman"/>
                <w:sz w:val="20"/>
                <w:szCs w:val="20"/>
                <w:lang w:val="en-US"/>
              </w:rPr>
              <w:t xml:space="preserve"> a </w:t>
            </w:r>
            <w:proofErr w:type="spellStart"/>
            <w:r w:rsidRPr="00A723F5">
              <w:rPr>
                <w:rFonts w:ascii="Times New Roman" w:hAnsi="Times New Roman"/>
                <w:sz w:val="20"/>
                <w:szCs w:val="20"/>
                <w:lang w:val="en-US"/>
              </w:rPr>
              <w:t>statelor</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membre</w:t>
            </w:r>
            <w:proofErr w:type="spellEnd"/>
            <w:r w:rsidRPr="00A723F5">
              <w:rPr>
                <w:rFonts w:ascii="Times New Roman" w:hAnsi="Times New Roman"/>
                <w:sz w:val="20"/>
                <w:szCs w:val="20"/>
                <w:lang w:val="en-US"/>
              </w:rPr>
              <w:t xml:space="preserve"> în </w:t>
            </w:r>
            <w:proofErr w:type="spellStart"/>
            <w:r w:rsidRPr="00A723F5">
              <w:rPr>
                <w:rFonts w:ascii="Times New Roman" w:hAnsi="Times New Roman"/>
                <w:sz w:val="20"/>
                <w:szCs w:val="20"/>
                <w:lang w:val="en-US"/>
              </w:rPr>
              <w:t>ceea</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privește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concluziile</w:t>
            </w:r>
            <w:proofErr w:type="spellEnd"/>
            <w:r w:rsidRPr="00A723F5">
              <w:rPr>
                <w:rFonts w:ascii="Times New Roman" w:hAnsi="Times New Roman"/>
                <w:sz w:val="20"/>
                <w:szCs w:val="20"/>
                <w:lang w:val="en-US"/>
              </w:rPr>
              <w:t xml:space="preserve"> </w:t>
            </w:r>
            <w:proofErr w:type="spellStart"/>
            <w:r w:rsidRPr="00A723F5">
              <w:rPr>
                <w:rFonts w:ascii="Times New Roman" w:hAnsi="Times New Roman"/>
                <w:sz w:val="20"/>
                <w:szCs w:val="20"/>
                <w:lang w:val="en-US"/>
              </w:rPr>
              <w:t>revizuirilor</w:t>
            </w:r>
            <w:proofErr w:type="spellEnd"/>
            <w:r w:rsidRPr="00A723F5">
              <w:rPr>
                <w:rFonts w:ascii="Times New Roman" w:hAnsi="Times New Roman"/>
                <w:sz w:val="20"/>
                <w:szCs w:val="20"/>
                <w:lang w:val="en-US"/>
              </w:rPr>
              <w:t>.</w:t>
            </w:r>
          </w:p>
          <w:p w14:paraId="7A0080C1" w14:textId="77777777" w:rsidR="00296F7B" w:rsidRDefault="00296F7B" w:rsidP="00296F7B">
            <w:pPr>
              <w:spacing w:after="0" w:line="240" w:lineRule="auto"/>
              <w:jc w:val="both"/>
              <w:rPr>
                <w:rFonts w:ascii="Times New Roman" w:hAnsi="Times New Roman"/>
                <w:sz w:val="20"/>
                <w:szCs w:val="20"/>
                <w:lang w:val="fr-FR"/>
              </w:rPr>
            </w:pPr>
            <w:proofErr w:type="spellStart"/>
            <w:r w:rsidRPr="00A723F5">
              <w:rPr>
                <w:rFonts w:ascii="Times New Roman" w:hAnsi="Times New Roman"/>
                <w:sz w:val="20"/>
                <w:szCs w:val="20"/>
                <w:lang w:val="fr-FR"/>
              </w:rPr>
              <w:t>Respectivele</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se </w:t>
            </w:r>
            <w:proofErr w:type="spellStart"/>
            <w:r w:rsidRPr="00A723F5">
              <w:rPr>
                <w:rFonts w:ascii="Times New Roman" w:hAnsi="Times New Roman"/>
                <w:sz w:val="20"/>
                <w:szCs w:val="20"/>
                <w:lang w:val="fr-FR"/>
              </w:rPr>
              <w:t>adoptă</w:t>
            </w:r>
            <w:proofErr w:type="spellEnd"/>
            <w:r w:rsidRPr="00A723F5">
              <w:rPr>
                <w:rFonts w:ascii="Times New Roman" w:hAnsi="Times New Roman"/>
                <w:sz w:val="20"/>
                <w:szCs w:val="20"/>
                <w:lang w:val="fr-FR"/>
              </w:rPr>
              <w:t xml:space="preserve"> în conformitate </w:t>
            </w:r>
            <w:proofErr w:type="spellStart"/>
            <w:r w:rsidRPr="00A723F5">
              <w:rPr>
                <w:rFonts w:ascii="Times New Roman" w:hAnsi="Times New Roman"/>
                <w:sz w:val="20"/>
                <w:szCs w:val="20"/>
                <w:lang w:val="fr-FR"/>
              </w:rPr>
              <w:t>cu</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procedura</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examinare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menționată</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articolul</w:t>
            </w:r>
            <w:proofErr w:type="spellEnd"/>
            <w:r w:rsidRPr="00A723F5">
              <w:rPr>
                <w:rFonts w:ascii="Times New Roman" w:hAnsi="Times New Roman"/>
                <w:sz w:val="20"/>
                <w:szCs w:val="20"/>
                <w:lang w:val="fr-FR"/>
              </w:rPr>
              <w:t xml:space="preserve"> 44 </w:t>
            </w:r>
            <w:proofErr w:type="spellStart"/>
            <w:r w:rsidRPr="00A723F5">
              <w:rPr>
                <w:rFonts w:ascii="Times New Roman" w:hAnsi="Times New Roman"/>
                <w:sz w:val="20"/>
                <w:szCs w:val="20"/>
                <w:lang w:val="fr-FR"/>
              </w:rPr>
              <w:t>alineatul</w:t>
            </w:r>
            <w:proofErr w:type="spellEnd"/>
            <w:r w:rsidRPr="00A723F5">
              <w:rPr>
                <w:rFonts w:ascii="Times New Roman" w:hAnsi="Times New Roman"/>
                <w:sz w:val="20"/>
                <w:szCs w:val="20"/>
                <w:lang w:val="fr-FR"/>
              </w:rPr>
              <w:t xml:space="preserve"> (6).</w:t>
            </w:r>
          </w:p>
          <w:p w14:paraId="1B3C0729" w14:textId="45A18A7D" w:rsidR="00A7551F" w:rsidRPr="00A7551F" w:rsidRDefault="00000000" w:rsidP="00296F7B">
            <w:pPr>
              <w:spacing w:after="0" w:line="240" w:lineRule="auto"/>
              <w:jc w:val="both"/>
              <w:rPr>
                <w:rFonts w:ascii="Times New Roman" w:hAnsi="Times New Roman"/>
                <w:sz w:val="20"/>
                <w:szCs w:val="20"/>
                <w:lang w:val="fr-FR"/>
              </w:rPr>
            </w:pPr>
            <w:hyperlink r:id="rId47" w:tooltip="32023R0839: REPLACED" w:history="1">
              <w:r w:rsidR="00A7551F" w:rsidRPr="00A7551F">
                <w:rPr>
                  <w:rStyle w:val="af6"/>
                  <w:rFonts w:ascii="Times New Roman" w:eastAsia="Arial Unicode MS" w:hAnsi="Times New Roman"/>
                  <w:b/>
                  <w:bCs/>
                  <w:color w:val="23527C"/>
                  <w:sz w:val="20"/>
                  <w:szCs w:val="20"/>
                  <w:shd w:val="clear" w:color="auto" w:fill="FFFFFF"/>
                  <w:lang w:val="fr-FR"/>
                </w:rPr>
                <w:t>▼M3</w:t>
              </w:r>
            </w:hyperlink>
          </w:p>
          <w:p w14:paraId="2EDC8C5B" w14:textId="37BFB4F5" w:rsidR="00A7551F" w:rsidRPr="00A723F5" w:rsidRDefault="00296F7B" w:rsidP="008F5636">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(4)</w:t>
            </w:r>
            <w:r w:rsidR="00A7551F" w:rsidRPr="00A7551F">
              <w:rPr>
                <w:rFonts w:ascii="Arial Unicode MS" w:eastAsia="Arial Unicode MS" w:hAnsi="Arial Unicode MS" w:cs="Arial Unicode MS" w:hint="eastAsia"/>
                <w:color w:val="333333"/>
                <w:sz w:val="21"/>
                <w:szCs w:val="21"/>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La </w:t>
            </w:r>
            <w:proofErr w:type="spellStart"/>
            <w:r w:rsidR="00A7551F" w:rsidRPr="00A7551F">
              <w:rPr>
                <w:rFonts w:ascii="Times New Roman" w:eastAsia="Arial Unicode MS" w:hAnsi="Times New Roman"/>
                <w:sz w:val="20"/>
                <w:szCs w:val="20"/>
                <w:shd w:val="clear" w:color="auto" w:fill="FFFFFF"/>
                <w:lang w:val="fr-FR"/>
              </w:rPr>
              <w:t>finalizarea</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revizuirii</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cuprinzătoare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efectuate</w:t>
            </w:r>
            <w:proofErr w:type="spellEnd"/>
            <w:r w:rsidR="00A7551F" w:rsidRPr="00A7551F">
              <w:rPr>
                <w:rFonts w:ascii="Times New Roman" w:eastAsia="Arial Unicode MS" w:hAnsi="Times New Roman"/>
                <w:sz w:val="20"/>
                <w:szCs w:val="20"/>
                <w:shd w:val="clear" w:color="auto" w:fill="FFFFFF"/>
                <w:lang w:val="fr-FR"/>
              </w:rPr>
              <w:t xml:space="preserve"> în </w:t>
            </w:r>
            <w:proofErr w:type="spellStart"/>
            <w:r w:rsidR="00A7551F" w:rsidRPr="00A7551F">
              <w:rPr>
                <w:rFonts w:ascii="Times New Roman" w:eastAsia="Arial Unicode MS" w:hAnsi="Times New Roman"/>
                <w:sz w:val="20"/>
                <w:szCs w:val="20"/>
                <w:shd w:val="clear" w:color="auto" w:fill="FFFFFF"/>
                <w:lang w:val="fr-FR"/>
              </w:rPr>
              <w:t>temeiul</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alineatului</w:t>
            </w:r>
            <w:proofErr w:type="spellEnd"/>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(1) </w:t>
            </w:r>
            <w:proofErr w:type="spellStart"/>
            <w:r w:rsidR="00A7551F" w:rsidRPr="00A7551F">
              <w:rPr>
                <w:rFonts w:ascii="Times New Roman" w:eastAsia="Arial Unicode MS" w:hAnsi="Times New Roman"/>
                <w:sz w:val="20"/>
                <w:szCs w:val="20"/>
                <w:shd w:val="clear" w:color="auto" w:fill="FFFFFF"/>
                <w:lang w:val="fr-FR"/>
              </w:rPr>
              <w:t>din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prezentul</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articol</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Comisia</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determină</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prin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intermediul</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unor</w:t>
            </w:r>
            <w:proofErr w:type="spellEnd"/>
            <w:r w:rsidR="00A7551F" w:rsidRPr="00A7551F">
              <w:rPr>
                <w:rFonts w:ascii="Times New Roman" w:eastAsia="Arial Unicode MS" w:hAnsi="Times New Roman"/>
                <w:sz w:val="20"/>
                <w:szCs w:val="20"/>
                <w:shd w:val="clear" w:color="auto" w:fill="FFFFFF"/>
                <w:lang w:val="fr-FR"/>
              </w:rPr>
              <w:t xml:space="preserve"> acte de </w:t>
            </w:r>
            <w:proofErr w:type="spellStart"/>
            <w:r w:rsidR="00A7551F" w:rsidRPr="00A7551F">
              <w:rPr>
                <w:rFonts w:ascii="Times New Roman" w:eastAsia="Arial Unicode MS" w:hAnsi="Times New Roman"/>
                <w:sz w:val="20"/>
                <w:szCs w:val="20"/>
                <w:shd w:val="clear" w:color="auto" w:fill="FFFFFF"/>
                <w:lang w:val="fr-FR"/>
              </w:rPr>
              <w:t>punere</w:t>
            </w:r>
            <w:proofErr w:type="spellEnd"/>
            <w:r w:rsidR="00A7551F" w:rsidRPr="00A7551F">
              <w:rPr>
                <w:rFonts w:ascii="Times New Roman" w:eastAsia="Arial Unicode MS" w:hAnsi="Times New Roman"/>
                <w:sz w:val="20"/>
                <w:szCs w:val="20"/>
                <w:shd w:val="clear" w:color="auto" w:fill="FFFFFF"/>
                <w:lang w:val="fr-FR"/>
              </w:rPr>
              <w:t xml:space="preserve"> în </w:t>
            </w:r>
            <w:proofErr w:type="spellStart"/>
            <w:r w:rsidR="00A7551F" w:rsidRPr="00A7551F">
              <w:rPr>
                <w:rFonts w:ascii="Times New Roman" w:eastAsia="Arial Unicode MS" w:hAnsi="Times New Roman"/>
                <w:sz w:val="20"/>
                <w:szCs w:val="20"/>
                <w:shd w:val="clear" w:color="auto" w:fill="FFFFFF"/>
                <w:lang w:val="fr-FR"/>
              </w:rPr>
              <w:t>aplicare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suma</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totală</w:t>
            </w:r>
            <w:proofErr w:type="spellEnd"/>
            <w:r w:rsidR="00A7551F" w:rsidRPr="00A7551F">
              <w:rPr>
                <w:rFonts w:ascii="Times New Roman" w:eastAsia="Arial Unicode MS" w:hAnsi="Times New Roman"/>
                <w:sz w:val="20"/>
                <w:szCs w:val="20"/>
                <w:shd w:val="clear" w:color="auto" w:fill="FFFFFF"/>
                <w:lang w:val="fr-FR"/>
              </w:rPr>
              <w:t xml:space="preserve"> a </w:t>
            </w:r>
            <w:proofErr w:type="spellStart"/>
            <w:r w:rsidR="00A7551F" w:rsidRPr="00A7551F">
              <w:rPr>
                <w:rFonts w:ascii="Times New Roman" w:eastAsia="Arial Unicode MS" w:hAnsi="Times New Roman"/>
                <w:sz w:val="20"/>
                <w:szCs w:val="20"/>
                <w:shd w:val="clear" w:color="auto" w:fill="FFFFFF"/>
                <w:lang w:val="fr-FR"/>
              </w:rPr>
              <w:t>emisiilor</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pentru</w:t>
            </w:r>
            <w:proofErr w:type="spellEnd"/>
            <w:r w:rsidR="00A7551F" w:rsidRPr="00A7551F">
              <w:rPr>
                <w:rFonts w:ascii="Times New Roman" w:eastAsia="Arial Unicode MS" w:hAnsi="Times New Roman"/>
                <w:sz w:val="20"/>
                <w:szCs w:val="20"/>
                <w:shd w:val="clear" w:color="auto" w:fill="FFFFFF"/>
                <w:lang w:val="fr-FR"/>
              </w:rPr>
              <w:t xml:space="preserve"> anii </w:t>
            </w:r>
            <w:proofErr w:type="spellStart"/>
            <w:r w:rsidR="00A7551F" w:rsidRPr="00A7551F">
              <w:rPr>
                <w:rFonts w:ascii="Times New Roman" w:eastAsia="Arial Unicode MS" w:hAnsi="Times New Roman"/>
                <w:sz w:val="20"/>
                <w:szCs w:val="20"/>
                <w:shd w:val="clear" w:color="auto" w:fill="FFFFFF"/>
                <w:lang w:val="fr-FR"/>
              </w:rPr>
              <w:t>relevanți</w:t>
            </w:r>
            <w:proofErr w:type="spellEnd"/>
            <w:r w:rsidR="00A7551F" w:rsidRPr="00A7551F">
              <w:rPr>
                <w:rFonts w:ascii="Times New Roman" w:eastAsia="Arial Unicode MS" w:hAnsi="Times New Roman"/>
                <w:sz w:val="20"/>
                <w:szCs w:val="20"/>
                <w:shd w:val="clear" w:color="auto" w:fill="FFFFFF"/>
                <w:lang w:val="fr-FR"/>
              </w:rPr>
              <w:t xml:space="preserve">, care </w:t>
            </w:r>
            <w:proofErr w:type="spellStart"/>
            <w:r w:rsidR="00A7551F" w:rsidRPr="00A7551F">
              <w:rPr>
                <w:rFonts w:ascii="Times New Roman" w:eastAsia="Arial Unicode MS" w:hAnsi="Times New Roman"/>
                <w:sz w:val="20"/>
                <w:szCs w:val="20"/>
                <w:shd w:val="clear" w:color="auto" w:fill="FFFFFF"/>
                <w:lang w:val="fr-FR"/>
              </w:rPr>
              <w:t>rezultă</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din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datele</w:t>
            </w:r>
            <w:proofErr w:type="spellEnd"/>
            <w:r w:rsidR="00A7551F" w:rsidRPr="00A7551F">
              <w:rPr>
                <w:rFonts w:ascii="Times New Roman" w:eastAsia="Arial Unicode MS" w:hAnsi="Times New Roman"/>
                <w:sz w:val="20"/>
                <w:szCs w:val="20"/>
                <w:shd w:val="clear" w:color="auto" w:fill="FFFFFF"/>
                <w:lang w:val="fr-FR"/>
              </w:rPr>
              <w:t xml:space="preserve"> de </w:t>
            </w:r>
            <w:proofErr w:type="spellStart"/>
            <w:r w:rsidR="00A7551F" w:rsidRPr="00A7551F">
              <w:rPr>
                <w:rFonts w:ascii="Times New Roman" w:eastAsia="Arial Unicode MS" w:hAnsi="Times New Roman"/>
                <w:sz w:val="20"/>
                <w:szCs w:val="20"/>
                <w:shd w:val="clear" w:color="auto" w:fill="FFFFFF"/>
                <w:lang w:val="fr-FR"/>
              </w:rPr>
              <w:t>inventar</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corectate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pentru</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fiecare</w:t>
            </w:r>
            <w:proofErr w:type="spellEnd"/>
            <w:r w:rsidR="00A7551F" w:rsidRPr="00A7551F">
              <w:rPr>
                <w:rFonts w:ascii="Times New Roman" w:eastAsia="Arial Unicode MS" w:hAnsi="Times New Roman"/>
                <w:sz w:val="20"/>
                <w:szCs w:val="20"/>
                <w:shd w:val="clear" w:color="auto" w:fill="FFFFFF"/>
                <w:lang w:val="fr-FR"/>
              </w:rPr>
              <w:t xml:space="preserve"> stat membru, </w:t>
            </w:r>
            <w:proofErr w:type="spellStart"/>
            <w:r w:rsidR="00A7551F" w:rsidRPr="00A7551F">
              <w:rPr>
                <w:rFonts w:ascii="Times New Roman" w:eastAsia="Arial Unicode MS" w:hAnsi="Times New Roman"/>
                <w:sz w:val="20"/>
                <w:szCs w:val="20"/>
                <w:shd w:val="clear" w:color="auto" w:fill="FFFFFF"/>
                <w:lang w:val="fr-FR"/>
              </w:rPr>
              <w:t>separate</w:t>
            </w:r>
            <w:proofErr w:type="spellEnd"/>
            <w:r w:rsidR="00A7551F" w:rsidRPr="00A7551F">
              <w:rPr>
                <w:rFonts w:ascii="Times New Roman" w:eastAsia="Arial Unicode MS" w:hAnsi="Times New Roman"/>
                <w:sz w:val="20"/>
                <w:szCs w:val="20"/>
                <w:shd w:val="clear" w:color="auto" w:fill="FFFFFF"/>
                <w:lang w:val="fr-FR"/>
              </w:rPr>
              <w:t xml:space="preserve"> în date </w:t>
            </w:r>
            <w:proofErr w:type="spellStart"/>
            <w:r w:rsidR="00A7551F" w:rsidRPr="00A7551F">
              <w:rPr>
                <w:rFonts w:ascii="Times New Roman" w:eastAsia="Arial Unicode MS" w:hAnsi="Times New Roman"/>
                <w:sz w:val="20"/>
                <w:szCs w:val="20"/>
                <w:shd w:val="clear" w:color="auto" w:fill="FFFFFF"/>
                <w:lang w:val="fr-FR"/>
              </w:rPr>
              <w:t>privind</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emisiile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relevante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pentru</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articolul</w:t>
            </w:r>
            <w:proofErr w:type="spellEnd"/>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9 </w:t>
            </w:r>
            <w:proofErr w:type="spellStart"/>
            <w:r w:rsidR="00A7551F" w:rsidRPr="00A7551F">
              <w:rPr>
                <w:rFonts w:ascii="Times New Roman" w:eastAsia="Arial Unicode MS" w:hAnsi="Times New Roman"/>
                <w:sz w:val="20"/>
                <w:szCs w:val="20"/>
                <w:shd w:val="clear" w:color="auto" w:fill="FFFFFF"/>
                <w:lang w:val="fr-FR"/>
              </w:rPr>
              <w:t>din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Regulamentul</w:t>
            </w:r>
            <w:proofErr w:type="spellEnd"/>
            <w:r w:rsidR="00A7551F" w:rsidRPr="00A7551F">
              <w:rPr>
                <w:rFonts w:ascii="Times New Roman" w:eastAsia="Arial Unicode MS" w:hAnsi="Times New Roman"/>
                <w:sz w:val="20"/>
                <w:szCs w:val="20"/>
                <w:shd w:val="clear" w:color="auto" w:fill="FFFFFF"/>
                <w:lang w:val="fr-FR"/>
              </w:rPr>
              <w:t xml:space="preserve"> (UE)</w:t>
            </w:r>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2018/842 și date </w:t>
            </w:r>
            <w:proofErr w:type="spellStart"/>
            <w:r w:rsidR="00A7551F" w:rsidRPr="00A7551F">
              <w:rPr>
                <w:rFonts w:ascii="Times New Roman" w:eastAsia="Arial Unicode MS" w:hAnsi="Times New Roman"/>
                <w:sz w:val="20"/>
                <w:szCs w:val="20"/>
                <w:shd w:val="clear" w:color="auto" w:fill="FFFFFF"/>
                <w:lang w:val="fr-FR"/>
              </w:rPr>
              <w:t>privind</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emisiile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menționate</w:t>
            </w:r>
            <w:proofErr w:type="spellEnd"/>
            <w:r w:rsidR="00A7551F" w:rsidRPr="00A7551F">
              <w:rPr>
                <w:rFonts w:ascii="Times New Roman" w:eastAsia="Arial Unicode MS" w:hAnsi="Times New Roman"/>
                <w:sz w:val="20"/>
                <w:szCs w:val="20"/>
                <w:shd w:val="clear" w:color="auto" w:fill="FFFFFF"/>
                <w:lang w:val="fr-FR"/>
              </w:rPr>
              <w:t xml:space="preserve"> în </w:t>
            </w:r>
            <w:proofErr w:type="spellStart"/>
            <w:r w:rsidR="00A7551F" w:rsidRPr="00A7551F">
              <w:rPr>
                <w:rFonts w:ascii="Times New Roman" w:eastAsia="Arial Unicode MS" w:hAnsi="Times New Roman"/>
                <w:sz w:val="20"/>
                <w:szCs w:val="20"/>
                <w:shd w:val="clear" w:color="auto" w:fill="FFFFFF"/>
                <w:lang w:val="fr-FR"/>
              </w:rPr>
              <w:t>partea</w:t>
            </w:r>
            <w:proofErr w:type="spellEnd"/>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1 litera</w:t>
            </w:r>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(c) </w:t>
            </w:r>
            <w:proofErr w:type="spellStart"/>
            <w:r w:rsidR="00A7551F" w:rsidRPr="00A7551F">
              <w:rPr>
                <w:rFonts w:ascii="Times New Roman" w:eastAsia="Arial Unicode MS" w:hAnsi="Times New Roman"/>
                <w:sz w:val="20"/>
                <w:szCs w:val="20"/>
                <w:shd w:val="clear" w:color="auto" w:fill="FFFFFF"/>
                <w:lang w:val="fr-FR"/>
              </w:rPr>
              <w:t>din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anexa</w:t>
            </w:r>
            <w:proofErr w:type="spellEnd"/>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V la </w:t>
            </w:r>
            <w:proofErr w:type="spellStart"/>
            <w:r w:rsidR="00A7551F" w:rsidRPr="00A7551F">
              <w:rPr>
                <w:rFonts w:ascii="Times New Roman" w:eastAsia="Arial Unicode MS" w:hAnsi="Times New Roman"/>
                <w:sz w:val="20"/>
                <w:szCs w:val="20"/>
                <w:shd w:val="clear" w:color="auto" w:fill="FFFFFF"/>
                <w:lang w:val="fr-FR"/>
              </w:rPr>
              <w:t>prezentul</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regulament</w:t>
            </w:r>
            <w:proofErr w:type="spellEnd"/>
            <w:r w:rsidR="00A7551F" w:rsidRPr="00A7551F">
              <w:rPr>
                <w:rFonts w:ascii="Times New Roman" w:eastAsia="Arial Unicode MS" w:hAnsi="Times New Roman"/>
                <w:sz w:val="20"/>
                <w:szCs w:val="20"/>
                <w:shd w:val="clear" w:color="auto" w:fill="FFFFFF"/>
                <w:lang w:val="fr-FR"/>
              </w:rPr>
              <w:t xml:space="preserve">, și </w:t>
            </w:r>
            <w:proofErr w:type="spellStart"/>
            <w:r w:rsidR="00A7551F" w:rsidRPr="00A7551F">
              <w:rPr>
                <w:rFonts w:ascii="Times New Roman" w:eastAsia="Arial Unicode MS" w:hAnsi="Times New Roman"/>
                <w:sz w:val="20"/>
                <w:szCs w:val="20"/>
                <w:shd w:val="clear" w:color="auto" w:fill="FFFFFF"/>
                <w:lang w:val="fr-FR"/>
              </w:rPr>
              <w:t>determină</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suma</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totală</w:t>
            </w:r>
            <w:proofErr w:type="spellEnd"/>
            <w:r w:rsidR="00A7551F" w:rsidRPr="00A7551F">
              <w:rPr>
                <w:rFonts w:ascii="Times New Roman" w:eastAsia="Arial Unicode MS" w:hAnsi="Times New Roman"/>
                <w:sz w:val="20"/>
                <w:szCs w:val="20"/>
                <w:shd w:val="clear" w:color="auto" w:fill="FFFFFF"/>
                <w:lang w:val="fr-FR"/>
              </w:rPr>
              <w:t xml:space="preserve"> a </w:t>
            </w:r>
            <w:proofErr w:type="spellStart"/>
            <w:r w:rsidR="00A7551F" w:rsidRPr="00A7551F">
              <w:rPr>
                <w:rFonts w:ascii="Times New Roman" w:eastAsia="Arial Unicode MS" w:hAnsi="Times New Roman"/>
                <w:sz w:val="20"/>
                <w:szCs w:val="20"/>
                <w:shd w:val="clear" w:color="auto" w:fill="FFFFFF"/>
                <w:lang w:val="fr-FR"/>
              </w:rPr>
              <w:t>emisiilor</w:t>
            </w:r>
            <w:proofErr w:type="spellEnd"/>
            <w:r w:rsidR="00A7551F" w:rsidRPr="00A7551F">
              <w:rPr>
                <w:rFonts w:ascii="Times New Roman" w:eastAsia="Arial Unicode MS" w:hAnsi="Times New Roman"/>
                <w:sz w:val="20"/>
                <w:szCs w:val="20"/>
                <w:shd w:val="clear" w:color="auto" w:fill="FFFFFF"/>
                <w:lang w:val="fr-FR"/>
              </w:rPr>
              <w:t xml:space="preserve"> și a </w:t>
            </w:r>
            <w:proofErr w:type="spellStart"/>
            <w:r w:rsidR="00A7551F" w:rsidRPr="00A7551F">
              <w:rPr>
                <w:rFonts w:ascii="Times New Roman" w:eastAsia="Arial Unicode MS" w:hAnsi="Times New Roman"/>
                <w:sz w:val="20"/>
                <w:szCs w:val="20"/>
                <w:shd w:val="clear" w:color="auto" w:fill="FFFFFF"/>
                <w:lang w:val="fr-FR"/>
              </w:rPr>
              <w:t>absorbțiilor</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relevante</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pentru</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articolul</w:t>
            </w:r>
            <w:proofErr w:type="spellEnd"/>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 xml:space="preserve">4 </w:t>
            </w:r>
            <w:proofErr w:type="spellStart"/>
            <w:r w:rsidR="00A7551F" w:rsidRPr="00A7551F">
              <w:rPr>
                <w:rFonts w:ascii="Times New Roman" w:eastAsia="Arial Unicode MS" w:hAnsi="Times New Roman"/>
                <w:sz w:val="20"/>
                <w:szCs w:val="20"/>
                <w:shd w:val="clear" w:color="auto" w:fill="FFFFFF"/>
                <w:lang w:val="fr-FR"/>
              </w:rPr>
              <w:t>din</w:t>
            </w:r>
            <w:proofErr w:type="spellEnd"/>
            <w:r w:rsidR="00A7551F" w:rsidRPr="00A7551F">
              <w:rPr>
                <w:rFonts w:ascii="Times New Roman" w:eastAsia="Arial Unicode MS" w:hAnsi="Times New Roman"/>
                <w:sz w:val="20"/>
                <w:szCs w:val="20"/>
                <w:shd w:val="clear" w:color="auto" w:fill="FFFFFF"/>
                <w:lang w:val="fr-FR"/>
              </w:rPr>
              <w:t xml:space="preserve"> </w:t>
            </w:r>
            <w:proofErr w:type="spellStart"/>
            <w:r w:rsidR="00A7551F" w:rsidRPr="00A7551F">
              <w:rPr>
                <w:rFonts w:ascii="Times New Roman" w:eastAsia="Arial Unicode MS" w:hAnsi="Times New Roman"/>
                <w:sz w:val="20"/>
                <w:szCs w:val="20"/>
                <w:shd w:val="clear" w:color="auto" w:fill="FFFFFF"/>
                <w:lang w:val="fr-FR"/>
              </w:rPr>
              <w:t>Regulamentul</w:t>
            </w:r>
            <w:proofErr w:type="spellEnd"/>
            <w:r w:rsidR="00A7551F" w:rsidRPr="00A7551F">
              <w:rPr>
                <w:rFonts w:ascii="Times New Roman" w:eastAsia="Arial Unicode MS" w:hAnsi="Times New Roman"/>
                <w:sz w:val="20"/>
                <w:szCs w:val="20"/>
                <w:shd w:val="clear" w:color="auto" w:fill="FFFFFF"/>
                <w:lang w:val="fr-FR"/>
              </w:rPr>
              <w:t xml:space="preserve"> (UE)</w:t>
            </w:r>
            <w:r w:rsidR="00A7551F">
              <w:rPr>
                <w:rFonts w:ascii="Times New Roman" w:eastAsia="Arial Unicode MS" w:hAnsi="Times New Roman"/>
                <w:sz w:val="20"/>
                <w:szCs w:val="20"/>
                <w:shd w:val="clear" w:color="auto" w:fill="FFFFFF"/>
                <w:lang w:val="fr-FR"/>
              </w:rPr>
              <w:t xml:space="preserve"> </w:t>
            </w:r>
            <w:r w:rsidR="00A7551F" w:rsidRPr="00A7551F">
              <w:rPr>
                <w:rFonts w:ascii="Times New Roman" w:eastAsia="Arial Unicode MS" w:hAnsi="Times New Roman"/>
                <w:sz w:val="20"/>
                <w:szCs w:val="20"/>
                <w:shd w:val="clear" w:color="auto" w:fill="FFFFFF"/>
                <w:lang w:val="fr-FR"/>
              </w:rPr>
              <w:t>2018/841.</w:t>
            </w:r>
          </w:p>
          <w:p w14:paraId="7CA5362E" w14:textId="7CBCA9E9" w:rsidR="00EA19BA" w:rsidRPr="00EA19BA" w:rsidRDefault="00000000" w:rsidP="008F5636">
            <w:pPr>
              <w:pStyle w:val="ColorfulList-Accent11"/>
              <w:spacing w:after="0" w:line="240" w:lineRule="auto"/>
              <w:ind w:left="0"/>
              <w:jc w:val="both"/>
              <w:rPr>
                <w:rFonts w:ascii="Times New Roman" w:hAnsi="Times New Roman"/>
                <w:sz w:val="20"/>
                <w:szCs w:val="20"/>
                <w:shd w:val="clear" w:color="auto" w:fill="FFFFFF"/>
                <w:lang w:val="fr-FR"/>
              </w:rPr>
            </w:pPr>
            <w:hyperlink r:id="rId48" w:tooltip="32018R1999" w:history="1">
              <w:r w:rsidR="00EA19BA" w:rsidRPr="001A1E50">
                <w:rPr>
                  <w:rStyle w:val="af6"/>
                  <w:rFonts w:ascii="Times New Roman" w:eastAsia="Arial Unicode MS" w:hAnsi="Times New Roman"/>
                  <w:b/>
                  <w:bCs/>
                  <w:color w:val="auto"/>
                  <w:sz w:val="20"/>
                  <w:szCs w:val="20"/>
                  <w:shd w:val="clear" w:color="auto" w:fill="FFFFFF"/>
                  <w:lang w:val="fr-FR"/>
                </w:rPr>
                <w:t>▼B</w:t>
              </w:r>
            </w:hyperlink>
          </w:p>
          <w:p w14:paraId="3B444C8D" w14:textId="2408B219" w:rsidR="00296F7B" w:rsidRPr="00A723F5" w:rsidRDefault="00296F7B" w:rsidP="008F5636">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(5)</w:t>
            </w:r>
            <w:proofErr w:type="spellStart"/>
            <w:r w:rsidRPr="00A723F5">
              <w:rPr>
                <w:rFonts w:ascii="Times New Roman" w:hAnsi="Times New Roman"/>
                <w:sz w:val="20"/>
                <w:szCs w:val="20"/>
                <w:shd w:val="clear" w:color="auto" w:fill="FFFFFF"/>
                <w:lang w:val="fr-FR"/>
              </w:rPr>
              <w:t>Datele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fiecare</w:t>
            </w:r>
            <w:proofErr w:type="spellEnd"/>
            <w:r w:rsidRPr="00A723F5">
              <w:rPr>
                <w:rFonts w:ascii="Times New Roman" w:hAnsi="Times New Roman"/>
                <w:sz w:val="20"/>
                <w:szCs w:val="20"/>
                <w:shd w:val="clear" w:color="auto" w:fill="FFFFFF"/>
                <w:lang w:val="fr-FR"/>
              </w:rPr>
              <w:t xml:space="preserve"> stat membru </w:t>
            </w:r>
            <w:proofErr w:type="spellStart"/>
            <w:r w:rsidRPr="00A723F5">
              <w:rPr>
                <w:rFonts w:ascii="Times New Roman" w:hAnsi="Times New Roman"/>
                <w:sz w:val="20"/>
                <w:szCs w:val="20"/>
                <w:shd w:val="clear" w:color="auto" w:fill="FFFFFF"/>
                <w:lang w:val="fr-FR"/>
              </w:rPr>
              <w:t>înregistrate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registrele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instituite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15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2018/841 la </w:t>
            </w:r>
            <w:proofErr w:type="spellStart"/>
            <w:r w:rsidRPr="00A723F5">
              <w:rPr>
                <w:rFonts w:ascii="Times New Roman" w:hAnsi="Times New Roman"/>
                <w:sz w:val="20"/>
                <w:szCs w:val="20"/>
                <w:shd w:val="clear" w:color="auto" w:fill="FFFFFF"/>
                <w:lang w:val="fr-FR"/>
              </w:rPr>
              <w:t>patru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luni</w:t>
            </w:r>
            <w:proofErr w:type="spellEnd"/>
            <w:r w:rsidRPr="00A723F5">
              <w:rPr>
                <w:rFonts w:ascii="Times New Roman" w:hAnsi="Times New Roman"/>
                <w:sz w:val="20"/>
                <w:szCs w:val="20"/>
                <w:shd w:val="clear" w:color="auto" w:fill="FFFFFF"/>
                <w:lang w:val="fr-FR"/>
              </w:rPr>
              <w:t xml:space="preserve"> de la data </w:t>
            </w:r>
            <w:proofErr w:type="spellStart"/>
            <w:r w:rsidRPr="00A723F5">
              <w:rPr>
                <w:rFonts w:ascii="Times New Roman" w:hAnsi="Times New Roman"/>
                <w:sz w:val="20"/>
                <w:szCs w:val="20"/>
                <w:shd w:val="clear" w:color="auto" w:fill="FFFFFF"/>
                <w:lang w:val="fr-FR"/>
              </w:rPr>
              <w:t>publicării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unui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act</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punere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aplicare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adoptat</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alineatului</w:t>
            </w:r>
            <w:proofErr w:type="spellEnd"/>
            <w:r w:rsidRPr="00A723F5">
              <w:rPr>
                <w:rFonts w:ascii="Times New Roman" w:hAnsi="Times New Roman"/>
                <w:sz w:val="20"/>
                <w:szCs w:val="20"/>
                <w:shd w:val="clear" w:color="auto" w:fill="FFFFFF"/>
                <w:lang w:val="fr-FR"/>
              </w:rPr>
              <w:t xml:space="preserve"> (4)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 xml:space="preserve"> se </w:t>
            </w:r>
            <w:proofErr w:type="spellStart"/>
            <w:r w:rsidRPr="00A723F5">
              <w:rPr>
                <w:rFonts w:ascii="Times New Roman" w:hAnsi="Times New Roman"/>
                <w:sz w:val="20"/>
                <w:szCs w:val="20"/>
                <w:shd w:val="clear" w:color="auto" w:fill="FFFFFF"/>
                <w:lang w:val="fr-FR"/>
              </w:rPr>
              <w:t>utilizează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verificarea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w:t>
            </w:r>
            <w:proofErr w:type="spellEnd"/>
            <w:r w:rsidRPr="00A723F5">
              <w:rPr>
                <w:rFonts w:ascii="Times New Roman" w:hAnsi="Times New Roman"/>
                <w:sz w:val="20"/>
                <w:szCs w:val="20"/>
                <w:shd w:val="clear" w:color="auto" w:fill="FFFFFF"/>
                <w:lang w:val="fr-FR"/>
              </w:rPr>
              <w:t xml:space="preserve"> 4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2018/841, </w:t>
            </w:r>
            <w:proofErr w:type="spellStart"/>
            <w:r w:rsidRPr="00A723F5">
              <w:rPr>
                <w:rFonts w:ascii="Times New Roman" w:hAnsi="Times New Roman"/>
                <w:sz w:val="20"/>
                <w:szCs w:val="20"/>
                <w:shd w:val="clear" w:color="auto" w:fill="FFFFFF"/>
                <w:lang w:val="fr-FR"/>
              </w:rPr>
              <w:t>același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lucru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fiind</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valabil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inclusiv</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modificările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aduse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acestor</w:t>
            </w:r>
            <w:proofErr w:type="spellEnd"/>
            <w:r w:rsidRPr="00A723F5">
              <w:rPr>
                <w:rFonts w:ascii="Times New Roman" w:hAnsi="Times New Roman"/>
                <w:sz w:val="20"/>
                <w:szCs w:val="20"/>
                <w:shd w:val="clear" w:color="auto" w:fill="FFFFFF"/>
                <w:lang w:val="fr-FR"/>
              </w:rPr>
              <w:t xml:space="preserve"> date, care </w:t>
            </w:r>
            <w:proofErr w:type="spellStart"/>
            <w:r w:rsidRPr="00A723F5">
              <w:rPr>
                <w:rFonts w:ascii="Times New Roman" w:hAnsi="Times New Roman"/>
                <w:sz w:val="20"/>
                <w:szCs w:val="20"/>
                <w:shd w:val="clear" w:color="auto" w:fill="FFFFFF"/>
                <w:lang w:val="fr-FR"/>
              </w:rPr>
              <w:t>rezultă</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urma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faptului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statul</w:t>
            </w:r>
            <w:proofErr w:type="spellEnd"/>
            <w:r w:rsidRPr="00A723F5">
              <w:rPr>
                <w:rFonts w:ascii="Times New Roman" w:hAnsi="Times New Roman"/>
                <w:sz w:val="20"/>
                <w:szCs w:val="20"/>
                <w:shd w:val="clear" w:color="auto" w:fill="FFFFFF"/>
                <w:lang w:val="fr-FR"/>
              </w:rPr>
              <w:t xml:space="preserve"> membru în </w:t>
            </w:r>
            <w:proofErr w:type="spellStart"/>
            <w:r w:rsidRPr="00A723F5">
              <w:rPr>
                <w:rFonts w:ascii="Times New Roman" w:hAnsi="Times New Roman"/>
                <w:sz w:val="20"/>
                <w:szCs w:val="20"/>
                <w:shd w:val="clear" w:color="auto" w:fill="FFFFFF"/>
                <w:lang w:val="fr-FR"/>
              </w:rPr>
              <w:t>cauză</w:t>
            </w:r>
            <w:proofErr w:type="spellEnd"/>
            <w:r w:rsidRPr="00A723F5">
              <w:rPr>
                <w:rFonts w:ascii="Times New Roman" w:hAnsi="Times New Roman"/>
                <w:sz w:val="20"/>
                <w:szCs w:val="20"/>
                <w:shd w:val="clear" w:color="auto" w:fill="FFFFFF"/>
                <w:lang w:val="fr-FR"/>
              </w:rPr>
              <w:t xml:space="preserve"> se </w:t>
            </w:r>
            <w:proofErr w:type="spellStart"/>
            <w:r w:rsidRPr="00A723F5">
              <w:rPr>
                <w:rFonts w:ascii="Times New Roman" w:hAnsi="Times New Roman"/>
                <w:sz w:val="20"/>
                <w:szCs w:val="20"/>
                <w:shd w:val="clear" w:color="auto" w:fill="FFFFFF"/>
                <w:lang w:val="fr-FR"/>
              </w:rPr>
              <w:t>folosește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flexibilități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11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2018/841.</w:t>
            </w:r>
          </w:p>
          <w:p w14:paraId="3D54C670" w14:textId="2DA447BE" w:rsidR="00296F7B" w:rsidRPr="00061115" w:rsidRDefault="00296F7B" w:rsidP="008F5636">
            <w:pPr>
              <w:pStyle w:val="ColorfulList-Accent11"/>
              <w:spacing w:after="0" w:line="240" w:lineRule="auto"/>
              <w:ind w:left="0"/>
              <w:jc w:val="both"/>
              <w:rPr>
                <w:highlight w:val="yellow"/>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6)</w:t>
            </w:r>
            <w:proofErr w:type="spellStart"/>
            <w:r w:rsidRPr="00A723F5">
              <w:rPr>
                <w:rFonts w:ascii="Times New Roman" w:hAnsi="Times New Roman"/>
                <w:sz w:val="20"/>
                <w:szCs w:val="20"/>
                <w:shd w:val="clear" w:color="auto" w:fill="FFFFFF"/>
                <w:lang w:val="fr-FR"/>
              </w:rPr>
              <w:t>Datele</w:t>
            </w:r>
            <w:proofErr w:type="spellEnd"/>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fiecare</w:t>
            </w:r>
            <w:proofErr w:type="spellEnd"/>
            <w:r w:rsidRPr="00A723F5">
              <w:rPr>
                <w:rFonts w:ascii="Times New Roman" w:hAnsi="Times New Roman"/>
                <w:sz w:val="20"/>
                <w:szCs w:val="20"/>
                <w:shd w:val="clear" w:color="auto" w:fill="FFFFFF"/>
                <w:lang w:val="fr-FR"/>
              </w:rPr>
              <w:t xml:space="preserve"> stat membru </w:t>
            </w:r>
            <w:proofErr w:type="spellStart"/>
            <w:r w:rsidRPr="00A723F5">
              <w:rPr>
                <w:rFonts w:ascii="Times New Roman" w:hAnsi="Times New Roman"/>
                <w:sz w:val="20"/>
                <w:szCs w:val="20"/>
                <w:shd w:val="clear" w:color="auto" w:fill="FFFFFF"/>
                <w:lang w:val="fr-FR"/>
              </w:rPr>
              <w:t>înregistrate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registrele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instituite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12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2018/842 la </w:t>
            </w:r>
            <w:proofErr w:type="spellStart"/>
            <w:r w:rsidRPr="00A723F5">
              <w:rPr>
                <w:rFonts w:ascii="Times New Roman" w:hAnsi="Times New Roman"/>
                <w:sz w:val="20"/>
                <w:szCs w:val="20"/>
                <w:shd w:val="clear" w:color="auto" w:fill="FFFFFF"/>
                <w:lang w:val="fr-FR"/>
              </w:rPr>
              <w:t>două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luni</w:t>
            </w:r>
            <w:proofErr w:type="spellEnd"/>
            <w:r w:rsidRPr="00A723F5">
              <w:rPr>
                <w:rFonts w:ascii="Times New Roman" w:hAnsi="Times New Roman"/>
                <w:sz w:val="20"/>
                <w:szCs w:val="20"/>
                <w:shd w:val="clear" w:color="auto" w:fill="FFFFFF"/>
                <w:lang w:val="fr-FR"/>
              </w:rPr>
              <w:t xml:space="preserve"> de la data </w:t>
            </w:r>
            <w:proofErr w:type="spellStart"/>
            <w:r w:rsidRPr="00A723F5">
              <w:rPr>
                <w:rFonts w:ascii="Times New Roman" w:hAnsi="Times New Roman"/>
                <w:sz w:val="20"/>
                <w:szCs w:val="20"/>
                <w:shd w:val="clear" w:color="auto" w:fill="FFFFFF"/>
                <w:lang w:val="fr-FR"/>
              </w:rPr>
              <w:t>verificării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2018/841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alineatul</w:t>
            </w:r>
            <w:proofErr w:type="spellEnd"/>
            <w:r w:rsidRPr="00A723F5">
              <w:rPr>
                <w:rFonts w:ascii="Times New Roman" w:hAnsi="Times New Roman"/>
                <w:sz w:val="20"/>
                <w:szCs w:val="20"/>
                <w:shd w:val="clear" w:color="auto" w:fill="FFFFFF"/>
                <w:lang w:val="fr-FR"/>
              </w:rPr>
              <w:t xml:space="preserve"> (5)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 xml:space="preserve"> se </w:t>
            </w:r>
            <w:proofErr w:type="spellStart"/>
            <w:r w:rsidRPr="00A723F5">
              <w:rPr>
                <w:rFonts w:ascii="Times New Roman" w:hAnsi="Times New Roman"/>
                <w:sz w:val="20"/>
                <w:szCs w:val="20"/>
                <w:shd w:val="clear" w:color="auto" w:fill="FFFFFF"/>
                <w:lang w:val="fr-FR"/>
              </w:rPr>
              <w:t>utilizează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verificarea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conformității</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9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2018/842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anii 2021 și 2026. </w:t>
            </w:r>
            <w:proofErr w:type="spellStart"/>
            <w:r w:rsidRPr="00A723F5">
              <w:rPr>
                <w:rFonts w:ascii="Times New Roman" w:hAnsi="Times New Roman"/>
                <w:sz w:val="20"/>
                <w:szCs w:val="20"/>
                <w:shd w:val="clear" w:color="auto" w:fill="FFFFFF"/>
                <w:lang w:val="fr-FR"/>
              </w:rPr>
              <w:t>Verificarea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conformității</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9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2018/842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fiecare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dintre</w:t>
            </w:r>
            <w:proofErr w:type="spellEnd"/>
            <w:r w:rsidRPr="00A723F5">
              <w:rPr>
                <w:rFonts w:ascii="Times New Roman" w:hAnsi="Times New Roman"/>
                <w:sz w:val="20"/>
                <w:szCs w:val="20"/>
                <w:shd w:val="clear" w:color="auto" w:fill="FFFFFF"/>
                <w:lang w:val="fr-FR"/>
              </w:rPr>
              <w:t xml:space="preserve"> anii 2022-2025 și 2027-2030 se efectuează la o </w:t>
            </w:r>
            <w:proofErr w:type="spellStart"/>
            <w:r w:rsidRPr="00A723F5">
              <w:rPr>
                <w:rFonts w:ascii="Times New Roman" w:hAnsi="Times New Roman"/>
                <w:sz w:val="20"/>
                <w:szCs w:val="20"/>
                <w:shd w:val="clear" w:color="auto" w:fill="FFFFFF"/>
                <w:lang w:val="fr-FR"/>
              </w:rPr>
              <w:t>dată</w:t>
            </w:r>
            <w:proofErr w:type="spellEnd"/>
            <w:r w:rsidRPr="00A723F5">
              <w:rPr>
                <w:rFonts w:ascii="Times New Roman" w:hAnsi="Times New Roman"/>
                <w:sz w:val="20"/>
                <w:szCs w:val="20"/>
                <w:shd w:val="clear" w:color="auto" w:fill="FFFFFF"/>
                <w:lang w:val="fr-FR"/>
              </w:rPr>
              <w:t xml:space="preserve"> care cade la o </w:t>
            </w:r>
            <w:proofErr w:type="spellStart"/>
            <w:r w:rsidRPr="00A723F5">
              <w:rPr>
                <w:rFonts w:ascii="Times New Roman" w:hAnsi="Times New Roman"/>
                <w:sz w:val="20"/>
                <w:szCs w:val="20"/>
                <w:shd w:val="clear" w:color="auto" w:fill="FFFFFF"/>
                <w:lang w:val="fr-FR"/>
              </w:rPr>
              <w:t>lună</w:t>
            </w:r>
            <w:proofErr w:type="spellEnd"/>
            <w:r w:rsidRPr="00A723F5">
              <w:rPr>
                <w:rFonts w:ascii="Times New Roman" w:hAnsi="Times New Roman"/>
                <w:sz w:val="20"/>
                <w:szCs w:val="20"/>
                <w:shd w:val="clear" w:color="auto" w:fill="FFFFFF"/>
                <w:lang w:val="fr-FR"/>
              </w:rPr>
              <w:t xml:space="preserve"> de la data </w:t>
            </w:r>
            <w:proofErr w:type="spellStart"/>
            <w:r w:rsidRPr="00A723F5">
              <w:rPr>
                <w:rFonts w:ascii="Times New Roman" w:hAnsi="Times New Roman"/>
                <w:sz w:val="20"/>
                <w:szCs w:val="20"/>
                <w:shd w:val="clear" w:color="auto" w:fill="FFFFFF"/>
                <w:lang w:val="fr-FR"/>
              </w:rPr>
              <w:t>verificării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anul </w:t>
            </w:r>
            <w:proofErr w:type="spellStart"/>
            <w:r w:rsidRPr="00A723F5">
              <w:rPr>
                <w:rFonts w:ascii="Times New Roman" w:hAnsi="Times New Roman"/>
                <w:sz w:val="20"/>
                <w:szCs w:val="20"/>
                <w:shd w:val="clear" w:color="auto" w:fill="FFFFFF"/>
                <w:lang w:val="fr-FR"/>
              </w:rPr>
              <w:t>precedent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Această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verificare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include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modificările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aduse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datelor</w:t>
            </w:r>
            <w:proofErr w:type="spellEnd"/>
            <w:r w:rsidRPr="00A723F5">
              <w:rPr>
                <w:rFonts w:ascii="Times New Roman" w:hAnsi="Times New Roman"/>
                <w:sz w:val="20"/>
                <w:szCs w:val="20"/>
                <w:shd w:val="clear" w:color="auto" w:fill="FFFFFF"/>
                <w:lang w:val="fr-FR"/>
              </w:rPr>
              <w:t xml:space="preserve"> respective, care </w:t>
            </w:r>
            <w:proofErr w:type="spellStart"/>
            <w:r w:rsidRPr="00A723F5">
              <w:rPr>
                <w:rFonts w:ascii="Times New Roman" w:hAnsi="Times New Roman"/>
                <w:sz w:val="20"/>
                <w:szCs w:val="20"/>
                <w:shd w:val="clear" w:color="auto" w:fill="FFFFFF"/>
                <w:lang w:val="fr-FR"/>
              </w:rPr>
              <w:t>rezultă</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urma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faptului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statul</w:t>
            </w:r>
            <w:proofErr w:type="spellEnd"/>
            <w:r w:rsidRPr="00A723F5">
              <w:rPr>
                <w:rFonts w:ascii="Times New Roman" w:hAnsi="Times New Roman"/>
                <w:sz w:val="20"/>
                <w:szCs w:val="20"/>
                <w:shd w:val="clear" w:color="auto" w:fill="FFFFFF"/>
                <w:lang w:val="fr-FR"/>
              </w:rPr>
              <w:t xml:space="preserve"> membru în </w:t>
            </w:r>
            <w:proofErr w:type="spellStart"/>
            <w:r w:rsidRPr="00A723F5">
              <w:rPr>
                <w:rFonts w:ascii="Times New Roman" w:hAnsi="Times New Roman"/>
                <w:sz w:val="20"/>
                <w:szCs w:val="20"/>
                <w:shd w:val="clear" w:color="auto" w:fill="FFFFFF"/>
                <w:lang w:val="fr-FR"/>
              </w:rPr>
              <w:t>cauză</w:t>
            </w:r>
            <w:proofErr w:type="spellEnd"/>
            <w:r w:rsidRPr="00A723F5">
              <w:rPr>
                <w:rFonts w:ascii="Times New Roman" w:hAnsi="Times New Roman"/>
                <w:sz w:val="20"/>
                <w:szCs w:val="20"/>
                <w:shd w:val="clear" w:color="auto" w:fill="FFFFFF"/>
                <w:lang w:val="fr-FR"/>
              </w:rPr>
              <w:t xml:space="preserve"> se </w:t>
            </w:r>
            <w:proofErr w:type="spellStart"/>
            <w:r w:rsidRPr="00A723F5">
              <w:rPr>
                <w:rFonts w:ascii="Times New Roman" w:hAnsi="Times New Roman"/>
                <w:sz w:val="20"/>
                <w:szCs w:val="20"/>
                <w:shd w:val="clear" w:color="auto" w:fill="FFFFFF"/>
                <w:lang w:val="fr-FR"/>
              </w:rPr>
              <w:t>folosește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flexibilități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conform</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articolelor</w:t>
            </w:r>
            <w:proofErr w:type="spellEnd"/>
            <w:r w:rsidRPr="00A723F5">
              <w:rPr>
                <w:rFonts w:ascii="Times New Roman" w:hAnsi="Times New Roman"/>
                <w:sz w:val="20"/>
                <w:szCs w:val="20"/>
                <w:shd w:val="clear" w:color="auto" w:fill="FFFFFF"/>
                <w:lang w:val="fr-FR"/>
              </w:rPr>
              <w:t xml:space="preserve"> 5, 6 și 7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Regulamentul</w:t>
            </w:r>
            <w:proofErr w:type="spellEnd"/>
            <w:r w:rsidRPr="00A723F5">
              <w:rPr>
                <w:rFonts w:ascii="Times New Roman" w:hAnsi="Times New Roman"/>
                <w:sz w:val="20"/>
                <w:szCs w:val="20"/>
                <w:shd w:val="clear" w:color="auto" w:fill="FFFFFF"/>
                <w:lang w:val="fr-FR"/>
              </w:rPr>
              <w:t xml:space="preserve"> (UE) 2018/842.</w:t>
            </w:r>
          </w:p>
        </w:tc>
        <w:tc>
          <w:tcPr>
            <w:tcW w:w="4440" w:type="dxa"/>
          </w:tcPr>
          <w:p w14:paraId="784D8E33" w14:textId="77777777" w:rsidR="008F5636" w:rsidRPr="00F60510" w:rsidRDefault="008F5636" w:rsidP="00355607">
            <w:pPr>
              <w:shd w:val="clear" w:color="auto" w:fill="FFFFFF"/>
              <w:adjustRightInd w:val="0"/>
              <w:spacing w:after="0" w:line="240" w:lineRule="auto"/>
              <w:ind w:firstLine="720"/>
              <w:jc w:val="both"/>
              <w:textAlignment w:val="top"/>
              <w:rPr>
                <w:lang w:val="ro-MD"/>
              </w:rPr>
            </w:pPr>
          </w:p>
        </w:tc>
        <w:tc>
          <w:tcPr>
            <w:tcW w:w="1276" w:type="dxa"/>
          </w:tcPr>
          <w:p w14:paraId="525540B9" w14:textId="60C54536" w:rsidR="008F5636" w:rsidRPr="00296F7B" w:rsidRDefault="006E729F" w:rsidP="008F5636">
            <w:pPr>
              <w:pStyle w:val="ColorfulList-Accent11"/>
              <w:spacing w:after="0" w:line="240" w:lineRule="auto"/>
              <w:ind w:left="0"/>
              <w:jc w:val="both"/>
              <w:rPr>
                <w:lang w:val="fr-FR"/>
              </w:rPr>
            </w:pPr>
            <w:r>
              <w:rPr>
                <w:rFonts w:ascii="Times New Roman" w:hAnsi="Times New Roman"/>
                <w:sz w:val="20"/>
                <w:szCs w:val="20"/>
                <w:lang w:val="ro-RO"/>
              </w:rPr>
              <w:t>C</w:t>
            </w:r>
            <w:r w:rsidR="00220603" w:rsidRPr="00C951E7">
              <w:rPr>
                <w:rFonts w:ascii="Times New Roman" w:hAnsi="Times New Roman"/>
                <w:sz w:val="20"/>
                <w:szCs w:val="20"/>
                <w:lang w:val="ro-RO"/>
              </w:rPr>
              <w:t>ompatibil</w:t>
            </w:r>
          </w:p>
        </w:tc>
        <w:tc>
          <w:tcPr>
            <w:tcW w:w="1276" w:type="dxa"/>
          </w:tcPr>
          <w:p w14:paraId="2BA0DF56" w14:textId="77777777" w:rsidR="008F5636" w:rsidRPr="00296F7B" w:rsidRDefault="008F5636" w:rsidP="008F5636">
            <w:pPr>
              <w:pStyle w:val="ColorfulList-Accent11"/>
              <w:spacing w:after="0" w:line="240" w:lineRule="auto"/>
              <w:ind w:left="0"/>
              <w:jc w:val="both"/>
              <w:rPr>
                <w:lang w:val="fr-FR"/>
              </w:rPr>
            </w:pPr>
          </w:p>
        </w:tc>
        <w:tc>
          <w:tcPr>
            <w:tcW w:w="1701" w:type="dxa"/>
          </w:tcPr>
          <w:p w14:paraId="606CF274" w14:textId="67B6D382" w:rsidR="00355607" w:rsidRPr="00355607" w:rsidRDefault="00355607" w:rsidP="00355607">
            <w:pPr>
              <w:pStyle w:val="af3"/>
              <w:spacing w:after="0" w:line="240" w:lineRule="auto"/>
              <w:ind w:left="0"/>
              <w:jc w:val="both"/>
              <w:rPr>
                <w:rFonts w:ascii="Times New Roman" w:hAnsi="Times New Roman"/>
                <w:sz w:val="20"/>
                <w:szCs w:val="20"/>
                <w:lang w:val="ro-RO"/>
              </w:rPr>
            </w:pPr>
            <w:r>
              <w:rPr>
                <w:rFonts w:ascii="Times New Roman" w:hAnsi="Times New Roman"/>
                <w:sz w:val="20"/>
                <w:szCs w:val="20"/>
                <w:shd w:val="clear" w:color="auto" w:fill="FFFFFF"/>
                <w:lang w:val="ro-RO"/>
              </w:rPr>
              <w:t xml:space="preserve">Prevederile referitoare la revizuirea inventarelor sunt </w:t>
            </w:r>
            <w:r w:rsidR="00D63014">
              <w:rPr>
                <w:rFonts w:ascii="Times New Roman" w:hAnsi="Times New Roman"/>
                <w:sz w:val="20"/>
                <w:szCs w:val="20"/>
                <w:shd w:val="clear" w:color="auto" w:fill="FFFFFF"/>
                <w:lang w:val="ro-RO"/>
              </w:rPr>
              <w:t>transpuse</w:t>
            </w:r>
            <w:r>
              <w:rPr>
                <w:rFonts w:ascii="Times New Roman" w:hAnsi="Times New Roman"/>
                <w:sz w:val="20"/>
                <w:szCs w:val="20"/>
                <w:shd w:val="clear" w:color="auto" w:fill="FFFFFF"/>
                <w:lang w:val="ro-RO"/>
              </w:rPr>
              <w:t xml:space="preserve"> la pct.11și pct.</w:t>
            </w:r>
            <w:r w:rsidRPr="009723EB">
              <w:rPr>
                <w:rFonts w:ascii="Times New Roman" w:hAnsi="Times New Roman"/>
                <w:sz w:val="20"/>
                <w:szCs w:val="20"/>
                <w:lang w:val="pt-PT"/>
              </w:rPr>
              <w:t>21</w:t>
            </w:r>
            <w:r>
              <w:rPr>
                <w:rFonts w:ascii="Times New Roman" w:hAnsi="Times New Roman"/>
                <w:sz w:val="20"/>
                <w:szCs w:val="20"/>
                <w:vertAlign w:val="superscript"/>
                <w:lang w:val="pt-PT"/>
              </w:rPr>
              <w:t>5</w:t>
            </w:r>
            <w:r w:rsidRPr="00355607">
              <w:rPr>
                <w:rFonts w:ascii="Times New Roman" w:hAnsi="Times New Roman"/>
                <w:sz w:val="20"/>
                <w:szCs w:val="20"/>
                <w:lang w:val="pt-PT"/>
              </w:rPr>
              <w:t>-</w:t>
            </w:r>
            <w:r w:rsidRPr="009723EB">
              <w:rPr>
                <w:rFonts w:ascii="Times New Roman" w:hAnsi="Times New Roman"/>
                <w:sz w:val="20"/>
                <w:szCs w:val="20"/>
                <w:lang w:val="pt-PT"/>
              </w:rPr>
              <w:t>21</w:t>
            </w:r>
            <w:r>
              <w:rPr>
                <w:rFonts w:ascii="Times New Roman" w:hAnsi="Times New Roman"/>
                <w:sz w:val="20"/>
                <w:szCs w:val="20"/>
                <w:vertAlign w:val="superscript"/>
                <w:lang w:val="pt-PT"/>
              </w:rPr>
              <w:t>7</w:t>
            </w:r>
            <w:r w:rsidRPr="00D70655">
              <w:rPr>
                <w:rStyle w:val="apple-converted-space"/>
                <w:rFonts w:ascii="Times New Roman" w:hAnsi="Times New Roman"/>
                <w:b/>
                <w:bCs/>
                <w:sz w:val="20"/>
                <w:szCs w:val="20"/>
                <w:shd w:val="clear" w:color="auto" w:fill="FFFFFF"/>
                <w:lang w:val="ro-RO"/>
              </w:rPr>
              <w:t xml:space="preserve"> </w:t>
            </w:r>
            <w:r w:rsidRPr="00355607">
              <w:rPr>
                <w:rStyle w:val="apple-converted-space"/>
                <w:rFonts w:ascii="Times New Roman" w:hAnsi="Times New Roman"/>
                <w:sz w:val="20"/>
                <w:szCs w:val="20"/>
                <w:shd w:val="clear" w:color="auto" w:fill="FFFFFF"/>
                <w:lang w:val="ro-RO"/>
              </w:rPr>
              <w:t>din HG nr.</w:t>
            </w:r>
            <w:r w:rsidRPr="00355607">
              <w:rPr>
                <w:rFonts w:ascii="Times New Roman" w:hAnsi="Times New Roman"/>
                <w:sz w:val="20"/>
                <w:szCs w:val="20"/>
                <w:lang w:val="ro-RO"/>
              </w:rPr>
              <w:t xml:space="preserve">1277/2018 cu privire la instituirea și funcționarea sistemului național de monitorizare și raportare a emisiilor de gaze cu efect de seră și </w:t>
            </w:r>
            <w:r w:rsidRPr="00355607">
              <w:rPr>
                <w:rFonts w:ascii="Times New Roman" w:hAnsi="Times New Roman"/>
                <w:sz w:val="20"/>
                <w:szCs w:val="20"/>
                <w:lang w:val="ro-RO"/>
              </w:rPr>
              <w:lastRenderedPageBreak/>
              <w:t>altor informații relevante pentru schimbările climatice</w:t>
            </w:r>
          </w:p>
          <w:p w14:paraId="56178C44" w14:textId="77777777" w:rsidR="00355607" w:rsidRPr="00355607" w:rsidRDefault="00355607" w:rsidP="006E729F">
            <w:pPr>
              <w:pStyle w:val="ColorfulList-Accent11"/>
              <w:spacing w:after="0" w:line="240" w:lineRule="auto"/>
              <w:ind w:left="0"/>
              <w:jc w:val="both"/>
              <w:rPr>
                <w:rFonts w:ascii="Times New Roman" w:hAnsi="Times New Roman"/>
                <w:color w:val="333333"/>
                <w:sz w:val="20"/>
                <w:szCs w:val="20"/>
                <w:shd w:val="clear" w:color="auto" w:fill="FFFFFF"/>
                <w:lang w:val="ro-RO"/>
              </w:rPr>
            </w:pPr>
          </w:p>
          <w:p w14:paraId="3B24DD18" w14:textId="35FA157F" w:rsidR="00FB374C" w:rsidRDefault="00FB374C" w:rsidP="006E729F">
            <w:pPr>
              <w:pStyle w:val="ColorfulList-Accent11"/>
              <w:spacing w:after="0" w:line="240" w:lineRule="auto"/>
              <w:ind w:left="0"/>
              <w:jc w:val="both"/>
              <w:rPr>
                <w:rFonts w:ascii="Times New Roman" w:hAnsi="Times New Roman"/>
                <w:sz w:val="20"/>
                <w:szCs w:val="20"/>
                <w:shd w:val="clear" w:color="auto" w:fill="FFFFFF"/>
                <w:lang w:val="ro-RO"/>
              </w:rPr>
            </w:pPr>
            <w:proofErr w:type="spellStart"/>
            <w:r w:rsidRPr="002E56AE">
              <w:rPr>
                <w:rFonts w:ascii="Times New Roman" w:hAnsi="Times New Roman"/>
                <w:color w:val="333333"/>
                <w:sz w:val="20"/>
                <w:szCs w:val="20"/>
                <w:shd w:val="clear" w:color="auto" w:fill="FFFFFF"/>
                <w:lang w:val="fr-FR"/>
              </w:rPr>
              <w:t>Raportarea</w:t>
            </w:r>
            <w:proofErr w:type="spellEnd"/>
            <w:r w:rsidRPr="002E56AE">
              <w:rPr>
                <w:rFonts w:ascii="Times New Roman" w:hAnsi="Times New Roman"/>
                <w:color w:val="333333"/>
                <w:sz w:val="20"/>
                <w:szCs w:val="20"/>
                <w:shd w:val="clear" w:color="auto" w:fill="FFFFFF"/>
                <w:lang w:val="fr-FR"/>
              </w:rPr>
              <w:t xml:space="preserve"> în </w:t>
            </w:r>
            <w:proofErr w:type="spellStart"/>
            <w:r w:rsidRPr="002E56AE">
              <w:rPr>
                <w:rFonts w:ascii="Times New Roman" w:hAnsi="Times New Roman"/>
                <w:color w:val="333333"/>
                <w:sz w:val="20"/>
                <w:szCs w:val="20"/>
                <w:shd w:val="clear" w:color="auto" w:fill="FFFFFF"/>
                <w:lang w:val="fr-FR"/>
              </w:rPr>
              <w:t>temeiul</w:t>
            </w:r>
            <w:proofErr w:type="spellEnd"/>
            <w:r w:rsidRPr="002E56AE">
              <w:rPr>
                <w:rFonts w:ascii="Times New Roman" w:hAnsi="Times New Roman"/>
                <w:color w:val="333333"/>
                <w:sz w:val="20"/>
                <w:szCs w:val="20"/>
                <w:shd w:val="clear" w:color="auto" w:fill="FFFFFF"/>
                <w:lang w:val="fr-FR"/>
              </w:rPr>
              <w:t xml:space="preserve"> </w:t>
            </w:r>
            <w:r w:rsidRPr="008A485A">
              <w:rPr>
                <w:rFonts w:ascii="Times New Roman" w:hAnsi="Times New Roman"/>
                <w:color w:val="333333"/>
                <w:sz w:val="20"/>
                <w:szCs w:val="20"/>
                <w:shd w:val="clear" w:color="auto" w:fill="FFFFFF"/>
                <w:lang w:val="ro-MD"/>
              </w:rPr>
              <w:t>Regulamentul</w:t>
            </w:r>
            <w:r>
              <w:rPr>
                <w:rFonts w:ascii="Times New Roman" w:hAnsi="Times New Roman"/>
                <w:color w:val="333333"/>
                <w:sz w:val="20"/>
                <w:szCs w:val="20"/>
                <w:shd w:val="clear" w:color="auto" w:fill="FFFFFF"/>
                <w:lang w:val="ro-MD"/>
              </w:rPr>
              <w:t>ui</w:t>
            </w:r>
            <w:r w:rsidRPr="008A485A">
              <w:rPr>
                <w:rFonts w:ascii="Times New Roman" w:hAnsi="Times New Roman"/>
                <w:color w:val="333333"/>
                <w:sz w:val="20"/>
                <w:szCs w:val="20"/>
                <w:shd w:val="clear" w:color="auto" w:fill="FFFFFF"/>
                <w:lang w:val="ro-MD"/>
              </w:rPr>
              <w:t xml:space="preserve"> (UE) 2018/84</w:t>
            </w:r>
            <w:r>
              <w:rPr>
                <w:rFonts w:ascii="Times New Roman" w:hAnsi="Times New Roman"/>
                <w:color w:val="333333"/>
                <w:sz w:val="20"/>
                <w:szCs w:val="20"/>
                <w:shd w:val="clear" w:color="auto" w:fill="FFFFFF"/>
                <w:lang w:val="ro-MD"/>
              </w:rPr>
              <w:t xml:space="preserve">1 și </w:t>
            </w:r>
            <w:r w:rsidRPr="008A485A">
              <w:rPr>
                <w:rFonts w:ascii="Times New Roman" w:hAnsi="Times New Roman"/>
                <w:color w:val="333333"/>
                <w:sz w:val="20"/>
                <w:szCs w:val="20"/>
                <w:shd w:val="clear" w:color="auto" w:fill="FFFFFF"/>
                <w:lang w:val="ro-MD"/>
              </w:rPr>
              <w:t>Regulamentul</w:t>
            </w:r>
            <w:r>
              <w:rPr>
                <w:rFonts w:ascii="Times New Roman" w:hAnsi="Times New Roman"/>
                <w:color w:val="333333"/>
                <w:sz w:val="20"/>
                <w:szCs w:val="20"/>
                <w:shd w:val="clear" w:color="auto" w:fill="FFFFFF"/>
                <w:lang w:val="ro-MD"/>
              </w:rPr>
              <w:t>ui</w:t>
            </w:r>
            <w:r w:rsidRPr="008A485A">
              <w:rPr>
                <w:rFonts w:ascii="Times New Roman" w:hAnsi="Times New Roman"/>
                <w:color w:val="333333"/>
                <w:sz w:val="20"/>
                <w:szCs w:val="20"/>
                <w:shd w:val="clear" w:color="auto" w:fill="FFFFFF"/>
                <w:lang w:val="ro-MD"/>
              </w:rPr>
              <w:t xml:space="preserve"> (UE) 2018/84</w:t>
            </w:r>
            <w:r>
              <w:rPr>
                <w:rFonts w:ascii="Times New Roman" w:hAnsi="Times New Roman"/>
                <w:color w:val="333333"/>
                <w:sz w:val="20"/>
                <w:szCs w:val="20"/>
                <w:shd w:val="clear" w:color="auto" w:fill="FFFFFF"/>
                <w:lang w:val="ro-MD"/>
              </w:rPr>
              <w:t xml:space="preserve">2 </w:t>
            </w:r>
            <w:r>
              <w:rPr>
                <w:rFonts w:ascii="Times New Roman" w:hAnsi="Times New Roman"/>
                <w:color w:val="333333"/>
                <w:sz w:val="20"/>
                <w:szCs w:val="20"/>
                <w:shd w:val="clear" w:color="auto" w:fill="FFFFFF"/>
                <w:lang w:val="fr-FR"/>
              </w:rPr>
              <w:t xml:space="preserve">nu </w:t>
            </w:r>
            <w:proofErr w:type="spellStart"/>
            <w:r>
              <w:rPr>
                <w:rFonts w:ascii="Times New Roman" w:hAnsi="Times New Roman"/>
                <w:color w:val="333333"/>
                <w:sz w:val="20"/>
                <w:szCs w:val="20"/>
                <w:shd w:val="clear" w:color="auto" w:fill="FFFFFF"/>
                <w:lang w:val="fr-FR"/>
              </w:rPr>
              <w:t>sunt</w:t>
            </w:r>
            <w:proofErr w:type="spellEnd"/>
            <w:r>
              <w:rPr>
                <w:rFonts w:ascii="Times New Roman" w:hAnsi="Times New Roman"/>
                <w:color w:val="333333"/>
                <w:sz w:val="20"/>
                <w:szCs w:val="20"/>
                <w:shd w:val="clear" w:color="auto" w:fill="FFFFFF"/>
                <w:lang w:val="fr-FR"/>
              </w:rPr>
              <w:t xml:space="preserve"> </w:t>
            </w:r>
            <w:proofErr w:type="spellStart"/>
            <w:r>
              <w:rPr>
                <w:rFonts w:ascii="Times New Roman" w:hAnsi="Times New Roman"/>
                <w:color w:val="333333"/>
                <w:sz w:val="20"/>
                <w:szCs w:val="20"/>
                <w:shd w:val="clear" w:color="auto" w:fill="FFFFFF"/>
                <w:lang w:val="fr-FR"/>
              </w:rPr>
              <w:t>relevante</w:t>
            </w:r>
            <w:proofErr w:type="spellEnd"/>
            <w:r>
              <w:rPr>
                <w:rFonts w:ascii="Times New Roman" w:hAnsi="Times New Roman"/>
                <w:color w:val="333333"/>
                <w:sz w:val="20"/>
                <w:szCs w:val="20"/>
                <w:shd w:val="clear" w:color="auto" w:fill="FFFFFF"/>
                <w:lang w:val="fr-FR"/>
              </w:rPr>
              <w:t xml:space="preserve"> </w:t>
            </w:r>
            <w:proofErr w:type="spellStart"/>
            <w:r>
              <w:rPr>
                <w:rFonts w:ascii="Times New Roman" w:hAnsi="Times New Roman"/>
                <w:color w:val="333333"/>
                <w:sz w:val="20"/>
                <w:szCs w:val="20"/>
                <w:shd w:val="clear" w:color="auto" w:fill="FFFFFF"/>
                <w:lang w:val="fr-FR"/>
              </w:rPr>
              <w:t>pentru</w:t>
            </w:r>
            <w:proofErr w:type="spellEnd"/>
            <w:r>
              <w:rPr>
                <w:rFonts w:ascii="Times New Roman" w:hAnsi="Times New Roman"/>
                <w:color w:val="333333"/>
                <w:sz w:val="20"/>
                <w:szCs w:val="20"/>
                <w:shd w:val="clear" w:color="auto" w:fill="FFFFFF"/>
                <w:lang w:val="fr-FR"/>
              </w:rPr>
              <w:t xml:space="preserve"> </w:t>
            </w:r>
            <w:proofErr w:type="spellStart"/>
            <w:r>
              <w:rPr>
                <w:rFonts w:ascii="Times New Roman" w:hAnsi="Times New Roman"/>
                <w:color w:val="333333"/>
                <w:sz w:val="20"/>
                <w:szCs w:val="20"/>
                <w:shd w:val="clear" w:color="auto" w:fill="FFFFFF"/>
                <w:lang w:val="fr-FR"/>
              </w:rPr>
              <w:t>Republica</w:t>
            </w:r>
            <w:proofErr w:type="spellEnd"/>
            <w:r>
              <w:rPr>
                <w:rFonts w:ascii="Times New Roman" w:hAnsi="Times New Roman"/>
                <w:color w:val="333333"/>
                <w:sz w:val="20"/>
                <w:szCs w:val="20"/>
                <w:shd w:val="clear" w:color="auto" w:fill="FFFFFF"/>
                <w:lang w:val="fr-FR"/>
              </w:rPr>
              <w:t xml:space="preserve"> Moldova, </w:t>
            </w:r>
            <w:proofErr w:type="spellStart"/>
            <w:r>
              <w:rPr>
                <w:rFonts w:ascii="Times New Roman" w:hAnsi="Times New Roman"/>
                <w:color w:val="333333"/>
                <w:sz w:val="20"/>
                <w:szCs w:val="20"/>
                <w:shd w:val="clear" w:color="auto" w:fill="FFFFFF"/>
                <w:lang w:val="fr-FR"/>
              </w:rPr>
              <w:t>pănă</w:t>
            </w:r>
            <w:proofErr w:type="spellEnd"/>
            <w:r>
              <w:rPr>
                <w:rFonts w:ascii="Times New Roman" w:hAnsi="Times New Roman"/>
                <w:color w:val="333333"/>
                <w:sz w:val="20"/>
                <w:szCs w:val="20"/>
                <w:shd w:val="clear" w:color="auto" w:fill="FFFFFF"/>
                <w:lang w:val="fr-FR"/>
              </w:rPr>
              <w:t xml:space="preserve"> la </w:t>
            </w:r>
            <w:proofErr w:type="spellStart"/>
            <w:r>
              <w:rPr>
                <w:rFonts w:ascii="Times New Roman" w:hAnsi="Times New Roman"/>
                <w:color w:val="333333"/>
                <w:sz w:val="20"/>
                <w:szCs w:val="20"/>
                <w:shd w:val="clear" w:color="auto" w:fill="FFFFFF"/>
                <w:lang w:val="fr-FR"/>
              </w:rPr>
              <w:t>etapa</w:t>
            </w:r>
            <w:proofErr w:type="spellEnd"/>
            <w:r>
              <w:rPr>
                <w:rFonts w:ascii="Times New Roman" w:hAnsi="Times New Roman"/>
                <w:color w:val="333333"/>
                <w:sz w:val="20"/>
                <w:szCs w:val="20"/>
                <w:shd w:val="clear" w:color="auto" w:fill="FFFFFF"/>
                <w:lang w:val="fr-FR"/>
              </w:rPr>
              <w:t xml:space="preserve"> </w:t>
            </w:r>
            <w:proofErr w:type="spellStart"/>
            <w:proofErr w:type="gramStart"/>
            <w:r>
              <w:rPr>
                <w:rFonts w:ascii="Times New Roman" w:hAnsi="Times New Roman"/>
                <w:color w:val="333333"/>
                <w:sz w:val="20"/>
                <w:szCs w:val="20"/>
                <w:shd w:val="clear" w:color="auto" w:fill="FFFFFF"/>
                <w:lang w:val="fr-FR"/>
              </w:rPr>
              <w:t>transpunerii</w:t>
            </w:r>
            <w:proofErr w:type="spellEnd"/>
            <w:r>
              <w:rPr>
                <w:rFonts w:ascii="Times New Roman" w:hAnsi="Times New Roman"/>
                <w:color w:val="333333"/>
                <w:sz w:val="20"/>
                <w:szCs w:val="20"/>
                <w:shd w:val="clear" w:color="auto" w:fill="FFFFFF"/>
                <w:lang w:val="fr-FR"/>
              </w:rPr>
              <w:t xml:space="preserve"> </w:t>
            </w:r>
            <w:r w:rsidRPr="002E56AE">
              <w:rPr>
                <w:rFonts w:ascii="Times New Roman" w:hAnsi="Times New Roman"/>
                <w:color w:val="333333"/>
                <w:sz w:val="20"/>
                <w:szCs w:val="20"/>
                <w:shd w:val="clear" w:color="auto" w:fill="FFFFFF"/>
                <w:lang w:val="fr-FR"/>
              </w:rPr>
              <w:t xml:space="preserve"> </w:t>
            </w:r>
            <w:proofErr w:type="spellStart"/>
            <w:r>
              <w:rPr>
                <w:rFonts w:ascii="Times New Roman" w:hAnsi="Times New Roman"/>
                <w:color w:val="333333"/>
                <w:sz w:val="20"/>
                <w:szCs w:val="20"/>
                <w:shd w:val="clear" w:color="auto" w:fill="FFFFFF"/>
                <w:lang w:val="fr-FR"/>
              </w:rPr>
              <w:t>acestui</w:t>
            </w:r>
            <w:proofErr w:type="spellEnd"/>
            <w:proofErr w:type="gramEnd"/>
            <w:r>
              <w:rPr>
                <w:rFonts w:ascii="Times New Roman" w:hAnsi="Times New Roman"/>
                <w:color w:val="333333"/>
                <w:sz w:val="20"/>
                <w:szCs w:val="20"/>
                <w:shd w:val="clear" w:color="auto" w:fill="FFFFFF"/>
                <w:lang w:val="fr-FR"/>
              </w:rPr>
              <w:t xml:space="preserve"> </w:t>
            </w:r>
            <w:proofErr w:type="spellStart"/>
            <w:r>
              <w:rPr>
                <w:rFonts w:ascii="Times New Roman" w:hAnsi="Times New Roman"/>
                <w:color w:val="333333"/>
                <w:sz w:val="20"/>
                <w:szCs w:val="20"/>
                <w:shd w:val="clear" w:color="auto" w:fill="FFFFFF"/>
                <w:lang w:val="fr-FR"/>
              </w:rPr>
              <w:t>Regulament</w:t>
            </w:r>
            <w:proofErr w:type="spellEnd"/>
          </w:p>
          <w:p w14:paraId="6A9554F5" w14:textId="77777777" w:rsidR="00FB374C" w:rsidRDefault="00FB374C" w:rsidP="006E729F">
            <w:pPr>
              <w:pStyle w:val="ColorfulList-Accent11"/>
              <w:spacing w:after="0" w:line="240" w:lineRule="auto"/>
              <w:ind w:left="0"/>
              <w:jc w:val="both"/>
              <w:rPr>
                <w:rFonts w:ascii="Times New Roman" w:hAnsi="Times New Roman"/>
                <w:sz w:val="20"/>
                <w:szCs w:val="20"/>
                <w:shd w:val="clear" w:color="auto" w:fill="FFFFFF"/>
                <w:lang w:val="ro-RO"/>
              </w:rPr>
            </w:pPr>
          </w:p>
          <w:p w14:paraId="73444374" w14:textId="77777777" w:rsidR="00FB374C" w:rsidRDefault="00FB374C" w:rsidP="006E729F">
            <w:pPr>
              <w:pStyle w:val="ColorfulList-Accent11"/>
              <w:spacing w:after="0" w:line="240" w:lineRule="auto"/>
              <w:ind w:left="0"/>
              <w:jc w:val="both"/>
              <w:rPr>
                <w:rFonts w:ascii="Times New Roman" w:hAnsi="Times New Roman"/>
                <w:sz w:val="20"/>
                <w:szCs w:val="20"/>
                <w:shd w:val="clear" w:color="auto" w:fill="FFFFFF"/>
                <w:lang w:val="ro-RO"/>
              </w:rPr>
            </w:pPr>
          </w:p>
          <w:p w14:paraId="5B82ADEC" w14:textId="77777777" w:rsidR="00FB374C" w:rsidRDefault="00FB374C" w:rsidP="006E729F">
            <w:pPr>
              <w:pStyle w:val="ColorfulList-Accent11"/>
              <w:spacing w:after="0" w:line="240" w:lineRule="auto"/>
              <w:ind w:left="0"/>
              <w:jc w:val="both"/>
              <w:rPr>
                <w:rFonts w:ascii="Times New Roman" w:hAnsi="Times New Roman"/>
                <w:sz w:val="20"/>
                <w:szCs w:val="20"/>
                <w:shd w:val="clear" w:color="auto" w:fill="FFFFFF"/>
                <w:lang w:val="ro-RO"/>
              </w:rPr>
            </w:pPr>
          </w:p>
          <w:p w14:paraId="55A4AFD2" w14:textId="1CDCBE71" w:rsidR="008F5636" w:rsidRPr="00220603" w:rsidRDefault="006E729F" w:rsidP="006E729F">
            <w:pPr>
              <w:pStyle w:val="ColorfulList-Accent11"/>
              <w:spacing w:after="0" w:line="240" w:lineRule="auto"/>
              <w:ind w:left="0"/>
              <w:jc w:val="both"/>
              <w:rPr>
                <w:lang w:val="ro-MD"/>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2F0C4073" w14:textId="77777777" w:rsidR="00220603" w:rsidRDefault="00220603" w:rsidP="00220603">
            <w:pPr>
              <w:pStyle w:val="ColorfulList-Accent11"/>
              <w:spacing w:after="0" w:line="240" w:lineRule="auto"/>
              <w:ind w:left="0"/>
              <w:jc w:val="both"/>
              <w:rPr>
                <w:rFonts w:ascii="Times New Roman" w:hAnsi="Times New Roman"/>
                <w:sz w:val="20"/>
                <w:szCs w:val="20"/>
                <w:lang w:val="fr-FR"/>
              </w:rPr>
            </w:pPr>
            <w:proofErr w:type="spellStart"/>
            <w:r w:rsidRPr="00D16D6D">
              <w:rPr>
                <w:rFonts w:ascii="Times New Roman" w:hAnsi="Times New Roman"/>
                <w:sz w:val="20"/>
                <w:szCs w:val="20"/>
                <w:lang w:val="fr-FR"/>
              </w:rPr>
              <w:lastRenderedPageBreak/>
              <w:t>Ministerul</w:t>
            </w:r>
            <w:proofErr w:type="spellEnd"/>
            <w:r w:rsidRPr="00D16D6D">
              <w:rPr>
                <w:rFonts w:ascii="Times New Roman" w:hAnsi="Times New Roman"/>
                <w:sz w:val="20"/>
                <w:szCs w:val="20"/>
                <w:lang w:val="fr-FR"/>
              </w:rPr>
              <w:t xml:space="preserve"> </w:t>
            </w:r>
            <w:proofErr w:type="spellStart"/>
            <w:r w:rsidRPr="00D16D6D">
              <w:rPr>
                <w:rFonts w:ascii="Times New Roman" w:hAnsi="Times New Roman"/>
                <w:sz w:val="20"/>
                <w:szCs w:val="20"/>
                <w:lang w:val="fr-FR"/>
              </w:rPr>
              <w:t>Mediului</w:t>
            </w:r>
            <w:proofErr w:type="spellEnd"/>
          </w:p>
          <w:p w14:paraId="04114F07" w14:textId="77777777" w:rsidR="00220603" w:rsidRPr="00D16D6D" w:rsidRDefault="00220603" w:rsidP="00220603">
            <w:pPr>
              <w:pStyle w:val="ColorfulList-Accent11"/>
              <w:spacing w:after="0" w:line="240" w:lineRule="auto"/>
              <w:ind w:left="0"/>
              <w:jc w:val="both"/>
              <w:rPr>
                <w:rFonts w:ascii="Times New Roman" w:hAnsi="Times New Roman"/>
                <w:sz w:val="20"/>
                <w:szCs w:val="20"/>
                <w:lang w:val="fr-FR"/>
              </w:rPr>
            </w:pPr>
          </w:p>
          <w:p w14:paraId="29F9F35E" w14:textId="27116B74" w:rsidR="008F5636" w:rsidRPr="00296F7B" w:rsidRDefault="00220603" w:rsidP="00220603">
            <w:pPr>
              <w:pStyle w:val="ColorfulList-Accent11"/>
              <w:spacing w:after="0" w:line="240" w:lineRule="auto"/>
              <w:ind w:left="0"/>
              <w:jc w:val="both"/>
              <w:rPr>
                <w:lang w:val="fr-FR"/>
              </w:rPr>
            </w:pPr>
            <w:proofErr w:type="spellStart"/>
            <w:r w:rsidRPr="00D16D6D">
              <w:rPr>
                <w:rFonts w:ascii="Times New Roman" w:hAnsi="Times New Roman"/>
                <w:sz w:val="20"/>
                <w:szCs w:val="20"/>
                <w:lang w:val="fr-FR"/>
              </w:rPr>
              <w:t>A</w:t>
            </w:r>
            <w:r>
              <w:rPr>
                <w:rFonts w:ascii="Times New Roman" w:hAnsi="Times New Roman"/>
                <w:sz w:val="20"/>
                <w:szCs w:val="20"/>
                <w:lang w:val="fr-FR"/>
              </w:rPr>
              <w:t>g</w:t>
            </w:r>
            <w:r w:rsidRPr="00D16D6D">
              <w:rPr>
                <w:rFonts w:ascii="Times New Roman" w:hAnsi="Times New Roman"/>
                <w:sz w:val="20"/>
                <w:szCs w:val="20"/>
                <w:lang w:val="fr-FR"/>
              </w:rPr>
              <w:t>enția</w:t>
            </w:r>
            <w:proofErr w:type="spellEnd"/>
            <w:r w:rsidRPr="00D16D6D">
              <w:rPr>
                <w:rFonts w:ascii="Times New Roman" w:hAnsi="Times New Roman"/>
                <w:sz w:val="20"/>
                <w:szCs w:val="20"/>
                <w:lang w:val="fr-FR"/>
              </w:rPr>
              <w:t xml:space="preserve"> de </w:t>
            </w:r>
            <w:proofErr w:type="spellStart"/>
            <w:r w:rsidRPr="00D16D6D">
              <w:rPr>
                <w:rFonts w:ascii="Times New Roman" w:hAnsi="Times New Roman"/>
                <w:sz w:val="20"/>
                <w:szCs w:val="20"/>
                <w:lang w:val="fr-FR"/>
              </w:rPr>
              <w:t>Mediu</w:t>
            </w:r>
            <w:proofErr w:type="spellEnd"/>
          </w:p>
        </w:tc>
      </w:tr>
      <w:tr w:rsidR="008F5636" w:rsidRPr="00745D9A" w14:paraId="54C92E0C" w14:textId="77777777" w:rsidTr="00A90105">
        <w:tc>
          <w:tcPr>
            <w:tcW w:w="4945" w:type="dxa"/>
          </w:tcPr>
          <w:p w14:paraId="579160D6" w14:textId="77777777" w:rsidR="008F5636" w:rsidRPr="00A723F5" w:rsidRDefault="008F5636" w:rsidP="00220603">
            <w:pPr>
              <w:spacing w:after="0" w:line="240" w:lineRule="auto"/>
              <w:jc w:val="center"/>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lastRenderedPageBreak/>
              <w:t>Articolul</w:t>
            </w:r>
            <w:proofErr w:type="spellEnd"/>
            <w:r w:rsidRPr="00A723F5">
              <w:rPr>
                <w:rFonts w:ascii="Times New Roman" w:hAnsi="Times New Roman"/>
                <w:sz w:val="20"/>
                <w:szCs w:val="20"/>
                <w:lang w:val="en-US" w:eastAsia="ru-RU"/>
              </w:rPr>
              <w:t xml:space="preserve"> 39</w:t>
            </w:r>
          </w:p>
          <w:p w14:paraId="7F3CCFC6" w14:textId="77777777" w:rsidR="008F5636" w:rsidRPr="00A723F5" w:rsidRDefault="008F5636" w:rsidP="00220603">
            <w:pPr>
              <w:spacing w:after="0" w:line="240" w:lineRule="auto"/>
              <w:jc w:val="center"/>
              <w:rPr>
                <w:rFonts w:ascii="Times New Roman" w:hAnsi="Times New Roman"/>
                <w:b/>
                <w:bCs/>
                <w:sz w:val="20"/>
                <w:szCs w:val="20"/>
                <w:lang w:val="en-US" w:eastAsia="ru-RU"/>
              </w:rPr>
            </w:pPr>
            <w:proofErr w:type="spellStart"/>
            <w:r w:rsidRPr="00A723F5">
              <w:rPr>
                <w:rFonts w:ascii="Times New Roman" w:hAnsi="Times New Roman"/>
                <w:b/>
                <w:bCs/>
                <w:sz w:val="20"/>
                <w:szCs w:val="20"/>
                <w:lang w:val="en-US" w:eastAsia="ru-RU"/>
              </w:rPr>
              <w:t>Sistemele</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Uniunii</w:t>
            </w:r>
            <w:proofErr w:type="spellEnd"/>
            <w:r w:rsidRPr="00A723F5">
              <w:rPr>
                <w:rFonts w:ascii="Times New Roman" w:hAnsi="Times New Roman"/>
                <w:b/>
                <w:bCs/>
                <w:sz w:val="20"/>
                <w:szCs w:val="20"/>
                <w:lang w:val="en-US" w:eastAsia="ru-RU"/>
              </w:rPr>
              <w:t xml:space="preserve"> și </w:t>
            </w:r>
            <w:proofErr w:type="spellStart"/>
            <w:r w:rsidRPr="00A723F5">
              <w:rPr>
                <w:rFonts w:ascii="Times New Roman" w:hAnsi="Times New Roman"/>
                <w:b/>
                <w:bCs/>
                <w:sz w:val="20"/>
                <w:szCs w:val="20"/>
                <w:lang w:val="en-US" w:eastAsia="ru-RU"/>
              </w:rPr>
              <w:t>sistemele</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naționale</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pentru</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politici</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măsuri</w:t>
            </w:r>
            <w:proofErr w:type="spellEnd"/>
            <w:r w:rsidRPr="00A723F5">
              <w:rPr>
                <w:rFonts w:ascii="Times New Roman" w:hAnsi="Times New Roman"/>
                <w:b/>
                <w:bCs/>
                <w:sz w:val="20"/>
                <w:szCs w:val="20"/>
                <w:lang w:val="en-US" w:eastAsia="ru-RU"/>
              </w:rPr>
              <w:t xml:space="preserve"> și </w:t>
            </w:r>
            <w:proofErr w:type="spellStart"/>
            <w:r w:rsidRPr="00A723F5">
              <w:rPr>
                <w:rFonts w:ascii="Times New Roman" w:hAnsi="Times New Roman"/>
                <w:b/>
                <w:bCs/>
                <w:sz w:val="20"/>
                <w:szCs w:val="20"/>
                <w:lang w:val="en-US" w:eastAsia="ru-RU"/>
              </w:rPr>
              <w:t>prognoze</w:t>
            </w:r>
            <w:proofErr w:type="spellEnd"/>
          </w:p>
          <w:p w14:paraId="5AFBDD8F" w14:textId="618EF709" w:rsidR="008F5636" w:rsidRPr="00A723F5" w:rsidRDefault="008F5636" w:rsidP="00220603">
            <w:pPr>
              <w:spacing w:after="0" w:line="240" w:lineRule="auto"/>
              <w:jc w:val="both"/>
              <w:rPr>
                <w:rFonts w:ascii="Times New Roman" w:hAnsi="Times New Roman"/>
                <w:sz w:val="20"/>
                <w:szCs w:val="20"/>
                <w:lang w:val="fr-FR" w:eastAsia="ru-RU"/>
              </w:rPr>
            </w:pPr>
            <w:r w:rsidRPr="00A723F5">
              <w:rPr>
                <w:rFonts w:ascii="Times New Roman" w:hAnsi="Times New Roman"/>
                <w:sz w:val="20"/>
                <w:szCs w:val="20"/>
                <w:lang w:val="en-US" w:eastAsia="ru-RU"/>
              </w:rPr>
              <w:t>(</w:t>
            </w:r>
            <w:proofErr w:type="gramStart"/>
            <w:r w:rsidRPr="00A723F5">
              <w:rPr>
                <w:rFonts w:ascii="Times New Roman" w:hAnsi="Times New Roman"/>
                <w:sz w:val="20"/>
                <w:szCs w:val="20"/>
                <w:lang w:val="en-US" w:eastAsia="ru-RU"/>
              </w:rPr>
              <w:t>1)</w:t>
            </w:r>
            <w:proofErr w:type="spellStart"/>
            <w:r w:rsidRPr="00A723F5">
              <w:rPr>
                <w:rFonts w:ascii="Times New Roman" w:hAnsi="Times New Roman"/>
                <w:sz w:val="20"/>
                <w:szCs w:val="20"/>
                <w:lang w:val="en-US" w:eastAsia="ru-RU"/>
              </w:rPr>
              <w:t>Până</w:t>
            </w:r>
            <w:proofErr w:type="spellEnd"/>
            <w:proofErr w:type="gramEnd"/>
            <w:r w:rsidRPr="00A723F5">
              <w:rPr>
                <w:rFonts w:ascii="Times New Roman" w:hAnsi="Times New Roman"/>
                <w:sz w:val="20"/>
                <w:szCs w:val="20"/>
                <w:lang w:val="en-US" w:eastAsia="ru-RU"/>
              </w:rPr>
              <w:t xml:space="preserve"> la</w:t>
            </w:r>
            <w:r w:rsidR="00220603" w:rsidRPr="00A723F5">
              <w:rPr>
                <w:rFonts w:ascii="Times New Roman" w:hAnsi="Times New Roman"/>
                <w:sz w:val="20"/>
                <w:szCs w:val="20"/>
                <w:lang w:val="en-US" w:eastAsia="ru-RU"/>
              </w:rPr>
              <w:t xml:space="preserve"> </w:t>
            </w:r>
            <w:r w:rsidRPr="00A723F5">
              <w:rPr>
                <w:rFonts w:ascii="Times New Roman" w:hAnsi="Times New Roman"/>
                <w:sz w:val="20"/>
                <w:szCs w:val="20"/>
                <w:lang w:val="en-US" w:eastAsia="ru-RU"/>
              </w:rPr>
              <w:t>1</w:t>
            </w:r>
            <w:r w:rsidR="00220603"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ianuarie</w:t>
            </w:r>
            <w:proofErr w:type="spellEnd"/>
            <w:r w:rsidR="00220603" w:rsidRPr="00A723F5">
              <w:rPr>
                <w:rFonts w:ascii="Times New Roman" w:hAnsi="Times New Roman"/>
                <w:sz w:val="20"/>
                <w:szCs w:val="20"/>
                <w:lang w:val="en-US" w:eastAsia="ru-RU"/>
              </w:rPr>
              <w:t xml:space="preserve"> </w:t>
            </w:r>
            <w:r w:rsidRPr="00A723F5">
              <w:rPr>
                <w:rFonts w:ascii="Times New Roman" w:hAnsi="Times New Roman"/>
                <w:sz w:val="20"/>
                <w:szCs w:val="20"/>
                <w:lang w:val="en-US" w:eastAsia="ru-RU"/>
              </w:rPr>
              <w:t xml:space="preserve">2021, </w:t>
            </w:r>
            <w:proofErr w:type="spellStart"/>
            <w:r w:rsidRPr="00A723F5">
              <w:rPr>
                <w:rFonts w:ascii="Times New Roman" w:hAnsi="Times New Roman"/>
                <w:sz w:val="20"/>
                <w:szCs w:val="20"/>
                <w:lang w:val="en-US" w:eastAsia="ru-RU"/>
              </w:rPr>
              <w:t>statele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membre</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Comisia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operează</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urmăresc</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să</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îmbunătățească</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permanență</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sistemele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naționale</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respectiv</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sistemele</w:t>
            </w:r>
            <w:proofErr w:type="spellEnd"/>
            <w:r w:rsidRPr="00A723F5">
              <w:rPr>
                <w:rFonts w:ascii="Times New Roman" w:hAnsi="Times New Roman"/>
                <w:sz w:val="20"/>
                <w:szCs w:val="20"/>
                <w:lang w:val="en-US" w:eastAsia="ru-RU"/>
              </w:rPr>
              <w:t xml:space="preserve"> de la </w:t>
            </w:r>
            <w:proofErr w:type="spellStart"/>
            <w:r w:rsidRPr="00A723F5">
              <w:rPr>
                <w:rFonts w:ascii="Times New Roman" w:hAnsi="Times New Roman"/>
                <w:sz w:val="20"/>
                <w:szCs w:val="20"/>
                <w:lang w:val="en-US" w:eastAsia="ru-RU"/>
              </w:rPr>
              <w:t>nivelul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Uniunii</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pentru</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raportarea</w:t>
            </w:r>
            <w:proofErr w:type="spellEnd"/>
            <w:r w:rsidRPr="00A723F5">
              <w:rPr>
                <w:rFonts w:ascii="Times New Roman" w:hAnsi="Times New Roman"/>
                <w:sz w:val="20"/>
                <w:szCs w:val="20"/>
                <w:lang w:val="en-US" w:eastAsia="ru-RU"/>
              </w:rPr>
              <w:t xml:space="preserve"> cu </w:t>
            </w:r>
            <w:proofErr w:type="spellStart"/>
            <w:r w:rsidRPr="00A723F5">
              <w:rPr>
                <w:rFonts w:ascii="Times New Roman" w:hAnsi="Times New Roman"/>
                <w:sz w:val="20"/>
                <w:szCs w:val="20"/>
                <w:lang w:val="en-US" w:eastAsia="ru-RU"/>
              </w:rPr>
              <w:t>privire</w:t>
            </w:r>
            <w:proofErr w:type="spellEnd"/>
            <w:r w:rsidRPr="00A723F5">
              <w:rPr>
                <w:rFonts w:ascii="Times New Roman" w:hAnsi="Times New Roman"/>
                <w:sz w:val="20"/>
                <w:szCs w:val="20"/>
                <w:lang w:val="en-US" w:eastAsia="ru-RU"/>
              </w:rPr>
              <w:t xml:space="preserve"> la </w:t>
            </w:r>
            <w:proofErr w:type="spellStart"/>
            <w:r w:rsidRPr="00A723F5">
              <w:rPr>
                <w:rFonts w:ascii="Times New Roman" w:hAnsi="Times New Roman"/>
                <w:sz w:val="20"/>
                <w:szCs w:val="20"/>
                <w:lang w:val="en-US" w:eastAsia="ru-RU"/>
              </w:rPr>
              <w:t>politici</w:t>
            </w:r>
            <w:proofErr w:type="spellEnd"/>
            <w:r w:rsidRPr="00A723F5">
              <w:rPr>
                <w:rFonts w:ascii="Times New Roman" w:hAnsi="Times New Roman"/>
                <w:sz w:val="20"/>
                <w:szCs w:val="20"/>
                <w:lang w:val="en-US" w:eastAsia="ru-RU"/>
              </w:rPr>
              <w:t xml:space="preserve"> și la </w:t>
            </w:r>
            <w:proofErr w:type="spellStart"/>
            <w:r w:rsidRPr="00A723F5">
              <w:rPr>
                <w:rFonts w:ascii="Times New Roman" w:hAnsi="Times New Roman"/>
                <w:sz w:val="20"/>
                <w:szCs w:val="20"/>
                <w:lang w:val="en-US" w:eastAsia="ru-RU"/>
              </w:rPr>
              <w:t>măsuri</w:t>
            </w:r>
            <w:proofErr w:type="spellEnd"/>
            <w:r w:rsidRPr="00A723F5">
              <w:rPr>
                <w:rFonts w:ascii="Times New Roman" w:hAnsi="Times New Roman"/>
                <w:sz w:val="20"/>
                <w:szCs w:val="20"/>
                <w:lang w:val="en-US" w:eastAsia="ru-RU"/>
              </w:rPr>
              <w:t xml:space="preserve">, precum și cu </w:t>
            </w:r>
            <w:proofErr w:type="spellStart"/>
            <w:r w:rsidRPr="00A723F5">
              <w:rPr>
                <w:rFonts w:ascii="Times New Roman" w:hAnsi="Times New Roman"/>
                <w:sz w:val="20"/>
                <w:szCs w:val="20"/>
                <w:lang w:val="en-US" w:eastAsia="ru-RU"/>
              </w:rPr>
              <w:t>privire</w:t>
            </w:r>
            <w:proofErr w:type="spellEnd"/>
            <w:r w:rsidRPr="00A723F5">
              <w:rPr>
                <w:rFonts w:ascii="Times New Roman" w:hAnsi="Times New Roman"/>
                <w:sz w:val="20"/>
                <w:szCs w:val="20"/>
                <w:lang w:val="en-US" w:eastAsia="ru-RU"/>
              </w:rPr>
              <w:t xml:space="preserve"> la </w:t>
            </w:r>
            <w:proofErr w:type="spellStart"/>
            <w:r w:rsidRPr="00A723F5">
              <w:rPr>
                <w:rFonts w:ascii="Times New Roman" w:hAnsi="Times New Roman"/>
                <w:sz w:val="20"/>
                <w:szCs w:val="20"/>
                <w:lang w:val="en-US" w:eastAsia="ru-RU"/>
              </w:rPr>
              <w:t>raportarea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prognozelor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referitoare</w:t>
            </w:r>
            <w:proofErr w:type="spellEnd"/>
            <w:r w:rsidRPr="00A723F5">
              <w:rPr>
                <w:rFonts w:ascii="Times New Roman" w:hAnsi="Times New Roman"/>
                <w:sz w:val="20"/>
                <w:szCs w:val="20"/>
                <w:lang w:val="en-US" w:eastAsia="ru-RU"/>
              </w:rPr>
              <w:t xml:space="preserve"> la </w:t>
            </w:r>
            <w:proofErr w:type="spellStart"/>
            <w:r w:rsidRPr="00A723F5">
              <w:rPr>
                <w:rFonts w:ascii="Times New Roman" w:hAnsi="Times New Roman"/>
                <w:sz w:val="20"/>
                <w:szCs w:val="20"/>
                <w:lang w:val="en-US" w:eastAsia="ru-RU"/>
              </w:rPr>
              <w:t>emisiile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antropice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către</w:t>
            </w:r>
            <w:proofErr w:type="spellEnd"/>
            <w:r w:rsidRPr="00A723F5">
              <w:rPr>
                <w:rFonts w:ascii="Times New Roman" w:hAnsi="Times New Roman"/>
                <w:sz w:val="20"/>
                <w:szCs w:val="20"/>
                <w:lang w:val="en-US" w:eastAsia="ru-RU"/>
              </w:rPr>
              <w:t xml:space="preserve"> surse și </w:t>
            </w:r>
            <w:proofErr w:type="spellStart"/>
            <w:r w:rsidRPr="00A723F5">
              <w:rPr>
                <w:rFonts w:ascii="Times New Roman" w:hAnsi="Times New Roman"/>
                <w:sz w:val="20"/>
                <w:szCs w:val="20"/>
                <w:lang w:val="en-US" w:eastAsia="ru-RU"/>
              </w:rPr>
              <w:t>absorbțiile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către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absorbanți</w:t>
            </w:r>
            <w:proofErr w:type="spellEnd"/>
            <w:r w:rsidRPr="00A723F5">
              <w:rPr>
                <w:rFonts w:ascii="Times New Roman" w:hAnsi="Times New Roman"/>
                <w:sz w:val="20"/>
                <w:szCs w:val="20"/>
                <w:lang w:val="en-US" w:eastAsia="ru-RU"/>
              </w:rPr>
              <w:t xml:space="preserve"> de gaze cu </w:t>
            </w:r>
            <w:proofErr w:type="spellStart"/>
            <w:r w:rsidRPr="00A723F5">
              <w:rPr>
                <w:rFonts w:ascii="Times New Roman" w:hAnsi="Times New Roman"/>
                <w:sz w:val="20"/>
                <w:szCs w:val="20"/>
                <w:lang w:val="en-US" w:eastAsia="ru-RU"/>
              </w:rPr>
              <w:t>efect</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seră</w:t>
            </w:r>
            <w:proofErr w:type="spellEnd"/>
            <w:r w:rsidRPr="00A723F5">
              <w:rPr>
                <w:rFonts w:ascii="Times New Roman" w:hAnsi="Times New Roman"/>
                <w:sz w:val="20"/>
                <w:szCs w:val="20"/>
                <w:lang w:val="en-US" w:eastAsia="ru-RU"/>
              </w:rPr>
              <w:t xml:space="preserve">. </w:t>
            </w:r>
            <w:r w:rsidRPr="00A723F5">
              <w:rPr>
                <w:rFonts w:ascii="Times New Roman" w:hAnsi="Times New Roman"/>
                <w:sz w:val="20"/>
                <w:szCs w:val="20"/>
                <w:lang w:val="fr-FR" w:eastAsia="ru-RU"/>
              </w:rPr>
              <w:t xml:space="preserve">Aceste </w:t>
            </w:r>
            <w:proofErr w:type="spellStart"/>
            <w:r w:rsidRPr="00A723F5">
              <w:rPr>
                <w:rFonts w:ascii="Times New Roman" w:hAnsi="Times New Roman"/>
                <w:sz w:val="20"/>
                <w:szCs w:val="20"/>
                <w:lang w:val="fr-FR" w:eastAsia="ru-RU"/>
              </w:rPr>
              <w:t>sisteme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includ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măsurile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instituționale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juridice</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procedurale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relevante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stabilite</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cadrul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unui</w:t>
            </w:r>
            <w:proofErr w:type="spellEnd"/>
            <w:r w:rsidRPr="00A723F5">
              <w:rPr>
                <w:rFonts w:ascii="Times New Roman" w:hAnsi="Times New Roman"/>
                <w:sz w:val="20"/>
                <w:szCs w:val="20"/>
                <w:lang w:val="fr-FR" w:eastAsia="ru-RU"/>
              </w:rPr>
              <w:t xml:space="preserve"> stat membru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al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evaluarea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politicilor</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pentru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realizarea</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prognoze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referitoare</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emisiile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antropice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către</w:t>
            </w:r>
            <w:proofErr w:type="spellEnd"/>
            <w:r w:rsidRPr="00A723F5">
              <w:rPr>
                <w:rFonts w:ascii="Times New Roman" w:hAnsi="Times New Roman"/>
                <w:sz w:val="20"/>
                <w:szCs w:val="20"/>
                <w:lang w:val="fr-FR" w:eastAsia="ru-RU"/>
              </w:rPr>
              <w:t xml:space="preserve"> surse și </w:t>
            </w:r>
            <w:proofErr w:type="spellStart"/>
            <w:r w:rsidRPr="00A723F5">
              <w:rPr>
                <w:rFonts w:ascii="Times New Roman" w:hAnsi="Times New Roman"/>
                <w:sz w:val="20"/>
                <w:szCs w:val="20"/>
                <w:lang w:val="fr-FR" w:eastAsia="ru-RU"/>
              </w:rPr>
              <w:t>absorbțiile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către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absorbanți</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w:t>
            </w:r>
          </w:p>
          <w:p w14:paraId="0884D221" w14:textId="77777777" w:rsidR="008F5636" w:rsidRPr="00A723F5" w:rsidRDefault="00220603" w:rsidP="008F5636">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(2)</w:t>
            </w:r>
            <w:proofErr w:type="spellStart"/>
            <w:r w:rsidRPr="00A723F5">
              <w:rPr>
                <w:rFonts w:ascii="Times New Roman" w:hAnsi="Times New Roman"/>
                <w:sz w:val="20"/>
                <w:szCs w:val="20"/>
                <w:shd w:val="clear" w:color="auto" w:fill="FFFFFF"/>
                <w:lang w:val="fr-FR"/>
              </w:rPr>
              <w:t>Statele</w:t>
            </w:r>
            <w:proofErr w:type="spellEnd"/>
            <w:r w:rsidRPr="00A723F5">
              <w:rPr>
                <w:rFonts w:ascii="Times New Roman" w:hAnsi="Times New Roman"/>
                <w:sz w:val="20"/>
                <w:szCs w:val="20"/>
                <w:shd w:val="clear" w:color="auto" w:fill="FFFFFF"/>
                <w:lang w:val="fr-FR"/>
              </w:rPr>
              <w:t xml:space="preserve"> membre și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au ca </w:t>
            </w:r>
            <w:proofErr w:type="spellStart"/>
            <w:r w:rsidRPr="00A723F5">
              <w:rPr>
                <w:rFonts w:ascii="Times New Roman" w:hAnsi="Times New Roman"/>
                <w:sz w:val="20"/>
                <w:szCs w:val="20"/>
                <w:shd w:val="clear" w:color="auto" w:fill="FFFFFF"/>
                <w:lang w:val="fr-FR"/>
              </w:rPr>
              <w:t>obiectiv</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asigurarea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actualității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transparenței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exactității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coerenței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comparabilității</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caracterului</w:t>
            </w:r>
            <w:proofErr w:type="spellEnd"/>
            <w:r w:rsidRPr="00A723F5">
              <w:rPr>
                <w:rFonts w:ascii="Times New Roman" w:hAnsi="Times New Roman"/>
                <w:sz w:val="20"/>
                <w:szCs w:val="20"/>
                <w:shd w:val="clear" w:color="auto" w:fill="FFFFFF"/>
                <w:lang w:val="fr-FR"/>
              </w:rPr>
              <w:t xml:space="preserve"> complet al </w:t>
            </w:r>
            <w:proofErr w:type="spellStart"/>
            <w:r w:rsidRPr="00A723F5">
              <w:rPr>
                <w:rFonts w:ascii="Times New Roman" w:hAnsi="Times New Roman"/>
                <w:sz w:val="20"/>
                <w:szCs w:val="20"/>
                <w:shd w:val="clear" w:color="auto" w:fill="FFFFFF"/>
                <w:lang w:val="fr-FR"/>
              </w:rPr>
              <w:t>informațiilor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raportate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privire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politici</w:t>
            </w:r>
            <w:proofErr w:type="spellEnd"/>
            <w:r w:rsidRPr="00A723F5">
              <w:rPr>
                <w:rFonts w:ascii="Times New Roman" w:hAnsi="Times New Roman"/>
                <w:sz w:val="20"/>
                <w:szCs w:val="20"/>
                <w:shd w:val="clear" w:color="auto" w:fill="FFFFFF"/>
                <w:lang w:val="fr-FR"/>
              </w:rPr>
              <w:t xml:space="preserve"> și la </w:t>
            </w:r>
            <w:proofErr w:type="spellStart"/>
            <w:r w:rsidRPr="00A723F5">
              <w:rPr>
                <w:rFonts w:ascii="Times New Roman" w:hAnsi="Times New Roman"/>
                <w:sz w:val="20"/>
                <w:szCs w:val="20"/>
                <w:shd w:val="clear" w:color="auto" w:fill="FFFFFF"/>
                <w:lang w:val="fr-FR"/>
              </w:rPr>
              <w:t>măsuri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precum</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privire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prognozele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referitoare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emisiile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antropice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către</w:t>
            </w:r>
            <w:proofErr w:type="spellEnd"/>
            <w:r w:rsidRPr="00A723F5">
              <w:rPr>
                <w:rFonts w:ascii="Times New Roman" w:hAnsi="Times New Roman"/>
                <w:sz w:val="20"/>
                <w:szCs w:val="20"/>
                <w:shd w:val="clear" w:color="auto" w:fill="FFFFFF"/>
                <w:lang w:val="fr-FR"/>
              </w:rPr>
              <w:t xml:space="preserve"> surse și </w:t>
            </w:r>
            <w:proofErr w:type="spellStart"/>
            <w:r w:rsidRPr="00A723F5">
              <w:rPr>
                <w:rFonts w:ascii="Times New Roman" w:hAnsi="Times New Roman"/>
                <w:sz w:val="20"/>
                <w:szCs w:val="20"/>
                <w:shd w:val="clear" w:color="auto" w:fill="FFFFFF"/>
                <w:lang w:val="fr-FR"/>
              </w:rPr>
              <w:t>absorbțiile</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către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absorbanți</w:t>
            </w:r>
            <w:proofErr w:type="spellEnd"/>
            <w:r w:rsidRPr="00A723F5">
              <w:rPr>
                <w:rFonts w:ascii="Times New Roman" w:hAnsi="Times New Roman"/>
                <w:sz w:val="20"/>
                <w:szCs w:val="20"/>
                <w:shd w:val="clear" w:color="auto" w:fill="FFFFFF"/>
                <w:lang w:val="fr-FR"/>
              </w:rPr>
              <w:t xml:space="preserve"> de gaze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w:t>
            </w:r>
            <w:proofErr w:type="spellEnd"/>
            <w:r w:rsidRPr="00A723F5">
              <w:rPr>
                <w:rFonts w:ascii="Times New Roman" w:hAnsi="Times New Roman"/>
                <w:sz w:val="20"/>
                <w:szCs w:val="20"/>
                <w:shd w:val="clear" w:color="auto" w:fill="FFFFFF"/>
                <w:lang w:val="fr-FR"/>
              </w:rPr>
              <w:t xml:space="preserve"> </w:t>
            </w:r>
            <w:r w:rsidRPr="00A723F5">
              <w:rPr>
                <w:rFonts w:ascii="Times New Roman" w:hAnsi="Times New Roman"/>
                <w:sz w:val="20"/>
                <w:szCs w:val="20"/>
                <w:shd w:val="clear" w:color="auto" w:fill="FFFFFF"/>
                <w:lang w:val="fr-FR"/>
              </w:rPr>
              <w:lastRenderedPageBreak/>
              <w:t xml:space="preserve">de </w:t>
            </w:r>
            <w:proofErr w:type="spellStart"/>
            <w:r w:rsidRPr="00A723F5">
              <w:rPr>
                <w:rFonts w:ascii="Times New Roman" w:hAnsi="Times New Roman"/>
                <w:sz w:val="20"/>
                <w:szCs w:val="20"/>
                <w:shd w:val="clear" w:color="auto" w:fill="FFFFFF"/>
                <w:lang w:val="fr-FR"/>
              </w:rPr>
              <w:t>seră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articolul</w:t>
            </w:r>
            <w:proofErr w:type="spellEnd"/>
            <w:r w:rsidRPr="00A723F5">
              <w:rPr>
                <w:rFonts w:ascii="Times New Roman" w:hAnsi="Times New Roman"/>
                <w:sz w:val="20"/>
                <w:szCs w:val="20"/>
                <w:shd w:val="clear" w:color="auto" w:fill="FFFFFF"/>
                <w:lang w:val="fr-FR"/>
              </w:rPr>
              <w:t xml:space="preserve"> 18, </w:t>
            </w:r>
            <w:proofErr w:type="spellStart"/>
            <w:r w:rsidRPr="00A723F5">
              <w:rPr>
                <w:rFonts w:ascii="Times New Roman" w:hAnsi="Times New Roman"/>
                <w:sz w:val="20"/>
                <w:szCs w:val="20"/>
                <w:shd w:val="clear" w:color="auto" w:fill="FFFFFF"/>
                <w:lang w:val="fr-FR"/>
              </w:rPr>
              <w:t>inclusiv</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folosirea</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aplicarea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datelor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metodelor</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modelelor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precum</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punerea</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aplicare</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activităților</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asigurare</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și de control al </w:t>
            </w:r>
            <w:proofErr w:type="spellStart"/>
            <w:r w:rsidRPr="00A723F5">
              <w:rPr>
                <w:rFonts w:ascii="Times New Roman" w:hAnsi="Times New Roman"/>
                <w:sz w:val="20"/>
                <w:szCs w:val="20"/>
                <w:shd w:val="clear" w:color="auto" w:fill="FFFFFF"/>
                <w:lang w:val="fr-FR"/>
              </w:rPr>
              <w:t>calității</w:t>
            </w:r>
            <w:proofErr w:type="spellEnd"/>
            <w:r w:rsidRPr="00A723F5">
              <w:rPr>
                <w:rFonts w:ascii="Times New Roman" w:hAnsi="Times New Roman"/>
                <w:sz w:val="20"/>
                <w:szCs w:val="20"/>
                <w:shd w:val="clear" w:color="auto" w:fill="FFFFFF"/>
                <w:lang w:val="fr-FR"/>
              </w:rPr>
              <w:t xml:space="preserve"> și a </w:t>
            </w:r>
            <w:proofErr w:type="spellStart"/>
            <w:r w:rsidRPr="00A723F5">
              <w:rPr>
                <w:rFonts w:ascii="Times New Roman" w:hAnsi="Times New Roman"/>
                <w:sz w:val="20"/>
                <w:szCs w:val="20"/>
                <w:shd w:val="clear" w:color="auto" w:fill="FFFFFF"/>
                <w:lang w:val="fr-FR"/>
              </w:rPr>
              <w:t>analizei</w:t>
            </w:r>
            <w:proofErr w:type="spellEnd"/>
            <w:r w:rsidRPr="00A723F5">
              <w:rPr>
                <w:rFonts w:ascii="Times New Roman" w:hAnsi="Times New Roman"/>
                <w:sz w:val="20"/>
                <w:szCs w:val="20"/>
                <w:shd w:val="clear" w:color="auto" w:fill="FFFFFF"/>
                <w:lang w:val="fr-FR"/>
              </w:rPr>
              <w:t xml:space="preserve"> de </w:t>
            </w:r>
            <w:proofErr w:type="spellStart"/>
            <w:r w:rsidRPr="00A723F5">
              <w:rPr>
                <w:rFonts w:ascii="Times New Roman" w:hAnsi="Times New Roman"/>
                <w:sz w:val="20"/>
                <w:szCs w:val="20"/>
                <w:shd w:val="clear" w:color="auto" w:fill="FFFFFF"/>
                <w:lang w:val="fr-FR"/>
              </w:rPr>
              <w:t>sensibilitate</w:t>
            </w:r>
            <w:proofErr w:type="spellEnd"/>
            <w:r w:rsidRPr="00A723F5">
              <w:rPr>
                <w:rFonts w:ascii="Times New Roman" w:hAnsi="Times New Roman"/>
                <w:sz w:val="20"/>
                <w:szCs w:val="20"/>
                <w:shd w:val="clear" w:color="auto" w:fill="FFFFFF"/>
                <w:lang w:val="fr-FR"/>
              </w:rPr>
              <w:t>.</w:t>
            </w:r>
          </w:p>
          <w:p w14:paraId="50529F43" w14:textId="77777777" w:rsidR="00220603" w:rsidRPr="00A723F5" w:rsidRDefault="00220603" w:rsidP="00220603">
            <w:pPr>
              <w:spacing w:after="0" w:line="240" w:lineRule="auto"/>
              <w:jc w:val="both"/>
              <w:rPr>
                <w:rFonts w:ascii="Times New Roman" w:hAnsi="Times New Roman"/>
                <w:sz w:val="20"/>
                <w:szCs w:val="20"/>
                <w:lang w:val="fr-FR"/>
              </w:rPr>
            </w:pPr>
            <w:r w:rsidRPr="00A723F5">
              <w:rPr>
                <w:rFonts w:ascii="Times New Roman" w:hAnsi="Times New Roman"/>
                <w:sz w:val="20"/>
                <w:szCs w:val="20"/>
                <w:lang w:val="fr-FR"/>
              </w:rPr>
              <w:t>(</w:t>
            </w:r>
            <w:proofErr w:type="gramStart"/>
            <w:r w:rsidRPr="00A723F5">
              <w:rPr>
                <w:rFonts w:ascii="Times New Roman" w:hAnsi="Times New Roman"/>
                <w:sz w:val="20"/>
                <w:szCs w:val="20"/>
                <w:lang w:val="fr-FR"/>
              </w:rPr>
              <w:t>3)</w:t>
            </w:r>
            <w:proofErr w:type="spellStart"/>
            <w:r w:rsidRPr="00A723F5">
              <w:rPr>
                <w:rFonts w:ascii="Times New Roman" w:hAnsi="Times New Roman"/>
                <w:sz w:val="20"/>
                <w:szCs w:val="20"/>
                <w:lang w:val="fr-FR"/>
              </w:rPr>
              <w:t>Comisia</w:t>
            </w:r>
            <w:proofErr w:type="spellEnd"/>
            <w:proofErr w:type="gram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asistată</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Comitetul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privind</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schimbările</w:t>
            </w:r>
            <w:proofErr w:type="spellEnd"/>
            <w:r w:rsidRPr="00A723F5">
              <w:rPr>
                <w:rFonts w:ascii="Times New Roman" w:hAnsi="Times New Roman"/>
                <w:sz w:val="20"/>
                <w:szCs w:val="20"/>
                <w:lang w:val="fr-FR"/>
              </w:rPr>
              <w:t xml:space="preserve"> climatice </w:t>
            </w:r>
            <w:proofErr w:type="spellStart"/>
            <w:r w:rsidRPr="00A723F5">
              <w:rPr>
                <w:rFonts w:ascii="Times New Roman" w:hAnsi="Times New Roman"/>
                <w:sz w:val="20"/>
                <w:szCs w:val="20"/>
                <w:lang w:val="fr-FR"/>
              </w:rPr>
              <w:t>menționat</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articolul</w:t>
            </w:r>
            <w:proofErr w:type="spellEnd"/>
            <w:r w:rsidRPr="00A723F5">
              <w:rPr>
                <w:rFonts w:ascii="Times New Roman" w:hAnsi="Times New Roman"/>
                <w:sz w:val="20"/>
                <w:szCs w:val="20"/>
                <w:lang w:val="fr-FR"/>
              </w:rPr>
              <w:t xml:space="preserve"> 44 </w:t>
            </w:r>
            <w:proofErr w:type="spellStart"/>
            <w:r w:rsidRPr="00A723F5">
              <w:rPr>
                <w:rFonts w:ascii="Times New Roman" w:hAnsi="Times New Roman"/>
                <w:sz w:val="20"/>
                <w:szCs w:val="20"/>
                <w:lang w:val="fr-FR"/>
              </w:rPr>
              <w:t>alineatul</w:t>
            </w:r>
            <w:proofErr w:type="spellEnd"/>
            <w:r w:rsidRPr="00A723F5">
              <w:rPr>
                <w:rFonts w:ascii="Times New Roman" w:hAnsi="Times New Roman"/>
                <w:sz w:val="20"/>
                <w:szCs w:val="20"/>
                <w:lang w:val="fr-FR"/>
              </w:rPr>
              <w:t xml:space="preserve"> (1) litera (a), </w:t>
            </w:r>
            <w:proofErr w:type="spellStart"/>
            <w:r w:rsidRPr="00A723F5">
              <w:rPr>
                <w:rFonts w:ascii="Times New Roman" w:hAnsi="Times New Roman"/>
                <w:sz w:val="20"/>
                <w:szCs w:val="20"/>
                <w:lang w:val="fr-FR"/>
              </w:rPr>
              <w:t>adoptă</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pentru</w:t>
            </w:r>
            <w:proofErr w:type="spellEnd"/>
            <w:r w:rsidRPr="00A723F5">
              <w:rPr>
                <w:rFonts w:ascii="Times New Roman" w:hAnsi="Times New Roman"/>
                <w:sz w:val="20"/>
                <w:szCs w:val="20"/>
                <w:lang w:val="fr-FR"/>
              </w:rPr>
              <w:t xml:space="preserve"> a </w:t>
            </w:r>
            <w:proofErr w:type="spellStart"/>
            <w:r w:rsidRPr="00A723F5">
              <w:rPr>
                <w:rFonts w:ascii="Times New Roman" w:hAnsi="Times New Roman"/>
                <w:sz w:val="20"/>
                <w:szCs w:val="20"/>
                <w:lang w:val="fr-FR"/>
              </w:rPr>
              <w:t>stabili</w:t>
            </w:r>
            <w:proofErr w:type="spellEnd"/>
            <w:r w:rsidRPr="00A723F5">
              <w:rPr>
                <w:rFonts w:ascii="Times New Roman" w:hAnsi="Times New Roman"/>
                <w:sz w:val="20"/>
                <w:szCs w:val="20"/>
                <w:lang w:val="fr-FR"/>
              </w:rPr>
              <w:t xml:space="preserve"> structura, </w:t>
            </w:r>
            <w:proofErr w:type="spellStart"/>
            <w:r w:rsidRPr="00A723F5">
              <w:rPr>
                <w:rFonts w:ascii="Times New Roman" w:hAnsi="Times New Roman"/>
                <w:sz w:val="20"/>
                <w:szCs w:val="20"/>
                <w:lang w:val="fr-FR"/>
              </w:rPr>
              <w:t>formatul</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procedura</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transmitere</w:t>
            </w:r>
            <w:proofErr w:type="spellEnd"/>
            <w:r w:rsidRPr="00A723F5">
              <w:rPr>
                <w:rFonts w:ascii="Times New Roman" w:hAnsi="Times New Roman"/>
                <w:sz w:val="20"/>
                <w:szCs w:val="20"/>
                <w:lang w:val="fr-FR"/>
              </w:rPr>
              <w:t xml:space="preserve"> a </w:t>
            </w:r>
            <w:proofErr w:type="spellStart"/>
            <w:r w:rsidRPr="00A723F5">
              <w:rPr>
                <w:rFonts w:ascii="Times New Roman" w:hAnsi="Times New Roman"/>
                <w:sz w:val="20"/>
                <w:szCs w:val="20"/>
                <w:lang w:val="fr-FR"/>
              </w:rPr>
              <w:t>informațiilor</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legate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sistemele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naționale</w:t>
            </w:r>
            <w:proofErr w:type="spellEnd"/>
            <w:r w:rsidRPr="00A723F5">
              <w:rPr>
                <w:rFonts w:ascii="Times New Roman" w:hAnsi="Times New Roman"/>
                <w:sz w:val="20"/>
                <w:szCs w:val="20"/>
                <w:lang w:val="fr-FR"/>
              </w:rPr>
              <w:t xml:space="preserve"> și de </w:t>
            </w:r>
            <w:proofErr w:type="spellStart"/>
            <w:r w:rsidRPr="00A723F5">
              <w:rPr>
                <w:rFonts w:ascii="Times New Roman" w:hAnsi="Times New Roman"/>
                <w:sz w:val="20"/>
                <w:szCs w:val="20"/>
                <w:lang w:val="fr-FR"/>
              </w:rPr>
              <w:t>sistemele</w:t>
            </w:r>
            <w:proofErr w:type="spellEnd"/>
            <w:r w:rsidRPr="00A723F5">
              <w:rPr>
                <w:rFonts w:ascii="Times New Roman" w:hAnsi="Times New Roman"/>
                <w:sz w:val="20"/>
                <w:szCs w:val="20"/>
                <w:lang w:val="fr-FR"/>
              </w:rPr>
              <w:t xml:space="preserve"> de la </w:t>
            </w:r>
            <w:proofErr w:type="spellStart"/>
            <w:r w:rsidRPr="00A723F5">
              <w:rPr>
                <w:rFonts w:ascii="Times New Roman" w:hAnsi="Times New Roman"/>
                <w:sz w:val="20"/>
                <w:szCs w:val="20"/>
                <w:lang w:val="fr-FR"/>
              </w:rPr>
              <w:t>nivelul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Uniunii</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pentru</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politici</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măsuri</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prognoze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temeiul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alineatelor</w:t>
            </w:r>
            <w:proofErr w:type="spellEnd"/>
            <w:r w:rsidRPr="00A723F5">
              <w:rPr>
                <w:rFonts w:ascii="Times New Roman" w:hAnsi="Times New Roman"/>
                <w:sz w:val="20"/>
                <w:szCs w:val="20"/>
                <w:lang w:val="fr-FR"/>
              </w:rPr>
              <w:t xml:space="preserve"> (1) și (2) </w:t>
            </w:r>
            <w:proofErr w:type="spellStart"/>
            <w:r w:rsidRPr="00A723F5">
              <w:rPr>
                <w:rFonts w:ascii="Times New Roman" w:hAnsi="Times New Roman"/>
                <w:sz w:val="20"/>
                <w:szCs w:val="20"/>
                <w:lang w:val="fr-FR"/>
              </w:rPr>
              <w:t>din</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prezentul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articol</w:t>
            </w:r>
            <w:proofErr w:type="spellEnd"/>
            <w:r w:rsidRPr="00A723F5">
              <w:rPr>
                <w:rFonts w:ascii="Times New Roman" w:hAnsi="Times New Roman"/>
                <w:sz w:val="20"/>
                <w:szCs w:val="20"/>
                <w:lang w:val="fr-FR"/>
              </w:rPr>
              <w:t xml:space="preserve"> și al </w:t>
            </w:r>
            <w:proofErr w:type="spellStart"/>
            <w:r w:rsidRPr="00A723F5">
              <w:rPr>
                <w:rFonts w:ascii="Times New Roman" w:hAnsi="Times New Roman"/>
                <w:sz w:val="20"/>
                <w:szCs w:val="20"/>
                <w:lang w:val="fr-FR"/>
              </w:rPr>
              <w:t>articolului</w:t>
            </w:r>
            <w:proofErr w:type="spellEnd"/>
            <w:r w:rsidRPr="00A723F5">
              <w:rPr>
                <w:rFonts w:ascii="Times New Roman" w:hAnsi="Times New Roman"/>
                <w:sz w:val="20"/>
                <w:szCs w:val="20"/>
                <w:lang w:val="fr-FR"/>
              </w:rPr>
              <w:t xml:space="preserve"> 18.</w:t>
            </w:r>
          </w:p>
          <w:p w14:paraId="0CB4B891" w14:textId="77777777" w:rsidR="00220603" w:rsidRPr="00A723F5" w:rsidRDefault="00220603" w:rsidP="00220603">
            <w:pPr>
              <w:spacing w:after="0" w:line="240" w:lineRule="auto"/>
              <w:jc w:val="both"/>
              <w:rPr>
                <w:rFonts w:ascii="Times New Roman" w:hAnsi="Times New Roman"/>
                <w:sz w:val="20"/>
                <w:szCs w:val="20"/>
                <w:lang w:val="fr-FR"/>
              </w:rPr>
            </w:pPr>
            <w:proofErr w:type="spellStart"/>
            <w:r w:rsidRPr="00A723F5">
              <w:rPr>
                <w:rFonts w:ascii="Times New Roman" w:hAnsi="Times New Roman"/>
                <w:sz w:val="20"/>
                <w:szCs w:val="20"/>
                <w:lang w:val="fr-FR"/>
              </w:rPr>
              <w:t>Atunci</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când</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propune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aceste</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Comisia</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ia</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considerare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deciziile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relevante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adoptate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organismele</w:t>
            </w:r>
            <w:proofErr w:type="spellEnd"/>
            <w:r w:rsidRPr="00A723F5">
              <w:rPr>
                <w:rFonts w:ascii="Times New Roman" w:hAnsi="Times New Roman"/>
                <w:sz w:val="20"/>
                <w:szCs w:val="20"/>
                <w:lang w:val="fr-FR"/>
              </w:rPr>
              <w:t xml:space="preserve"> CCONUSC </w:t>
            </w:r>
            <w:proofErr w:type="spellStart"/>
            <w:r w:rsidRPr="00A723F5">
              <w:rPr>
                <w:rFonts w:ascii="Times New Roman" w:hAnsi="Times New Roman"/>
                <w:sz w:val="20"/>
                <w:szCs w:val="20"/>
                <w:lang w:val="fr-FR"/>
              </w:rPr>
              <w:t>sau</w:t>
            </w:r>
            <w:proofErr w:type="spellEnd"/>
            <w:r w:rsidRPr="00A723F5">
              <w:rPr>
                <w:rFonts w:ascii="Times New Roman" w:hAnsi="Times New Roman"/>
                <w:sz w:val="20"/>
                <w:szCs w:val="20"/>
                <w:lang w:val="fr-FR"/>
              </w:rPr>
              <w:t xml:space="preserve"> ale </w:t>
            </w:r>
            <w:proofErr w:type="spellStart"/>
            <w:r w:rsidRPr="00A723F5">
              <w:rPr>
                <w:rFonts w:ascii="Times New Roman" w:hAnsi="Times New Roman"/>
                <w:sz w:val="20"/>
                <w:szCs w:val="20"/>
                <w:lang w:val="fr-FR"/>
              </w:rPr>
              <w:t>Acordului</w:t>
            </w:r>
            <w:proofErr w:type="spellEnd"/>
            <w:r w:rsidRPr="00A723F5">
              <w:rPr>
                <w:rFonts w:ascii="Times New Roman" w:hAnsi="Times New Roman"/>
                <w:sz w:val="20"/>
                <w:szCs w:val="20"/>
                <w:lang w:val="fr-FR"/>
              </w:rPr>
              <w:t xml:space="preserve"> de la Paris, </w:t>
            </w:r>
            <w:proofErr w:type="spellStart"/>
            <w:r w:rsidRPr="00A723F5">
              <w:rPr>
                <w:rFonts w:ascii="Times New Roman" w:hAnsi="Times New Roman"/>
                <w:sz w:val="20"/>
                <w:szCs w:val="20"/>
                <w:lang w:val="fr-FR"/>
              </w:rPr>
              <w:t>inclusiv</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cerințele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raportare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convenite</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nivel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internațional</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precum</w:t>
            </w:r>
            <w:proofErr w:type="spellEnd"/>
            <w:r w:rsidRPr="00A723F5">
              <w:rPr>
                <w:rFonts w:ascii="Times New Roman" w:hAnsi="Times New Roman"/>
                <w:sz w:val="20"/>
                <w:szCs w:val="20"/>
                <w:lang w:val="fr-FR"/>
              </w:rPr>
              <w:t xml:space="preserve"> și </w:t>
            </w:r>
            <w:proofErr w:type="spellStart"/>
            <w:r w:rsidRPr="00A723F5">
              <w:rPr>
                <w:rFonts w:ascii="Times New Roman" w:hAnsi="Times New Roman"/>
                <w:sz w:val="20"/>
                <w:szCs w:val="20"/>
                <w:lang w:val="fr-FR"/>
              </w:rPr>
              <w:t>calendarele</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monitorizare</w:t>
            </w:r>
            <w:proofErr w:type="spellEnd"/>
            <w:r w:rsidRPr="00A723F5">
              <w:rPr>
                <w:rFonts w:ascii="Times New Roman" w:hAnsi="Times New Roman"/>
                <w:sz w:val="20"/>
                <w:szCs w:val="20"/>
                <w:lang w:val="fr-FR"/>
              </w:rPr>
              <w:t xml:space="preserve"> și de </w:t>
            </w:r>
            <w:proofErr w:type="spellStart"/>
            <w:r w:rsidRPr="00A723F5">
              <w:rPr>
                <w:rFonts w:ascii="Times New Roman" w:hAnsi="Times New Roman"/>
                <w:sz w:val="20"/>
                <w:szCs w:val="20"/>
                <w:lang w:val="fr-FR"/>
              </w:rPr>
              <w:t>raportare</w:t>
            </w:r>
            <w:proofErr w:type="spellEnd"/>
            <w:r w:rsidRPr="00A723F5">
              <w:rPr>
                <w:rFonts w:ascii="Times New Roman" w:hAnsi="Times New Roman"/>
                <w:sz w:val="20"/>
                <w:szCs w:val="20"/>
                <w:lang w:val="fr-FR"/>
              </w:rPr>
              <w:t xml:space="preserve"> a </w:t>
            </w:r>
            <w:proofErr w:type="spellStart"/>
            <w:r w:rsidRPr="00A723F5">
              <w:rPr>
                <w:rFonts w:ascii="Times New Roman" w:hAnsi="Times New Roman"/>
                <w:sz w:val="20"/>
                <w:szCs w:val="20"/>
                <w:lang w:val="fr-FR"/>
              </w:rPr>
              <w:t>informațiilor</w:t>
            </w:r>
            <w:proofErr w:type="spellEnd"/>
            <w:r w:rsidRPr="00A723F5">
              <w:rPr>
                <w:rFonts w:ascii="Times New Roman" w:hAnsi="Times New Roman"/>
                <w:sz w:val="20"/>
                <w:szCs w:val="20"/>
                <w:lang w:val="fr-FR"/>
              </w:rPr>
              <w:t xml:space="preserve"> respective.</w:t>
            </w:r>
          </w:p>
          <w:p w14:paraId="5312CED2" w14:textId="403ABCA0" w:rsidR="00220603" w:rsidRPr="00061115" w:rsidRDefault="00220603" w:rsidP="00220603">
            <w:pPr>
              <w:spacing w:after="0" w:line="240" w:lineRule="auto"/>
              <w:jc w:val="both"/>
              <w:rPr>
                <w:rFonts w:ascii="Times New Roman" w:hAnsi="Times New Roman"/>
                <w:sz w:val="20"/>
                <w:szCs w:val="20"/>
                <w:highlight w:val="yellow"/>
                <w:lang w:val="fr-FR"/>
              </w:rPr>
            </w:pPr>
            <w:proofErr w:type="spellStart"/>
            <w:r w:rsidRPr="00A723F5">
              <w:rPr>
                <w:rFonts w:ascii="Times New Roman" w:hAnsi="Times New Roman"/>
                <w:sz w:val="20"/>
                <w:szCs w:val="20"/>
                <w:lang w:val="fr-FR"/>
              </w:rPr>
              <w:t>Respectivele</w:t>
            </w:r>
            <w:proofErr w:type="spellEnd"/>
            <w:r w:rsidRPr="00A723F5">
              <w:rPr>
                <w:rFonts w:ascii="Times New Roman" w:hAnsi="Times New Roman"/>
                <w:sz w:val="20"/>
                <w:szCs w:val="20"/>
                <w:lang w:val="fr-FR"/>
              </w:rPr>
              <w:t xml:space="preserve"> acte de </w:t>
            </w:r>
            <w:proofErr w:type="spellStart"/>
            <w:r w:rsidRPr="00A723F5">
              <w:rPr>
                <w:rFonts w:ascii="Times New Roman" w:hAnsi="Times New Roman"/>
                <w:sz w:val="20"/>
                <w:szCs w:val="20"/>
                <w:lang w:val="fr-FR"/>
              </w:rPr>
              <w:t>punere</w:t>
            </w:r>
            <w:proofErr w:type="spellEnd"/>
            <w:r w:rsidRPr="00A723F5">
              <w:rPr>
                <w:rFonts w:ascii="Times New Roman" w:hAnsi="Times New Roman"/>
                <w:sz w:val="20"/>
                <w:szCs w:val="20"/>
                <w:lang w:val="fr-FR"/>
              </w:rPr>
              <w:t xml:space="preserve"> în </w:t>
            </w:r>
            <w:proofErr w:type="spellStart"/>
            <w:r w:rsidRPr="00A723F5">
              <w:rPr>
                <w:rFonts w:ascii="Times New Roman" w:hAnsi="Times New Roman"/>
                <w:sz w:val="20"/>
                <w:szCs w:val="20"/>
                <w:lang w:val="fr-FR"/>
              </w:rPr>
              <w:t>aplicare</w:t>
            </w:r>
            <w:proofErr w:type="spellEnd"/>
            <w:r w:rsidRPr="00A723F5">
              <w:rPr>
                <w:rFonts w:ascii="Times New Roman" w:hAnsi="Times New Roman"/>
                <w:sz w:val="20"/>
                <w:szCs w:val="20"/>
                <w:lang w:val="fr-FR"/>
              </w:rPr>
              <w:t xml:space="preserve"> se </w:t>
            </w:r>
            <w:proofErr w:type="spellStart"/>
            <w:r w:rsidRPr="00A723F5">
              <w:rPr>
                <w:rFonts w:ascii="Times New Roman" w:hAnsi="Times New Roman"/>
                <w:sz w:val="20"/>
                <w:szCs w:val="20"/>
                <w:lang w:val="fr-FR"/>
              </w:rPr>
              <w:t>adoptă</w:t>
            </w:r>
            <w:proofErr w:type="spellEnd"/>
            <w:r w:rsidRPr="00A723F5">
              <w:rPr>
                <w:rFonts w:ascii="Times New Roman" w:hAnsi="Times New Roman"/>
                <w:sz w:val="20"/>
                <w:szCs w:val="20"/>
                <w:lang w:val="fr-FR"/>
              </w:rPr>
              <w:t xml:space="preserve"> în conformitate </w:t>
            </w:r>
            <w:proofErr w:type="spellStart"/>
            <w:r w:rsidRPr="00A723F5">
              <w:rPr>
                <w:rFonts w:ascii="Times New Roman" w:hAnsi="Times New Roman"/>
                <w:sz w:val="20"/>
                <w:szCs w:val="20"/>
                <w:lang w:val="fr-FR"/>
              </w:rPr>
              <w:t>cu</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procedura</w:t>
            </w:r>
            <w:proofErr w:type="spellEnd"/>
            <w:r w:rsidRPr="00A723F5">
              <w:rPr>
                <w:rFonts w:ascii="Times New Roman" w:hAnsi="Times New Roman"/>
                <w:sz w:val="20"/>
                <w:szCs w:val="20"/>
                <w:lang w:val="fr-FR"/>
              </w:rPr>
              <w:t xml:space="preserve"> de </w:t>
            </w:r>
            <w:proofErr w:type="spellStart"/>
            <w:r w:rsidRPr="00A723F5">
              <w:rPr>
                <w:rFonts w:ascii="Times New Roman" w:hAnsi="Times New Roman"/>
                <w:sz w:val="20"/>
                <w:szCs w:val="20"/>
                <w:lang w:val="fr-FR"/>
              </w:rPr>
              <w:t>examinare</w:t>
            </w:r>
            <w:proofErr w:type="spellEnd"/>
            <w:r w:rsidRPr="00A723F5">
              <w:rPr>
                <w:rFonts w:ascii="Times New Roman" w:hAnsi="Times New Roman"/>
                <w:sz w:val="20"/>
                <w:szCs w:val="20"/>
                <w:lang w:val="fr-FR"/>
              </w:rPr>
              <w:t xml:space="preserve"> </w:t>
            </w:r>
            <w:proofErr w:type="spellStart"/>
            <w:r w:rsidRPr="00A723F5">
              <w:rPr>
                <w:rFonts w:ascii="Times New Roman" w:hAnsi="Times New Roman"/>
                <w:sz w:val="20"/>
                <w:szCs w:val="20"/>
                <w:lang w:val="fr-FR"/>
              </w:rPr>
              <w:t>menționată</w:t>
            </w:r>
            <w:proofErr w:type="spellEnd"/>
            <w:r w:rsidRPr="00A723F5">
              <w:rPr>
                <w:rFonts w:ascii="Times New Roman" w:hAnsi="Times New Roman"/>
                <w:sz w:val="20"/>
                <w:szCs w:val="20"/>
                <w:lang w:val="fr-FR"/>
              </w:rPr>
              <w:t xml:space="preserve"> la </w:t>
            </w:r>
            <w:proofErr w:type="spellStart"/>
            <w:r w:rsidRPr="00A723F5">
              <w:rPr>
                <w:rFonts w:ascii="Times New Roman" w:hAnsi="Times New Roman"/>
                <w:sz w:val="20"/>
                <w:szCs w:val="20"/>
                <w:lang w:val="fr-FR"/>
              </w:rPr>
              <w:t>articolul</w:t>
            </w:r>
            <w:proofErr w:type="spellEnd"/>
            <w:r w:rsidRPr="00A723F5">
              <w:rPr>
                <w:rFonts w:ascii="Times New Roman" w:hAnsi="Times New Roman"/>
                <w:sz w:val="20"/>
                <w:szCs w:val="20"/>
                <w:lang w:val="fr-FR"/>
              </w:rPr>
              <w:t xml:space="preserve"> 44 </w:t>
            </w:r>
            <w:proofErr w:type="spellStart"/>
            <w:r w:rsidRPr="00A723F5">
              <w:rPr>
                <w:rFonts w:ascii="Times New Roman" w:hAnsi="Times New Roman"/>
                <w:sz w:val="20"/>
                <w:szCs w:val="20"/>
                <w:lang w:val="fr-FR"/>
              </w:rPr>
              <w:t>alineatul</w:t>
            </w:r>
            <w:proofErr w:type="spellEnd"/>
            <w:r w:rsidRPr="00A723F5">
              <w:rPr>
                <w:rFonts w:ascii="Times New Roman" w:hAnsi="Times New Roman"/>
                <w:sz w:val="20"/>
                <w:szCs w:val="20"/>
                <w:lang w:val="fr-FR"/>
              </w:rPr>
              <w:t xml:space="preserve"> (6).</w:t>
            </w:r>
          </w:p>
        </w:tc>
        <w:tc>
          <w:tcPr>
            <w:tcW w:w="4440" w:type="dxa"/>
          </w:tcPr>
          <w:p w14:paraId="13953E29" w14:textId="13D121AA" w:rsidR="008F5636" w:rsidRPr="00B50AB3" w:rsidRDefault="008F5636" w:rsidP="00B50AB3">
            <w:pPr>
              <w:widowControl w:val="0"/>
              <w:tabs>
                <w:tab w:val="left" w:pos="1558"/>
              </w:tabs>
              <w:suppressAutoHyphens w:val="0"/>
              <w:autoSpaceDE w:val="0"/>
              <w:spacing w:after="0" w:line="240" w:lineRule="auto"/>
              <w:jc w:val="both"/>
              <w:textAlignment w:val="auto"/>
              <w:rPr>
                <w:rFonts w:asciiTheme="majorBidi" w:hAnsiTheme="majorBidi" w:cstheme="majorBidi"/>
                <w:sz w:val="20"/>
                <w:szCs w:val="20"/>
                <w:lang w:val="ro-RO" w:eastAsia="ru-RU"/>
              </w:rPr>
            </w:pPr>
          </w:p>
        </w:tc>
        <w:tc>
          <w:tcPr>
            <w:tcW w:w="1276" w:type="dxa"/>
          </w:tcPr>
          <w:p w14:paraId="5F7E65A3" w14:textId="3978A967" w:rsidR="008F5636" w:rsidRPr="00745D9A" w:rsidRDefault="00FB374C" w:rsidP="008F5636">
            <w:pPr>
              <w:pStyle w:val="ColorfulList-Accent11"/>
              <w:spacing w:after="0" w:line="240" w:lineRule="auto"/>
              <w:ind w:left="0"/>
              <w:jc w:val="both"/>
              <w:rPr>
                <w:lang w:val="fr-FR"/>
              </w:rPr>
            </w:pPr>
            <w:r>
              <w:rPr>
                <w:rFonts w:ascii="Times New Roman" w:hAnsi="Times New Roman"/>
                <w:sz w:val="20"/>
                <w:szCs w:val="20"/>
                <w:lang w:val="ro-RO"/>
              </w:rPr>
              <w:t>C</w:t>
            </w:r>
            <w:r w:rsidR="00220603" w:rsidRPr="00C951E7">
              <w:rPr>
                <w:rFonts w:ascii="Times New Roman" w:hAnsi="Times New Roman"/>
                <w:sz w:val="20"/>
                <w:szCs w:val="20"/>
                <w:lang w:val="ro-RO"/>
              </w:rPr>
              <w:t>ompatibil</w:t>
            </w:r>
          </w:p>
        </w:tc>
        <w:tc>
          <w:tcPr>
            <w:tcW w:w="1276" w:type="dxa"/>
          </w:tcPr>
          <w:p w14:paraId="0F0E07A4" w14:textId="77777777" w:rsidR="008F5636" w:rsidRPr="00745D9A" w:rsidRDefault="008F5636" w:rsidP="008F5636">
            <w:pPr>
              <w:pStyle w:val="ColorfulList-Accent11"/>
              <w:spacing w:after="0" w:line="240" w:lineRule="auto"/>
              <w:ind w:left="0"/>
              <w:jc w:val="both"/>
              <w:rPr>
                <w:lang w:val="fr-FR"/>
              </w:rPr>
            </w:pPr>
          </w:p>
        </w:tc>
        <w:tc>
          <w:tcPr>
            <w:tcW w:w="1701" w:type="dxa"/>
          </w:tcPr>
          <w:p w14:paraId="2847E7DC" w14:textId="55E6D6F4" w:rsidR="008F5636" w:rsidRPr="00220603" w:rsidRDefault="00D63014" w:rsidP="00FB374C">
            <w:pPr>
              <w:pStyle w:val="ColorfulList-Accent11"/>
              <w:spacing w:after="0" w:line="240" w:lineRule="auto"/>
              <w:ind w:left="0"/>
              <w:jc w:val="both"/>
              <w:rPr>
                <w:lang w:val="ro-MD"/>
              </w:rPr>
            </w:pPr>
            <w:r>
              <w:rPr>
                <w:rFonts w:ascii="Times New Roman" w:hAnsi="Times New Roman"/>
                <w:sz w:val="20"/>
                <w:szCs w:val="20"/>
                <w:shd w:val="clear" w:color="auto" w:fill="FFFFFF"/>
                <w:lang w:val="ro-RO"/>
              </w:rPr>
              <w:t xml:space="preserve">Prevederile referitoare la sistemele naționale pentru politici, măsuri și prognoze sunt transpuse la pct.23 și pct.24 </w:t>
            </w:r>
            <w:r w:rsidRPr="00355607">
              <w:rPr>
                <w:rStyle w:val="apple-converted-space"/>
                <w:rFonts w:ascii="Times New Roman" w:hAnsi="Times New Roman"/>
                <w:sz w:val="20"/>
                <w:szCs w:val="20"/>
                <w:shd w:val="clear" w:color="auto" w:fill="FFFFFF"/>
                <w:lang w:val="ro-RO"/>
              </w:rPr>
              <w:t>din HG nr.</w:t>
            </w:r>
            <w:r w:rsidRPr="00355607">
              <w:rPr>
                <w:rFonts w:ascii="Times New Roman" w:hAnsi="Times New Roman"/>
                <w:sz w:val="20"/>
                <w:szCs w:val="20"/>
                <w:lang w:val="ro-RO"/>
              </w:rPr>
              <w:t xml:space="preserve">1277/2018 cu privire la instituirea și funcționarea sistemului național de monitorizare și raportare a emisiilor de gaze cu efect de seră și altor informații relevante pentru </w:t>
            </w:r>
            <w:r w:rsidRPr="00355607">
              <w:rPr>
                <w:rFonts w:ascii="Times New Roman" w:hAnsi="Times New Roman"/>
                <w:sz w:val="20"/>
                <w:szCs w:val="20"/>
                <w:lang w:val="ro-RO"/>
              </w:rPr>
              <w:lastRenderedPageBreak/>
              <w:t>schimbările climatice</w:t>
            </w:r>
          </w:p>
        </w:tc>
        <w:tc>
          <w:tcPr>
            <w:tcW w:w="1460" w:type="dxa"/>
          </w:tcPr>
          <w:p w14:paraId="7280A9D1" w14:textId="77777777" w:rsidR="00220603" w:rsidRDefault="00220603" w:rsidP="00220603">
            <w:pPr>
              <w:pStyle w:val="ColorfulList-Accent11"/>
              <w:spacing w:after="0" w:line="240" w:lineRule="auto"/>
              <w:ind w:left="0"/>
              <w:jc w:val="both"/>
              <w:rPr>
                <w:rFonts w:ascii="Times New Roman" w:hAnsi="Times New Roman"/>
                <w:sz w:val="20"/>
                <w:szCs w:val="20"/>
                <w:lang w:val="fr-FR"/>
              </w:rPr>
            </w:pPr>
            <w:proofErr w:type="spellStart"/>
            <w:r w:rsidRPr="00D16D6D">
              <w:rPr>
                <w:rFonts w:ascii="Times New Roman" w:hAnsi="Times New Roman"/>
                <w:sz w:val="20"/>
                <w:szCs w:val="20"/>
                <w:lang w:val="fr-FR"/>
              </w:rPr>
              <w:lastRenderedPageBreak/>
              <w:t>Ministerul</w:t>
            </w:r>
            <w:proofErr w:type="spellEnd"/>
            <w:r w:rsidRPr="00D16D6D">
              <w:rPr>
                <w:rFonts w:ascii="Times New Roman" w:hAnsi="Times New Roman"/>
                <w:sz w:val="20"/>
                <w:szCs w:val="20"/>
                <w:lang w:val="fr-FR"/>
              </w:rPr>
              <w:t xml:space="preserve"> </w:t>
            </w:r>
            <w:proofErr w:type="spellStart"/>
            <w:r w:rsidRPr="00D16D6D">
              <w:rPr>
                <w:rFonts w:ascii="Times New Roman" w:hAnsi="Times New Roman"/>
                <w:sz w:val="20"/>
                <w:szCs w:val="20"/>
                <w:lang w:val="fr-FR"/>
              </w:rPr>
              <w:t>Mediului</w:t>
            </w:r>
            <w:proofErr w:type="spellEnd"/>
          </w:p>
          <w:p w14:paraId="4CFFB63A" w14:textId="77777777" w:rsidR="00220603" w:rsidRPr="00D16D6D" w:rsidRDefault="00220603" w:rsidP="00220603">
            <w:pPr>
              <w:pStyle w:val="ColorfulList-Accent11"/>
              <w:spacing w:after="0" w:line="240" w:lineRule="auto"/>
              <w:ind w:left="0"/>
              <w:jc w:val="both"/>
              <w:rPr>
                <w:rFonts w:ascii="Times New Roman" w:hAnsi="Times New Roman"/>
                <w:sz w:val="20"/>
                <w:szCs w:val="20"/>
                <w:lang w:val="fr-FR"/>
              </w:rPr>
            </w:pPr>
          </w:p>
          <w:p w14:paraId="6996AF1F" w14:textId="08FEC04A" w:rsidR="008F5636" w:rsidRPr="00745D9A" w:rsidRDefault="00220603" w:rsidP="00220603">
            <w:pPr>
              <w:pStyle w:val="ColorfulList-Accent11"/>
              <w:spacing w:after="0" w:line="240" w:lineRule="auto"/>
              <w:ind w:left="0"/>
              <w:jc w:val="both"/>
              <w:rPr>
                <w:lang w:val="fr-FR"/>
              </w:rPr>
            </w:pPr>
            <w:proofErr w:type="spellStart"/>
            <w:r w:rsidRPr="00D16D6D">
              <w:rPr>
                <w:rFonts w:ascii="Times New Roman" w:hAnsi="Times New Roman"/>
                <w:sz w:val="20"/>
                <w:szCs w:val="20"/>
                <w:lang w:val="fr-FR"/>
              </w:rPr>
              <w:t>A</w:t>
            </w:r>
            <w:r>
              <w:rPr>
                <w:rFonts w:ascii="Times New Roman" w:hAnsi="Times New Roman"/>
                <w:sz w:val="20"/>
                <w:szCs w:val="20"/>
                <w:lang w:val="fr-FR"/>
              </w:rPr>
              <w:t>g</w:t>
            </w:r>
            <w:r w:rsidRPr="00D16D6D">
              <w:rPr>
                <w:rFonts w:ascii="Times New Roman" w:hAnsi="Times New Roman"/>
                <w:sz w:val="20"/>
                <w:szCs w:val="20"/>
                <w:lang w:val="fr-FR"/>
              </w:rPr>
              <w:t>enția</w:t>
            </w:r>
            <w:proofErr w:type="spellEnd"/>
            <w:r w:rsidRPr="00D16D6D">
              <w:rPr>
                <w:rFonts w:ascii="Times New Roman" w:hAnsi="Times New Roman"/>
                <w:sz w:val="20"/>
                <w:szCs w:val="20"/>
                <w:lang w:val="fr-FR"/>
              </w:rPr>
              <w:t xml:space="preserve"> de </w:t>
            </w:r>
            <w:proofErr w:type="spellStart"/>
            <w:r w:rsidRPr="00D16D6D">
              <w:rPr>
                <w:rFonts w:ascii="Times New Roman" w:hAnsi="Times New Roman"/>
                <w:sz w:val="20"/>
                <w:szCs w:val="20"/>
                <w:lang w:val="fr-FR"/>
              </w:rPr>
              <w:t>Mediu</w:t>
            </w:r>
            <w:proofErr w:type="spellEnd"/>
          </w:p>
        </w:tc>
      </w:tr>
      <w:tr w:rsidR="008F5636" w:rsidRPr="00745D9A" w14:paraId="6C2DAC98" w14:textId="77777777" w:rsidTr="00A90105">
        <w:tc>
          <w:tcPr>
            <w:tcW w:w="4945" w:type="dxa"/>
          </w:tcPr>
          <w:p w14:paraId="7398BD85" w14:textId="77777777" w:rsidR="008F5636" w:rsidRPr="00A723F5" w:rsidRDefault="008F5636" w:rsidP="00286445">
            <w:pPr>
              <w:spacing w:after="0" w:line="240" w:lineRule="auto"/>
              <w:jc w:val="center"/>
              <w:rPr>
                <w:rFonts w:ascii="Times New Roman" w:hAnsi="Times New Roman"/>
                <w:sz w:val="20"/>
                <w:szCs w:val="20"/>
                <w:lang w:eastAsia="ru-RU"/>
              </w:rPr>
            </w:pPr>
            <w:proofErr w:type="spellStart"/>
            <w:r w:rsidRPr="00A723F5">
              <w:rPr>
                <w:rFonts w:ascii="Times New Roman" w:hAnsi="Times New Roman"/>
                <w:sz w:val="20"/>
                <w:szCs w:val="20"/>
                <w:lang w:eastAsia="ru-RU"/>
              </w:rPr>
              <w:t>Articolul</w:t>
            </w:r>
            <w:proofErr w:type="spellEnd"/>
            <w:r w:rsidRPr="00A723F5">
              <w:rPr>
                <w:rFonts w:ascii="Times New Roman" w:hAnsi="Times New Roman"/>
                <w:sz w:val="20"/>
                <w:szCs w:val="20"/>
                <w:lang w:eastAsia="ru-RU"/>
              </w:rPr>
              <w:t xml:space="preserve"> 40</w:t>
            </w:r>
          </w:p>
          <w:p w14:paraId="45AB9130" w14:textId="77777777" w:rsidR="008F5636" w:rsidRPr="00A723F5" w:rsidRDefault="008F5636" w:rsidP="00286445">
            <w:pPr>
              <w:spacing w:after="0" w:line="240" w:lineRule="auto"/>
              <w:jc w:val="center"/>
              <w:rPr>
                <w:rFonts w:ascii="Times New Roman" w:hAnsi="Times New Roman"/>
                <w:b/>
                <w:bCs/>
                <w:sz w:val="20"/>
                <w:szCs w:val="20"/>
                <w:lang w:eastAsia="ru-RU"/>
              </w:rPr>
            </w:pPr>
            <w:proofErr w:type="spellStart"/>
            <w:r w:rsidRPr="00A723F5">
              <w:rPr>
                <w:rFonts w:ascii="Times New Roman" w:hAnsi="Times New Roman"/>
                <w:b/>
                <w:bCs/>
                <w:sz w:val="20"/>
                <w:szCs w:val="20"/>
                <w:lang w:eastAsia="ru-RU"/>
              </w:rPr>
              <w:t>Crearea</w:t>
            </w:r>
            <w:proofErr w:type="spellEnd"/>
            <w:r w:rsidRPr="00A723F5">
              <w:rPr>
                <w:rFonts w:ascii="Times New Roman" w:hAnsi="Times New Roman"/>
                <w:b/>
                <w:bCs/>
                <w:sz w:val="20"/>
                <w:szCs w:val="20"/>
                <w:lang w:eastAsia="ru-RU"/>
              </w:rPr>
              <w:t xml:space="preserve"> și </w:t>
            </w:r>
            <w:proofErr w:type="spellStart"/>
            <w:r w:rsidRPr="00A723F5">
              <w:rPr>
                <w:rFonts w:ascii="Times New Roman" w:hAnsi="Times New Roman"/>
                <w:b/>
                <w:bCs/>
                <w:sz w:val="20"/>
                <w:szCs w:val="20"/>
                <w:lang w:eastAsia="ru-RU"/>
              </w:rPr>
              <w:t>operarea</w:t>
            </w:r>
            <w:proofErr w:type="spellEnd"/>
            <w:r w:rsidRPr="00A723F5">
              <w:rPr>
                <w:rFonts w:ascii="Times New Roman" w:hAnsi="Times New Roman"/>
                <w:b/>
                <w:bCs/>
                <w:sz w:val="20"/>
                <w:szCs w:val="20"/>
                <w:lang w:eastAsia="ru-RU"/>
              </w:rPr>
              <w:t xml:space="preserve"> </w:t>
            </w:r>
            <w:proofErr w:type="spellStart"/>
            <w:r w:rsidRPr="00A723F5">
              <w:rPr>
                <w:rFonts w:ascii="Times New Roman" w:hAnsi="Times New Roman"/>
                <w:b/>
                <w:bCs/>
                <w:sz w:val="20"/>
                <w:szCs w:val="20"/>
                <w:lang w:eastAsia="ru-RU"/>
              </w:rPr>
              <w:t>registrelor</w:t>
            </w:r>
            <w:proofErr w:type="spellEnd"/>
          </w:p>
          <w:p w14:paraId="61EDB607" w14:textId="4C252CC9" w:rsidR="008F5636" w:rsidRPr="00A723F5" w:rsidRDefault="008F5636" w:rsidP="00286445">
            <w:pPr>
              <w:spacing w:after="0" w:line="240" w:lineRule="auto"/>
              <w:jc w:val="both"/>
              <w:rPr>
                <w:rFonts w:ascii="Times New Roman" w:hAnsi="Times New Roman"/>
                <w:sz w:val="20"/>
                <w:szCs w:val="20"/>
                <w:lang w:eastAsia="ru-RU"/>
              </w:rPr>
            </w:pPr>
            <w:r w:rsidRPr="00A723F5">
              <w:rPr>
                <w:rFonts w:ascii="Times New Roman" w:hAnsi="Times New Roman"/>
                <w:sz w:val="20"/>
                <w:szCs w:val="20"/>
                <w:lang w:eastAsia="ru-RU"/>
              </w:rPr>
              <w:t>(</w:t>
            </w:r>
            <w:proofErr w:type="gramStart"/>
            <w:r w:rsidRPr="00A723F5">
              <w:rPr>
                <w:rFonts w:ascii="Times New Roman" w:hAnsi="Times New Roman"/>
                <w:sz w:val="20"/>
                <w:szCs w:val="20"/>
                <w:lang w:eastAsia="ru-RU"/>
              </w:rPr>
              <w:t>1)</w:t>
            </w:r>
            <w:proofErr w:type="spellStart"/>
            <w:r w:rsidRPr="00A723F5">
              <w:rPr>
                <w:rFonts w:ascii="Times New Roman" w:hAnsi="Times New Roman"/>
                <w:sz w:val="20"/>
                <w:szCs w:val="20"/>
                <w:lang w:eastAsia="ru-RU"/>
              </w:rPr>
              <w:t>Uniunea</w:t>
            </w:r>
            <w:proofErr w:type="spellEnd"/>
            <w:proofErr w:type="gramEnd"/>
            <w:r w:rsidRPr="00A723F5">
              <w:rPr>
                <w:rFonts w:ascii="Times New Roman" w:hAnsi="Times New Roman"/>
                <w:sz w:val="20"/>
                <w:szCs w:val="20"/>
                <w:lang w:eastAsia="ru-RU"/>
              </w:rPr>
              <w:t xml:space="preserve"> și </w:t>
            </w:r>
            <w:proofErr w:type="spellStart"/>
            <w:r w:rsidRPr="00A723F5">
              <w:rPr>
                <w:rFonts w:ascii="Times New Roman" w:hAnsi="Times New Roman"/>
                <w:sz w:val="20"/>
                <w:szCs w:val="20"/>
                <w:lang w:eastAsia="ru-RU"/>
              </w:rPr>
              <w:t>statele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membre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înființează</w:t>
            </w:r>
            <w:proofErr w:type="spellEnd"/>
            <w:r w:rsidRPr="00A723F5">
              <w:rPr>
                <w:rFonts w:ascii="Times New Roman" w:hAnsi="Times New Roman"/>
                <w:sz w:val="20"/>
                <w:szCs w:val="20"/>
                <w:lang w:eastAsia="ru-RU"/>
              </w:rPr>
              <w:t xml:space="preserve"> și </w:t>
            </w:r>
            <w:proofErr w:type="spellStart"/>
            <w:r w:rsidRPr="00A723F5">
              <w:rPr>
                <w:rFonts w:ascii="Times New Roman" w:hAnsi="Times New Roman"/>
                <w:sz w:val="20"/>
                <w:szCs w:val="20"/>
                <w:lang w:eastAsia="ru-RU"/>
              </w:rPr>
              <w:t>mențin</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registre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pentru</w:t>
            </w:r>
            <w:proofErr w:type="spellEnd"/>
            <w:r w:rsidRPr="00A723F5">
              <w:rPr>
                <w:rFonts w:ascii="Times New Roman" w:hAnsi="Times New Roman"/>
                <w:sz w:val="20"/>
                <w:szCs w:val="20"/>
                <w:lang w:eastAsia="ru-RU"/>
              </w:rPr>
              <w:t xml:space="preserve"> a </w:t>
            </w:r>
            <w:proofErr w:type="spellStart"/>
            <w:r w:rsidRPr="00A723F5">
              <w:rPr>
                <w:rFonts w:ascii="Times New Roman" w:hAnsi="Times New Roman"/>
                <w:sz w:val="20"/>
                <w:szCs w:val="20"/>
                <w:lang w:eastAsia="ru-RU"/>
              </w:rPr>
              <w:t>contabiliza</w:t>
            </w:r>
            <w:proofErr w:type="spellEnd"/>
            <w:r w:rsidRPr="00A723F5">
              <w:rPr>
                <w:rFonts w:ascii="Times New Roman" w:hAnsi="Times New Roman"/>
                <w:sz w:val="20"/>
                <w:szCs w:val="20"/>
                <w:lang w:eastAsia="ru-RU"/>
              </w:rPr>
              <w:t xml:space="preserve"> în mod precis </w:t>
            </w:r>
            <w:proofErr w:type="spellStart"/>
            <w:r w:rsidRPr="00A723F5">
              <w:rPr>
                <w:rFonts w:ascii="Times New Roman" w:hAnsi="Times New Roman"/>
                <w:sz w:val="20"/>
                <w:szCs w:val="20"/>
                <w:lang w:eastAsia="ru-RU"/>
              </w:rPr>
              <w:t>contribuția</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stabilită</w:t>
            </w:r>
            <w:proofErr w:type="spellEnd"/>
            <w:r w:rsidRPr="00A723F5">
              <w:rPr>
                <w:rFonts w:ascii="Times New Roman" w:hAnsi="Times New Roman"/>
                <w:sz w:val="20"/>
                <w:szCs w:val="20"/>
                <w:lang w:eastAsia="ru-RU"/>
              </w:rPr>
              <w:t xml:space="preserve"> la </w:t>
            </w:r>
            <w:proofErr w:type="spellStart"/>
            <w:r w:rsidRPr="00A723F5">
              <w:rPr>
                <w:rFonts w:ascii="Times New Roman" w:hAnsi="Times New Roman"/>
                <w:sz w:val="20"/>
                <w:szCs w:val="20"/>
                <w:lang w:eastAsia="ru-RU"/>
              </w:rPr>
              <w:t>nivel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național</w:t>
            </w:r>
            <w:proofErr w:type="spellEnd"/>
            <w:r w:rsidRPr="00A723F5">
              <w:rPr>
                <w:rFonts w:ascii="Times New Roman" w:hAnsi="Times New Roman"/>
                <w:sz w:val="20"/>
                <w:szCs w:val="20"/>
                <w:lang w:eastAsia="ru-RU"/>
              </w:rPr>
              <w:t xml:space="preserve"> în </w:t>
            </w:r>
            <w:proofErr w:type="spellStart"/>
            <w:r w:rsidRPr="00A723F5">
              <w:rPr>
                <w:rFonts w:ascii="Times New Roman" w:hAnsi="Times New Roman"/>
                <w:sz w:val="20"/>
                <w:szCs w:val="20"/>
                <w:lang w:eastAsia="ru-RU"/>
              </w:rPr>
              <w:t>temeiul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articolului</w:t>
            </w:r>
            <w:proofErr w:type="spellEnd"/>
            <w:r w:rsidR="00286445"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4 </w:t>
            </w:r>
            <w:proofErr w:type="spellStart"/>
            <w:r w:rsidRPr="00A723F5">
              <w:rPr>
                <w:rFonts w:ascii="Times New Roman" w:hAnsi="Times New Roman"/>
                <w:sz w:val="20"/>
                <w:szCs w:val="20"/>
                <w:lang w:eastAsia="ru-RU"/>
              </w:rPr>
              <w:t>alineatul</w:t>
            </w:r>
            <w:proofErr w:type="spellEnd"/>
            <w:r w:rsidR="00286445"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(13) din </w:t>
            </w:r>
            <w:proofErr w:type="spellStart"/>
            <w:r w:rsidRPr="00A723F5">
              <w:rPr>
                <w:rFonts w:ascii="Times New Roman" w:hAnsi="Times New Roman"/>
                <w:sz w:val="20"/>
                <w:szCs w:val="20"/>
                <w:lang w:eastAsia="ru-RU"/>
              </w:rPr>
              <w:t>Acordul</w:t>
            </w:r>
            <w:proofErr w:type="spellEnd"/>
            <w:r w:rsidRPr="00A723F5">
              <w:rPr>
                <w:rFonts w:ascii="Times New Roman" w:hAnsi="Times New Roman"/>
                <w:sz w:val="20"/>
                <w:szCs w:val="20"/>
                <w:lang w:eastAsia="ru-RU"/>
              </w:rPr>
              <w:t xml:space="preserve"> de la Paris și </w:t>
            </w:r>
            <w:proofErr w:type="spellStart"/>
            <w:r w:rsidRPr="00A723F5">
              <w:rPr>
                <w:rFonts w:ascii="Times New Roman" w:hAnsi="Times New Roman"/>
                <w:sz w:val="20"/>
                <w:szCs w:val="20"/>
                <w:lang w:eastAsia="ru-RU"/>
              </w:rPr>
              <w:t>rezultatele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măsurilor</w:t>
            </w:r>
            <w:proofErr w:type="spellEnd"/>
            <w:r w:rsidRPr="00A723F5">
              <w:rPr>
                <w:rFonts w:ascii="Times New Roman" w:hAnsi="Times New Roman"/>
                <w:sz w:val="20"/>
                <w:szCs w:val="20"/>
                <w:lang w:eastAsia="ru-RU"/>
              </w:rPr>
              <w:t xml:space="preserve"> de </w:t>
            </w:r>
            <w:proofErr w:type="spellStart"/>
            <w:r w:rsidRPr="00A723F5">
              <w:rPr>
                <w:rFonts w:ascii="Times New Roman" w:hAnsi="Times New Roman"/>
                <w:sz w:val="20"/>
                <w:szCs w:val="20"/>
                <w:lang w:eastAsia="ru-RU"/>
              </w:rPr>
              <w:t>reducere</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transferate</w:t>
            </w:r>
            <w:proofErr w:type="spellEnd"/>
            <w:r w:rsidRPr="00A723F5">
              <w:rPr>
                <w:rFonts w:ascii="Times New Roman" w:hAnsi="Times New Roman"/>
                <w:sz w:val="20"/>
                <w:szCs w:val="20"/>
                <w:lang w:eastAsia="ru-RU"/>
              </w:rPr>
              <w:t xml:space="preserve"> la </w:t>
            </w:r>
            <w:proofErr w:type="spellStart"/>
            <w:r w:rsidRPr="00A723F5">
              <w:rPr>
                <w:rFonts w:ascii="Times New Roman" w:hAnsi="Times New Roman"/>
                <w:sz w:val="20"/>
                <w:szCs w:val="20"/>
                <w:lang w:eastAsia="ru-RU"/>
              </w:rPr>
              <w:t>nivel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internațional</w:t>
            </w:r>
            <w:proofErr w:type="spellEnd"/>
            <w:r w:rsidRPr="00A723F5">
              <w:rPr>
                <w:rFonts w:ascii="Times New Roman" w:hAnsi="Times New Roman"/>
                <w:sz w:val="20"/>
                <w:szCs w:val="20"/>
                <w:lang w:eastAsia="ru-RU"/>
              </w:rPr>
              <w:t xml:space="preserve"> în </w:t>
            </w:r>
            <w:proofErr w:type="spellStart"/>
            <w:r w:rsidRPr="00A723F5">
              <w:rPr>
                <w:rFonts w:ascii="Times New Roman" w:hAnsi="Times New Roman"/>
                <w:sz w:val="20"/>
                <w:szCs w:val="20"/>
                <w:lang w:eastAsia="ru-RU"/>
              </w:rPr>
              <w:t>temeiul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articolului</w:t>
            </w:r>
            <w:proofErr w:type="spellEnd"/>
            <w:r w:rsidR="00286445" w:rsidRPr="00A723F5">
              <w:rPr>
                <w:rFonts w:ascii="Times New Roman" w:hAnsi="Times New Roman"/>
                <w:sz w:val="20"/>
                <w:szCs w:val="20"/>
                <w:lang w:eastAsia="ru-RU"/>
              </w:rPr>
              <w:t xml:space="preserve"> </w:t>
            </w:r>
            <w:r w:rsidRPr="00A723F5">
              <w:rPr>
                <w:rFonts w:ascii="Times New Roman" w:hAnsi="Times New Roman"/>
                <w:sz w:val="20"/>
                <w:szCs w:val="20"/>
                <w:lang w:eastAsia="ru-RU"/>
              </w:rPr>
              <w:t xml:space="preserve">6 din </w:t>
            </w:r>
            <w:proofErr w:type="spellStart"/>
            <w:r w:rsidRPr="00A723F5">
              <w:rPr>
                <w:rFonts w:ascii="Times New Roman" w:hAnsi="Times New Roman"/>
                <w:sz w:val="20"/>
                <w:szCs w:val="20"/>
                <w:lang w:eastAsia="ru-RU"/>
              </w:rPr>
              <w:t>acordul</w:t>
            </w:r>
            <w:proofErr w:type="spellEnd"/>
            <w:r w:rsidRPr="00A723F5">
              <w:rPr>
                <w:rFonts w:ascii="Times New Roman" w:hAnsi="Times New Roman"/>
                <w:sz w:val="20"/>
                <w:szCs w:val="20"/>
                <w:lang w:eastAsia="ru-RU"/>
              </w:rPr>
              <w:t xml:space="preserve"> </w:t>
            </w:r>
            <w:proofErr w:type="spellStart"/>
            <w:r w:rsidRPr="00A723F5">
              <w:rPr>
                <w:rFonts w:ascii="Times New Roman" w:hAnsi="Times New Roman"/>
                <w:sz w:val="20"/>
                <w:szCs w:val="20"/>
                <w:lang w:eastAsia="ru-RU"/>
              </w:rPr>
              <w:t>respectiv</w:t>
            </w:r>
            <w:proofErr w:type="spellEnd"/>
            <w:r w:rsidRPr="00A723F5">
              <w:rPr>
                <w:rFonts w:ascii="Times New Roman" w:hAnsi="Times New Roman"/>
                <w:sz w:val="20"/>
                <w:szCs w:val="20"/>
                <w:lang w:eastAsia="ru-RU"/>
              </w:rPr>
              <w:t>.</w:t>
            </w:r>
          </w:p>
          <w:p w14:paraId="5CEC1639" w14:textId="77777777" w:rsidR="008F5636" w:rsidRPr="00A723F5" w:rsidRDefault="00286445" w:rsidP="00286445">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2)</w:t>
            </w:r>
            <w:proofErr w:type="spellStart"/>
            <w:r w:rsidRPr="00A723F5">
              <w:rPr>
                <w:rFonts w:ascii="Times New Roman" w:hAnsi="Times New Roman"/>
                <w:sz w:val="20"/>
                <w:szCs w:val="20"/>
                <w:shd w:val="clear" w:color="auto" w:fill="FFFFFF"/>
                <w:lang w:val="fr-FR"/>
              </w:rPr>
              <w:t>Uniunea</w:t>
            </w:r>
            <w:proofErr w:type="spellEnd"/>
            <w:proofErr w:type="gram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statele</w:t>
            </w:r>
            <w:proofErr w:type="spellEnd"/>
            <w:r w:rsidRPr="00A723F5">
              <w:rPr>
                <w:rFonts w:ascii="Times New Roman" w:hAnsi="Times New Roman"/>
                <w:sz w:val="20"/>
                <w:szCs w:val="20"/>
                <w:shd w:val="clear" w:color="auto" w:fill="FFFFFF"/>
                <w:lang w:val="fr-FR"/>
              </w:rPr>
              <w:t xml:space="preserve"> membre </w:t>
            </w:r>
            <w:proofErr w:type="spellStart"/>
            <w:r w:rsidRPr="00A723F5">
              <w:rPr>
                <w:rFonts w:ascii="Times New Roman" w:hAnsi="Times New Roman"/>
                <w:sz w:val="20"/>
                <w:szCs w:val="20"/>
                <w:shd w:val="clear" w:color="auto" w:fill="FFFFFF"/>
                <w:lang w:val="fr-FR"/>
              </w:rPr>
              <w:t>își</w:t>
            </w:r>
            <w:proofErr w:type="spellEnd"/>
            <w:r w:rsidRPr="00A723F5">
              <w:rPr>
                <w:rFonts w:ascii="Times New Roman" w:hAnsi="Times New Roman"/>
                <w:sz w:val="20"/>
                <w:szCs w:val="20"/>
                <w:shd w:val="clear" w:color="auto" w:fill="FFFFFF"/>
                <w:lang w:val="fr-FR"/>
              </w:rPr>
              <w:t xml:space="preserve"> pot </w:t>
            </w:r>
            <w:proofErr w:type="spellStart"/>
            <w:r w:rsidRPr="00A723F5">
              <w:rPr>
                <w:rFonts w:ascii="Times New Roman" w:hAnsi="Times New Roman"/>
                <w:sz w:val="20"/>
                <w:szCs w:val="20"/>
                <w:shd w:val="clear" w:color="auto" w:fill="FFFFFF"/>
                <w:lang w:val="fr-FR"/>
              </w:rPr>
              <w:t>menține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registrele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într</w:t>
            </w:r>
            <w:proofErr w:type="spellEnd"/>
            <w:r w:rsidRPr="00A723F5">
              <w:rPr>
                <w:rFonts w:ascii="Times New Roman" w:hAnsi="Times New Roman"/>
                <w:sz w:val="20"/>
                <w:szCs w:val="20"/>
                <w:shd w:val="clear" w:color="auto" w:fill="FFFFFF"/>
                <w:lang w:val="fr-FR"/>
              </w:rPr>
              <w:t xml:space="preserve">-un </w:t>
            </w:r>
            <w:proofErr w:type="spellStart"/>
            <w:r w:rsidRPr="00A723F5">
              <w:rPr>
                <w:rFonts w:ascii="Times New Roman" w:hAnsi="Times New Roman"/>
                <w:sz w:val="20"/>
                <w:szCs w:val="20"/>
                <w:shd w:val="clear" w:color="auto" w:fill="FFFFFF"/>
                <w:lang w:val="fr-FR"/>
              </w:rPr>
              <w:t>sistem</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consolidat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împreună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sau</w:t>
            </w:r>
            <w:proofErr w:type="spellEnd"/>
            <w:r w:rsidRPr="00A723F5">
              <w:rPr>
                <w:rFonts w:ascii="Times New Roman" w:hAnsi="Times New Roman"/>
                <w:sz w:val="20"/>
                <w:szCs w:val="20"/>
                <w:shd w:val="clear" w:color="auto" w:fill="FFFFFF"/>
                <w:lang w:val="fr-FR"/>
              </w:rPr>
              <w:t xml:space="preserve"> mai </w:t>
            </w:r>
            <w:proofErr w:type="spellStart"/>
            <w:r w:rsidRPr="00A723F5">
              <w:rPr>
                <w:rFonts w:ascii="Times New Roman" w:hAnsi="Times New Roman"/>
                <w:sz w:val="20"/>
                <w:szCs w:val="20"/>
                <w:shd w:val="clear" w:color="auto" w:fill="FFFFFF"/>
                <w:lang w:val="fr-FR"/>
              </w:rPr>
              <w:t>multe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alte</w:t>
            </w:r>
            <w:proofErr w:type="spellEnd"/>
            <w:r w:rsidRPr="00A723F5">
              <w:rPr>
                <w:rFonts w:ascii="Times New Roman" w:hAnsi="Times New Roman"/>
                <w:sz w:val="20"/>
                <w:szCs w:val="20"/>
                <w:shd w:val="clear" w:color="auto" w:fill="FFFFFF"/>
                <w:lang w:val="fr-FR"/>
              </w:rPr>
              <w:t xml:space="preserve"> state membre.</w:t>
            </w:r>
          </w:p>
          <w:p w14:paraId="43349B97" w14:textId="77777777" w:rsidR="00286445" w:rsidRPr="00A723F5" w:rsidRDefault="00286445" w:rsidP="00286445">
            <w:pPr>
              <w:pStyle w:val="ColorfulList-Accent11"/>
              <w:spacing w:after="0" w:line="240" w:lineRule="auto"/>
              <w:ind w:left="0"/>
              <w:jc w:val="both"/>
              <w:rPr>
                <w:rFonts w:ascii="Times New Roman" w:hAnsi="Times New Roman"/>
                <w:sz w:val="20"/>
                <w:szCs w:val="20"/>
                <w:shd w:val="clear" w:color="auto" w:fill="FFFFFF"/>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3)</w:t>
            </w:r>
            <w:proofErr w:type="spellStart"/>
            <w:r w:rsidRPr="00A723F5">
              <w:rPr>
                <w:rFonts w:ascii="Times New Roman" w:hAnsi="Times New Roman"/>
                <w:sz w:val="20"/>
                <w:szCs w:val="20"/>
                <w:shd w:val="clear" w:color="auto" w:fill="FFFFFF"/>
                <w:lang w:val="fr-FR"/>
              </w:rPr>
              <w:t>Datele</w:t>
            </w:r>
            <w:proofErr w:type="spellEnd"/>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registrele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alineatul</w:t>
            </w:r>
            <w:proofErr w:type="spellEnd"/>
            <w:r w:rsidRPr="00A723F5">
              <w:rPr>
                <w:rFonts w:ascii="Times New Roman" w:hAnsi="Times New Roman"/>
                <w:sz w:val="20"/>
                <w:szCs w:val="20"/>
                <w:shd w:val="clear" w:color="auto" w:fill="FFFFFF"/>
                <w:lang w:val="fr-FR"/>
              </w:rPr>
              <w:t xml:space="preserve"> (1)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sunt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puse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dispoziția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administratorului</w:t>
            </w:r>
            <w:proofErr w:type="spellEnd"/>
            <w:r w:rsidRPr="00A723F5">
              <w:rPr>
                <w:rFonts w:ascii="Times New Roman" w:hAnsi="Times New Roman"/>
                <w:sz w:val="20"/>
                <w:szCs w:val="20"/>
                <w:shd w:val="clear" w:color="auto" w:fill="FFFFFF"/>
                <w:lang w:val="fr-FR"/>
              </w:rPr>
              <w:t xml:space="preserve"> central </w:t>
            </w:r>
            <w:proofErr w:type="spellStart"/>
            <w:r w:rsidRPr="00A723F5">
              <w:rPr>
                <w:rFonts w:ascii="Times New Roman" w:hAnsi="Times New Roman"/>
                <w:sz w:val="20"/>
                <w:szCs w:val="20"/>
                <w:shd w:val="clear" w:color="auto" w:fill="FFFFFF"/>
                <w:lang w:val="fr-FR"/>
              </w:rPr>
              <w:t>desemnat</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articolului</w:t>
            </w:r>
            <w:proofErr w:type="spellEnd"/>
            <w:r w:rsidRPr="00A723F5">
              <w:rPr>
                <w:rFonts w:ascii="Times New Roman" w:hAnsi="Times New Roman"/>
                <w:sz w:val="20"/>
                <w:szCs w:val="20"/>
                <w:shd w:val="clear" w:color="auto" w:fill="FFFFFF"/>
                <w:lang w:val="fr-FR"/>
              </w:rPr>
              <w:t xml:space="preserve"> 20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Directiva</w:t>
            </w:r>
            <w:proofErr w:type="spellEnd"/>
            <w:r w:rsidRPr="00A723F5">
              <w:rPr>
                <w:rFonts w:ascii="Times New Roman" w:hAnsi="Times New Roman"/>
                <w:sz w:val="20"/>
                <w:szCs w:val="20"/>
                <w:shd w:val="clear" w:color="auto" w:fill="FFFFFF"/>
                <w:lang w:val="fr-FR"/>
              </w:rPr>
              <w:t xml:space="preserve"> 2003/87/CE</w:t>
            </w:r>
          </w:p>
          <w:p w14:paraId="533B5BD3" w14:textId="0E99F3FE" w:rsidR="00286445" w:rsidRPr="00286445" w:rsidRDefault="00286445" w:rsidP="00286445">
            <w:pPr>
              <w:pStyle w:val="ColorfulList-Accent11"/>
              <w:spacing w:after="0" w:line="240" w:lineRule="auto"/>
              <w:ind w:left="0"/>
              <w:jc w:val="both"/>
              <w:rPr>
                <w:rFonts w:ascii="Times New Roman" w:hAnsi="Times New Roman"/>
                <w:sz w:val="20"/>
                <w:szCs w:val="20"/>
                <w:lang w:val="fr-FR"/>
              </w:rPr>
            </w:pPr>
            <w:r w:rsidRPr="00A723F5">
              <w:rPr>
                <w:rFonts w:ascii="Times New Roman" w:hAnsi="Times New Roman"/>
                <w:sz w:val="20"/>
                <w:szCs w:val="20"/>
                <w:shd w:val="clear" w:color="auto" w:fill="FFFFFF"/>
                <w:lang w:val="fr-FR"/>
              </w:rPr>
              <w:t>(</w:t>
            </w:r>
            <w:proofErr w:type="gramStart"/>
            <w:r w:rsidRPr="00A723F5">
              <w:rPr>
                <w:rFonts w:ascii="Times New Roman" w:hAnsi="Times New Roman"/>
                <w:sz w:val="20"/>
                <w:szCs w:val="20"/>
                <w:shd w:val="clear" w:color="auto" w:fill="FFFFFF"/>
                <w:lang w:val="fr-FR"/>
              </w:rPr>
              <w:t>4)</w:t>
            </w:r>
            <w:proofErr w:type="spellStart"/>
            <w:r w:rsidRPr="00A723F5">
              <w:rPr>
                <w:rFonts w:ascii="Times New Roman" w:hAnsi="Times New Roman"/>
                <w:sz w:val="20"/>
                <w:szCs w:val="20"/>
                <w:shd w:val="clear" w:color="auto" w:fill="FFFFFF"/>
                <w:lang w:val="fr-FR"/>
              </w:rPr>
              <w:t>Comisia</w:t>
            </w:r>
            <w:proofErr w:type="spellEnd"/>
            <w:proofErr w:type="gram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adoptă</w:t>
            </w:r>
            <w:proofErr w:type="spellEnd"/>
            <w:r w:rsidRPr="00A723F5">
              <w:rPr>
                <w:rFonts w:ascii="Times New Roman" w:hAnsi="Times New Roman"/>
                <w:sz w:val="20"/>
                <w:szCs w:val="20"/>
                <w:shd w:val="clear" w:color="auto" w:fill="FFFFFF"/>
                <w:lang w:val="fr-FR"/>
              </w:rPr>
              <w:t xml:space="preserve"> acte </w:t>
            </w:r>
            <w:proofErr w:type="spellStart"/>
            <w:r w:rsidRPr="00A723F5">
              <w:rPr>
                <w:rFonts w:ascii="Times New Roman" w:hAnsi="Times New Roman"/>
                <w:sz w:val="20"/>
                <w:szCs w:val="20"/>
                <w:shd w:val="clear" w:color="auto" w:fill="FFFFFF"/>
                <w:lang w:val="fr-FR"/>
              </w:rPr>
              <w:t>delegate</w:t>
            </w:r>
            <w:proofErr w:type="spellEnd"/>
            <w:r w:rsidRPr="00A723F5">
              <w:rPr>
                <w:rFonts w:ascii="Times New Roman" w:hAnsi="Times New Roman"/>
                <w:sz w:val="20"/>
                <w:szCs w:val="20"/>
                <w:shd w:val="clear" w:color="auto" w:fill="FFFFFF"/>
                <w:lang w:val="fr-FR"/>
              </w:rPr>
              <w:t xml:space="preserve"> în conformitate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articolul</w:t>
            </w:r>
            <w:proofErr w:type="spellEnd"/>
            <w:r w:rsidRPr="00A723F5">
              <w:rPr>
                <w:rFonts w:ascii="Times New Roman" w:hAnsi="Times New Roman"/>
                <w:sz w:val="20"/>
                <w:szCs w:val="20"/>
                <w:shd w:val="clear" w:color="auto" w:fill="FFFFFF"/>
                <w:lang w:val="fr-FR"/>
              </w:rPr>
              <w:t xml:space="preserve"> 43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completa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înființarea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registrelor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menționate</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alineatul</w:t>
            </w:r>
            <w:proofErr w:type="spellEnd"/>
            <w:r w:rsidRPr="00A723F5">
              <w:rPr>
                <w:rFonts w:ascii="Times New Roman" w:hAnsi="Times New Roman"/>
                <w:sz w:val="20"/>
                <w:szCs w:val="20"/>
                <w:shd w:val="clear" w:color="auto" w:fill="FFFFFF"/>
                <w:lang w:val="fr-FR"/>
              </w:rPr>
              <w:t xml:space="preserve"> (1) </w:t>
            </w:r>
            <w:proofErr w:type="spellStart"/>
            <w:r w:rsidRPr="00A723F5">
              <w:rPr>
                <w:rFonts w:ascii="Times New Roman" w:hAnsi="Times New Roman"/>
                <w:sz w:val="20"/>
                <w:szCs w:val="20"/>
                <w:shd w:val="clear" w:color="auto" w:fill="FFFFFF"/>
                <w:lang w:val="fr-FR"/>
              </w:rPr>
              <w:t>din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 xml:space="preserve"> și </w:t>
            </w:r>
            <w:proofErr w:type="spellStart"/>
            <w:r w:rsidRPr="00A723F5">
              <w:rPr>
                <w:rFonts w:ascii="Times New Roman" w:hAnsi="Times New Roman"/>
                <w:sz w:val="20"/>
                <w:szCs w:val="20"/>
                <w:shd w:val="clear" w:color="auto" w:fill="FFFFFF"/>
                <w:lang w:val="fr-FR"/>
              </w:rPr>
              <w:t>pentru</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asigura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efectiv</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intermediul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registrelor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Uniunii</w:t>
            </w:r>
            <w:proofErr w:type="spellEnd"/>
            <w:r w:rsidRPr="00A723F5">
              <w:rPr>
                <w:rFonts w:ascii="Times New Roman" w:hAnsi="Times New Roman"/>
                <w:sz w:val="20"/>
                <w:szCs w:val="20"/>
                <w:shd w:val="clear" w:color="auto" w:fill="FFFFFF"/>
                <w:lang w:val="fr-FR"/>
              </w:rPr>
              <w:t xml:space="preserve"> și ale </w:t>
            </w:r>
            <w:proofErr w:type="spellStart"/>
            <w:r w:rsidRPr="00A723F5">
              <w:rPr>
                <w:rFonts w:ascii="Times New Roman" w:hAnsi="Times New Roman"/>
                <w:sz w:val="20"/>
                <w:szCs w:val="20"/>
                <w:shd w:val="clear" w:color="auto" w:fill="FFFFFF"/>
                <w:lang w:val="fr-FR"/>
              </w:rPr>
              <w:t>statelor</w:t>
            </w:r>
            <w:proofErr w:type="spellEnd"/>
            <w:r w:rsidRPr="00A723F5">
              <w:rPr>
                <w:rFonts w:ascii="Times New Roman" w:hAnsi="Times New Roman"/>
                <w:sz w:val="20"/>
                <w:szCs w:val="20"/>
                <w:shd w:val="clear" w:color="auto" w:fill="FFFFFF"/>
                <w:lang w:val="fr-FR"/>
              </w:rPr>
              <w:t xml:space="preserve"> membre, </w:t>
            </w:r>
            <w:proofErr w:type="spellStart"/>
            <w:r w:rsidRPr="00A723F5">
              <w:rPr>
                <w:rFonts w:ascii="Times New Roman" w:hAnsi="Times New Roman"/>
                <w:sz w:val="20"/>
                <w:szCs w:val="20"/>
                <w:shd w:val="clear" w:color="auto" w:fill="FFFFFF"/>
                <w:lang w:val="fr-FR"/>
              </w:rPr>
              <w:t>implementarea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tehnică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necesară</w:t>
            </w:r>
            <w:proofErr w:type="spellEnd"/>
            <w:r w:rsidRPr="00A723F5">
              <w:rPr>
                <w:rFonts w:ascii="Times New Roman" w:hAnsi="Times New Roman"/>
                <w:sz w:val="20"/>
                <w:szCs w:val="20"/>
                <w:shd w:val="clear" w:color="auto" w:fill="FFFFFF"/>
                <w:lang w:val="fr-FR"/>
              </w:rPr>
              <w:t xml:space="preserve"> a </w:t>
            </w:r>
            <w:proofErr w:type="spellStart"/>
            <w:r w:rsidRPr="00A723F5">
              <w:rPr>
                <w:rFonts w:ascii="Times New Roman" w:hAnsi="Times New Roman"/>
                <w:sz w:val="20"/>
                <w:szCs w:val="20"/>
                <w:shd w:val="clear" w:color="auto" w:fill="FFFFFF"/>
                <w:lang w:val="fr-FR"/>
              </w:rPr>
              <w:t>deciziilor</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relevante</w:t>
            </w:r>
            <w:proofErr w:type="spellEnd"/>
            <w:r w:rsidRPr="00A723F5">
              <w:rPr>
                <w:rFonts w:ascii="Times New Roman" w:hAnsi="Times New Roman"/>
                <w:sz w:val="20"/>
                <w:szCs w:val="20"/>
                <w:shd w:val="clear" w:color="auto" w:fill="FFFFFF"/>
                <w:lang w:val="fr-FR"/>
              </w:rPr>
              <w:t xml:space="preserve"> ale </w:t>
            </w:r>
            <w:proofErr w:type="spellStart"/>
            <w:r w:rsidRPr="00A723F5">
              <w:rPr>
                <w:rFonts w:ascii="Times New Roman" w:hAnsi="Times New Roman"/>
                <w:sz w:val="20"/>
                <w:szCs w:val="20"/>
                <w:shd w:val="clear" w:color="auto" w:fill="FFFFFF"/>
                <w:lang w:val="fr-FR"/>
              </w:rPr>
              <w:t>organismelor</w:t>
            </w:r>
            <w:proofErr w:type="spellEnd"/>
            <w:r w:rsidRPr="00A723F5">
              <w:rPr>
                <w:rFonts w:ascii="Times New Roman" w:hAnsi="Times New Roman"/>
                <w:sz w:val="20"/>
                <w:szCs w:val="20"/>
                <w:shd w:val="clear" w:color="auto" w:fill="FFFFFF"/>
                <w:lang w:val="fr-FR"/>
              </w:rPr>
              <w:t xml:space="preserve"> CCONUSC </w:t>
            </w:r>
            <w:proofErr w:type="spellStart"/>
            <w:r w:rsidRPr="00A723F5">
              <w:rPr>
                <w:rFonts w:ascii="Times New Roman" w:hAnsi="Times New Roman"/>
                <w:sz w:val="20"/>
                <w:szCs w:val="20"/>
                <w:shd w:val="clear" w:color="auto" w:fill="FFFFFF"/>
                <w:lang w:val="fr-FR"/>
              </w:rPr>
              <w:t>sau</w:t>
            </w:r>
            <w:proofErr w:type="spellEnd"/>
            <w:r w:rsidRPr="00A723F5">
              <w:rPr>
                <w:rFonts w:ascii="Times New Roman" w:hAnsi="Times New Roman"/>
                <w:sz w:val="20"/>
                <w:szCs w:val="20"/>
                <w:shd w:val="clear" w:color="auto" w:fill="FFFFFF"/>
                <w:lang w:val="fr-FR"/>
              </w:rPr>
              <w:t xml:space="preserve"> ale </w:t>
            </w:r>
            <w:proofErr w:type="spellStart"/>
            <w:r w:rsidRPr="00A723F5">
              <w:rPr>
                <w:rFonts w:ascii="Times New Roman" w:hAnsi="Times New Roman"/>
                <w:sz w:val="20"/>
                <w:szCs w:val="20"/>
                <w:shd w:val="clear" w:color="auto" w:fill="FFFFFF"/>
                <w:lang w:val="fr-FR"/>
              </w:rPr>
              <w:t>Acordului</w:t>
            </w:r>
            <w:proofErr w:type="spellEnd"/>
            <w:r w:rsidRPr="00A723F5">
              <w:rPr>
                <w:rFonts w:ascii="Times New Roman" w:hAnsi="Times New Roman"/>
                <w:sz w:val="20"/>
                <w:szCs w:val="20"/>
                <w:shd w:val="clear" w:color="auto" w:fill="FFFFFF"/>
                <w:lang w:val="fr-FR"/>
              </w:rPr>
              <w:t xml:space="preserve"> la Paris, în conformitate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alineatul</w:t>
            </w:r>
            <w:proofErr w:type="spellEnd"/>
            <w:r w:rsidRPr="00A723F5">
              <w:rPr>
                <w:rFonts w:ascii="Times New Roman" w:hAnsi="Times New Roman"/>
                <w:sz w:val="20"/>
                <w:szCs w:val="20"/>
                <w:shd w:val="clear" w:color="auto" w:fill="FFFFFF"/>
                <w:lang w:val="fr-FR"/>
              </w:rPr>
              <w:t xml:space="preserve"> (1) al </w:t>
            </w:r>
            <w:proofErr w:type="spellStart"/>
            <w:r w:rsidRPr="00A723F5">
              <w:rPr>
                <w:rFonts w:ascii="Times New Roman" w:hAnsi="Times New Roman"/>
                <w:sz w:val="20"/>
                <w:szCs w:val="20"/>
                <w:shd w:val="clear" w:color="auto" w:fill="FFFFFF"/>
                <w:lang w:val="fr-FR"/>
              </w:rPr>
              <w:t>prezentului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articol</w:t>
            </w:r>
            <w:proofErr w:type="spellEnd"/>
            <w:r w:rsidRPr="00A723F5">
              <w:rPr>
                <w:rFonts w:ascii="Times New Roman" w:hAnsi="Times New Roman"/>
                <w:sz w:val="20"/>
                <w:szCs w:val="20"/>
                <w:shd w:val="clear" w:color="auto" w:fill="FFFFFF"/>
                <w:lang w:val="fr-FR"/>
              </w:rPr>
              <w:t>.</w:t>
            </w:r>
          </w:p>
        </w:tc>
        <w:tc>
          <w:tcPr>
            <w:tcW w:w="4440" w:type="dxa"/>
          </w:tcPr>
          <w:p w14:paraId="273E8924" w14:textId="2BDB1A6B" w:rsidR="008F5636" w:rsidRPr="00F46865" w:rsidRDefault="008F5636" w:rsidP="00F412E1">
            <w:pPr>
              <w:spacing w:after="0" w:line="240" w:lineRule="auto"/>
              <w:jc w:val="both"/>
              <w:rPr>
                <w:rFonts w:ascii="Times New Roman" w:hAnsi="Times New Roman"/>
                <w:sz w:val="20"/>
                <w:szCs w:val="20"/>
                <w:lang w:val="ro-MD" w:eastAsia="ru-RU"/>
              </w:rPr>
            </w:pPr>
          </w:p>
        </w:tc>
        <w:tc>
          <w:tcPr>
            <w:tcW w:w="1276" w:type="dxa"/>
          </w:tcPr>
          <w:p w14:paraId="251FFB9A" w14:textId="0A3580C2" w:rsidR="008F5636" w:rsidRPr="00745D9A" w:rsidRDefault="00935B57" w:rsidP="008F5636">
            <w:pPr>
              <w:pStyle w:val="ColorfulList-Accent11"/>
              <w:spacing w:after="0" w:line="240" w:lineRule="auto"/>
              <w:ind w:left="0"/>
              <w:jc w:val="both"/>
              <w:rPr>
                <w:lang w:val="fr-FR"/>
              </w:rPr>
            </w:pPr>
            <w:r>
              <w:rPr>
                <w:rFonts w:ascii="Times New Roman" w:hAnsi="Times New Roman"/>
                <w:sz w:val="20"/>
                <w:szCs w:val="20"/>
                <w:lang w:val="ro-RO"/>
              </w:rPr>
              <w:t>Compatibil</w:t>
            </w:r>
          </w:p>
        </w:tc>
        <w:tc>
          <w:tcPr>
            <w:tcW w:w="1276" w:type="dxa"/>
          </w:tcPr>
          <w:p w14:paraId="57040E66" w14:textId="77777777" w:rsidR="008F5636" w:rsidRPr="00745D9A" w:rsidRDefault="008F5636" w:rsidP="008F5636">
            <w:pPr>
              <w:pStyle w:val="ColorfulList-Accent11"/>
              <w:spacing w:after="0" w:line="240" w:lineRule="auto"/>
              <w:ind w:left="0"/>
              <w:jc w:val="both"/>
              <w:rPr>
                <w:lang w:val="fr-FR"/>
              </w:rPr>
            </w:pPr>
          </w:p>
        </w:tc>
        <w:tc>
          <w:tcPr>
            <w:tcW w:w="1701" w:type="dxa"/>
          </w:tcPr>
          <w:p w14:paraId="533AF3C8" w14:textId="77777777" w:rsidR="00F412E1" w:rsidRPr="003C74D7" w:rsidRDefault="00F412E1" w:rsidP="00F412E1">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în </w:t>
            </w:r>
          </w:p>
          <w:p w14:paraId="17A71813" w14:textId="77777777" w:rsidR="00F412E1" w:rsidRDefault="00F412E1" w:rsidP="00F412E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5D1394A9" w14:textId="77777777" w:rsidR="00F412E1" w:rsidRDefault="00F412E1" w:rsidP="00B50AB3">
            <w:pPr>
              <w:pStyle w:val="ColorfulList-Accent11"/>
              <w:spacing w:after="0" w:line="240" w:lineRule="auto"/>
              <w:ind w:left="0"/>
              <w:jc w:val="both"/>
              <w:rPr>
                <w:rFonts w:ascii="Times New Roman" w:hAnsi="Times New Roman"/>
                <w:sz w:val="20"/>
                <w:szCs w:val="20"/>
                <w:shd w:val="clear" w:color="auto" w:fill="FFFFFF"/>
                <w:lang w:val="ro-RO"/>
              </w:rPr>
            </w:pPr>
          </w:p>
          <w:p w14:paraId="43D66F34" w14:textId="6CB7AA77" w:rsidR="00C45A60" w:rsidRDefault="00C45A60" w:rsidP="00B50AB3">
            <w:pPr>
              <w:pStyle w:val="ColorfulList-Accent11"/>
              <w:spacing w:after="0" w:line="240" w:lineRule="auto"/>
              <w:ind w:left="0"/>
              <w:jc w:val="both"/>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Prevederile referitoare la platforme de raportare sunt transpuse la pct.23 și pct.</w:t>
            </w:r>
            <w:r w:rsidRPr="00C45A60">
              <w:rPr>
                <w:rFonts w:ascii="Times New Roman" w:hAnsi="Times New Roman"/>
                <w:bCs/>
                <w:sz w:val="20"/>
                <w:szCs w:val="20"/>
                <w:lang w:val="ro-MD" w:eastAsia="ru-RU"/>
              </w:rPr>
              <w:t>43</w:t>
            </w:r>
            <w:r w:rsidRPr="00C45A60">
              <w:rPr>
                <w:rFonts w:ascii="Times New Roman" w:hAnsi="Times New Roman"/>
                <w:bCs/>
                <w:sz w:val="20"/>
                <w:szCs w:val="20"/>
                <w:vertAlign w:val="superscript"/>
                <w:lang w:val="ro-MD" w:eastAsia="ru-RU"/>
              </w:rPr>
              <w:t>4</w:t>
            </w:r>
            <w:r>
              <w:rPr>
                <w:rFonts w:ascii="Times New Roman" w:hAnsi="Times New Roman"/>
                <w:sz w:val="20"/>
                <w:szCs w:val="20"/>
                <w:shd w:val="clear" w:color="auto" w:fill="FFFFFF"/>
                <w:lang w:val="ro-RO"/>
              </w:rPr>
              <w:t xml:space="preserve"> </w:t>
            </w:r>
            <w:r w:rsidRPr="00355607">
              <w:rPr>
                <w:rStyle w:val="apple-converted-space"/>
                <w:rFonts w:ascii="Times New Roman" w:hAnsi="Times New Roman"/>
                <w:sz w:val="20"/>
                <w:szCs w:val="20"/>
                <w:shd w:val="clear" w:color="auto" w:fill="FFFFFF"/>
                <w:lang w:val="ro-RO"/>
              </w:rPr>
              <w:t>din HG nr.</w:t>
            </w:r>
            <w:r w:rsidRPr="00355607">
              <w:rPr>
                <w:rFonts w:ascii="Times New Roman" w:hAnsi="Times New Roman"/>
                <w:sz w:val="20"/>
                <w:szCs w:val="20"/>
                <w:lang w:val="ro-RO"/>
              </w:rPr>
              <w:t>1277/2018</w:t>
            </w:r>
          </w:p>
          <w:p w14:paraId="51A93585" w14:textId="441A6661" w:rsidR="008F5636" w:rsidRPr="00286445" w:rsidRDefault="00B50AB3" w:rsidP="00B50AB3">
            <w:pPr>
              <w:pStyle w:val="ColorfulList-Accent11"/>
              <w:spacing w:after="0" w:line="240" w:lineRule="auto"/>
              <w:ind w:left="0"/>
              <w:jc w:val="both"/>
              <w:rPr>
                <w:lang w:val="ro-MD"/>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tc>
        <w:tc>
          <w:tcPr>
            <w:tcW w:w="1460" w:type="dxa"/>
          </w:tcPr>
          <w:p w14:paraId="0D14CD3A" w14:textId="77777777" w:rsidR="00921F06" w:rsidRPr="003F755D" w:rsidRDefault="00921F06" w:rsidP="00921F06">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4EF94587" w14:textId="77777777" w:rsidR="00921F06" w:rsidRDefault="00921F06" w:rsidP="00286445">
            <w:pPr>
              <w:pStyle w:val="ColorfulList-Accent11"/>
              <w:spacing w:after="0" w:line="240" w:lineRule="auto"/>
              <w:ind w:left="0"/>
              <w:jc w:val="both"/>
              <w:rPr>
                <w:rFonts w:ascii="Times New Roman" w:hAnsi="Times New Roman"/>
                <w:sz w:val="20"/>
                <w:szCs w:val="20"/>
                <w:lang w:val="fr-FR"/>
              </w:rPr>
            </w:pPr>
          </w:p>
          <w:p w14:paraId="6531D0FE" w14:textId="77777777" w:rsidR="00921F06" w:rsidRDefault="00921F06" w:rsidP="00286445">
            <w:pPr>
              <w:pStyle w:val="ColorfulList-Accent11"/>
              <w:spacing w:after="0" w:line="240" w:lineRule="auto"/>
              <w:ind w:left="0"/>
              <w:jc w:val="both"/>
              <w:rPr>
                <w:rFonts w:ascii="Times New Roman" w:hAnsi="Times New Roman"/>
                <w:sz w:val="20"/>
                <w:szCs w:val="20"/>
                <w:lang w:val="fr-FR"/>
              </w:rPr>
            </w:pPr>
          </w:p>
          <w:p w14:paraId="08CAAA62" w14:textId="4BED2F06" w:rsidR="00286445" w:rsidRDefault="00286445" w:rsidP="00286445">
            <w:pPr>
              <w:pStyle w:val="ColorfulList-Accent11"/>
              <w:spacing w:after="0" w:line="240" w:lineRule="auto"/>
              <w:ind w:left="0"/>
              <w:jc w:val="both"/>
              <w:rPr>
                <w:rFonts w:ascii="Times New Roman" w:hAnsi="Times New Roman"/>
                <w:sz w:val="20"/>
                <w:szCs w:val="20"/>
                <w:lang w:val="fr-FR"/>
              </w:rPr>
            </w:pPr>
            <w:proofErr w:type="spellStart"/>
            <w:r w:rsidRPr="00D16D6D">
              <w:rPr>
                <w:rFonts w:ascii="Times New Roman" w:hAnsi="Times New Roman"/>
                <w:sz w:val="20"/>
                <w:szCs w:val="20"/>
                <w:lang w:val="fr-FR"/>
              </w:rPr>
              <w:t>Ministerul</w:t>
            </w:r>
            <w:proofErr w:type="spellEnd"/>
            <w:r w:rsidRPr="00D16D6D">
              <w:rPr>
                <w:rFonts w:ascii="Times New Roman" w:hAnsi="Times New Roman"/>
                <w:sz w:val="20"/>
                <w:szCs w:val="20"/>
                <w:lang w:val="fr-FR"/>
              </w:rPr>
              <w:t xml:space="preserve"> </w:t>
            </w:r>
            <w:proofErr w:type="spellStart"/>
            <w:r w:rsidRPr="00D16D6D">
              <w:rPr>
                <w:rFonts w:ascii="Times New Roman" w:hAnsi="Times New Roman"/>
                <w:sz w:val="20"/>
                <w:szCs w:val="20"/>
                <w:lang w:val="fr-FR"/>
              </w:rPr>
              <w:t>Mediului</w:t>
            </w:r>
            <w:proofErr w:type="spellEnd"/>
          </w:p>
          <w:p w14:paraId="61F72454" w14:textId="77777777" w:rsidR="00286445" w:rsidRPr="00D16D6D" w:rsidRDefault="00286445" w:rsidP="00286445">
            <w:pPr>
              <w:pStyle w:val="ColorfulList-Accent11"/>
              <w:spacing w:after="0" w:line="240" w:lineRule="auto"/>
              <w:ind w:left="0"/>
              <w:jc w:val="both"/>
              <w:rPr>
                <w:rFonts w:ascii="Times New Roman" w:hAnsi="Times New Roman"/>
                <w:sz w:val="20"/>
                <w:szCs w:val="20"/>
                <w:lang w:val="fr-FR"/>
              </w:rPr>
            </w:pPr>
          </w:p>
          <w:p w14:paraId="637720AE" w14:textId="6139833B" w:rsidR="008F5636" w:rsidRPr="00745D9A" w:rsidRDefault="00286445" w:rsidP="00286445">
            <w:pPr>
              <w:pStyle w:val="ColorfulList-Accent11"/>
              <w:spacing w:after="0" w:line="240" w:lineRule="auto"/>
              <w:ind w:left="0"/>
              <w:jc w:val="both"/>
              <w:rPr>
                <w:lang w:val="fr-FR"/>
              </w:rPr>
            </w:pPr>
            <w:proofErr w:type="spellStart"/>
            <w:r w:rsidRPr="00D16D6D">
              <w:rPr>
                <w:rFonts w:ascii="Times New Roman" w:hAnsi="Times New Roman"/>
                <w:sz w:val="20"/>
                <w:szCs w:val="20"/>
                <w:lang w:val="fr-FR"/>
              </w:rPr>
              <w:t>A</w:t>
            </w:r>
            <w:r>
              <w:rPr>
                <w:rFonts w:ascii="Times New Roman" w:hAnsi="Times New Roman"/>
                <w:sz w:val="20"/>
                <w:szCs w:val="20"/>
                <w:lang w:val="fr-FR"/>
              </w:rPr>
              <w:t>g</w:t>
            </w:r>
            <w:r w:rsidRPr="00D16D6D">
              <w:rPr>
                <w:rFonts w:ascii="Times New Roman" w:hAnsi="Times New Roman"/>
                <w:sz w:val="20"/>
                <w:szCs w:val="20"/>
                <w:lang w:val="fr-FR"/>
              </w:rPr>
              <w:t>enția</w:t>
            </w:r>
            <w:proofErr w:type="spellEnd"/>
            <w:r w:rsidRPr="00D16D6D">
              <w:rPr>
                <w:rFonts w:ascii="Times New Roman" w:hAnsi="Times New Roman"/>
                <w:sz w:val="20"/>
                <w:szCs w:val="20"/>
                <w:lang w:val="fr-FR"/>
              </w:rPr>
              <w:t xml:space="preserve"> de </w:t>
            </w:r>
            <w:proofErr w:type="spellStart"/>
            <w:r w:rsidRPr="00D16D6D">
              <w:rPr>
                <w:rFonts w:ascii="Times New Roman" w:hAnsi="Times New Roman"/>
                <w:sz w:val="20"/>
                <w:szCs w:val="20"/>
                <w:lang w:val="fr-FR"/>
              </w:rPr>
              <w:t>Mediu</w:t>
            </w:r>
            <w:proofErr w:type="spellEnd"/>
          </w:p>
        </w:tc>
      </w:tr>
      <w:tr w:rsidR="008F5636" w:rsidRPr="00E43789" w14:paraId="1459F6C2" w14:textId="77777777" w:rsidTr="00A90105">
        <w:tc>
          <w:tcPr>
            <w:tcW w:w="4945" w:type="dxa"/>
          </w:tcPr>
          <w:p w14:paraId="3963BE03" w14:textId="77777777" w:rsidR="008F5636" w:rsidRPr="00A723F5" w:rsidRDefault="008F5636" w:rsidP="008C7E95">
            <w:pPr>
              <w:spacing w:after="0" w:line="240" w:lineRule="auto"/>
              <w:jc w:val="center"/>
              <w:rPr>
                <w:rFonts w:ascii="Times New Roman" w:hAnsi="Times New Roman"/>
                <w:b/>
                <w:bCs/>
                <w:sz w:val="20"/>
                <w:szCs w:val="20"/>
                <w:lang w:val="en-US" w:eastAsia="ru-RU"/>
              </w:rPr>
            </w:pPr>
            <w:r w:rsidRPr="00A723F5">
              <w:rPr>
                <w:rFonts w:ascii="Times New Roman" w:hAnsi="Times New Roman"/>
                <w:b/>
                <w:bCs/>
                <w:sz w:val="20"/>
                <w:szCs w:val="20"/>
                <w:lang w:val="en-US" w:eastAsia="ru-RU"/>
              </w:rPr>
              <w:lastRenderedPageBreak/>
              <w:t>CAPITOLUL 7</w:t>
            </w:r>
          </w:p>
          <w:p w14:paraId="427D50C2" w14:textId="77777777" w:rsidR="008F5636" w:rsidRPr="00A723F5" w:rsidRDefault="008F5636" w:rsidP="008C7E95">
            <w:pPr>
              <w:spacing w:after="0" w:line="240" w:lineRule="auto"/>
              <w:jc w:val="center"/>
              <w:rPr>
                <w:rFonts w:ascii="Times New Roman" w:hAnsi="Times New Roman"/>
                <w:b/>
                <w:bCs/>
                <w:sz w:val="20"/>
                <w:szCs w:val="20"/>
                <w:lang w:val="en-US" w:eastAsia="ru-RU"/>
              </w:rPr>
            </w:pPr>
            <w:proofErr w:type="spellStart"/>
            <w:r w:rsidRPr="00A723F5">
              <w:rPr>
                <w:rFonts w:ascii="Times New Roman" w:hAnsi="Times New Roman"/>
                <w:b/>
                <w:bCs/>
                <w:sz w:val="20"/>
                <w:szCs w:val="20"/>
                <w:lang w:val="en-US" w:eastAsia="ru-RU"/>
              </w:rPr>
              <w:t>Cooperare</w:t>
            </w:r>
            <w:proofErr w:type="spellEnd"/>
            <w:r w:rsidRPr="00A723F5">
              <w:rPr>
                <w:rFonts w:ascii="Times New Roman" w:hAnsi="Times New Roman"/>
                <w:b/>
                <w:bCs/>
                <w:sz w:val="20"/>
                <w:szCs w:val="20"/>
                <w:lang w:val="en-US" w:eastAsia="ru-RU"/>
              </w:rPr>
              <w:t xml:space="preserve"> și </w:t>
            </w:r>
            <w:proofErr w:type="spellStart"/>
            <w:r w:rsidRPr="00A723F5">
              <w:rPr>
                <w:rFonts w:ascii="Times New Roman" w:hAnsi="Times New Roman"/>
                <w:b/>
                <w:bCs/>
                <w:sz w:val="20"/>
                <w:szCs w:val="20"/>
                <w:lang w:val="en-US" w:eastAsia="ru-RU"/>
              </w:rPr>
              <w:t>sprijin</w:t>
            </w:r>
            <w:proofErr w:type="spellEnd"/>
          </w:p>
          <w:p w14:paraId="5C8FE9E2" w14:textId="77777777" w:rsidR="008F5636" w:rsidRPr="00A723F5" w:rsidRDefault="008F5636" w:rsidP="008C7E95">
            <w:pPr>
              <w:spacing w:after="0" w:line="240" w:lineRule="auto"/>
              <w:jc w:val="center"/>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Articolul</w:t>
            </w:r>
            <w:proofErr w:type="spellEnd"/>
            <w:r w:rsidRPr="00A723F5">
              <w:rPr>
                <w:rFonts w:ascii="Times New Roman" w:hAnsi="Times New Roman"/>
                <w:sz w:val="20"/>
                <w:szCs w:val="20"/>
                <w:lang w:val="en-US" w:eastAsia="ru-RU"/>
              </w:rPr>
              <w:t xml:space="preserve"> 41</w:t>
            </w:r>
          </w:p>
          <w:p w14:paraId="180C60EA" w14:textId="77777777" w:rsidR="008F5636" w:rsidRPr="00A723F5" w:rsidRDefault="008F5636" w:rsidP="008C7E95">
            <w:pPr>
              <w:spacing w:after="0" w:line="240" w:lineRule="auto"/>
              <w:jc w:val="center"/>
              <w:rPr>
                <w:rFonts w:ascii="Times New Roman" w:hAnsi="Times New Roman"/>
                <w:b/>
                <w:bCs/>
                <w:sz w:val="20"/>
                <w:szCs w:val="20"/>
                <w:lang w:val="en-US" w:eastAsia="ru-RU"/>
              </w:rPr>
            </w:pPr>
            <w:proofErr w:type="spellStart"/>
            <w:r w:rsidRPr="00A723F5">
              <w:rPr>
                <w:rFonts w:ascii="Times New Roman" w:hAnsi="Times New Roman"/>
                <w:b/>
                <w:bCs/>
                <w:sz w:val="20"/>
                <w:szCs w:val="20"/>
                <w:lang w:val="en-US" w:eastAsia="ru-RU"/>
              </w:rPr>
              <w:t>Cooperarea</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dintre</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statele</w:t>
            </w:r>
            <w:proofErr w:type="spellEnd"/>
            <w:r w:rsidRPr="00A723F5">
              <w:rPr>
                <w:rFonts w:ascii="Times New Roman" w:hAnsi="Times New Roman"/>
                <w:b/>
                <w:bCs/>
                <w:sz w:val="20"/>
                <w:szCs w:val="20"/>
                <w:lang w:val="en-US" w:eastAsia="ru-RU"/>
              </w:rPr>
              <w:t xml:space="preserve"> </w:t>
            </w:r>
            <w:proofErr w:type="spellStart"/>
            <w:r w:rsidRPr="00A723F5">
              <w:rPr>
                <w:rFonts w:ascii="Times New Roman" w:hAnsi="Times New Roman"/>
                <w:b/>
                <w:bCs/>
                <w:sz w:val="20"/>
                <w:szCs w:val="20"/>
                <w:lang w:val="en-US" w:eastAsia="ru-RU"/>
              </w:rPr>
              <w:t>membre</w:t>
            </w:r>
            <w:proofErr w:type="spellEnd"/>
            <w:r w:rsidRPr="00A723F5">
              <w:rPr>
                <w:rFonts w:ascii="Times New Roman" w:hAnsi="Times New Roman"/>
                <w:b/>
                <w:bCs/>
                <w:sz w:val="20"/>
                <w:szCs w:val="20"/>
                <w:lang w:val="en-US" w:eastAsia="ru-RU"/>
              </w:rPr>
              <w:t xml:space="preserve"> și </w:t>
            </w:r>
            <w:proofErr w:type="spellStart"/>
            <w:r w:rsidRPr="00A723F5">
              <w:rPr>
                <w:rFonts w:ascii="Times New Roman" w:hAnsi="Times New Roman"/>
                <w:b/>
                <w:bCs/>
                <w:sz w:val="20"/>
                <w:szCs w:val="20"/>
                <w:lang w:val="en-US" w:eastAsia="ru-RU"/>
              </w:rPr>
              <w:t>Uniune</w:t>
            </w:r>
            <w:proofErr w:type="spellEnd"/>
          </w:p>
          <w:p w14:paraId="2DEEB45F" w14:textId="0D773459" w:rsidR="008F5636" w:rsidRPr="00A723F5" w:rsidRDefault="008F5636" w:rsidP="008C7E95">
            <w:pPr>
              <w:spacing w:after="0" w:line="240" w:lineRule="auto"/>
              <w:jc w:val="both"/>
              <w:rPr>
                <w:rFonts w:ascii="Times New Roman" w:hAnsi="Times New Roman"/>
                <w:sz w:val="20"/>
                <w:szCs w:val="20"/>
                <w:lang w:val="en-US" w:eastAsia="ru-RU"/>
              </w:rPr>
            </w:pPr>
            <w:r w:rsidRPr="00A723F5">
              <w:rPr>
                <w:rFonts w:ascii="Times New Roman" w:hAnsi="Times New Roman"/>
                <w:sz w:val="20"/>
                <w:szCs w:val="20"/>
                <w:lang w:val="en-US" w:eastAsia="ru-RU"/>
              </w:rPr>
              <w:t>(</w:t>
            </w:r>
            <w:proofErr w:type="gramStart"/>
            <w:r w:rsidRPr="00A723F5">
              <w:rPr>
                <w:rFonts w:ascii="Times New Roman" w:hAnsi="Times New Roman"/>
                <w:sz w:val="20"/>
                <w:szCs w:val="20"/>
                <w:lang w:val="en-US" w:eastAsia="ru-RU"/>
              </w:rPr>
              <w:t>1)</w:t>
            </w:r>
            <w:proofErr w:type="spellStart"/>
            <w:r w:rsidRPr="00A723F5">
              <w:rPr>
                <w:rFonts w:ascii="Times New Roman" w:hAnsi="Times New Roman"/>
                <w:sz w:val="20"/>
                <w:szCs w:val="20"/>
                <w:lang w:val="en-US" w:eastAsia="ru-RU"/>
              </w:rPr>
              <w:t>Statele</w:t>
            </w:r>
            <w:proofErr w:type="spellEnd"/>
            <w:proofErr w:type="gram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membre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cooperează</w:t>
            </w:r>
            <w:proofErr w:type="spellEnd"/>
            <w:r w:rsidRPr="00A723F5">
              <w:rPr>
                <w:rFonts w:ascii="Times New Roman" w:hAnsi="Times New Roman"/>
                <w:sz w:val="20"/>
                <w:szCs w:val="20"/>
                <w:lang w:val="en-US" w:eastAsia="ru-RU"/>
              </w:rPr>
              <w:t xml:space="preserve"> și se </w:t>
            </w:r>
            <w:proofErr w:type="spellStart"/>
            <w:r w:rsidRPr="00A723F5">
              <w:rPr>
                <w:rFonts w:ascii="Times New Roman" w:hAnsi="Times New Roman"/>
                <w:sz w:val="20"/>
                <w:szCs w:val="20"/>
                <w:lang w:val="en-US" w:eastAsia="ru-RU"/>
              </w:rPr>
              <w:t>coordonează</w:t>
            </w:r>
            <w:proofErr w:type="spellEnd"/>
            <w:r w:rsidRPr="00A723F5">
              <w:rPr>
                <w:rFonts w:ascii="Times New Roman" w:hAnsi="Times New Roman"/>
                <w:sz w:val="20"/>
                <w:szCs w:val="20"/>
                <w:lang w:val="en-US" w:eastAsia="ru-RU"/>
              </w:rPr>
              <w:t xml:space="preserve"> pe </w:t>
            </w:r>
            <w:proofErr w:type="spellStart"/>
            <w:r w:rsidRPr="00A723F5">
              <w:rPr>
                <w:rFonts w:ascii="Times New Roman" w:hAnsi="Times New Roman"/>
                <w:sz w:val="20"/>
                <w:szCs w:val="20"/>
                <w:lang w:val="en-US" w:eastAsia="ru-RU"/>
              </w:rPr>
              <w:t>deplin</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între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ele</w:t>
            </w:r>
            <w:proofErr w:type="spellEnd"/>
            <w:r w:rsidRPr="00A723F5">
              <w:rPr>
                <w:rFonts w:ascii="Times New Roman" w:hAnsi="Times New Roman"/>
                <w:sz w:val="20"/>
                <w:szCs w:val="20"/>
                <w:lang w:val="en-US" w:eastAsia="ru-RU"/>
              </w:rPr>
              <w:t xml:space="preserve"> și cu </w:t>
            </w:r>
            <w:proofErr w:type="spellStart"/>
            <w:r w:rsidRPr="00A723F5">
              <w:rPr>
                <w:rFonts w:ascii="Times New Roman" w:hAnsi="Times New Roman"/>
                <w:sz w:val="20"/>
                <w:szCs w:val="20"/>
                <w:lang w:val="en-US" w:eastAsia="ru-RU"/>
              </w:rPr>
              <w:t>Uniunea</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ceea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privește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obligațiile</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prezentului</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regulament</w:t>
            </w:r>
            <w:proofErr w:type="spellEnd"/>
            <w:r w:rsidRPr="00A723F5">
              <w:rPr>
                <w:rFonts w:ascii="Times New Roman" w:hAnsi="Times New Roman"/>
                <w:sz w:val="20"/>
                <w:szCs w:val="20"/>
                <w:lang w:val="en-US" w:eastAsia="ru-RU"/>
              </w:rPr>
              <w:t xml:space="preserve">, în special cu </w:t>
            </w:r>
            <w:proofErr w:type="spellStart"/>
            <w:r w:rsidRPr="00A723F5">
              <w:rPr>
                <w:rFonts w:ascii="Times New Roman" w:hAnsi="Times New Roman"/>
                <w:sz w:val="20"/>
                <w:szCs w:val="20"/>
                <w:lang w:val="en-US" w:eastAsia="ru-RU"/>
              </w:rPr>
              <w:t>privire</w:t>
            </w:r>
            <w:proofErr w:type="spellEnd"/>
            <w:r w:rsidRPr="00A723F5">
              <w:rPr>
                <w:rFonts w:ascii="Times New Roman" w:hAnsi="Times New Roman"/>
                <w:sz w:val="20"/>
                <w:szCs w:val="20"/>
                <w:lang w:val="en-US" w:eastAsia="ru-RU"/>
              </w:rPr>
              <w:t xml:space="preserve"> la:</w:t>
            </w:r>
          </w:p>
          <w:p w14:paraId="311FE498" w14:textId="43FF178B"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procesul</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elaborare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adoptare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notificare</w:t>
            </w:r>
            <w:proofErr w:type="spellEnd"/>
            <w:r w:rsidRPr="00A723F5">
              <w:rPr>
                <w:rFonts w:ascii="Times New Roman" w:hAnsi="Times New Roman"/>
                <w:sz w:val="20"/>
                <w:szCs w:val="20"/>
                <w:lang w:val="en-US" w:eastAsia="ru-RU"/>
              </w:rPr>
              <w:t xml:space="preserve"> și de </w:t>
            </w:r>
            <w:proofErr w:type="spellStart"/>
            <w:r w:rsidRPr="00A723F5">
              <w:rPr>
                <w:rFonts w:ascii="Times New Roman" w:hAnsi="Times New Roman"/>
                <w:sz w:val="20"/>
                <w:szCs w:val="20"/>
                <w:lang w:val="en-US" w:eastAsia="ru-RU"/>
              </w:rPr>
              <w:t>evaluare</w:t>
            </w:r>
            <w:proofErr w:type="spellEnd"/>
            <w:r w:rsidRPr="00A723F5">
              <w:rPr>
                <w:rFonts w:ascii="Times New Roman" w:hAnsi="Times New Roman"/>
                <w:sz w:val="20"/>
                <w:szCs w:val="20"/>
                <w:lang w:val="en-US" w:eastAsia="ru-RU"/>
              </w:rPr>
              <w:t xml:space="preserve"> a </w:t>
            </w:r>
            <w:proofErr w:type="spellStart"/>
            <w:r w:rsidRPr="00A723F5">
              <w:rPr>
                <w:rFonts w:ascii="Times New Roman" w:hAnsi="Times New Roman"/>
                <w:sz w:val="20"/>
                <w:szCs w:val="20"/>
                <w:lang w:val="en-US" w:eastAsia="ru-RU"/>
              </w:rPr>
              <w:t>planurilor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naționale</w:t>
            </w:r>
            <w:proofErr w:type="spellEnd"/>
            <w:r w:rsidRPr="00A723F5">
              <w:rPr>
                <w:rFonts w:ascii="Times New Roman" w:hAnsi="Times New Roman"/>
                <w:sz w:val="20"/>
                <w:szCs w:val="20"/>
                <w:lang w:val="en-US" w:eastAsia="ru-RU"/>
              </w:rPr>
              <w:t xml:space="preserve"> integrate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energia</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clima</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articolelor</w:t>
            </w:r>
            <w:proofErr w:type="spellEnd"/>
            <w:r w:rsidRPr="00A723F5">
              <w:rPr>
                <w:rFonts w:ascii="Times New Roman" w:hAnsi="Times New Roman"/>
                <w:sz w:val="20"/>
                <w:szCs w:val="20"/>
                <w:lang w:val="en-US" w:eastAsia="ru-RU"/>
              </w:rPr>
              <w:t xml:space="preserve"> 9-13;</w:t>
            </w:r>
          </w:p>
          <w:p w14:paraId="2C3717DF" w14:textId="2F223566"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procesul</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elaborare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adoptare</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notificare</w:t>
            </w:r>
            <w:proofErr w:type="spellEnd"/>
            <w:r w:rsidRPr="00A723F5">
              <w:rPr>
                <w:rFonts w:ascii="Times New Roman" w:hAnsi="Times New Roman"/>
                <w:sz w:val="20"/>
                <w:szCs w:val="20"/>
                <w:lang w:val="en-US" w:eastAsia="ru-RU"/>
              </w:rPr>
              <w:t xml:space="preserve"> și de </w:t>
            </w:r>
            <w:proofErr w:type="spellStart"/>
            <w:r w:rsidRPr="00A723F5">
              <w:rPr>
                <w:rFonts w:ascii="Times New Roman" w:hAnsi="Times New Roman"/>
                <w:sz w:val="20"/>
                <w:szCs w:val="20"/>
                <w:lang w:val="en-US" w:eastAsia="ru-RU"/>
              </w:rPr>
              <w:t>evaluare</w:t>
            </w:r>
            <w:proofErr w:type="spellEnd"/>
            <w:r w:rsidRPr="00A723F5">
              <w:rPr>
                <w:rFonts w:ascii="Times New Roman" w:hAnsi="Times New Roman"/>
                <w:sz w:val="20"/>
                <w:szCs w:val="20"/>
                <w:lang w:val="en-US" w:eastAsia="ru-RU"/>
              </w:rPr>
              <w:t xml:space="preserve"> a </w:t>
            </w:r>
            <w:proofErr w:type="spellStart"/>
            <w:r w:rsidRPr="00A723F5">
              <w:rPr>
                <w:rFonts w:ascii="Times New Roman" w:hAnsi="Times New Roman"/>
                <w:sz w:val="20"/>
                <w:szCs w:val="20"/>
                <w:lang w:val="en-US" w:eastAsia="ru-RU"/>
              </w:rPr>
              <w:t>rapoartelor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naționale</w:t>
            </w:r>
            <w:proofErr w:type="spellEnd"/>
            <w:r w:rsidRPr="00A723F5">
              <w:rPr>
                <w:rFonts w:ascii="Times New Roman" w:hAnsi="Times New Roman"/>
                <w:sz w:val="20"/>
                <w:szCs w:val="20"/>
                <w:lang w:val="en-US" w:eastAsia="ru-RU"/>
              </w:rPr>
              <w:t xml:space="preserve"> integrate </w:t>
            </w:r>
            <w:proofErr w:type="spellStart"/>
            <w:r w:rsidRPr="00A723F5">
              <w:rPr>
                <w:rFonts w:ascii="Times New Roman" w:hAnsi="Times New Roman"/>
                <w:sz w:val="20"/>
                <w:szCs w:val="20"/>
                <w:lang w:val="en-US" w:eastAsia="ru-RU"/>
              </w:rPr>
              <w:t>privind</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energia</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clima</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17 și a </w:t>
            </w:r>
            <w:proofErr w:type="spellStart"/>
            <w:r w:rsidRPr="00A723F5">
              <w:rPr>
                <w:rFonts w:ascii="Times New Roman" w:hAnsi="Times New Roman"/>
                <w:sz w:val="20"/>
                <w:szCs w:val="20"/>
                <w:lang w:val="en-US" w:eastAsia="ru-RU"/>
              </w:rPr>
              <w:t>raportării</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anuale</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26;</w:t>
            </w:r>
          </w:p>
          <w:p w14:paraId="4E675283" w14:textId="5BEF568A"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en-US" w:eastAsia="ru-RU"/>
              </w:rPr>
            </w:pPr>
            <w:proofErr w:type="spellStart"/>
            <w:r w:rsidRPr="00A723F5">
              <w:rPr>
                <w:rFonts w:ascii="Times New Roman" w:hAnsi="Times New Roman"/>
                <w:sz w:val="20"/>
                <w:szCs w:val="20"/>
                <w:lang w:val="en-US" w:eastAsia="ru-RU"/>
              </w:rPr>
              <w:t>procesul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legat</w:t>
            </w:r>
            <w:proofErr w:type="spellEnd"/>
            <w:r w:rsidRPr="00A723F5">
              <w:rPr>
                <w:rFonts w:ascii="Times New Roman" w:hAnsi="Times New Roman"/>
                <w:sz w:val="20"/>
                <w:szCs w:val="20"/>
                <w:lang w:val="en-US" w:eastAsia="ru-RU"/>
              </w:rPr>
              <w:t xml:space="preserve"> de </w:t>
            </w:r>
            <w:proofErr w:type="spellStart"/>
            <w:r w:rsidRPr="00A723F5">
              <w:rPr>
                <w:rFonts w:ascii="Times New Roman" w:hAnsi="Times New Roman"/>
                <w:sz w:val="20"/>
                <w:szCs w:val="20"/>
                <w:lang w:val="en-US" w:eastAsia="ru-RU"/>
              </w:rPr>
              <w:t>recomandările</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Comisiei</w:t>
            </w:r>
            <w:proofErr w:type="spellEnd"/>
            <w:r w:rsidRPr="00A723F5">
              <w:rPr>
                <w:rFonts w:ascii="Times New Roman" w:hAnsi="Times New Roman"/>
                <w:sz w:val="20"/>
                <w:szCs w:val="20"/>
                <w:lang w:val="en-US" w:eastAsia="ru-RU"/>
              </w:rPr>
              <w:t xml:space="preserve"> și </w:t>
            </w:r>
            <w:proofErr w:type="spellStart"/>
            <w:r w:rsidRPr="00A723F5">
              <w:rPr>
                <w:rFonts w:ascii="Times New Roman" w:hAnsi="Times New Roman"/>
                <w:sz w:val="20"/>
                <w:szCs w:val="20"/>
                <w:lang w:val="en-US" w:eastAsia="ru-RU"/>
              </w:rPr>
              <w:t>abordarea</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respectivelor</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recomandări</w:t>
            </w:r>
            <w:proofErr w:type="spellEnd"/>
            <w:r w:rsidRPr="00A723F5">
              <w:rPr>
                <w:rFonts w:ascii="Times New Roman" w:hAnsi="Times New Roman"/>
                <w:sz w:val="20"/>
                <w:szCs w:val="20"/>
                <w:lang w:val="en-US" w:eastAsia="ru-RU"/>
              </w:rPr>
              <w:t xml:space="preserve"> în </w:t>
            </w:r>
            <w:proofErr w:type="spellStart"/>
            <w:r w:rsidRPr="00A723F5">
              <w:rPr>
                <w:rFonts w:ascii="Times New Roman" w:hAnsi="Times New Roman"/>
                <w:sz w:val="20"/>
                <w:szCs w:val="20"/>
                <w:lang w:val="en-US" w:eastAsia="ru-RU"/>
              </w:rPr>
              <w:t>temeiul</w:t>
            </w:r>
            <w:proofErr w:type="spellEnd"/>
            <w:r w:rsidRPr="00A723F5">
              <w:rPr>
                <w:rFonts w:ascii="Times New Roman" w:hAnsi="Times New Roman"/>
                <w:sz w:val="20"/>
                <w:szCs w:val="20"/>
                <w:lang w:val="en-US" w:eastAsia="ru-RU"/>
              </w:rPr>
              <w:t xml:space="preserve">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9 </w:t>
            </w:r>
            <w:proofErr w:type="spellStart"/>
            <w:r w:rsidRPr="00A723F5">
              <w:rPr>
                <w:rFonts w:ascii="Times New Roman" w:hAnsi="Times New Roman"/>
                <w:sz w:val="20"/>
                <w:szCs w:val="20"/>
                <w:lang w:val="en-US" w:eastAsia="ru-RU"/>
              </w:rPr>
              <w:t>alineatele</w:t>
            </w:r>
            <w:proofErr w:type="spellEnd"/>
            <w:r w:rsidRPr="00A723F5">
              <w:rPr>
                <w:rFonts w:ascii="Times New Roman" w:hAnsi="Times New Roman"/>
                <w:sz w:val="20"/>
                <w:szCs w:val="20"/>
                <w:lang w:val="en-US" w:eastAsia="ru-RU"/>
              </w:rPr>
              <w:t xml:space="preserve"> (2) și (3), al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17 </w:t>
            </w:r>
            <w:proofErr w:type="spellStart"/>
            <w:r w:rsidRPr="00A723F5">
              <w:rPr>
                <w:rFonts w:ascii="Times New Roman" w:hAnsi="Times New Roman"/>
                <w:sz w:val="20"/>
                <w:szCs w:val="20"/>
                <w:lang w:val="en-US" w:eastAsia="ru-RU"/>
              </w:rPr>
              <w:t>alineatul</w:t>
            </w:r>
            <w:proofErr w:type="spellEnd"/>
            <w:r w:rsidRPr="00A723F5">
              <w:rPr>
                <w:rFonts w:ascii="Times New Roman" w:hAnsi="Times New Roman"/>
                <w:sz w:val="20"/>
                <w:szCs w:val="20"/>
                <w:lang w:val="en-US" w:eastAsia="ru-RU"/>
              </w:rPr>
              <w:t xml:space="preserve"> (6), al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30 </w:t>
            </w:r>
            <w:proofErr w:type="spellStart"/>
            <w:r w:rsidRPr="00A723F5">
              <w:rPr>
                <w:rFonts w:ascii="Times New Roman" w:hAnsi="Times New Roman"/>
                <w:sz w:val="20"/>
                <w:szCs w:val="20"/>
                <w:lang w:val="en-US" w:eastAsia="ru-RU"/>
              </w:rPr>
              <w:t>alineatul</w:t>
            </w:r>
            <w:proofErr w:type="spellEnd"/>
            <w:r w:rsidRPr="00A723F5">
              <w:rPr>
                <w:rFonts w:ascii="Times New Roman" w:hAnsi="Times New Roman"/>
                <w:sz w:val="20"/>
                <w:szCs w:val="20"/>
                <w:lang w:val="en-US" w:eastAsia="ru-RU"/>
              </w:rPr>
              <w:t xml:space="preserve"> (1), al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31 </w:t>
            </w:r>
            <w:proofErr w:type="spellStart"/>
            <w:r w:rsidRPr="00A723F5">
              <w:rPr>
                <w:rFonts w:ascii="Times New Roman" w:hAnsi="Times New Roman"/>
                <w:sz w:val="20"/>
                <w:szCs w:val="20"/>
                <w:lang w:val="en-US" w:eastAsia="ru-RU"/>
              </w:rPr>
              <w:t>alineatul</w:t>
            </w:r>
            <w:proofErr w:type="spellEnd"/>
            <w:r w:rsidRPr="00A723F5">
              <w:rPr>
                <w:rFonts w:ascii="Times New Roman" w:hAnsi="Times New Roman"/>
                <w:sz w:val="20"/>
                <w:szCs w:val="20"/>
                <w:lang w:val="en-US" w:eastAsia="ru-RU"/>
              </w:rPr>
              <w:t xml:space="preserve"> (1) și al </w:t>
            </w:r>
            <w:proofErr w:type="spellStart"/>
            <w:r w:rsidRPr="00A723F5">
              <w:rPr>
                <w:rFonts w:ascii="Times New Roman" w:hAnsi="Times New Roman"/>
                <w:sz w:val="20"/>
                <w:szCs w:val="20"/>
                <w:lang w:val="en-US" w:eastAsia="ru-RU"/>
              </w:rPr>
              <w:t>articolului</w:t>
            </w:r>
            <w:proofErr w:type="spellEnd"/>
            <w:r w:rsidRPr="00A723F5">
              <w:rPr>
                <w:rFonts w:ascii="Times New Roman" w:hAnsi="Times New Roman"/>
                <w:sz w:val="20"/>
                <w:szCs w:val="20"/>
                <w:lang w:val="en-US" w:eastAsia="ru-RU"/>
              </w:rPr>
              <w:t xml:space="preserve"> 32 </w:t>
            </w:r>
            <w:proofErr w:type="spellStart"/>
            <w:r w:rsidRPr="00A723F5">
              <w:rPr>
                <w:rFonts w:ascii="Times New Roman" w:hAnsi="Times New Roman"/>
                <w:sz w:val="20"/>
                <w:szCs w:val="20"/>
                <w:lang w:val="en-US" w:eastAsia="ru-RU"/>
              </w:rPr>
              <w:t>alineatele</w:t>
            </w:r>
            <w:proofErr w:type="spellEnd"/>
            <w:r w:rsidRPr="00A723F5">
              <w:rPr>
                <w:rFonts w:ascii="Times New Roman" w:hAnsi="Times New Roman"/>
                <w:sz w:val="20"/>
                <w:szCs w:val="20"/>
                <w:lang w:val="en-US" w:eastAsia="ru-RU"/>
              </w:rPr>
              <w:t xml:space="preserve"> (1) și (2);</w:t>
            </w:r>
          </w:p>
          <w:p w14:paraId="688CCF10" w14:textId="77777777"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compilarea</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inventarului</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nivelul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întocmirea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raportului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inventarul</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articolului</w:t>
            </w:r>
            <w:proofErr w:type="spellEnd"/>
            <w:r w:rsidRPr="00A723F5">
              <w:rPr>
                <w:rFonts w:ascii="Times New Roman" w:hAnsi="Times New Roman"/>
                <w:sz w:val="20"/>
                <w:szCs w:val="20"/>
                <w:lang w:val="fr-FR" w:eastAsia="ru-RU"/>
              </w:rPr>
              <w:t xml:space="preserve"> 26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(4);</w:t>
            </w:r>
          </w:p>
          <w:p w14:paraId="1216301A" w14:textId="21955104"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elaborarea</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comunicării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naționale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articolului</w:t>
            </w:r>
            <w:proofErr w:type="spellEnd"/>
            <w:r w:rsidRPr="00A723F5">
              <w:rPr>
                <w:rFonts w:ascii="Times New Roman" w:hAnsi="Times New Roman"/>
                <w:sz w:val="20"/>
                <w:szCs w:val="20"/>
                <w:lang w:val="fr-FR" w:eastAsia="ru-RU"/>
              </w:rPr>
              <w:t xml:space="preserve"> 12 </w:t>
            </w:r>
            <w:proofErr w:type="spellStart"/>
            <w:r w:rsidRPr="00A723F5">
              <w:rPr>
                <w:rFonts w:ascii="Times New Roman" w:hAnsi="Times New Roman"/>
                <w:sz w:val="20"/>
                <w:szCs w:val="20"/>
                <w:lang w:val="fr-FR" w:eastAsia="ru-RU"/>
              </w:rPr>
              <w:t>din</w:t>
            </w:r>
            <w:proofErr w:type="spellEnd"/>
            <w:r w:rsidRPr="00A723F5">
              <w:rPr>
                <w:rFonts w:ascii="Times New Roman" w:hAnsi="Times New Roman"/>
                <w:sz w:val="20"/>
                <w:szCs w:val="20"/>
                <w:lang w:val="fr-FR" w:eastAsia="ru-RU"/>
              </w:rPr>
              <w:t xml:space="preserve"> CCONUSC și a </w:t>
            </w:r>
            <w:proofErr w:type="spellStart"/>
            <w:r w:rsidRPr="00A723F5">
              <w:rPr>
                <w:rFonts w:ascii="Times New Roman" w:hAnsi="Times New Roman"/>
                <w:sz w:val="20"/>
                <w:szCs w:val="20"/>
                <w:lang w:val="fr-FR" w:eastAsia="ru-RU"/>
              </w:rPr>
              <w:t>raportului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bienal</w:t>
            </w:r>
            <w:proofErr w:type="spellEnd"/>
            <w:r w:rsidRPr="00A723F5">
              <w:rPr>
                <w:rFonts w:ascii="Times New Roman" w:hAnsi="Times New Roman"/>
                <w:sz w:val="20"/>
                <w:szCs w:val="20"/>
                <w:lang w:val="fr-FR" w:eastAsia="ru-RU"/>
              </w:rPr>
              <w:t xml:space="preserve"> al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Deciziei</w:t>
            </w:r>
            <w:proofErr w:type="spellEnd"/>
            <w:r w:rsidRPr="00A723F5">
              <w:rPr>
                <w:rFonts w:ascii="Times New Roman" w:hAnsi="Times New Roman"/>
                <w:sz w:val="20"/>
                <w:szCs w:val="20"/>
                <w:lang w:val="fr-FR" w:eastAsia="ru-RU"/>
              </w:rPr>
              <w:t xml:space="preserve"> 2/CP.17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al </w:t>
            </w:r>
            <w:proofErr w:type="spellStart"/>
            <w:r w:rsidRPr="00A723F5">
              <w:rPr>
                <w:rFonts w:ascii="Times New Roman" w:hAnsi="Times New Roman"/>
                <w:sz w:val="20"/>
                <w:szCs w:val="20"/>
                <w:lang w:val="fr-FR" w:eastAsia="ru-RU"/>
              </w:rPr>
              <w:t>deciziilor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ulterioare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relevante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adoptate</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organismele</w:t>
            </w:r>
            <w:proofErr w:type="spellEnd"/>
            <w:r w:rsidRPr="00A723F5">
              <w:rPr>
                <w:rFonts w:ascii="Times New Roman" w:hAnsi="Times New Roman"/>
                <w:sz w:val="20"/>
                <w:szCs w:val="20"/>
                <w:lang w:val="fr-FR" w:eastAsia="ru-RU"/>
              </w:rPr>
              <w:t xml:space="preserve"> CCONUSC;</w:t>
            </w:r>
          </w:p>
          <w:p w14:paraId="7851D6D9" w14:textId="55A66176"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procedurile</w:t>
            </w:r>
            <w:proofErr w:type="spellEnd"/>
            <w:proofErr w:type="gram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revizuire</w:t>
            </w:r>
            <w:proofErr w:type="spellEnd"/>
            <w:r w:rsidRPr="00A723F5">
              <w:rPr>
                <w:rFonts w:ascii="Times New Roman" w:hAnsi="Times New Roman"/>
                <w:sz w:val="20"/>
                <w:szCs w:val="20"/>
                <w:lang w:val="fr-FR" w:eastAsia="ru-RU"/>
              </w:rPr>
              <w:t xml:space="preserve"> și de conformitate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CCONUSC și al </w:t>
            </w:r>
            <w:proofErr w:type="spellStart"/>
            <w:r w:rsidRPr="00A723F5">
              <w:rPr>
                <w:rFonts w:ascii="Times New Roman" w:hAnsi="Times New Roman"/>
                <w:sz w:val="20"/>
                <w:szCs w:val="20"/>
                <w:lang w:val="fr-FR" w:eastAsia="ru-RU"/>
              </w:rPr>
              <w:t>Acordului</w:t>
            </w:r>
            <w:proofErr w:type="spellEnd"/>
            <w:r w:rsidRPr="00A723F5">
              <w:rPr>
                <w:rFonts w:ascii="Times New Roman" w:hAnsi="Times New Roman"/>
                <w:sz w:val="20"/>
                <w:szCs w:val="20"/>
                <w:lang w:val="fr-FR" w:eastAsia="ru-RU"/>
              </w:rPr>
              <w:t xml:space="preserve"> de la Paris, în conformitate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orice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decizie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aplicabilă</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CCONUSC, </w:t>
            </w:r>
            <w:proofErr w:type="spellStart"/>
            <w:r w:rsidRPr="00A723F5">
              <w:rPr>
                <w:rFonts w:ascii="Times New Roman" w:hAnsi="Times New Roman"/>
                <w:sz w:val="20"/>
                <w:szCs w:val="20"/>
                <w:lang w:val="fr-FR" w:eastAsia="ru-RU"/>
              </w:rPr>
              <w:t>precum</w:t>
            </w:r>
            <w:proofErr w:type="spellEnd"/>
            <w:r w:rsidRPr="00A723F5">
              <w:rPr>
                <w:rFonts w:ascii="Times New Roman" w:hAnsi="Times New Roman"/>
                <w:sz w:val="20"/>
                <w:szCs w:val="20"/>
                <w:lang w:val="fr-FR" w:eastAsia="ru-RU"/>
              </w:rPr>
              <w:t xml:space="preserve"> și </w:t>
            </w:r>
            <w:proofErr w:type="spellStart"/>
            <w:r w:rsidRPr="00A723F5">
              <w:rPr>
                <w:rFonts w:ascii="Times New Roman" w:hAnsi="Times New Roman"/>
                <w:sz w:val="20"/>
                <w:szCs w:val="20"/>
                <w:lang w:val="fr-FR" w:eastAsia="ru-RU"/>
              </w:rPr>
              <w:t>procedura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revizuire</w:t>
            </w:r>
            <w:proofErr w:type="spellEnd"/>
            <w:r w:rsidRPr="00A723F5">
              <w:rPr>
                <w:rFonts w:ascii="Times New Roman" w:hAnsi="Times New Roman"/>
                <w:sz w:val="20"/>
                <w:szCs w:val="20"/>
                <w:lang w:val="fr-FR" w:eastAsia="ru-RU"/>
              </w:rPr>
              <w:t xml:space="preserve"> a </w:t>
            </w:r>
            <w:proofErr w:type="spellStart"/>
            <w:r w:rsidRPr="00A723F5">
              <w:rPr>
                <w:rFonts w:ascii="Times New Roman" w:hAnsi="Times New Roman"/>
                <w:sz w:val="20"/>
                <w:szCs w:val="20"/>
                <w:lang w:val="fr-FR" w:eastAsia="ru-RU"/>
              </w:rPr>
              <w:t>inventarelor</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 xml:space="preserve"> ale </w:t>
            </w:r>
            <w:proofErr w:type="spellStart"/>
            <w:r w:rsidRPr="00A723F5">
              <w:rPr>
                <w:rFonts w:ascii="Times New Roman" w:hAnsi="Times New Roman"/>
                <w:sz w:val="20"/>
                <w:szCs w:val="20"/>
                <w:lang w:val="fr-FR" w:eastAsia="ru-RU"/>
              </w:rPr>
              <w:t>statelor</w:t>
            </w:r>
            <w:proofErr w:type="spellEnd"/>
            <w:r w:rsidRPr="00A723F5">
              <w:rPr>
                <w:rFonts w:ascii="Times New Roman" w:hAnsi="Times New Roman"/>
                <w:sz w:val="20"/>
                <w:szCs w:val="20"/>
                <w:lang w:val="fr-FR" w:eastAsia="ru-RU"/>
              </w:rPr>
              <w:t xml:space="preserve"> membre </w:t>
            </w:r>
            <w:proofErr w:type="spellStart"/>
            <w:r w:rsidRPr="00A723F5">
              <w:rPr>
                <w:rFonts w:ascii="Times New Roman" w:hAnsi="Times New Roman"/>
                <w:sz w:val="20"/>
                <w:szCs w:val="20"/>
                <w:lang w:val="fr-FR" w:eastAsia="ru-RU"/>
              </w:rPr>
              <w:t>menționată</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38;</w:t>
            </w:r>
          </w:p>
          <w:p w14:paraId="318DD4BC" w14:textId="410C4BE2"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orice</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modificări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urma</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procesului</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revizuire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menționat</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articolul</w:t>
            </w:r>
            <w:proofErr w:type="spellEnd"/>
            <w:r w:rsidRPr="00A723F5">
              <w:rPr>
                <w:rFonts w:ascii="Times New Roman" w:hAnsi="Times New Roman"/>
                <w:sz w:val="20"/>
                <w:szCs w:val="20"/>
                <w:lang w:val="fr-FR" w:eastAsia="ru-RU"/>
              </w:rPr>
              <w:t xml:space="preserve"> 38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orice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alte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modificări</w:t>
            </w:r>
            <w:proofErr w:type="spellEnd"/>
            <w:r w:rsidRPr="00A723F5">
              <w:rPr>
                <w:rFonts w:ascii="Times New Roman" w:hAnsi="Times New Roman"/>
                <w:sz w:val="20"/>
                <w:szCs w:val="20"/>
                <w:lang w:val="fr-FR" w:eastAsia="ru-RU"/>
              </w:rPr>
              <w:t xml:space="preserve"> ale </w:t>
            </w:r>
            <w:proofErr w:type="spellStart"/>
            <w:r w:rsidRPr="00A723F5">
              <w:rPr>
                <w:rFonts w:ascii="Times New Roman" w:hAnsi="Times New Roman"/>
                <w:sz w:val="20"/>
                <w:szCs w:val="20"/>
                <w:lang w:val="fr-FR" w:eastAsia="ru-RU"/>
              </w:rPr>
              <w:t>inventarelor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ale </w:t>
            </w:r>
            <w:proofErr w:type="spellStart"/>
            <w:r w:rsidRPr="00A723F5">
              <w:rPr>
                <w:rFonts w:ascii="Times New Roman" w:hAnsi="Times New Roman"/>
                <w:sz w:val="20"/>
                <w:szCs w:val="20"/>
                <w:lang w:val="fr-FR" w:eastAsia="ru-RU"/>
              </w:rPr>
              <w:t>rapoartelor</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privind</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inventarele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prezentate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sau</w:t>
            </w:r>
            <w:proofErr w:type="spellEnd"/>
            <w:r w:rsidRPr="00A723F5">
              <w:rPr>
                <w:rFonts w:ascii="Times New Roman" w:hAnsi="Times New Roman"/>
                <w:sz w:val="20"/>
                <w:szCs w:val="20"/>
                <w:lang w:val="fr-FR" w:eastAsia="ru-RU"/>
              </w:rPr>
              <w:t xml:space="preserve"> care </w:t>
            </w:r>
            <w:proofErr w:type="spellStart"/>
            <w:r w:rsidRPr="00A723F5">
              <w:rPr>
                <w:rFonts w:ascii="Times New Roman" w:hAnsi="Times New Roman"/>
                <w:sz w:val="20"/>
                <w:szCs w:val="20"/>
                <w:lang w:val="fr-FR" w:eastAsia="ru-RU"/>
              </w:rPr>
              <w:t>urmează</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să</w:t>
            </w:r>
            <w:proofErr w:type="spellEnd"/>
            <w:r w:rsidRPr="00A723F5">
              <w:rPr>
                <w:rFonts w:ascii="Times New Roman" w:hAnsi="Times New Roman"/>
                <w:sz w:val="20"/>
                <w:szCs w:val="20"/>
                <w:lang w:val="fr-FR" w:eastAsia="ru-RU"/>
              </w:rPr>
              <w:t xml:space="preserve"> fie </w:t>
            </w:r>
            <w:proofErr w:type="spellStart"/>
            <w:r w:rsidRPr="00A723F5">
              <w:rPr>
                <w:rFonts w:ascii="Times New Roman" w:hAnsi="Times New Roman"/>
                <w:sz w:val="20"/>
                <w:szCs w:val="20"/>
                <w:lang w:val="fr-FR" w:eastAsia="ru-RU"/>
              </w:rPr>
              <w:t>prezentate</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secretariatului</w:t>
            </w:r>
            <w:proofErr w:type="spellEnd"/>
            <w:r w:rsidRPr="00A723F5">
              <w:rPr>
                <w:rFonts w:ascii="Times New Roman" w:hAnsi="Times New Roman"/>
                <w:sz w:val="20"/>
                <w:szCs w:val="20"/>
                <w:lang w:val="fr-FR" w:eastAsia="ru-RU"/>
              </w:rPr>
              <w:t xml:space="preserve"> CCONUSC;</w:t>
            </w:r>
          </w:p>
          <w:p w14:paraId="0FC7F2D3" w14:textId="4D977410" w:rsidR="008C7E95" w:rsidRPr="00A723F5" w:rsidRDefault="008C7E95" w:rsidP="000C5A3B">
            <w:pPr>
              <w:pStyle w:val="af3"/>
              <w:numPr>
                <w:ilvl w:val="0"/>
                <w:numId w:val="133"/>
              </w:numPr>
              <w:spacing w:after="0" w:line="240" w:lineRule="auto"/>
              <w:ind w:left="470" w:hanging="357"/>
              <w:jc w:val="both"/>
              <w:rPr>
                <w:rFonts w:ascii="Times New Roman" w:hAnsi="Times New Roman"/>
                <w:sz w:val="20"/>
                <w:szCs w:val="20"/>
                <w:lang w:val="fr-FR" w:eastAsia="ru-RU"/>
              </w:rPr>
            </w:pPr>
            <w:proofErr w:type="spellStart"/>
            <w:proofErr w:type="gramStart"/>
            <w:r w:rsidRPr="00A723F5">
              <w:rPr>
                <w:rFonts w:ascii="Times New Roman" w:hAnsi="Times New Roman"/>
                <w:sz w:val="20"/>
                <w:szCs w:val="20"/>
                <w:lang w:val="fr-FR" w:eastAsia="ru-RU"/>
              </w:rPr>
              <w:t>compilarea</w:t>
            </w:r>
            <w:proofErr w:type="spellEnd"/>
            <w:proofErr w:type="gram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inventarului</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armonizat</w:t>
            </w:r>
            <w:proofErr w:type="spellEnd"/>
            <w:r w:rsidRPr="00A723F5">
              <w:rPr>
                <w:rFonts w:ascii="Times New Roman" w:hAnsi="Times New Roman"/>
                <w:sz w:val="20"/>
                <w:szCs w:val="20"/>
                <w:lang w:val="fr-FR" w:eastAsia="ru-RU"/>
              </w:rPr>
              <w:t xml:space="preserve"> de gaze </w:t>
            </w:r>
            <w:proofErr w:type="spellStart"/>
            <w:r w:rsidRPr="00A723F5">
              <w:rPr>
                <w:rFonts w:ascii="Times New Roman" w:hAnsi="Times New Roman"/>
                <w:sz w:val="20"/>
                <w:szCs w:val="20"/>
                <w:lang w:val="fr-FR" w:eastAsia="ru-RU"/>
              </w:rPr>
              <w:t>cu</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efect</w:t>
            </w:r>
            <w:proofErr w:type="spellEnd"/>
            <w:r w:rsidRPr="00A723F5">
              <w:rPr>
                <w:rFonts w:ascii="Times New Roman" w:hAnsi="Times New Roman"/>
                <w:sz w:val="20"/>
                <w:szCs w:val="20"/>
                <w:lang w:val="fr-FR" w:eastAsia="ru-RU"/>
              </w:rPr>
              <w:t xml:space="preserve"> de </w:t>
            </w:r>
            <w:proofErr w:type="spellStart"/>
            <w:r w:rsidRPr="00A723F5">
              <w:rPr>
                <w:rFonts w:ascii="Times New Roman" w:hAnsi="Times New Roman"/>
                <w:sz w:val="20"/>
                <w:szCs w:val="20"/>
                <w:lang w:val="fr-FR" w:eastAsia="ru-RU"/>
              </w:rPr>
              <w:t>seră</w:t>
            </w:r>
            <w:proofErr w:type="spellEnd"/>
            <w:r w:rsidRPr="00A723F5">
              <w:rPr>
                <w:rFonts w:ascii="Times New Roman" w:hAnsi="Times New Roman"/>
                <w:sz w:val="20"/>
                <w:szCs w:val="20"/>
                <w:lang w:val="fr-FR" w:eastAsia="ru-RU"/>
              </w:rPr>
              <w:t xml:space="preserve"> la </w:t>
            </w:r>
            <w:proofErr w:type="spellStart"/>
            <w:r w:rsidRPr="00A723F5">
              <w:rPr>
                <w:rFonts w:ascii="Times New Roman" w:hAnsi="Times New Roman"/>
                <w:sz w:val="20"/>
                <w:szCs w:val="20"/>
                <w:lang w:val="fr-FR" w:eastAsia="ru-RU"/>
              </w:rPr>
              <w:t>nivelul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Uniunii</w:t>
            </w:r>
            <w:proofErr w:type="spellEnd"/>
            <w:r w:rsidRPr="00A723F5">
              <w:rPr>
                <w:rFonts w:ascii="Times New Roman" w:hAnsi="Times New Roman"/>
                <w:sz w:val="20"/>
                <w:szCs w:val="20"/>
                <w:lang w:val="fr-FR" w:eastAsia="ru-RU"/>
              </w:rPr>
              <w:t xml:space="preserve"> în </w:t>
            </w:r>
            <w:proofErr w:type="spellStart"/>
            <w:r w:rsidRPr="00A723F5">
              <w:rPr>
                <w:rFonts w:ascii="Times New Roman" w:hAnsi="Times New Roman"/>
                <w:sz w:val="20"/>
                <w:szCs w:val="20"/>
                <w:lang w:val="fr-FR" w:eastAsia="ru-RU"/>
              </w:rPr>
              <w:t>temeiul</w:t>
            </w:r>
            <w:proofErr w:type="spellEnd"/>
            <w:r w:rsidRPr="00A723F5">
              <w:rPr>
                <w:rFonts w:ascii="Times New Roman" w:hAnsi="Times New Roman"/>
                <w:sz w:val="20"/>
                <w:szCs w:val="20"/>
                <w:lang w:val="fr-FR" w:eastAsia="ru-RU"/>
              </w:rPr>
              <w:t xml:space="preserve"> </w:t>
            </w:r>
            <w:proofErr w:type="spellStart"/>
            <w:r w:rsidRPr="00A723F5">
              <w:rPr>
                <w:rFonts w:ascii="Times New Roman" w:hAnsi="Times New Roman"/>
                <w:sz w:val="20"/>
                <w:szCs w:val="20"/>
                <w:lang w:val="fr-FR" w:eastAsia="ru-RU"/>
              </w:rPr>
              <w:t>articolului</w:t>
            </w:r>
            <w:proofErr w:type="spellEnd"/>
            <w:r w:rsidRPr="00A723F5">
              <w:rPr>
                <w:rFonts w:ascii="Times New Roman" w:hAnsi="Times New Roman"/>
                <w:sz w:val="20"/>
                <w:szCs w:val="20"/>
                <w:lang w:val="fr-FR" w:eastAsia="ru-RU"/>
              </w:rPr>
              <w:t xml:space="preserve"> 26 </w:t>
            </w:r>
            <w:proofErr w:type="spellStart"/>
            <w:r w:rsidRPr="00A723F5">
              <w:rPr>
                <w:rFonts w:ascii="Times New Roman" w:hAnsi="Times New Roman"/>
                <w:sz w:val="20"/>
                <w:szCs w:val="20"/>
                <w:lang w:val="fr-FR" w:eastAsia="ru-RU"/>
              </w:rPr>
              <w:t>alineatul</w:t>
            </w:r>
            <w:proofErr w:type="spellEnd"/>
            <w:r w:rsidRPr="00A723F5">
              <w:rPr>
                <w:rFonts w:ascii="Times New Roman" w:hAnsi="Times New Roman"/>
                <w:sz w:val="20"/>
                <w:szCs w:val="20"/>
                <w:lang w:val="fr-FR" w:eastAsia="ru-RU"/>
              </w:rPr>
              <w:t xml:space="preserve"> (2).</w:t>
            </w:r>
          </w:p>
          <w:p w14:paraId="62F70706" w14:textId="0EB1FC34" w:rsidR="008F5636" w:rsidRPr="00936F63" w:rsidRDefault="00936F63" w:rsidP="00936F63">
            <w:pPr>
              <w:spacing w:after="0" w:line="240" w:lineRule="auto"/>
              <w:ind w:left="113"/>
              <w:jc w:val="both"/>
              <w:rPr>
                <w:rFonts w:ascii="Times New Roman" w:hAnsi="Times New Roman"/>
                <w:sz w:val="20"/>
                <w:szCs w:val="20"/>
                <w:lang w:val="fr-FR" w:eastAsia="ru-RU"/>
              </w:rPr>
            </w:pPr>
            <w:r w:rsidRPr="00A723F5">
              <w:rPr>
                <w:rFonts w:ascii="Times New Roman" w:hAnsi="Times New Roman"/>
                <w:sz w:val="20"/>
                <w:szCs w:val="20"/>
                <w:shd w:val="clear" w:color="auto" w:fill="FFFFFF"/>
                <w:lang w:val="fr-FR"/>
              </w:rPr>
              <w:t xml:space="preserve">(2) </w:t>
            </w:r>
            <w:proofErr w:type="spellStart"/>
            <w:r w:rsidRPr="00A723F5">
              <w:rPr>
                <w:rFonts w:ascii="Times New Roman" w:hAnsi="Times New Roman"/>
                <w:sz w:val="20"/>
                <w:szCs w:val="20"/>
                <w:shd w:val="clear" w:color="auto" w:fill="FFFFFF"/>
                <w:lang w:val="fr-FR"/>
              </w:rPr>
              <w:t>Comisia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poate</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oferi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sprijin</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tehnic</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statelor</w:t>
            </w:r>
            <w:proofErr w:type="spellEnd"/>
            <w:r w:rsidRPr="00A723F5">
              <w:rPr>
                <w:rFonts w:ascii="Times New Roman" w:hAnsi="Times New Roman"/>
                <w:sz w:val="20"/>
                <w:szCs w:val="20"/>
                <w:shd w:val="clear" w:color="auto" w:fill="FFFFFF"/>
                <w:lang w:val="fr-FR"/>
              </w:rPr>
              <w:t xml:space="preserve"> membre în </w:t>
            </w:r>
            <w:proofErr w:type="spellStart"/>
            <w:r w:rsidRPr="00A723F5">
              <w:rPr>
                <w:rFonts w:ascii="Times New Roman" w:hAnsi="Times New Roman"/>
                <w:sz w:val="20"/>
                <w:szCs w:val="20"/>
                <w:shd w:val="clear" w:color="auto" w:fill="FFFFFF"/>
                <w:lang w:val="fr-FR"/>
              </w:rPr>
              <w:t>legătură</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cu</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obligațiile</w:t>
            </w:r>
            <w:proofErr w:type="spellEnd"/>
            <w:r w:rsidRPr="00A723F5">
              <w:rPr>
                <w:rFonts w:ascii="Times New Roman" w:hAnsi="Times New Roman"/>
                <w:sz w:val="20"/>
                <w:szCs w:val="20"/>
                <w:shd w:val="clear" w:color="auto" w:fill="FFFFFF"/>
                <w:lang w:val="fr-FR"/>
              </w:rPr>
              <w:t xml:space="preserve"> în </w:t>
            </w:r>
            <w:proofErr w:type="spellStart"/>
            <w:r w:rsidRPr="00A723F5">
              <w:rPr>
                <w:rFonts w:ascii="Times New Roman" w:hAnsi="Times New Roman"/>
                <w:sz w:val="20"/>
                <w:szCs w:val="20"/>
                <w:shd w:val="clear" w:color="auto" w:fill="FFFFFF"/>
                <w:lang w:val="fr-FR"/>
              </w:rPr>
              <w:t>temeiul</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prezentului</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regulament</w:t>
            </w:r>
            <w:proofErr w:type="spellEnd"/>
            <w:r w:rsidRPr="00A723F5">
              <w:rPr>
                <w:rFonts w:ascii="Times New Roman" w:hAnsi="Times New Roman"/>
                <w:sz w:val="20"/>
                <w:szCs w:val="20"/>
                <w:shd w:val="clear" w:color="auto" w:fill="FFFFFF"/>
                <w:lang w:val="fr-FR"/>
              </w:rPr>
              <w:t xml:space="preserve">, la </w:t>
            </w:r>
            <w:proofErr w:type="spellStart"/>
            <w:r w:rsidRPr="00A723F5">
              <w:rPr>
                <w:rFonts w:ascii="Times New Roman" w:hAnsi="Times New Roman"/>
                <w:sz w:val="20"/>
                <w:szCs w:val="20"/>
                <w:shd w:val="clear" w:color="auto" w:fill="FFFFFF"/>
                <w:lang w:val="fr-FR"/>
              </w:rPr>
              <w:t>cererea</w:t>
            </w:r>
            <w:proofErr w:type="spellEnd"/>
            <w:r w:rsidRPr="00A723F5">
              <w:rPr>
                <w:rFonts w:ascii="Times New Roman" w:hAnsi="Times New Roman"/>
                <w:sz w:val="20"/>
                <w:szCs w:val="20"/>
                <w:shd w:val="clear" w:color="auto" w:fill="FFFFFF"/>
                <w:lang w:val="fr-FR"/>
              </w:rPr>
              <w:t xml:space="preserve"> </w:t>
            </w:r>
            <w:proofErr w:type="spellStart"/>
            <w:r w:rsidRPr="00A723F5">
              <w:rPr>
                <w:rFonts w:ascii="Times New Roman" w:hAnsi="Times New Roman"/>
                <w:sz w:val="20"/>
                <w:szCs w:val="20"/>
                <w:shd w:val="clear" w:color="auto" w:fill="FFFFFF"/>
                <w:lang w:val="fr-FR"/>
              </w:rPr>
              <w:t>unui</w:t>
            </w:r>
            <w:proofErr w:type="spellEnd"/>
            <w:r w:rsidRPr="00A723F5">
              <w:rPr>
                <w:rFonts w:ascii="Times New Roman" w:hAnsi="Times New Roman"/>
                <w:sz w:val="20"/>
                <w:szCs w:val="20"/>
                <w:shd w:val="clear" w:color="auto" w:fill="FFFFFF"/>
                <w:lang w:val="fr-FR"/>
              </w:rPr>
              <w:t xml:space="preserve"> stat membru.</w:t>
            </w:r>
          </w:p>
        </w:tc>
        <w:tc>
          <w:tcPr>
            <w:tcW w:w="4440" w:type="dxa"/>
          </w:tcPr>
          <w:p w14:paraId="39D56159" w14:textId="59C02A8C" w:rsidR="008F5636" w:rsidRPr="00F412E1" w:rsidRDefault="008F5636" w:rsidP="00F412E1">
            <w:pPr>
              <w:shd w:val="clear" w:color="auto" w:fill="FFFFFF"/>
              <w:suppressAutoHyphens w:val="0"/>
              <w:autoSpaceDN/>
              <w:spacing w:after="0" w:line="240" w:lineRule="auto"/>
              <w:jc w:val="both"/>
              <w:textAlignment w:val="auto"/>
              <w:rPr>
                <w:lang w:val="ro-MD"/>
              </w:rPr>
            </w:pPr>
          </w:p>
        </w:tc>
        <w:tc>
          <w:tcPr>
            <w:tcW w:w="1276" w:type="dxa"/>
          </w:tcPr>
          <w:p w14:paraId="4A0469F3" w14:textId="3AFB2D30" w:rsidR="008F5636" w:rsidRPr="004A2039" w:rsidRDefault="00E43789" w:rsidP="008F5636">
            <w:pPr>
              <w:pStyle w:val="ColorfulList-Accent11"/>
              <w:spacing w:after="0" w:line="240" w:lineRule="auto"/>
              <w:ind w:left="0"/>
              <w:jc w:val="both"/>
              <w:rPr>
                <w:lang w:val="fr-FR"/>
              </w:rPr>
            </w:pPr>
            <w:r>
              <w:rPr>
                <w:rFonts w:ascii="Times New Roman" w:hAnsi="Times New Roman"/>
                <w:sz w:val="20"/>
                <w:szCs w:val="20"/>
                <w:lang w:val="ro-RO"/>
              </w:rPr>
              <w:t>C</w:t>
            </w:r>
            <w:r w:rsidR="00936F63" w:rsidRPr="00C951E7">
              <w:rPr>
                <w:rFonts w:ascii="Times New Roman" w:hAnsi="Times New Roman"/>
                <w:sz w:val="20"/>
                <w:szCs w:val="20"/>
                <w:lang w:val="ro-RO"/>
              </w:rPr>
              <w:t>ompatibil</w:t>
            </w:r>
          </w:p>
        </w:tc>
        <w:tc>
          <w:tcPr>
            <w:tcW w:w="1276" w:type="dxa"/>
          </w:tcPr>
          <w:p w14:paraId="26616838" w14:textId="77777777" w:rsidR="008F5636" w:rsidRPr="004A2039" w:rsidRDefault="008F5636" w:rsidP="008F5636">
            <w:pPr>
              <w:pStyle w:val="ColorfulList-Accent11"/>
              <w:spacing w:after="0" w:line="240" w:lineRule="auto"/>
              <w:ind w:left="0"/>
              <w:jc w:val="both"/>
              <w:rPr>
                <w:lang w:val="fr-FR"/>
              </w:rPr>
            </w:pPr>
          </w:p>
        </w:tc>
        <w:tc>
          <w:tcPr>
            <w:tcW w:w="1701" w:type="dxa"/>
          </w:tcPr>
          <w:p w14:paraId="700F1D4B" w14:textId="16B89CCC" w:rsidR="00F412E1" w:rsidRPr="003C74D7" w:rsidRDefault="00F412E1" w:rsidP="00F412E1">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w:t>
            </w:r>
            <w:r w:rsidR="00916B6E">
              <w:rPr>
                <w:rFonts w:ascii="Times New Roman" w:eastAsia="Times New Roman" w:hAnsi="Times New Roman"/>
                <w:sz w:val="20"/>
                <w:szCs w:val="20"/>
                <w:lang w:val="ro-RO" w:eastAsia="ru-RU"/>
              </w:rPr>
              <w:t>la pct.111 din</w:t>
            </w:r>
          </w:p>
          <w:p w14:paraId="0EE3ADF3" w14:textId="77777777" w:rsidR="00F412E1" w:rsidRDefault="00F412E1" w:rsidP="00F412E1">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01E7F720" w14:textId="51016014" w:rsidR="008F5636" w:rsidRPr="00936F63" w:rsidRDefault="008F5636" w:rsidP="00936F63">
            <w:pPr>
              <w:pStyle w:val="ColorfulList-Accent11"/>
              <w:spacing w:after="0" w:line="240" w:lineRule="auto"/>
              <w:ind w:left="0"/>
              <w:jc w:val="both"/>
              <w:rPr>
                <w:lang w:val="ro-RO"/>
              </w:rPr>
            </w:pPr>
          </w:p>
        </w:tc>
        <w:tc>
          <w:tcPr>
            <w:tcW w:w="1460" w:type="dxa"/>
          </w:tcPr>
          <w:p w14:paraId="503D26E2" w14:textId="77777777" w:rsidR="00CB6B95" w:rsidRPr="003F755D" w:rsidRDefault="008D2E7D" w:rsidP="00CB6B95">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CB6B95" w:rsidRPr="00A81801">
              <w:rPr>
                <w:rFonts w:ascii="Times New Roman" w:hAnsi="Times New Roman"/>
                <w:color w:val="000000" w:themeColor="text1"/>
                <w:sz w:val="20"/>
                <w:szCs w:val="20"/>
              </w:rPr>
              <w:t>Energiei</w:t>
            </w:r>
          </w:p>
          <w:p w14:paraId="3B0044BE" w14:textId="578CD110" w:rsidR="008F5636" w:rsidRPr="00936F63" w:rsidRDefault="008F5636" w:rsidP="00CB6B95">
            <w:pPr>
              <w:autoSpaceDE w:val="0"/>
              <w:spacing w:after="0" w:line="240" w:lineRule="auto"/>
              <w:rPr>
                <w:lang w:val="ro-RO"/>
              </w:rPr>
            </w:pPr>
          </w:p>
        </w:tc>
      </w:tr>
      <w:tr w:rsidR="008F5636" w:rsidRPr="00263A32" w14:paraId="5BC77311" w14:textId="77777777" w:rsidTr="00A90105">
        <w:tc>
          <w:tcPr>
            <w:tcW w:w="4945" w:type="dxa"/>
          </w:tcPr>
          <w:p w14:paraId="5597D87F" w14:textId="77777777" w:rsidR="008F5636" w:rsidRPr="00CB6B95" w:rsidRDefault="008F5636" w:rsidP="008D2E7D">
            <w:pPr>
              <w:spacing w:after="0" w:line="240" w:lineRule="auto"/>
              <w:jc w:val="center"/>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lastRenderedPageBreak/>
              <w:t>Articolul</w:t>
            </w:r>
            <w:proofErr w:type="spellEnd"/>
            <w:r w:rsidRPr="00CB6B95">
              <w:rPr>
                <w:rFonts w:ascii="Times New Roman" w:hAnsi="Times New Roman"/>
                <w:sz w:val="20"/>
                <w:szCs w:val="20"/>
                <w:lang w:val="en-US" w:eastAsia="ru-RU"/>
              </w:rPr>
              <w:t xml:space="preserve"> 42</w:t>
            </w:r>
          </w:p>
          <w:p w14:paraId="3D5970D4" w14:textId="77777777" w:rsidR="008F5636" w:rsidRPr="00CB6B95" w:rsidRDefault="008F5636" w:rsidP="008D2E7D">
            <w:pPr>
              <w:spacing w:after="0" w:line="240" w:lineRule="auto"/>
              <w:jc w:val="center"/>
              <w:rPr>
                <w:rFonts w:ascii="Times New Roman" w:hAnsi="Times New Roman"/>
                <w:b/>
                <w:bCs/>
                <w:sz w:val="20"/>
                <w:szCs w:val="20"/>
                <w:lang w:val="en-US" w:eastAsia="ru-RU"/>
              </w:rPr>
            </w:pPr>
            <w:proofErr w:type="spellStart"/>
            <w:r w:rsidRPr="00CB6B95">
              <w:rPr>
                <w:rFonts w:ascii="Times New Roman" w:hAnsi="Times New Roman"/>
                <w:b/>
                <w:bCs/>
                <w:sz w:val="20"/>
                <w:szCs w:val="20"/>
                <w:lang w:val="en-US" w:eastAsia="ru-RU"/>
              </w:rPr>
              <w:t>Rolul</w:t>
            </w:r>
            <w:proofErr w:type="spellEnd"/>
            <w:r w:rsidRPr="00CB6B95">
              <w:rPr>
                <w:rFonts w:ascii="Times New Roman" w:hAnsi="Times New Roman"/>
                <w:b/>
                <w:bCs/>
                <w:sz w:val="20"/>
                <w:szCs w:val="20"/>
                <w:lang w:val="en-US" w:eastAsia="ru-RU"/>
              </w:rPr>
              <w:t xml:space="preserve"> </w:t>
            </w:r>
            <w:proofErr w:type="spellStart"/>
            <w:r w:rsidRPr="00CB6B95">
              <w:rPr>
                <w:rFonts w:ascii="Times New Roman" w:hAnsi="Times New Roman"/>
                <w:b/>
                <w:bCs/>
                <w:sz w:val="20"/>
                <w:szCs w:val="20"/>
                <w:lang w:val="en-US" w:eastAsia="ru-RU"/>
              </w:rPr>
              <w:t>Agenției</w:t>
            </w:r>
            <w:proofErr w:type="spellEnd"/>
            <w:r w:rsidRPr="00CB6B95">
              <w:rPr>
                <w:rFonts w:ascii="Times New Roman" w:hAnsi="Times New Roman"/>
                <w:b/>
                <w:bCs/>
                <w:sz w:val="20"/>
                <w:szCs w:val="20"/>
                <w:lang w:val="en-US" w:eastAsia="ru-RU"/>
              </w:rPr>
              <w:t xml:space="preserve"> </w:t>
            </w:r>
            <w:proofErr w:type="spellStart"/>
            <w:r w:rsidRPr="00CB6B95">
              <w:rPr>
                <w:rFonts w:ascii="Times New Roman" w:hAnsi="Times New Roman"/>
                <w:b/>
                <w:bCs/>
                <w:sz w:val="20"/>
                <w:szCs w:val="20"/>
                <w:lang w:val="en-US" w:eastAsia="ru-RU"/>
              </w:rPr>
              <w:t>Europene</w:t>
            </w:r>
            <w:proofErr w:type="spellEnd"/>
            <w:r w:rsidRPr="00CB6B95">
              <w:rPr>
                <w:rFonts w:ascii="Times New Roman" w:hAnsi="Times New Roman"/>
                <w:b/>
                <w:bCs/>
                <w:sz w:val="20"/>
                <w:szCs w:val="20"/>
                <w:lang w:val="en-US" w:eastAsia="ru-RU"/>
              </w:rPr>
              <w:t xml:space="preserve"> de </w:t>
            </w:r>
            <w:proofErr w:type="spellStart"/>
            <w:r w:rsidRPr="00CB6B95">
              <w:rPr>
                <w:rFonts w:ascii="Times New Roman" w:hAnsi="Times New Roman"/>
                <w:b/>
                <w:bCs/>
                <w:sz w:val="20"/>
                <w:szCs w:val="20"/>
                <w:lang w:val="en-US" w:eastAsia="ru-RU"/>
              </w:rPr>
              <w:t>Mediu</w:t>
            </w:r>
            <w:proofErr w:type="spellEnd"/>
          </w:p>
          <w:p w14:paraId="2B4A560D" w14:textId="2906A7CD" w:rsidR="008F5636" w:rsidRPr="00CB6B95" w:rsidRDefault="008F5636" w:rsidP="008D2E7D">
            <w:pPr>
              <w:spacing w:after="0" w:line="240" w:lineRule="auto"/>
              <w:jc w:val="both"/>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Agenția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Europeană</w:t>
            </w:r>
            <w:proofErr w:type="spellEnd"/>
            <w:r w:rsidRPr="00CB6B95">
              <w:rPr>
                <w:rFonts w:ascii="Times New Roman" w:hAnsi="Times New Roman"/>
                <w:sz w:val="20"/>
                <w:szCs w:val="20"/>
                <w:lang w:val="en-US" w:eastAsia="ru-RU"/>
              </w:rPr>
              <w:t xml:space="preserve"> de </w:t>
            </w:r>
            <w:proofErr w:type="spellStart"/>
            <w:r w:rsidRPr="00CB6B95">
              <w:rPr>
                <w:rFonts w:ascii="Times New Roman" w:hAnsi="Times New Roman"/>
                <w:sz w:val="20"/>
                <w:szCs w:val="20"/>
                <w:lang w:val="en-US" w:eastAsia="ru-RU"/>
              </w:rPr>
              <w:t>Mediu</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asistă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Comisia</w:t>
            </w:r>
            <w:proofErr w:type="spellEnd"/>
            <w:r w:rsidRPr="00CB6B95">
              <w:rPr>
                <w:rFonts w:ascii="Times New Roman" w:hAnsi="Times New Roman"/>
                <w:sz w:val="20"/>
                <w:szCs w:val="20"/>
                <w:lang w:val="en-US" w:eastAsia="ru-RU"/>
              </w:rPr>
              <w:t xml:space="preserve"> în </w:t>
            </w:r>
            <w:proofErr w:type="spellStart"/>
            <w:r w:rsidRPr="00CB6B95">
              <w:rPr>
                <w:rFonts w:ascii="Times New Roman" w:hAnsi="Times New Roman"/>
                <w:sz w:val="20"/>
                <w:szCs w:val="20"/>
                <w:lang w:val="en-US" w:eastAsia="ru-RU"/>
              </w:rPr>
              <w:t>activitățile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acesteia</w:t>
            </w:r>
            <w:proofErr w:type="spellEnd"/>
            <w:r w:rsidRPr="00CB6B95">
              <w:rPr>
                <w:rFonts w:ascii="Times New Roman" w:hAnsi="Times New Roman"/>
                <w:sz w:val="20"/>
                <w:szCs w:val="20"/>
                <w:lang w:val="en-US" w:eastAsia="ru-RU"/>
              </w:rPr>
              <w:t xml:space="preserve"> în </w:t>
            </w:r>
            <w:proofErr w:type="spellStart"/>
            <w:r w:rsidRPr="00CB6B95">
              <w:rPr>
                <w:rFonts w:ascii="Times New Roman" w:hAnsi="Times New Roman"/>
                <w:sz w:val="20"/>
                <w:szCs w:val="20"/>
                <w:lang w:val="en-US" w:eastAsia="ru-RU"/>
              </w:rPr>
              <w:t>ceea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ce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privește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dimensiunile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decarbonizare</w:t>
            </w:r>
            <w:proofErr w:type="spellEnd"/>
            <w:r w:rsidRPr="00CB6B95">
              <w:rPr>
                <w:rFonts w:ascii="Times New Roman" w:hAnsi="Times New Roman"/>
                <w:sz w:val="20"/>
                <w:szCs w:val="20"/>
                <w:lang w:val="en-US" w:eastAsia="ru-RU"/>
              </w:rPr>
              <w:t>” și „</w:t>
            </w:r>
            <w:proofErr w:type="spellStart"/>
            <w:r w:rsidRPr="00CB6B95">
              <w:rPr>
                <w:rFonts w:ascii="Times New Roman" w:hAnsi="Times New Roman"/>
                <w:sz w:val="20"/>
                <w:szCs w:val="20"/>
                <w:lang w:val="en-US" w:eastAsia="ru-RU"/>
              </w:rPr>
              <w:t>eficiență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energetică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pentru</w:t>
            </w:r>
            <w:proofErr w:type="spellEnd"/>
            <w:r w:rsidRPr="00CB6B95">
              <w:rPr>
                <w:rFonts w:ascii="Times New Roman" w:hAnsi="Times New Roman"/>
                <w:sz w:val="20"/>
                <w:szCs w:val="20"/>
                <w:lang w:val="en-US" w:eastAsia="ru-RU"/>
              </w:rPr>
              <w:t xml:space="preserve"> a se </w:t>
            </w:r>
            <w:proofErr w:type="spellStart"/>
            <w:r w:rsidRPr="00CB6B95">
              <w:rPr>
                <w:rFonts w:ascii="Times New Roman" w:hAnsi="Times New Roman"/>
                <w:sz w:val="20"/>
                <w:szCs w:val="20"/>
                <w:lang w:val="en-US" w:eastAsia="ru-RU"/>
              </w:rPr>
              <w:t>conforma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articolelor</w:t>
            </w:r>
            <w:proofErr w:type="spellEnd"/>
            <w:r w:rsidR="008D2E7D" w:rsidRPr="00CB6B95">
              <w:rPr>
                <w:rFonts w:ascii="Times New Roman" w:hAnsi="Times New Roman"/>
                <w:sz w:val="20"/>
                <w:szCs w:val="20"/>
                <w:lang w:val="en-US" w:eastAsia="ru-RU"/>
              </w:rPr>
              <w:t xml:space="preserve"> </w:t>
            </w:r>
            <w:r w:rsidRPr="00CB6B95">
              <w:rPr>
                <w:rFonts w:ascii="Times New Roman" w:hAnsi="Times New Roman"/>
                <w:sz w:val="20"/>
                <w:szCs w:val="20"/>
                <w:lang w:val="en-US" w:eastAsia="ru-RU"/>
              </w:rPr>
              <w:t>15-21, 26, 28, 29, 35, 37, 38, 39 și</w:t>
            </w:r>
            <w:r w:rsidR="008D2E7D" w:rsidRPr="00CB6B95">
              <w:rPr>
                <w:rFonts w:ascii="Times New Roman" w:hAnsi="Times New Roman"/>
                <w:sz w:val="20"/>
                <w:szCs w:val="20"/>
                <w:lang w:val="en-US" w:eastAsia="ru-RU"/>
              </w:rPr>
              <w:t xml:space="preserve"> </w:t>
            </w:r>
            <w:r w:rsidRPr="00CB6B95">
              <w:rPr>
                <w:rFonts w:ascii="Times New Roman" w:hAnsi="Times New Roman"/>
                <w:sz w:val="20"/>
                <w:szCs w:val="20"/>
                <w:lang w:val="en-US" w:eastAsia="ru-RU"/>
              </w:rPr>
              <w:t xml:space="preserve">41, în conformitate cu </w:t>
            </w:r>
            <w:proofErr w:type="spellStart"/>
            <w:r w:rsidRPr="00CB6B95">
              <w:rPr>
                <w:rFonts w:ascii="Times New Roman" w:hAnsi="Times New Roman"/>
                <w:sz w:val="20"/>
                <w:szCs w:val="20"/>
                <w:lang w:val="en-US" w:eastAsia="ru-RU"/>
              </w:rPr>
              <w:t>programul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său</w:t>
            </w:r>
            <w:proofErr w:type="spellEnd"/>
            <w:r w:rsidRPr="00CB6B95">
              <w:rPr>
                <w:rFonts w:ascii="Times New Roman" w:hAnsi="Times New Roman"/>
                <w:sz w:val="20"/>
                <w:szCs w:val="20"/>
                <w:lang w:val="en-US" w:eastAsia="ru-RU"/>
              </w:rPr>
              <w:t xml:space="preserve"> de </w:t>
            </w:r>
            <w:proofErr w:type="spellStart"/>
            <w:r w:rsidRPr="00CB6B95">
              <w:rPr>
                <w:rFonts w:ascii="Times New Roman" w:hAnsi="Times New Roman"/>
                <w:sz w:val="20"/>
                <w:szCs w:val="20"/>
                <w:lang w:val="en-US" w:eastAsia="ru-RU"/>
              </w:rPr>
              <w:t>lucru</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anual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Această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activitate</w:t>
            </w:r>
            <w:proofErr w:type="spellEnd"/>
            <w:r w:rsidRPr="00CB6B95">
              <w:rPr>
                <w:rFonts w:ascii="Times New Roman" w:hAnsi="Times New Roman"/>
                <w:sz w:val="20"/>
                <w:szCs w:val="20"/>
                <w:lang w:val="en-US" w:eastAsia="ru-RU"/>
              </w:rPr>
              <w:t xml:space="preserve"> include, </w:t>
            </w:r>
            <w:proofErr w:type="spellStart"/>
            <w:r w:rsidRPr="00CB6B95">
              <w:rPr>
                <w:rFonts w:ascii="Times New Roman" w:hAnsi="Times New Roman"/>
                <w:sz w:val="20"/>
                <w:szCs w:val="20"/>
                <w:lang w:val="en-US" w:eastAsia="ru-RU"/>
              </w:rPr>
              <w:t>după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necesități</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asistență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pentru</w:t>
            </w:r>
            <w:proofErr w:type="spellEnd"/>
            <w:r w:rsidRPr="00CB6B95">
              <w:rPr>
                <w:rFonts w:ascii="Times New Roman" w:hAnsi="Times New Roman"/>
                <w:sz w:val="20"/>
                <w:szCs w:val="20"/>
                <w:lang w:val="en-US" w:eastAsia="ru-RU"/>
              </w:rPr>
              <w:t>:</w:t>
            </w:r>
          </w:p>
          <w:p w14:paraId="7F6029E7" w14:textId="75B2A984"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compilarea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informațiilor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politici</w:t>
            </w:r>
            <w:proofErr w:type="spellEnd"/>
            <w:r w:rsidRPr="00CB6B95">
              <w:rPr>
                <w:rFonts w:ascii="Times New Roman" w:hAnsi="Times New Roman"/>
                <w:sz w:val="20"/>
                <w:szCs w:val="20"/>
                <w:lang w:val="fr-FR" w:eastAsia="ru-RU"/>
              </w:rPr>
              <w:t xml:space="preserve"> și la </w:t>
            </w:r>
            <w:proofErr w:type="spellStart"/>
            <w:r w:rsidRPr="00CB6B95">
              <w:rPr>
                <w:rFonts w:ascii="Times New Roman" w:hAnsi="Times New Roman"/>
                <w:sz w:val="20"/>
                <w:szCs w:val="20"/>
                <w:lang w:val="fr-FR" w:eastAsia="ru-RU"/>
              </w:rPr>
              <w:t>măsuri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precum</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prognoze</w:t>
            </w:r>
            <w:proofErr w:type="spellEnd"/>
            <w:r w:rsidRPr="00CB6B95">
              <w:rPr>
                <w:rFonts w:ascii="Times New Roman" w:hAnsi="Times New Roman"/>
                <w:sz w:val="20"/>
                <w:szCs w:val="20"/>
                <w:lang w:val="fr-FR" w:eastAsia="ru-RU"/>
              </w:rPr>
              <w:t>;</w:t>
            </w:r>
          </w:p>
          <w:p w14:paraId="621E1254" w14:textId="16816676"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efectuarea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procedurilor</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asigurare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calității</w:t>
            </w:r>
            <w:proofErr w:type="spellEnd"/>
            <w:r w:rsidRPr="00CB6B95">
              <w:rPr>
                <w:rFonts w:ascii="Times New Roman" w:hAnsi="Times New Roman"/>
                <w:sz w:val="20"/>
                <w:szCs w:val="20"/>
                <w:lang w:val="fr-FR" w:eastAsia="ru-RU"/>
              </w:rPr>
              <w:t xml:space="preserve"> și de control al </w:t>
            </w:r>
            <w:proofErr w:type="spellStart"/>
            <w:r w:rsidRPr="00CB6B95">
              <w:rPr>
                <w:rFonts w:ascii="Times New Roman" w:hAnsi="Times New Roman"/>
                <w:sz w:val="20"/>
                <w:szCs w:val="20"/>
                <w:lang w:val="fr-FR" w:eastAsia="ru-RU"/>
              </w:rPr>
              <w:t>calității</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legătură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informațiile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prognoze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precum</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politici</w:t>
            </w:r>
            <w:proofErr w:type="spellEnd"/>
            <w:r w:rsidRPr="00CB6B95">
              <w:rPr>
                <w:rFonts w:ascii="Times New Roman" w:hAnsi="Times New Roman"/>
                <w:sz w:val="20"/>
                <w:szCs w:val="20"/>
                <w:lang w:val="fr-FR" w:eastAsia="ru-RU"/>
              </w:rPr>
              <w:t xml:space="preserve"> și la </w:t>
            </w:r>
            <w:proofErr w:type="spellStart"/>
            <w:r w:rsidRPr="00CB6B95">
              <w:rPr>
                <w:rFonts w:ascii="Times New Roman" w:hAnsi="Times New Roman"/>
                <w:sz w:val="20"/>
                <w:szCs w:val="20"/>
                <w:lang w:val="fr-FR" w:eastAsia="ru-RU"/>
              </w:rPr>
              <w:t>măsuri</w:t>
            </w:r>
            <w:proofErr w:type="spellEnd"/>
            <w:r w:rsidRPr="00CB6B95">
              <w:rPr>
                <w:rFonts w:ascii="Times New Roman" w:hAnsi="Times New Roman"/>
                <w:sz w:val="20"/>
                <w:szCs w:val="20"/>
                <w:lang w:val="fr-FR" w:eastAsia="ru-RU"/>
              </w:rPr>
              <w:t>;</w:t>
            </w:r>
          </w:p>
          <w:p w14:paraId="7D4469E5" w14:textId="2B5F14CF"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elaborarea</w:t>
            </w:r>
            <w:proofErr w:type="spellEnd"/>
            <w:proofErr w:type="gram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estimări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sau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completarea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puse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dispoziția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referitoare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prognozele</w:t>
            </w:r>
            <w:proofErr w:type="spellEnd"/>
            <w:r w:rsidRPr="00CB6B95">
              <w:rPr>
                <w:rFonts w:ascii="Times New Roman" w:hAnsi="Times New Roman"/>
                <w:sz w:val="20"/>
                <w:szCs w:val="20"/>
                <w:lang w:val="fr-FR" w:eastAsia="ru-RU"/>
              </w:rPr>
              <w:t xml:space="preserve"> care nu </w:t>
            </w:r>
            <w:proofErr w:type="spellStart"/>
            <w:r w:rsidRPr="00CB6B95">
              <w:rPr>
                <w:rFonts w:ascii="Times New Roman" w:hAnsi="Times New Roman"/>
                <w:sz w:val="20"/>
                <w:szCs w:val="20"/>
                <w:lang w:val="fr-FR" w:eastAsia="ru-RU"/>
              </w:rPr>
              <w:t>sunt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w:t>
            </w:r>
          </w:p>
          <w:p w14:paraId="79AE1C84" w14:textId="0B7528A7"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compilarea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ori</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câte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ori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sunt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disponibile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a fi </w:t>
            </w:r>
            <w:proofErr w:type="spellStart"/>
            <w:r w:rsidRPr="00CB6B95">
              <w:rPr>
                <w:rFonts w:ascii="Times New Roman" w:hAnsi="Times New Roman"/>
                <w:sz w:val="20"/>
                <w:szCs w:val="20"/>
                <w:lang w:val="fr-FR" w:eastAsia="ru-RU"/>
              </w:rPr>
              <w:t>preluate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statisticile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europene</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adecvate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ceea</w:t>
            </w:r>
            <w:proofErr w:type="spellEnd"/>
            <w:r w:rsidRPr="00CB6B95">
              <w:rPr>
                <w:rFonts w:ascii="Times New Roman" w:hAnsi="Times New Roman"/>
                <w:sz w:val="20"/>
                <w:szCs w:val="20"/>
                <w:lang w:val="fr-FR" w:eastAsia="ru-RU"/>
              </w:rPr>
              <w:t xml:space="preserve"> ce </w:t>
            </w:r>
            <w:proofErr w:type="spellStart"/>
            <w:r w:rsidRPr="00CB6B95">
              <w:rPr>
                <w:rFonts w:ascii="Times New Roman" w:hAnsi="Times New Roman"/>
                <w:sz w:val="20"/>
                <w:szCs w:val="20"/>
                <w:lang w:val="fr-FR" w:eastAsia="ru-RU"/>
              </w:rPr>
              <w:t>privește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actualitatea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necesare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privind</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energetice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elaborat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Comisie</w:t>
            </w:r>
            <w:proofErr w:type="spellEnd"/>
            <w:r w:rsidRPr="00CB6B95">
              <w:rPr>
                <w:rFonts w:ascii="Times New Roman" w:hAnsi="Times New Roman"/>
                <w:sz w:val="20"/>
                <w:szCs w:val="20"/>
                <w:lang w:val="fr-FR" w:eastAsia="ru-RU"/>
              </w:rPr>
              <w:t xml:space="preserve"> și transmis </w:t>
            </w:r>
            <w:proofErr w:type="spellStart"/>
            <w:r w:rsidRPr="00CB6B95">
              <w:rPr>
                <w:rFonts w:ascii="Times New Roman" w:hAnsi="Times New Roman"/>
                <w:sz w:val="20"/>
                <w:szCs w:val="20"/>
                <w:lang w:val="fr-FR" w:eastAsia="ru-RU"/>
              </w:rPr>
              <w:t>Parlamentului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European</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Consiliului</w:t>
            </w:r>
            <w:proofErr w:type="spellEnd"/>
            <w:r w:rsidRPr="00CB6B95">
              <w:rPr>
                <w:rFonts w:ascii="Times New Roman" w:hAnsi="Times New Roman"/>
                <w:sz w:val="20"/>
                <w:szCs w:val="20"/>
                <w:lang w:val="fr-FR" w:eastAsia="ru-RU"/>
              </w:rPr>
              <w:t>;</w:t>
            </w:r>
          </w:p>
          <w:p w14:paraId="28A550AE" w14:textId="21DF677E"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difuzarea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informațiilor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colectate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temeiul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prezentului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inclusiv</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menținerea</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actualizarea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baze</w:t>
            </w:r>
            <w:proofErr w:type="spellEnd"/>
            <w:r w:rsidRPr="00CB6B95">
              <w:rPr>
                <w:rFonts w:ascii="Times New Roman" w:hAnsi="Times New Roman"/>
                <w:sz w:val="20"/>
                <w:szCs w:val="20"/>
                <w:lang w:val="fr-FR" w:eastAsia="ru-RU"/>
              </w:rPr>
              <w:t xml:space="preserve"> de date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politicile</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măsurile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atenuare</w:t>
            </w:r>
            <w:proofErr w:type="spellEnd"/>
            <w:r w:rsidRPr="00CB6B95">
              <w:rPr>
                <w:rFonts w:ascii="Times New Roman" w:hAnsi="Times New Roman"/>
                <w:sz w:val="20"/>
                <w:szCs w:val="20"/>
                <w:lang w:val="fr-FR" w:eastAsia="ru-RU"/>
              </w:rPr>
              <w:t xml:space="preserve"> ale </w:t>
            </w:r>
            <w:proofErr w:type="spellStart"/>
            <w:r w:rsidRPr="00CB6B95">
              <w:rPr>
                <w:rFonts w:ascii="Times New Roman" w:hAnsi="Times New Roman"/>
                <w:sz w:val="20"/>
                <w:szCs w:val="20"/>
                <w:lang w:val="fr-FR" w:eastAsia="ru-RU"/>
              </w:rPr>
              <w:t>statelor</w:t>
            </w:r>
            <w:proofErr w:type="spellEnd"/>
            <w:r w:rsidRPr="00CB6B95">
              <w:rPr>
                <w:rFonts w:ascii="Times New Roman" w:hAnsi="Times New Roman"/>
                <w:sz w:val="20"/>
                <w:szCs w:val="20"/>
                <w:lang w:val="fr-FR" w:eastAsia="ru-RU"/>
              </w:rPr>
              <w:t xml:space="preserve"> membre și a </w:t>
            </w:r>
            <w:proofErr w:type="spellStart"/>
            <w:r w:rsidRPr="00CB6B95">
              <w:rPr>
                <w:rFonts w:ascii="Times New Roman" w:hAnsi="Times New Roman"/>
                <w:sz w:val="20"/>
                <w:szCs w:val="20"/>
                <w:lang w:val="fr-FR" w:eastAsia="ru-RU"/>
              </w:rPr>
              <w:t>platformei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europene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adaptarea</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schimbările</w:t>
            </w:r>
            <w:proofErr w:type="spellEnd"/>
            <w:r w:rsidRPr="00CB6B95">
              <w:rPr>
                <w:rFonts w:ascii="Times New Roman" w:hAnsi="Times New Roman"/>
                <w:sz w:val="20"/>
                <w:szCs w:val="20"/>
                <w:lang w:val="fr-FR" w:eastAsia="ru-RU"/>
              </w:rPr>
              <w:t xml:space="preserve"> climatice în </w:t>
            </w:r>
            <w:proofErr w:type="spellStart"/>
            <w:r w:rsidRPr="00CB6B95">
              <w:rPr>
                <w:rFonts w:ascii="Times New Roman" w:hAnsi="Times New Roman"/>
                <w:sz w:val="20"/>
                <w:szCs w:val="20"/>
                <w:lang w:val="fr-FR" w:eastAsia="ru-RU"/>
              </w:rPr>
              <w:t>ceea</w:t>
            </w:r>
            <w:proofErr w:type="spellEnd"/>
            <w:r w:rsidRPr="00CB6B95">
              <w:rPr>
                <w:rFonts w:ascii="Times New Roman" w:hAnsi="Times New Roman"/>
                <w:sz w:val="20"/>
                <w:szCs w:val="20"/>
                <w:lang w:val="fr-FR" w:eastAsia="ru-RU"/>
              </w:rPr>
              <w:t xml:space="preserve"> ce </w:t>
            </w:r>
            <w:proofErr w:type="spellStart"/>
            <w:r w:rsidRPr="00CB6B95">
              <w:rPr>
                <w:rFonts w:ascii="Times New Roman" w:hAnsi="Times New Roman"/>
                <w:sz w:val="20"/>
                <w:szCs w:val="20"/>
                <w:lang w:val="fr-FR" w:eastAsia="ru-RU"/>
              </w:rPr>
              <w:t>privește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impactul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schimbărilor</w:t>
            </w:r>
            <w:proofErr w:type="spellEnd"/>
            <w:r w:rsidRPr="00CB6B95">
              <w:rPr>
                <w:rFonts w:ascii="Times New Roman" w:hAnsi="Times New Roman"/>
                <w:sz w:val="20"/>
                <w:szCs w:val="20"/>
                <w:lang w:val="fr-FR" w:eastAsia="ru-RU"/>
              </w:rPr>
              <w:t xml:space="preserve"> climatice, </w:t>
            </w:r>
            <w:proofErr w:type="spellStart"/>
            <w:r w:rsidRPr="00CB6B95">
              <w:rPr>
                <w:rFonts w:ascii="Times New Roman" w:hAnsi="Times New Roman"/>
                <w:sz w:val="20"/>
                <w:szCs w:val="20"/>
                <w:lang w:val="fr-FR" w:eastAsia="ru-RU"/>
              </w:rPr>
              <w:t>vulnerabilitățile</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adaptarea</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schimbările</w:t>
            </w:r>
            <w:proofErr w:type="spellEnd"/>
            <w:r w:rsidRPr="00CB6B95">
              <w:rPr>
                <w:rFonts w:ascii="Times New Roman" w:hAnsi="Times New Roman"/>
                <w:sz w:val="20"/>
                <w:szCs w:val="20"/>
                <w:lang w:val="fr-FR" w:eastAsia="ru-RU"/>
              </w:rPr>
              <w:t xml:space="preserve"> climatice;</w:t>
            </w:r>
          </w:p>
          <w:p w14:paraId="12921130" w14:textId="4267852F"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efectuarea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procedurilor</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asigurare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calității</w:t>
            </w:r>
            <w:proofErr w:type="spellEnd"/>
            <w:r w:rsidRPr="00CB6B95">
              <w:rPr>
                <w:rFonts w:ascii="Times New Roman" w:hAnsi="Times New Roman"/>
                <w:sz w:val="20"/>
                <w:szCs w:val="20"/>
                <w:lang w:val="fr-FR" w:eastAsia="ru-RU"/>
              </w:rPr>
              <w:t xml:space="preserve"> și de control al </w:t>
            </w:r>
            <w:proofErr w:type="spellStart"/>
            <w:r w:rsidRPr="00CB6B95">
              <w:rPr>
                <w:rFonts w:ascii="Times New Roman" w:hAnsi="Times New Roman"/>
                <w:sz w:val="20"/>
                <w:szCs w:val="20"/>
                <w:lang w:val="fr-FR" w:eastAsia="ru-RU"/>
              </w:rPr>
              <w:t>calității</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vederea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întocmirii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inventarului</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nivelul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w:t>
            </w:r>
          </w:p>
          <w:p w14:paraId="186D3BAF" w14:textId="319779B9"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compilarea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inventarului</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nivelul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elaborarea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privind</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inventarul</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w:t>
            </w:r>
          </w:p>
          <w:p w14:paraId="21D1F03B" w14:textId="03DCD670" w:rsidR="008D2E7D"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elaborarea</w:t>
            </w:r>
            <w:proofErr w:type="spellEnd"/>
            <w:proofErr w:type="gram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estimări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care nu </w:t>
            </w:r>
            <w:proofErr w:type="spellStart"/>
            <w:r w:rsidRPr="00CB6B95">
              <w:rPr>
                <w:rFonts w:ascii="Times New Roman" w:hAnsi="Times New Roman"/>
                <w:sz w:val="20"/>
                <w:szCs w:val="20"/>
                <w:lang w:val="fr-FR" w:eastAsia="ru-RU"/>
              </w:rPr>
              <w:t>sunt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raportate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inventarele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naționale</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w:t>
            </w:r>
          </w:p>
          <w:p w14:paraId="4A1B37FD" w14:textId="23585215" w:rsidR="002758A5" w:rsidRPr="00CB6B9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efectuarea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revizuirii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menționate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38;</w:t>
            </w:r>
          </w:p>
          <w:p w14:paraId="640FEE45" w14:textId="5B1EC807" w:rsidR="008F5636" w:rsidRPr="002758A5" w:rsidRDefault="002758A5" w:rsidP="000C5A3B">
            <w:pPr>
              <w:pStyle w:val="af3"/>
              <w:numPr>
                <w:ilvl w:val="0"/>
                <w:numId w:val="134"/>
              </w:numPr>
              <w:spacing w:after="0" w:line="240" w:lineRule="auto"/>
              <w:ind w:left="470" w:hanging="357"/>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compilarea</w:t>
            </w:r>
            <w:proofErr w:type="spellEnd"/>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inventarului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armonizat</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nivelul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w:t>
            </w:r>
          </w:p>
        </w:tc>
        <w:tc>
          <w:tcPr>
            <w:tcW w:w="4440" w:type="dxa"/>
          </w:tcPr>
          <w:p w14:paraId="5234C04E" w14:textId="77777777" w:rsidR="008F5636" w:rsidRPr="004A2039" w:rsidRDefault="008F5636" w:rsidP="008F5636">
            <w:pPr>
              <w:pStyle w:val="ColorfulList-Accent11"/>
              <w:spacing w:after="0" w:line="240" w:lineRule="auto"/>
              <w:ind w:left="0"/>
              <w:jc w:val="both"/>
              <w:rPr>
                <w:lang w:val="fr-FR"/>
              </w:rPr>
            </w:pPr>
          </w:p>
        </w:tc>
        <w:tc>
          <w:tcPr>
            <w:tcW w:w="1276" w:type="dxa"/>
          </w:tcPr>
          <w:p w14:paraId="4CC2581C" w14:textId="628EAC5B" w:rsidR="008F5636" w:rsidRPr="004A2039" w:rsidRDefault="002758A5"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56BB19F7" w14:textId="77777777" w:rsidR="008F5636" w:rsidRPr="004A2039" w:rsidRDefault="008F5636" w:rsidP="008F5636">
            <w:pPr>
              <w:pStyle w:val="ColorfulList-Accent11"/>
              <w:spacing w:after="0" w:line="240" w:lineRule="auto"/>
              <w:ind w:left="0"/>
              <w:jc w:val="both"/>
              <w:rPr>
                <w:lang w:val="fr-FR"/>
              </w:rPr>
            </w:pPr>
          </w:p>
        </w:tc>
        <w:tc>
          <w:tcPr>
            <w:tcW w:w="1701" w:type="dxa"/>
          </w:tcPr>
          <w:p w14:paraId="33824E68" w14:textId="77777777" w:rsidR="002758A5" w:rsidRPr="000643DF" w:rsidRDefault="002758A5" w:rsidP="002758A5">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62DFF2DE" w14:textId="77777777" w:rsidR="008F5636" w:rsidRPr="002758A5" w:rsidRDefault="008F5636" w:rsidP="008F5636">
            <w:pPr>
              <w:pStyle w:val="ColorfulList-Accent11"/>
              <w:spacing w:after="0" w:line="240" w:lineRule="auto"/>
              <w:ind w:left="0"/>
              <w:jc w:val="both"/>
              <w:rPr>
                <w:lang w:val="ro-RO"/>
              </w:rPr>
            </w:pPr>
          </w:p>
        </w:tc>
        <w:tc>
          <w:tcPr>
            <w:tcW w:w="1460" w:type="dxa"/>
          </w:tcPr>
          <w:p w14:paraId="44751C32" w14:textId="77777777" w:rsidR="008F5636" w:rsidRPr="004A2039" w:rsidRDefault="008F5636" w:rsidP="008F5636">
            <w:pPr>
              <w:pStyle w:val="ColorfulList-Accent11"/>
              <w:spacing w:after="0" w:line="240" w:lineRule="auto"/>
              <w:ind w:left="0"/>
              <w:jc w:val="both"/>
              <w:rPr>
                <w:lang w:val="fr-FR"/>
              </w:rPr>
            </w:pPr>
          </w:p>
        </w:tc>
      </w:tr>
      <w:tr w:rsidR="008F5636" w:rsidRPr="00362D3D" w14:paraId="46FA11C2" w14:textId="77777777" w:rsidTr="00A90105">
        <w:tc>
          <w:tcPr>
            <w:tcW w:w="4945" w:type="dxa"/>
          </w:tcPr>
          <w:p w14:paraId="2C32970A" w14:textId="77777777" w:rsidR="008F5636" w:rsidRPr="00CB6B95" w:rsidRDefault="008F5636" w:rsidP="00884737">
            <w:pPr>
              <w:spacing w:after="0" w:line="240" w:lineRule="auto"/>
              <w:jc w:val="center"/>
              <w:rPr>
                <w:rFonts w:ascii="Times New Roman" w:hAnsi="Times New Roman"/>
                <w:b/>
                <w:bCs/>
                <w:sz w:val="20"/>
                <w:szCs w:val="20"/>
                <w:lang w:val="fr-FR" w:eastAsia="ru-RU"/>
              </w:rPr>
            </w:pPr>
            <w:r w:rsidRPr="00CB6B95">
              <w:rPr>
                <w:rFonts w:ascii="Times New Roman" w:hAnsi="Times New Roman"/>
                <w:b/>
                <w:bCs/>
                <w:sz w:val="20"/>
                <w:szCs w:val="20"/>
                <w:lang w:val="fr-FR" w:eastAsia="ru-RU"/>
              </w:rPr>
              <w:t>CAPITOLUL 8</w:t>
            </w:r>
          </w:p>
          <w:p w14:paraId="2BD91EF8" w14:textId="77777777" w:rsidR="008F5636" w:rsidRPr="00CB6B95" w:rsidRDefault="008F5636" w:rsidP="00884737">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Dispoziții</w:t>
            </w:r>
            <w:proofErr w:type="spellEnd"/>
            <w:r w:rsidRPr="00CB6B95">
              <w:rPr>
                <w:rFonts w:ascii="Times New Roman" w:hAnsi="Times New Roman"/>
                <w:b/>
                <w:bCs/>
                <w:sz w:val="20"/>
                <w:szCs w:val="20"/>
                <w:lang w:val="fr-FR" w:eastAsia="ru-RU"/>
              </w:rPr>
              <w:t xml:space="preserve"> finale</w:t>
            </w:r>
          </w:p>
          <w:p w14:paraId="4385DCBF" w14:textId="77777777" w:rsidR="008F5636" w:rsidRPr="00CB6B95" w:rsidRDefault="008F5636" w:rsidP="00884737">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43</w:t>
            </w:r>
          </w:p>
          <w:p w14:paraId="01725E43" w14:textId="77777777" w:rsidR="008F5636" w:rsidRPr="00CB6B95" w:rsidRDefault="008F5636" w:rsidP="00884737">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E</w:t>
            </w:r>
            <w:r w:rsidRPr="00CB6B95">
              <w:rPr>
                <w:rFonts w:ascii="Times New Roman" w:hAnsi="Times New Roman"/>
                <w:b/>
                <w:bCs/>
                <w:sz w:val="20"/>
                <w:szCs w:val="20"/>
                <w:lang w:val="fr-FR" w:eastAsia="ru-RU"/>
              </w:rPr>
              <w:t>xercitarea</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delegării</w:t>
            </w:r>
            <w:proofErr w:type="spellEnd"/>
            <w:r w:rsidRPr="00CB6B95">
              <w:rPr>
                <w:rFonts w:ascii="Times New Roman" w:hAnsi="Times New Roman"/>
                <w:b/>
                <w:bCs/>
                <w:sz w:val="20"/>
                <w:szCs w:val="20"/>
                <w:lang w:val="fr-FR" w:eastAsia="ru-RU"/>
              </w:rPr>
              <w:t xml:space="preserve"> de </w:t>
            </w:r>
            <w:proofErr w:type="spellStart"/>
            <w:r w:rsidRPr="00CB6B95">
              <w:rPr>
                <w:rFonts w:ascii="Times New Roman" w:hAnsi="Times New Roman"/>
                <w:b/>
                <w:bCs/>
                <w:sz w:val="20"/>
                <w:szCs w:val="20"/>
                <w:lang w:val="fr-FR" w:eastAsia="ru-RU"/>
              </w:rPr>
              <w:t>competențe</w:t>
            </w:r>
            <w:proofErr w:type="spellEnd"/>
          </w:p>
          <w:p w14:paraId="1B96DFC6" w14:textId="59210C8A" w:rsidR="008F5636" w:rsidRPr="00CB6B95" w:rsidRDefault="008F5636" w:rsidP="00362D3D">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lastRenderedPageBreak/>
              <w:t>(1)</w:t>
            </w:r>
            <w:r w:rsidR="00A92692">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Competența</w:t>
            </w:r>
            <w:proofErr w:type="spellEnd"/>
            <w:r w:rsidRPr="00CB6B95">
              <w:rPr>
                <w:rFonts w:ascii="Times New Roman" w:hAnsi="Times New Roman"/>
                <w:sz w:val="20"/>
                <w:szCs w:val="20"/>
                <w:lang w:val="fr-FR" w:eastAsia="ru-RU"/>
              </w:rPr>
              <w:t xml:space="preserve"> </w:t>
            </w:r>
            <w:proofErr w:type="gramStart"/>
            <w:r w:rsidRPr="00CB6B95">
              <w:rPr>
                <w:rFonts w:ascii="Times New Roman" w:hAnsi="Times New Roman"/>
                <w:sz w:val="20"/>
                <w:szCs w:val="20"/>
                <w:lang w:val="fr-FR" w:eastAsia="ru-RU"/>
              </w:rPr>
              <w:t>de a</w:t>
            </w:r>
            <w:proofErr w:type="gramEnd"/>
            <w:r w:rsidRPr="00CB6B95">
              <w:rPr>
                <w:rFonts w:ascii="Times New Roman" w:hAnsi="Times New Roman"/>
                <w:sz w:val="20"/>
                <w:szCs w:val="20"/>
                <w:lang w:val="fr-FR" w:eastAsia="ru-RU"/>
              </w:rPr>
              <w:t xml:space="preserve"> adopta acte </w:t>
            </w:r>
            <w:proofErr w:type="spellStart"/>
            <w:r w:rsidRPr="00CB6B95">
              <w:rPr>
                <w:rFonts w:ascii="Times New Roman" w:hAnsi="Times New Roman"/>
                <w:sz w:val="20"/>
                <w:szCs w:val="20"/>
                <w:lang w:val="fr-FR" w:eastAsia="ru-RU"/>
              </w:rPr>
              <w:t>delegate</w:t>
            </w:r>
            <w:proofErr w:type="spellEnd"/>
            <w:r w:rsidRPr="00CB6B95">
              <w:rPr>
                <w:rFonts w:ascii="Times New Roman" w:hAnsi="Times New Roman"/>
                <w:sz w:val="20"/>
                <w:szCs w:val="20"/>
                <w:lang w:val="fr-FR" w:eastAsia="ru-RU"/>
              </w:rPr>
              <w:t xml:space="preserve"> este </w:t>
            </w:r>
            <w:proofErr w:type="spellStart"/>
            <w:r w:rsidRPr="00CB6B95">
              <w:rPr>
                <w:rFonts w:ascii="Times New Roman" w:hAnsi="Times New Roman"/>
                <w:sz w:val="20"/>
                <w:szCs w:val="20"/>
                <w:lang w:val="fr-FR" w:eastAsia="ru-RU"/>
              </w:rPr>
              <w:t>conferită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condițiile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prevăzute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prezentul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articol</w:t>
            </w:r>
            <w:proofErr w:type="spellEnd"/>
            <w:r w:rsidRPr="00CB6B95">
              <w:rPr>
                <w:rFonts w:ascii="Times New Roman" w:hAnsi="Times New Roman"/>
                <w:sz w:val="20"/>
                <w:szCs w:val="20"/>
                <w:lang w:val="fr-FR" w:eastAsia="ru-RU"/>
              </w:rPr>
              <w:t>.</w:t>
            </w:r>
          </w:p>
          <w:p w14:paraId="0B576B37" w14:textId="63EAF248" w:rsidR="008F5636" w:rsidRPr="00CB6B95" w:rsidRDefault="00362D3D" w:rsidP="00362D3D">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(2)</w:t>
            </w:r>
            <w:r w:rsidR="00A92692">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Competența</w:t>
            </w:r>
            <w:proofErr w:type="spellEnd"/>
            <w:r w:rsidRPr="00CB6B95">
              <w:rPr>
                <w:rFonts w:ascii="Times New Roman" w:hAnsi="Times New Roman"/>
                <w:sz w:val="20"/>
                <w:szCs w:val="20"/>
                <w:shd w:val="clear" w:color="auto" w:fill="FFFFFF"/>
                <w:lang w:val="fr-FR"/>
              </w:rPr>
              <w:t xml:space="preserve"> </w:t>
            </w:r>
            <w:proofErr w:type="gramStart"/>
            <w:r w:rsidRPr="00CB6B95">
              <w:rPr>
                <w:rFonts w:ascii="Times New Roman" w:hAnsi="Times New Roman"/>
                <w:sz w:val="20"/>
                <w:szCs w:val="20"/>
                <w:shd w:val="clear" w:color="auto" w:fill="FFFFFF"/>
                <w:lang w:val="fr-FR"/>
              </w:rPr>
              <w:t>de a</w:t>
            </w:r>
            <w:proofErr w:type="gramEnd"/>
            <w:r w:rsidRPr="00CB6B95">
              <w:rPr>
                <w:rFonts w:ascii="Times New Roman" w:hAnsi="Times New Roman"/>
                <w:sz w:val="20"/>
                <w:szCs w:val="20"/>
                <w:shd w:val="clear" w:color="auto" w:fill="FFFFFF"/>
                <w:lang w:val="fr-FR"/>
              </w:rPr>
              <w:t xml:space="preserve"> adopta acte </w:t>
            </w:r>
            <w:proofErr w:type="spellStart"/>
            <w:r w:rsidRPr="00CB6B95">
              <w:rPr>
                <w:rFonts w:ascii="Times New Roman" w:hAnsi="Times New Roman"/>
                <w:sz w:val="20"/>
                <w:szCs w:val="20"/>
                <w:shd w:val="clear" w:color="auto" w:fill="FFFFFF"/>
                <w:lang w:val="fr-FR"/>
              </w:rPr>
              <w:t>delegate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menționată</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15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26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(6),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37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(7) și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40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(4) se </w:t>
            </w:r>
            <w:proofErr w:type="spellStart"/>
            <w:r w:rsidRPr="00CB6B95">
              <w:rPr>
                <w:rFonts w:ascii="Times New Roman" w:hAnsi="Times New Roman"/>
                <w:sz w:val="20"/>
                <w:szCs w:val="20"/>
                <w:shd w:val="clear" w:color="auto" w:fill="FFFFFF"/>
                <w:lang w:val="fr-FR"/>
              </w:rPr>
              <w:t>conferă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Comisiei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w:t>
            </w:r>
            <w:proofErr w:type="spellEnd"/>
            <w:r w:rsidRPr="00CB6B95">
              <w:rPr>
                <w:rFonts w:ascii="Times New Roman" w:hAnsi="Times New Roman"/>
                <w:sz w:val="20"/>
                <w:szCs w:val="20"/>
                <w:shd w:val="clear" w:color="auto" w:fill="FFFFFF"/>
                <w:lang w:val="fr-FR"/>
              </w:rPr>
              <w:t xml:space="preserve"> o </w:t>
            </w:r>
            <w:proofErr w:type="spellStart"/>
            <w:r w:rsidRPr="00CB6B95">
              <w:rPr>
                <w:rFonts w:ascii="Times New Roman" w:hAnsi="Times New Roman"/>
                <w:sz w:val="20"/>
                <w:szCs w:val="20"/>
                <w:shd w:val="clear" w:color="auto" w:fill="FFFFFF"/>
                <w:lang w:val="fr-FR"/>
              </w:rPr>
              <w:t>perioadă</w:t>
            </w:r>
            <w:proofErr w:type="spellEnd"/>
            <w:r w:rsidRPr="00CB6B95">
              <w:rPr>
                <w:rFonts w:ascii="Times New Roman" w:hAnsi="Times New Roman"/>
                <w:sz w:val="20"/>
                <w:szCs w:val="20"/>
                <w:shd w:val="clear" w:color="auto" w:fill="FFFFFF"/>
                <w:lang w:val="fr-FR"/>
              </w:rPr>
              <w:t xml:space="preserve"> de 5 </w:t>
            </w:r>
            <w:proofErr w:type="spellStart"/>
            <w:r w:rsidRPr="00CB6B95">
              <w:rPr>
                <w:rFonts w:ascii="Times New Roman" w:hAnsi="Times New Roman"/>
                <w:sz w:val="20"/>
                <w:szCs w:val="20"/>
                <w:shd w:val="clear" w:color="auto" w:fill="FFFFFF"/>
                <w:lang w:val="fr-FR"/>
              </w:rPr>
              <w:t>ani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începând</w:t>
            </w:r>
            <w:proofErr w:type="spellEnd"/>
            <w:r w:rsidRPr="00CB6B95">
              <w:rPr>
                <w:rFonts w:ascii="Times New Roman" w:hAnsi="Times New Roman"/>
                <w:sz w:val="20"/>
                <w:szCs w:val="20"/>
                <w:shd w:val="clear" w:color="auto" w:fill="FFFFFF"/>
                <w:lang w:val="fr-FR"/>
              </w:rPr>
              <w:t xml:space="preserve"> de la 24 </w:t>
            </w:r>
            <w:proofErr w:type="spellStart"/>
            <w:r w:rsidRPr="00CB6B95">
              <w:rPr>
                <w:rFonts w:ascii="Times New Roman" w:hAnsi="Times New Roman"/>
                <w:sz w:val="20"/>
                <w:szCs w:val="20"/>
                <w:shd w:val="clear" w:color="auto" w:fill="FFFFFF"/>
                <w:lang w:val="fr-FR"/>
              </w:rPr>
              <w:t>decembrie</w:t>
            </w:r>
            <w:proofErr w:type="spellEnd"/>
            <w:r w:rsidRPr="00CB6B95">
              <w:rPr>
                <w:rFonts w:ascii="Times New Roman" w:hAnsi="Times New Roman"/>
                <w:sz w:val="20"/>
                <w:szCs w:val="20"/>
                <w:shd w:val="clear" w:color="auto" w:fill="FFFFFF"/>
                <w:lang w:val="fr-FR"/>
              </w:rPr>
              <w:t xml:space="preserve"> 2018. </w:t>
            </w:r>
            <w:proofErr w:type="spellStart"/>
            <w:r w:rsidRPr="00CB6B95">
              <w:rPr>
                <w:rFonts w:ascii="Times New Roman" w:hAnsi="Times New Roman"/>
                <w:sz w:val="20"/>
                <w:szCs w:val="20"/>
                <w:shd w:val="clear" w:color="auto" w:fill="FFFFFF"/>
                <w:lang w:val="fr-FR"/>
              </w:rPr>
              <w:t>Comisia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prezintă</w:t>
            </w:r>
            <w:proofErr w:type="spellEnd"/>
            <w:r w:rsidRPr="00CB6B95">
              <w:rPr>
                <w:rFonts w:ascii="Times New Roman" w:hAnsi="Times New Roman"/>
                <w:sz w:val="20"/>
                <w:szCs w:val="20"/>
                <w:shd w:val="clear" w:color="auto" w:fill="FFFFFF"/>
                <w:lang w:val="fr-FR"/>
              </w:rPr>
              <w:t xml:space="preserve"> un </w:t>
            </w:r>
            <w:proofErr w:type="spellStart"/>
            <w:r w:rsidRPr="00CB6B95">
              <w:rPr>
                <w:rFonts w:ascii="Times New Roman" w:hAnsi="Times New Roman"/>
                <w:sz w:val="20"/>
                <w:szCs w:val="20"/>
                <w:shd w:val="clear" w:color="auto" w:fill="FFFFFF"/>
                <w:lang w:val="fr-FR"/>
              </w:rPr>
              <w:t>raport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privind</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delegarea</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competențe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cel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puțin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nouă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luni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înainte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încheierea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perioadei</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cinci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Delegarea</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competențe</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prelungește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tacit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perioade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timp</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identice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excepția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cazului</w:t>
            </w:r>
            <w:proofErr w:type="spellEnd"/>
            <w:r w:rsidRPr="00CB6B95">
              <w:rPr>
                <w:rFonts w:ascii="Times New Roman" w:hAnsi="Times New Roman"/>
                <w:sz w:val="20"/>
                <w:szCs w:val="20"/>
                <w:shd w:val="clear" w:color="auto" w:fill="FFFFFF"/>
                <w:lang w:val="fr-FR"/>
              </w:rPr>
              <w:t xml:space="preserve"> în care </w:t>
            </w:r>
            <w:proofErr w:type="spellStart"/>
            <w:r w:rsidRPr="00CB6B95">
              <w:rPr>
                <w:rFonts w:ascii="Times New Roman" w:hAnsi="Times New Roman"/>
                <w:sz w:val="20"/>
                <w:szCs w:val="20"/>
                <w:shd w:val="clear" w:color="auto" w:fill="FFFFFF"/>
                <w:lang w:val="fr-FR"/>
              </w:rPr>
              <w:t>Parlamentul</w:t>
            </w:r>
            <w:proofErr w:type="spellEnd"/>
            <w:r w:rsidRPr="00CB6B95">
              <w:rPr>
                <w:rFonts w:ascii="Times New Roman" w:hAnsi="Times New Roman"/>
                <w:sz w:val="20"/>
                <w:szCs w:val="20"/>
                <w:shd w:val="clear" w:color="auto" w:fill="FFFFFF"/>
                <w:lang w:val="fr-FR"/>
              </w:rPr>
              <w:t>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Consiliul</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opune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prelungirii</w:t>
            </w:r>
            <w:proofErr w:type="spellEnd"/>
            <w:r w:rsidRPr="00CB6B95">
              <w:rPr>
                <w:rFonts w:ascii="Times New Roman" w:hAnsi="Times New Roman"/>
                <w:sz w:val="20"/>
                <w:szCs w:val="20"/>
                <w:shd w:val="clear" w:color="auto" w:fill="FFFFFF"/>
                <w:lang w:val="fr-FR"/>
              </w:rPr>
              <w:t xml:space="preserve"> respective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cel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puțin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trei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luni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înainte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încheierea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fiecărei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perioade</w:t>
            </w:r>
            <w:proofErr w:type="spellEnd"/>
            <w:r w:rsidRPr="00CB6B95">
              <w:rPr>
                <w:rFonts w:ascii="Times New Roman" w:hAnsi="Times New Roman"/>
                <w:sz w:val="20"/>
                <w:szCs w:val="20"/>
                <w:shd w:val="clear" w:color="auto" w:fill="FFFFFF"/>
                <w:lang w:val="fr-FR"/>
              </w:rPr>
              <w:t>.</w:t>
            </w:r>
          </w:p>
          <w:p w14:paraId="2E3B0E54" w14:textId="77777777" w:rsidR="00362D3D" w:rsidRPr="00CB6B95" w:rsidRDefault="00362D3D" w:rsidP="00362D3D">
            <w:pPr>
              <w:pStyle w:val="ColorfulList-Accent11"/>
              <w:spacing w:after="0" w:line="240" w:lineRule="auto"/>
              <w:ind w:left="0"/>
              <w:jc w:val="both"/>
              <w:rPr>
                <w:rFonts w:ascii="Times New Roman" w:hAnsi="Times New Roman"/>
                <w:sz w:val="20"/>
                <w:szCs w:val="20"/>
                <w:shd w:val="clear" w:color="auto" w:fill="FFFFFF"/>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3)</w:t>
            </w:r>
            <w:proofErr w:type="spellStart"/>
            <w:r w:rsidRPr="00CB6B95">
              <w:rPr>
                <w:rFonts w:ascii="Times New Roman" w:hAnsi="Times New Roman"/>
                <w:sz w:val="20"/>
                <w:szCs w:val="20"/>
                <w:shd w:val="clear" w:color="auto" w:fill="FFFFFF"/>
                <w:lang w:val="fr-FR"/>
              </w:rPr>
              <w:t>Delegarea</w:t>
            </w:r>
            <w:proofErr w:type="spellEnd"/>
            <w:proofErr w:type="gram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competențe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menționată</w:t>
            </w:r>
            <w:proofErr w:type="spellEnd"/>
            <w:r w:rsidRPr="00CB6B95">
              <w:rPr>
                <w:rFonts w:ascii="Times New Roman" w:hAnsi="Times New Roman"/>
                <w:sz w:val="20"/>
                <w:szCs w:val="20"/>
                <w:shd w:val="clear" w:color="auto" w:fill="FFFFFF"/>
                <w:lang w:val="fr-FR"/>
              </w:rPr>
              <w:t xml:space="preserve"> la articolul3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15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26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(6),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37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(7) și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40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(4) </w:t>
            </w:r>
            <w:proofErr w:type="spellStart"/>
            <w:r w:rsidRPr="00CB6B95">
              <w:rPr>
                <w:rFonts w:ascii="Times New Roman" w:hAnsi="Times New Roman"/>
                <w:sz w:val="20"/>
                <w:szCs w:val="20"/>
                <w:shd w:val="clear" w:color="auto" w:fill="FFFFFF"/>
                <w:lang w:val="fr-FR"/>
              </w:rPr>
              <w:t>poate</w:t>
            </w:r>
            <w:proofErr w:type="spellEnd"/>
            <w:r w:rsidRPr="00CB6B95">
              <w:rPr>
                <w:rFonts w:ascii="Times New Roman" w:hAnsi="Times New Roman"/>
                <w:sz w:val="20"/>
                <w:szCs w:val="20"/>
                <w:shd w:val="clear" w:color="auto" w:fill="FFFFFF"/>
                <w:lang w:val="fr-FR"/>
              </w:rPr>
              <w:t xml:space="preserve"> fi </w:t>
            </w:r>
            <w:proofErr w:type="spellStart"/>
            <w:r w:rsidRPr="00CB6B95">
              <w:rPr>
                <w:rFonts w:ascii="Times New Roman" w:hAnsi="Times New Roman"/>
                <w:sz w:val="20"/>
                <w:szCs w:val="20"/>
                <w:shd w:val="clear" w:color="auto" w:fill="FFFFFF"/>
                <w:lang w:val="fr-FR"/>
              </w:rPr>
              <w:t>revocată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oricând</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Parlamentul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Consiliu</w:t>
            </w:r>
            <w:proofErr w:type="spellEnd"/>
            <w:r w:rsidRPr="00CB6B95">
              <w:rPr>
                <w:rFonts w:ascii="Times New Roman" w:hAnsi="Times New Roman"/>
                <w:sz w:val="20"/>
                <w:szCs w:val="20"/>
                <w:shd w:val="clear" w:color="auto" w:fill="FFFFFF"/>
                <w:lang w:val="fr-FR"/>
              </w:rPr>
              <w:t xml:space="preserve">. O </w:t>
            </w:r>
            <w:proofErr w:type="spellStart"/>
            <w:r w:rsidRPr="00CB6B95">
              <w:rPr>
                <w:rFonts w:ascii="Times New Roman" w:hAnsi="Times New Roman"/>
                <w:sz w:val="20"/>
                <w:szCs w:val="20"/>
                <w:shd w:val="clear" w:color="auto" w:fill="FFFFFF"/>
                <w:lang w:val="fr-FR"/>
              </w:rPr>
              <w:t>decizie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revocare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pune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capăt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delegării</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competențe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specificate</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decizia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respectivă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Decizia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produce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efecte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ziua</w:t>
            </w:r>
            <w:proofErr w:type="spellEnd"/>
            <w:r w:rsidRPr="00CB6B95">
              <w:rPr>
                <w:rFonts w:ascii="Times New Roman" w:hAnsi="Times New Roman"/>
                <w:sz w:val="20"/>
                <w:szCs w:val="20"/>
                <w:shd w:val="clear" w:color="auto" w:fill="FFFFFF"/>
                <w:lang w:val="fr-FR"/>
              </w:rPr>
              <w:t xml:space="preserve"> care </w:t>
            </w:r>
            <w:proofErr w:type="spellStart"/>
            <w:r w:rsidRPr="00CB6B95">
              <w:rPr>
                <w:rFonts w:ascii="Times New Roman" w:hAnsi="Times New Roman"/>
                <w:sz w:val="20"/>
                <w:szCs w:val="20"/>
                <w:shd w:val="clear" w:color="auto" w:fill="FFFFFF"/>
                <w:lang w:val="fr-FR"/>
              </w:rPr>
              <w:t>urmează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datei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publicării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acesteia</w:t>
            </w:r>
            <w:proofErr w:type="spellEnd"/>
            <w:r w:rsidRPr="00CB6B95">
              <w:rPr>
                <w:rFonts w:ascii="Times New Roman" w:hAnsi="Times New Roman"/>
                <w:sz w:val="20"/>
                <w:szCs w:val="20"/>
                <w:shd w:val="clear" w:color="auto" w:fill="FFFFFF"/>
                <w:lang w:val="fr-FR"/>
              </w:rPr>
              <w:t xml:space="preserve"> în </w:t>
            </w:r>
            <w:proofErr w:type="spellStart"/>
            <w:r w:rsidRPr="00CB6B95">
              <w:rPr>
                <w:rStyle w:val="italic"/>
                <w:rFonts w:ascii="Times New Roman" w:hAnsi="Times New Roman"/>
                <w:i/>
                <w:iCs/>
                <w:sz w:val="20"/>
                <w:szCs w:val="20"/>
                <w:shd w:val="clear" w:color="auto" w:fill="FFFFFF"/>
                <w:lang w:val="fr-FR"/>
              </w:rPr>
              <w:t>Jurnalul</w:t>
            </w:r>
            <w:proofErr w:type="spellEnd"/>
            <w:r w:rsidRPr="00CB6B95">
              <w:rPr>
                <w:rStyle w:val="italic"/>
                <w:rFonts w:ascii="Times New Roman" w:hAnsi="Times New Roman"/>
                <w:i/>
                <w:iCs/>
                <w:sz w:val="20"/>
                <w:szCs w:val="20"/>
                <w:shd w:val="clear" w:color="auto" w:fill="FFFFFF"/>
                <w:lang w:val="fr-FR"/>
              </w:rPr>
              <w:t xml:space="preserve"> </w:t>
            </w:r>
            <w:proofErr w:type="spellStart"/>
            <w:r w:rsidRPr="00CB6B95">
              <w:rPr>
                <w:rStyle w:val="italic"/>
                <w:rFonts w:ascii="Times New Roman" w:hAnsi="Times New Roman"/>
                <w:i/>
                <w:iCs/>
                <w:sz w:val="20"/>
                <w:szCs w:val="20"/>
                <w:shd w:val="clear" w:color="auto" w:fill="FFFFFF"/>
                <w:lang w:val="fr-FR"/>
              </w:rPr>
              <w:t>Oficial</w:t>
            </w:r>
            <w:proofErr w:type="spellEnd"/>
            <w:r w:rsidRPr="00CB6B95">
              <w:rPr>
                <w:rStyle w:val="italic"/>
                <w:rFonts w:ascii="Times New Roman" w:hAnsi="Times New Roman"/>
                <w:i/>
                <w:iCs/>
                <w:sz w:val="20"/>
                <w:szCs w:val="20"/>
                <w:shd w:val="clear" w:color="auto" w:fill="FFFFFF"/>
                <w:lang w:val="fr-FR"/>
              </w:rPr>
              <w:t xml:space="preserve"> al </w:t>
            </w:r>
            <w:proofErr w:type="spellStart"/>
            <w:r w:rsidRPr="00CB6B95">
              <w:rPr>
                <w:rStyle w:val="italic"/>
                <w:rFonts w:ascii="Times New Roman" w:hAnsi="Times New Roman"/>
                <w:i/>
                <w:iCs/>
                <w:sz w:val="20"/>
                <w:szCs w:val="20"/>
                <w:shd w:val="clear" w:color="auto" w:fill="FFFFFF"/>
                <w:lang w:val="fr-FR"/>
              </w:rPr>
              <w:t>Uniunii</w:t>
            </w:r>
            <w:proofErr w:type="spellEnd"/>
            <w:r w:rsidRPr="00CB6B95">
              <w:rPr>
                <w:rStyle w:val="italic"/>
                <w:rFonts w:ascii="Times New Roman" w:hAnsi="Times New Roman"/>
                <w:i/>
                <w:iCs/>
                <w:sz w:val="20"/>
                <w:szCs w:val="20"/>
                <w:shd w:val="clear" w:color="auto" w:fill="FFFFFF"/>
                <w:lang w:val="fr-FR"/>
              </w:rPr>
              <w:t xml:space="preserve"> </w:t>
            </w:r>
            <w:proofErr w:type="spellStart"/>
            <w:r w:rsidRPr="00CB6B95">
              <w:rPr>
                <w:rStyle w:val="italic"/>
                <w:rFonts w:ascii="Times New Roman" w:hAnsi="Times New Roman"/>
                <w:i/>
                <w:iCs/>
                <w:sz w:val="20"/>
                <w:szCs w:val="20"/>
                <w:shd w:val="clear" w:color="auto" w:fill="FFFFFF"/>
                <w:lang w:val="fr-FR"/>
              </w:rPr>
              <w:t>Europene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de la o </w:t>
            </w:r>
            <w:proofErr w:type="spellStart"/>
            <w:r w:rsidRPr="00CB6B95">
              <w:rPr>
                <w:rFonts w:ascii="Times New Roman" w:hAnsi="Times New Roman"/>
                <w:sz w:val="20"/>
                <w:szCs w:val="20"/>
                <w:shd w:val="clear" w:color="auto" w:fill="FFFFFF"/>
                <w:lang w:val="fr-FR"/>
              </w:rPr>
              <w:t>dată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ulterioară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menționată</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decizie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rPr>
              <w:t>Decizia</w:t>
            </w:r>
            <w:proofErr w:type="spellEnd"/>
            <w:r w:rsidRPr="00CB6B95">
              <w:rPr>
                <w:rFonts w:ascii="Times New Roman" w:hAnsi="Times New Roman"/>
                <w:sz w:val="20"/>
                <w:szCs w:val="20"/>
                <w:shd w:val="clear" w:color="auto" w:fill="FFFFFF"/>
              </w:rPr>
              <w:t xml:space="preserve"> nu </w:t>
            </w:r>
            <w:proofErr w:type="spellStart"/>
            <w:r w:rsidRPr="00CB6B95">
              <w:rPr>
                <w:rFonts w:ascii="Times New Roman" w:hAnsi="Times New Roman"/>
                <w:sz w:val="20"/>
                <w:szCs w:val="20"/>
                <w:shd w:val="clear" w:color="auto" w:fill="FFFFFF"/>
              </w:rPr>
              <w:t>aduce</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atingere</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actelor</w:t>
            </w:r>
            <w:proofErr w:type="spellEnd"/>
            <w:r w:rsidRPr="00CB6B95">
              <w:rPr>
                <w:rFonts w:ascii="Times New Roman" w:hAnsi="Times New Roman"/>
                <w:sz w:val="20"/>
                <w:szCs w:val="20"/>
                <w:shd w:val="clear" w:color="auto" w:fill="FFFFFF"/>
              </w:rPr>
              <w:t xml:space="preserve"> delegate care sunt </w:t>
            </w:r>
            <w:proofErr w:type="spellStart"/>
            <w:r w:rsidRPr="00CB6B95">
              <w:rPr>
                <w:rFonts w:ascii="Times New Roman" w:hAnsi="Times New Roman"/>
                <w:sz w:val="20"/>
                <w:szCs w:val="20"/>
                <w:shd w:val="clear" w:color="auto" w:fill="FFFFFF"/>
              </w:rPr>
              <w:t>deja</w:t>
            </w:r>
            <w:proofErr w:type="spellEnd"/>
            <w:r w:rsidRPr="00CB6B95">
              <w:rPr>
                <w:rFonts w:ascii="Times New Roman" w:hAnsi="Times New Roman"/>
                <w:sz w:val="20"/>
                <w:szCs w:val="20"/>
                <w:shd w:val="clear" w:color="auto" w:fill="FFFFFF"/>
              </w:rPr>
              <w:t xml:space="preserve"> în </w:t>
            </w:r>
            <w:proofErr w:type="spellStart"/>
            <w:r w:rsidRPr="00CB6B95">
              <w:rPr>
                <w:rFonts w:ascii="Times New Roman" w:hAnsi="Times New Roman"/>
                <w:sz w:val="20"/>
                <w:szCs w:val="20"/>
                <w:shd w:val="clear" w:color="auto" w:fill="FFFFFF"/>
              </w:rPr>
              <w:t>vigoare</w:t>
            </w:r>
            <w:proofErr w:type="spellEnd"/>
          </w:p>
          <w:p w14:paraId="12BA5EB4" w14:textId="77777777" w:rsidR="00362D3D" w:rsidRPr="00CB6B95" w:rsidRDefault="00362D3D" w:rsidP="00362D3D">
            <w:pPr>
              <w:pStyle w:val="ColorfulList-Accent11"/>
              <w:spacing w:after="0" w:line="240" w:lineRule="auto"/>
              <w:ind w:left="0"/>
              <w:jc w:val="both"/>
              <w:rPr>
                <w:rFonts w:ascii="Times New Roman" w:hAnsi="Times New Roman"/>
                <w:sz w:val="20"/>
                <w:szCs w:val="20"/>
                <w:shd w:val="clear" w:color="auto" w:fill="FFFFFF"/>
              </w:rPr>
            </w:pPr>
            <w:r w:rsidRPr="00CB6B95">
              <w:rPr>
                <w:rFonts w:ascii="Times New Roman" w:hAnsi="Times New Roman"/>
                <w:sz w:val="20"/>
                <w:szCs w:val="20"/>
                <w:shd w:val="clear" w:color="auto" w:fill="FFFFFF"/>
              </w:rPr>
              <w:t>(</w:t>
            </w:r>
            <w:proofErr w:type="gramStart"/>
            <w:r w:rsidRPr="00CB6B95">
              <w:rPr>
                <w:rFonts w:ascii="Times New Roman" w:hAnsi="Times New Roman"/>
                <w:sz w:val="20"/>
                <w:szCs w:val="20"/>
                <w:shd w:val="clear" w:color="auto" w:fill="FFFFFF"/>
              </w:rPr>
              <w:t>4)</w:t>
            </w:r>
            <w:proofErr w:type="spellStart"/>
            <w:r w:rsidRPr="00CB6B95">
              <w:rPr>
                <w:rFonts w:ascii="Times New Roman" w:hAnsi="Times New Roman"/>
                <w:sz w:val="20"/>
                <w:szCs w:val="20"/>
                <w:shd w:val="clear" w:color="auto" w:fill="FFFFFF"/>
              </w:rPr>
              <w:t>Înainte</w:t>
            </w:r>
            <w:proofErr w:type="spellEnd"/>
            <w:proofErr w:type="gramEnd"/>
            <w:r w:rsidRPr="00CB6B95">
              <w:rPr>
                <w:rFonts w:ascii="Times New Roman" w:hAnsi="Times New Roman"/>
                <w:sz w:val="20"/>
                <w:szCs w:val="20"/>
                <w:shd w:val="clear" w:color="auto" w:fill="FFFFFF"/>
              </w:rPr>
              <w:t xml:space="preserve"> de </w:t>
            </w:r>
            <w:proofErr w:type="spellStart"/>
            <w:r w:rsidRPr="00CB6B95">
              <w:rPr>
                <w:rFonts w:ascii="Times New Roman" w:hAnsi="Times New Roman"/>
                <w:sz w:val="20"/>
                <w:szCs w:val="20"/>
                <w:shd w:val="clear" w:color="auto" w:fill="FFFFFF"/>
              </w:rPr>
              <w:t>adoptarea</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unui</w:t>
            </w:r>
            <w:proofErr w:type="spellEnd"/>
            <w:r w:rsidRPr="00CB6B95">
              <w:rPr>
                <w:rFonts w:ascii="Times New Roman" w:hAnsi="Times New Roman"/>
                <w:sz w:val="20"/>
                <w:szCs w:val="20"/>
                <w:shd w:val="clear" w:color="auto" w:fill="FFFFFF"/>
              </w:rPr>
              <w:t xml:space="preserve"> act </w:t>
            </w:r>
            <w:proofErr w:type="spellStart"/>
            <w:r w:rsidRPr="00CB6B95">
              <w:rPr>
                <w:rFonts w:ascii="Times New Roman" w:hAnsi="Times New Roman"/>
                <w:sz w:val="20"/>
                <w:szCs w:val="20"/>
                <w:shd w:val="clear" w:color="auto" w:fill="FFFFFF"/>
              </w:rPr>
              <w:t>delegat</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Comisia</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consultă</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experții</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desemnați</w:t>
            </w:r>
            <w:proofErr w:type="spellEnd"/>
            <w:r w:rsidRPr="00CB6B95">
              <w:rPr>
                <w:rFonts w:ascii="Times New Roman" w:hAnsi="Times New Roman"/>
                <w:sz w:val="20"/>
                <w:szCs w:val="20"/>
                <w:shd w:val="clear" w:color="auto" w:fill="FFFFFF"/>
              </w:rPr>
              <w:t xml:space="preserve"> de </w:t>
            </w:r>
            <w:proofErr w:type="spellStart"/>
            <w:r w:rsidRPr="00CB6B95">
              <w:rPr>
                <w:rFonts w:ascii="Times New Roman" w:hAnsi="Times New Roman"/>
                <w:sz w:val="20"/>
                <w:szCs w:val="20"/>
                <w:shd w:val="clear" w:color="auto" w:fill="FFFFFF"/>
              </w:rPr>
              <w:t>fiecare</w:t>
            </w:r>
            <w:proofErr w:type="spellEnd"/>
            <w:r w:rsidRPr="00CB6B95">
              <w:rPr>
                <w:rFonts w:ascii="Times New Roman" w:hAnsi="Times New Roman"/>
                <w:sz w:val="20"/>
                <w:szCs w:val="20"/>
                <w:shd w:val="clear" w:color="auto" w:fill="FFFFFF"/>
              </w:rPr>
              <w:t xml:space="preserve"> stat </w:t>
            </w:r>
            <w:proofErr w:type="spellStart"/>
            <w:r w:rsidRPr="00CB6B95">
              <w:rPr>
                <w:rFonts w:ascii="Times New Roman" w:hAnsi="Times New Roman"/>
                <w:sz w:val="20"/>
                <w:szCs w:val="20"/>
                <w:shd w:val="clear" w:color="auto" w:fill="FFFFFF"/>
              </w:rPr>
              <w:t>membru</w:t>
            </w:r>
            <w:proofErr w:type="spellEnd"/>
            <w:r w:rsidRPr="00CB6B95">
              <w:rPr>
                <w:rFonts w:ascii="Times New Roman" w:hAnsi="Times New Roman"/>
                <w:sz w:val="20"/>
                <w:szCs w:val="20"/>
                <w:shd w:val="clear" w:color="auto" w:fill="FFFFFF"/>
              </w:rPr>
              <w:t xml:space="preserve"> în conformitate cu </w:t>
            </w:r>
            <w:proofErr w:type="spellStart"/>
            <w:r w:rsidRPr="00CB6B95">
              <w:rPr>
                <w:rFonts w:ascii="Times New Roman" w:hAnsi="Times New Roman"/>
                <w:sz w:val="20"/>
                <w:szCs w:val="20"/>
                <w:shd w:val="clear" w:color="auto" w:fill="FFFFFF"/>
              </w:rPr>
              <w:t>principiile</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prevăzute</w:t>
            </w:r>
            <w:proofErr w:type="spellEnd"/>
            <w:r w:rsidRPr="00CB6B95">
              <w:rPr>
                <w:rFonts w:ascii="Times New Roman" w:hAnsi="Times New Roman"/>
                <w:sz w:val="20"/>
                <w:szCs w:val="20"/>
                <w:shd w:val="clear" w:color="auto" w:fill="FFFFFF"/>
              </w:rPr>
              <w:t xml:space="preserve"> în </w:t>
            </w:r>
            <w:proofErr w:type="spellStart"/>
            <w:r w:rsidRPr="00CB6B95">
              <w:rPr>
                <w:rFonts w:ascii="Times New Roman" w:hAnsi="Times New Roman"/>
                <w:sz w:val="20"/>
                <w:szCs w:val="20"/>
                <w:shd w:val="clear" w:color="auto" w:fill="FFFFFF"/>
              </w:rPr>
              <w:t>Acordul</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interinstituțional</w:t>
            </w:r>
            <w:proofErr w:type="spellEnd"/>
            <w:r w:rsidRPr="00CB6B95">
              <w:rPr>
                <w:rFonts w:ascii="Times New Roman" w:hAnsi="Times New Roman"/>
                <w:sz w:val="20"/>
                <w:szCs w:val="20"/>
                <w:shd w:val="clear" w:color="auto" w:fill="FFFFFF"/>
              </w:rPr>
              <w:t xml:space="preserve"> din 13 </w:t>
            </w:r>
            <w:proofErr w:type="spellStart"/>
            <w:r w:rsidRPr="00CB6B95">
              <w:rPr>
                <w:rFonts w:ascii="Times New Roman" w:hAnsi="Times New Roman"/>
                <w:sz w:val="20"/>
                <w:szCs w:val="20"/>
                <w:shd w:val="clear" w:color="auto" w:fill="FFFFFF"/>
              </w:rPr>
              <w:t>aprilie</w:t>
            </w:r>
            <w:proofErr w:type="spellEnd"/>
            <w:r w:rsidRPr="00CB6B95">
              <w:rPr>
                <w:rFonts w:ascii="Times New Roman" w:hAnsi="Times New Roman"/>
                <w:sz w:val="20"/>
                <w:szCs w:val="20"/>
                <w:shd w:val="clear" w:color="auto" w:fill="FFFFFF"/>
              </w:rPr>
              <w:t xml:space="preserve"> 2016 </w:t>
            </w:r>
            <w:proofErr w:type="spellStart"/>
            <w:r w:rsidRPr="00CB6B95">
              <w:rPr>
                <w:rFonts w:ascii="Times New Roman" w:hAnsi="Times New Roman"/>
                <w:sz w:val="20"/>
                <w:szCs w:val="20"/>
                <w:shd w:val="clear" w:color="auto" w:fill="FFFFFF"/>
              </w:rPr>
              <w:t>privind</w:t>
            </w:r>
            <w:proofErr w:type="spellEnd"/>
            <w:r w:rsidRPr="00CB6B95">
              <w:rPr>
                <w:rFonts w:ascii="Times New Roman" w:hAnsi="Times New Roman"/>
                <w:sz w:val="20"/>
                <w:szCs w:val="20"/>
                <w:shd w:val="clear" w:color="auto" w:fill="FFFFFF"/>
              </w:rPr>
              <w:t xml:space="preserve"> o </w:t>
            </w:r>
            <w:proofErr w:type="spellStart"/>
            <w:r w:rsidRPr="00CB6B95">
              <w:rPr>
                <w:rFonts w:ascii="Times New Roman" w:hAnsi="Times New Roman"/>
                <w:sz w:val="20"/>
                <w:szCs w:val="20"/>
                <w:shd w:val="clear" w:color="auto" w:fill="FFFFFF"/>
              </w:rPr>
              <w:t>mai</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bună</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legiferare</w:t>
            </w:r>
            <w:proofErr w:type="spellEnd"/>
            <w:r w:rsidRPr="00CB6B95">
              <w:rPr>
                <w:rFonts w:ascii="Times New Roman" w:hAnsi="Times New Roman"/>
                <w:sz w:val="20"/>
                <w:szCs w:val="20"/>
                <w:shd w:val="clear" w:color="auto" w:fill="FFFFFF"/>
              </w:rPr>
              <w:t>.</w:t>
            </w:r>
          </w:p>
          <w:p w14:paraId="56729248" w14:textId="77777777" w:rsidR="00362D3D" w:rsidRPr="00CB6B95" w:rsidRDefault="00362D3D" w:rsidP="00362D3D">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5)De</w:t>
            </w:r>
            <w:proofErr w:type="gram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îndată</w:t>
            </w:r>
            <w:proofErr w:type="spellEnd"/>
            <w:r w:rsidRPr="00CB6B95">
              <w:rPr>
                <w:rFonts w:ascii="Times New Roman" w:hAnsi="Times New Roman"/>
                <w:sz w:val="20"/>
                <w:szCs w:val="20"/>
                <w:shd w:val="clear" w:color="auto" w:fill="FFFFFF"/>
                <w:lang w:val="fr-FR"/>
              </w:rPr>
              <w:t xml:space="preserve"> ce </w:t>
            </w:r>
            <w:proofErr w:type="spellStart"/>
            <w:r w:rsidRPr="00CB6B95">
              <w:rPr>
                <w:rFonts w:ascii="Times New Roman" w:hAnsi="Times New Roman"/>
                <w:sz w:val="20"/>
                <w:szCs w:val="20"/>
                <w:shd w:val="clear" w:color="auto" w:fill="FFFFFF"/>
                <w:lang w:val="fr-FR"/>
              </w:rPr>
              <w:t>adoptă</w:t>
            </w:r>
            <w:proofErr w:type="spellEnd"/>
            <w:r w:rsidRPr="00CB6B95">
              <w:rPr>
                <w:rFonts w:ascii="Times New Roman" w:hAnsi="Times New Roman"/>
                <w:sz w:val="20"/>
                <w:szCs w:val="20"/>
                <w:shd w:val="clear" w:color="auto" w:fill="FFFFFF"/>
                <w:lang w:val="fr-FR"/>
              </w:rPr>
              <w:t xml:space="preserve"> un </w:t>
            </w:r>
            <w:proofErr w:type="spellStart"/>
            <w:r w:rsidRPr="00CB6B95">
              <w:rPr>
                <w:rFonts w:ascii="Times New Roman" w:hAnsi="Times New Roman"/>
                <w:sz w:val="20"/>
                <w:szCs w:val="20"/>
                <w:shd w:val="clear" w:color="auto" w:fill="FFFFFF"/>
                <w:lang w:val="fr-FR"/>
              </w:rPr>
              <w:t>act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delegat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notifică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simultan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Parlamentului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Consiliului</w:t>
            </w:r>
            <w:proofErr w:type="spellEnd"/>
            <w:r w:rsidRPr="00CB6B95">
              <w:rPr>
                <w:rFonts w:ascii="Times New Roman" w:hAnsi="Times New Roman"/>
                <w:sz w:val="20"/>
                <w:szCs w:val="20"/>
                <w:shd w:val="clear" w:color="auto" w:fill="FFFFFF"/>
                <w:lang w:val="fr-FR"/>
              </w:rPr>
              <w:t>.</w:t>
            </w:r>
          </w:p>
          <w:p w14:paraId="0D964944" w14:textId="51E7490A" w:rsidR="00362D3D" w:rsidRPr="009231D7" w:rsidRDefault="00362D3D" w:rsidP="00362D3D">
            <w:pPr>
              <w:pStyle w:val="ColorfulList-Accent11"/>
              <w:spacing w:after="0" w:line="240" w:lineRule="auto"/>
              <w:ind w:left="0"/>
              <w:jc w:val="both"/>
              <w:rPr>
                <w:highlight w:val="red"/>
                <w:lang w:val="fr-FR"/>
              </w:rPr>
            </w:pPr>
            <w:r w:rsidRPr="00CB6B95">
              <w:rPr>
                <w:rFonts w:ascii="Times New Roman" w:hAnsi="Times New Roman"/>
                <w:sz w:val="20"/>
                <w:szCs w:val="20"/>
                <w:shd w:val="clear" w:color="auto" w:fill="FFFFFF"/>
                <w:lang w:val="fr-FR"/>
              </w:rPr>
              <w:t xml:space="preserve">(6)Un </w:t>
            </w:r>
            <w:proofErr w:type="spellStart"/>
            <w:r w:rsidRPr="00CB6B95">
              <w:rPr>
                <w:rFonts w:ascii="Times New Roman" w:hAnsi="Times New Roman"/>
                <w:sz w:val="20"/>
                <w:szCs w:val="20"/>
                <w:shd w:val="clear" w:color="auto" w:fill="FFFFFF"/>
                <w:lang w:val="fr-FR"/>
              </w:rPr>
              <w:t>act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delegat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adoptat</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temeiul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articolului</w:t>
            </w:r>
            <w:proofErr w:type="spellEnd"/>
            <w:r w:rsidRPr="00CB6B95">
              <w:rPr>
                <w:rFonts w:ascii="Times New Roman" w:hAnsi="Times New Roman"/>
                <w:sz w:val="20"/>
                <w:szCs w:val="20"/>
                <w:shd w:val="clear" w:color="auto" w:fill="FFFFFF"/>
                <w:lang w:val="fr-FR"/>
              </w:rPr>
              <w:t xml:space="preserve"> 3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articolului</w:t>
            </w:r>
            <w:proofErr w:type="spellEnd"/>
            <w:r w:rsidRPr="00CB6B95">
              <w:rPr>
                <w:rFonts w:ascii="Times New Roman" w:hAnsi="Times New Roman"/>
                <w:sz w:val="20"/>
                <w:szCs w:val="20"/>
                <w:shd w:val="clear" w:color="auto" w:fill="FFFFFF"/>
                <w:lang w:val="fr-FR"/>
              </w:rPr>
              <w:t xml:space="preserve"> 15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articolului</w:t>
            </w:r>
            <w:proofErr w:type="spellEnd"/>
            <w:r w:rsidRPr="00CB6B95">
              <w:rPr>
                <w:rFonts w:ascii="Times New Roman" w:hAnsi="Times New Roman"/>
                <w:sz w:val="20"/>
                <w:szCs w:val="20"/>
                <w:shd w:val="clear" w:color="auto" w:fill="FFFFFF"/>
                <w:lang w:val="fr-FR"/>
              </w:rPr>
              <w:t xml:space="preserve"> 26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(6), </w:t>
            </w:r>
            <w:proofErr w:type="spellStart"/>
            <w:r w:rsidRPr="00CB6B95">
              <w:rPr>
                <w:rFonts w:ascii="Times New Roman" w:hAnsi="Times New Roman"/>
                <w:sz w:val="20"/>
                <w:szCs w:val="20"/>
                <w:shd w:val="clear" w:color="auto" w:fill="FFFFFF"/>
                <w:lang w:val="fr-FR"/>
              </w:rPr>
              <w:t>articolului</w:t>
            </w:r>
            <w:proofErr w:type="spellEnd"/>
            <w:r w:rsidRPr="00CB6B95">
              <w:rPr>
                <w:rFonts w:ascii="Times New Roman" w:hAnsi="Times New Roman"/>
                <w:sz w:val="20"/>
                <w:szCs w:val="20"/>
                <w:shd w:val="clear" w:color="auto" w:fill="FFFFFF"/>
                <w:lang w:val="fr-FR"/>
              </w:rPr>
              <w:t xml:space="preserve"> 37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(7) și </w:t>
            </w:r>
            <w:proofErr w:type="spellStart"/>
            <w:r w:rsidRPr="00CB6B95">
              <w:rPr>
                <w:rFonts w:ascii="Times New Roman" w:hAnsi="Times New Roman"/>
                <w:sz w:val="20"/>
                <w:szCs w:val="20"/>
                <w:shd w:val="clear" w:color="auto" w:fill="FFFFFF"/>
                <w:lang w:val="fr-FR"/>
              </w:rPr>
              <w:t>articolului</w:t>
            </w:r>
            <w:proofErr w:type="spellEnd"/>
            <w:r w:rsidRPr="00CB6B95">
              <w:rPr>
                <w:rFonts w:ascii="Times New Roman" w:hAnsi="Times New Roman"/>
                <w:sz w:val="20"/>
                <w:szCs w:val="20"/>
                <w:shd w:val="clear" w:color="auto" w:fill="FFFFFF"/>
                <w:lang w:val="fr-FR"/>
              </w:rPr>
              <w:t xml:space="preserve"> 40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(4) </w:t>
            </w:r>
            <w:proofErr w:type="spellStart"/>
            <w:r w:rsidRPr="00CB6B95">
              <w:rPr>
                <w:rFonts w:ascii="Times New Roman" w:hAnsi="Times New Roman"/>
                <w:sz w:val="20"/>
                <w:szCs w:val="20"/>
                <w:shd w:val="clear" w:color="auto" w:fill="FFFFFF"/>
                <w:lang w:val="fr-FR"/>
              </w:rPr>
              <w:t>intră</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vigoare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numai</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cazul</w:t>
            </w:r>
            <w:proofErr w:type="spellEnd"/>
            <w:r w:rsidRPr="00CB6B95">
              <w:rPr>
                <w:rFonts w:ascii="Times New Roman" w:hAnsi="Times New Roman"/>
                <w:sz w:val="20"/>
                <w:szCs w:val="20"/>
                <w:shd w:val="clear" w:color="auto" w:fill="FFFFFF"/>
                <w:lang w:val="fr-FR"/>
              </w:rPr>
              <w:t xml:space="preserve"> în care </w:t>
            </w:r>
            <w:proofErr w:type="spellStart"/>
            <w:r w:rsidRPr="00CB6B95">
              <w:rPr>
                <w:rFonts w:ascii="Times New Roman" w:hAnsi="Times New Roman"/>
                <w:sz w:val="20"/>
                <w:szCs w:val="20"/>
                <w:shd w:val="clear" w:color="auto" w:fill="FFFFFF"/>
                <w:lang w:val="fr-FR"/>
              </w:rPr>
              <w:t>nici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Parlamentul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nici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Consiliul</w:t>
            </w:r>
            <w:proofErr w:type="spellEnd"/>
            <w:r w:rsidRPr="00CB6B95">
              <w:rPr>
                <w:rFonts w:ascii="Times New Roman" w:hAnsi="Times New Roman"/>
                <w:sz w:val="20"/>
                <w:szCs w:val="20"/>
                <w:shd w:val="clear" w:color="auto" w:fill="FFFFFF"/>
                <w:lang w:val="fr-FR"/>
              </w:rPr>
              <w:t xml:space="preserve"> nu au </w:t>
            </w:r>
            <w:proofErr w:type="spellStart"/>
            <w:r w:rsidRPr="00CB6B95">
              <w:rPr>
                <w:rFonts w:ascii="Times New Roman" w:hAnsi="Times New Roman"/>
                <w:sz w:val="20"/>
                <w:szCs w:val="20"/>
                <w:shd w:val="clear" w:color="auto" w:fill="FFFFFF"/>
                <w:lang w:val="fr-FR"/>
              </w:rPr>
              <w:t>formulat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obiecțiuni</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termen</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două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luni</w:t>
            </w:r>
            <w:proofErr w:type="spellEnd"/>
            <w:r w:rsidRPr="00CB6B95">
              <w:rPr>
                <w:rFonts w:ascii="Times New Roman" w:hAnsi="Times New Roman"/>
                <w:sz w:val="20"/>
                <w:szCs w:val="20"/>
                <w:shd w:val="clear" w:color="auto" w:fill="FFFFFF"/>
                <w:lang w:val="fr-FR"/>
              </w:rPr>
              <w:t xml:space="preserve"> de la </w:t>
            </w:r>
            <w:proofErr w:type="spellStart"/>
            <w:r w:rsidRPr="00CB6B95">
              <w:rPr>
                <w:rFonts w:ascii="Times New Roman" w:hAnsi="Times New Roman"/>
                <w:sz w:val="20"/>
                <w:szCs w:val="20"/>
                <w:shd w:val="clear" w:color="auto" w:fill="FFFFFF"/>
                <w:lang w:val="fr-FR"/>
              </w:rPr>
              <w:t>notificarea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acestuia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către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Parlamentul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Consiliu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cazul</w:t>
            </w:r>
            <w:proofErr w:type="spellEnd"/>
            <w:r w:rsidRPr="00CB6B95">
              <w:rPr>
                <w:rFonts w:ascii="Times New Roman" w:hAnsi="Times New Roman"/>
                <w:sz w:val="20"/>
                <w:szCs w:val="20"/>
                <w:shd w:val="clear" w:color="auto" w:fill="FFFFFF"/>
                <w:lang w:val="fr-FR"/>
              </w:rPr>
              <w:t xml:space="preserve"> în care, </w:t>
            </w:r>
            <w:proofErr w:type="spellStart"/>
            <w:r w:rsidRPr="00CB6B95">
              <w:rPr>
                <w:rFonts w:ascii="Times New Roman" w:hAnsi="Times New Roman"/>
                <w:sz w:val="20"/>
                <w:szCs w:val="20"/>
                <w:shd w:val="clear" w:color="auto" w:fill="FFFFFF"/>
                <w:lang w:val="fr-FR"/>
              </w:rPr>
              <w:t>înaintea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expirării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termenului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respectiv</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Parlamentul</w:t>
            </w:r>
            <w:proofErr w:type="spellEnd"/>
            <w:r w:rsidRPr="00CB6B95">
              <w:rPr>
                <w:rFonts w:ascii="Times New Roman" w:hAnsi="Times New Roman"/>
                <w:sz w:val="20"/>
                <w:szCs w:val="20"/>
                <w:shd w:val="clear" w:color="auto" w:fill="FFFFFF"/>
                <w:lang w:val="fr-FR"/>
              </w:rPr>
              <w:t>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Consiliul</w:t>
            </w:r>
            <w:proofErr w:type="spellEnd"/>
            <w:r w:rsidRPr="00CB6B95">
              <w:rPr>
                <w:rFonts w:ascii="Times New Roman" w:hAnsi="Times New Roman"/>
                <w:sz w:val="20"/>
                <w:szCs w:val="20"/>
                <w:shd w:val="clear" w:color="auto" w:fill="FFFFFF"/>
                <w:lang w:val="fr-FR"/>
              </w:rPr>
              <w:t xml:space="preserve"> au </w:t>
            </w:r>
            <w:proofErr w:type="spellStart"/>
            <w:r w:rsidRPr="00CB6B95">
              <w:rPr>
                <w:rFonts w:ascii="Times New Roman" w:hAnsi="Times New Roman"/>
                <w:sz w:val="20"/>
                <w:szCs w:val="20"/>
                <w:shd w:val="clear" w:color="auto" w:fill="FFFFFF"/>
                <w:lang w:val="fr-FR"/>
              </w:rPr>
              <w:t>informat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că</w:t>
            </w:r>
            <w:proofErr w:type="spellEnd"/>
            <w:r w:rsidRPr="00CB6B95">
              <w:rPr>
                <w:rFonts w:ascii="Times New Roman" w:hAnsi="Times New Roman"/>
                <w:sz w:val="20"/>
                <w:szCs w:val="20"/>
                <w:shd w:val="clear" w:color="auto" w:fill="FFFFFF"/>
                <w:lang w:val="fr-FR"/>
              </w:rPr>
              <w:t xml:space="preserve"> nu vor </w:t>
            </w:r>
            <w:proofErr w:type="spellStart"/>
            <w:r w:rsidRPr="00CB6B95">
              <w:rPr>
                <w:rFonts w:ascii="Times New Roman" w:hAnsi="Times New Roman"/>
                <w:sz w:val="20"/>
                <w:szCs w:val="20"/>
                <w:shd w:val="clear" w:color="auto" w:fill="FFFFFF"/>
                <w:lang w:val="fr-FR"/>
              </w:rPr>
              <w:t>ridica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obiecțiuni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Respectivul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termen</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prelungește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două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luni</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inițiativa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Parlamentului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European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a </w:t>
            </w:r>
            <w:proofErr w:type="spellStart"/>
            <w:r w:rsidRPr="00CB6B95">
              <w:rPr>
                <w:rFonts w:ascii="Times New Roman" w:hAnsi="Times New Roman"/>
                <w:sz w:val="20"/>
                <w:szCs w:val="20"/>
                <w:shd w:val="clear" w:color="auto" w:fill="FFFFFF"/>
                <w:lang w:val="fr-FR"/>
              </w:rPr>
              <w:t>Consiliului</w:t>
            </w:r>
            <w:proofErr w:type="spellEnd"/>
            <w:r w:rsidRPr="00CB6B95">
              <w:rPr>
                <w:rFonts w:ascii="Times New Roman" w:hAnsi="Times New Roman"/>
                <w:sz w:val="20"/>
                <w:szCs w:val="20"/>
                <w:shd w:val="clear" w:color="auto" w:fill="FFFFFF"/>
                <w:lang w:val="fr-FR"/>
              </w:rPr>
              <w:t>.</w:t>
            </w:r>
          </w:p>
        </w:tc>
        <w:tc>
          <w:tcPr>
            <w:tcW w:w="4440" w:type="dxa"/>
          </w:tcPr>
          <w:p w14:paraId="5985735E" w14:textId="77777777" w:rsidR="008F5636" w:rsidRPr="00362D3D" w:rsidRDefault="008F5636" w:rsidP="008F5636">
            <w:pPr>
              <w:pStyle w:val="ColorfulList-Accent11"/>
              <w:spacing w:after="0" w:line="240" w:lineRule="auto"/>
              <w:ind w:left="0"/>
              <w:jc w:val="both"/>
              <w:rPr>
                <w:lang w:val="fr-FR"/>
              </w:rPr>
            </w:pPr>
          </w:p>
        </w:tc>
        <w:tc>
          <w:tcPr>
            <w:tcW w:w="1276" w:type="dxa"/>
          </w:tcPr>
          <w:p w14:paraId="63E2A56B" w14:textId="77777777" w:rsidR="00ED1020" w:rsidRDefault="00ED1020" w:rsidP="00ED1020">
            <w:pPr>
              <w:pStyle w:val="ColorfulList-Accent11"/>
              <w:spacing w:after="0" w:line="240" w:lineRule="auto"/>
              <w:ind w:left="0"/>
              <w:jc w:val="center"/>
              <w:rPr>
                <w:rFonts w:ascii="Times New Roman" w:hAnsi="Times New Roman"/>
                <w:bCs/>
                <w:sz w:val="20"/>
                <w:szCs w:val="20"/>
                <w:lang w:val="ro-RO"/>
              </w:rPr>
            </w:pPr>
            <w:r w:rsidRPr="00C951E7">
              <w:rPr>
                <w:rFonts w:ascii="Times New Roman" w:hAnsi="Times New Roman"/>
                <w:sz w:val="20"/>
                <w:szCs w:val="20"/>
                <w:lang w:val="ro-RO"/>
              </w:rPr>
              <w:t>Prevederi UE neaplicabile</w:t>
            </w:r>
          </w:p>
          <w:p w14:paraId="6FA7C9CB" w14:textId="563543B3" w:rsidR="008F5636" w:rsidRPr="00362D3D" w:rsidRDefault="008F5636" w:rsidP="008F5636">
            <w:pPr>
              <w:pStyle w:val="ColorfulList-Accent11"/>
              <w:spacing w:after="0" w:line="240" w:lineRule="auto"/>
              <w:ind w:left="0"/>
              <w:jc w:val="both"/>
              <w:rPr>
                <w:lang w:val="fr-FR"/>
              </w:rPr>
            </w:pPr>
          </w:p>
        </w:tc>
        <w:tc>
          <w:tcPr>
            <w:tcW w:w="1276" w:type="dxa"/>
          </w:tcPr>
          <w:p w14:paraId="12F55920" w14:textId="77777777" w:rsidR="008F5636" w:rsidRPr="00362D3D" w:rsidRDefault="008F5636" w:rsidP="008F5636">
            <w:pPr>
              <w:pStyle w:val="ColorfulList-Accent11"/>
              <w:spacing w:after="0" w:line="240" w:lineRule="auto"/>
              <w:ind w:left="0"/>
              <w:jc w:val="both"/>
              <w:rPr>
                <w:lang w:val="fr-FR"/>
              </w:rPr>
            </w:pPr>
          </w:p>
        </w:tc>
        <w:tc>
          <w:tcPr>
            <w:tcW w:w="1701" w:type="dxa"/>
          </w:tcPr>
          <w:p w14:paraId="6968D526" w14:textId="25BBB8D4" w:rsidR="008F5636" w:rsidRPr="00362D3D" w:rsidRDefault="00362D3D" w:rsidP="008F5636">
            <w:pPr>
              <w:pStyle w:val="ColorfulList-Accent11"/>
              <w:spacing w:after="0" w:line="240" w:lineRule="auto"/>
              <w:ind w:left="0"/>
              <w:jc w:val="both"/>
              <w:rPr>
                <w:lang w:val="fr-FR"/>
              </w:rPr>
            </w:pPr>
            <w:r w:rsidRPr="00C951E7">
              <w:rPr>
                <w:rFonts w:ascii="Times New Roman" w:hAnsi="Times New Roman"/>
                <w:sz w:val="20"/>
                <w:szCs w:val="20"/>
                <w:lang w:val="ro-RO"/>
              </w:rPr>
              <w:t xml:space="preserve">Transpunerea nu este necesară, deoarece se referă </w:t>
            </w:r>
            <w:r w:rsidRPr="00C951E7">
              <w:rPr>
                <w:rFonts w:ascii="Times New Roman" w:hAnsi="Times New Roman"/>
                <w:sz w:val="20"/>
                <w:szCs w:val="20"/>
                <w:lang w:val="ro-RO"/>
              </w:rPr>
              <w:lastRenderedPageBreak/>
              <w:t>la tehnica legislativă UE.</w:t>
            </w:r>
          </w:p>
        </w:tc>
        <w:tc>
          <w:tcPr>
            <w:tcW w:w="1460" w:type="dxa"/>
          </w:tcPr>
          <w:p w14:paraId="75C5F94E" w14:textId="77777777" w:rsidR="008F5636" w:rsidRPr="00362D3D" w:rsidRDefault="008F5636" w:rsidP="008F5636">
            <w:pPr>
              <w:pStyle w:val="ColorfulList-Accent11"/>
              <w:spacing w:after="0" w:line="240" w:lineRule="auto"/>
              <w:ind w:left="0"/>
              <w:jc w:val="both"/>
              <w:rPr>
                <w:lang w:val="fr-FR"/>
              </w:rPr>
            </w:pPr>
          </w:p>
        </w:tc>
      </w:tr>
      <w:tr w:rsidR="008F5636" w:rsidRPr="00362D3D" w14:paraId="554A940C" w14:textId="77777777" w:rsidTr="00A90105">
        <w:tc>
          <w:tcPr>
            <w:tcW w:w="4945" w:type="dxa"/>
          </w:tcPr>
          <w:p w14:paraId="06C1CA36" w14:textId="77777777" w:rsidR="00362D3D" w:rsidRPr="00CB6B95" w:rsidRDefault="00362D3D" w:rsidP="00362D3D">
            <w:pPr>
              <w:spacing w:after="0" w:line="240" w:lineRule="auto"/>
              <w:jc w:val="center"/>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44</w:t>
            </w:r>
          </w:p>
          <w:p w14:paraId="53773855" w14:textId="77777777" w:rsidR="00362D3D" w:rsidRPr="00CB6B95" w:rsidRDefault="00362D3D" w:rsidP="00362D3D">
            <w:pPr>
              <w:spacing w:after="0" w:line="240" w:lineRule="auto"/>
              <w:jc w:val="center"/>
              <w:rPr>
                <w:rFonts w:ascii="Times New Roman" w:hAnsi="Times New Roman"/>
                <w:b/>
                <w:bCs/>
                <w:sz w:val="20"/>
                <w:szCs w:val="20"/>
                <w:lang w:val="en-US" w:eastAsia="ru-RU"/>
              </w:rPr>
            </w:pPr>
            <w:proofErr w:type="spellStart"/>
            <w:r w:rsidRPr="00CB6B95">
              <w:rPr>
                <w:rFonts w:ascii="Times New Roman" w:hAnsi="Times New Roman"/>
                <w:b/>
                <w:bCs/>
                <w:sz w:val="20"/>
                <w:szCs w:val="20"/>
                <w:lang w:val="en-US" w:eastAsia="ru-RU"/>
              </w:rPr>
              <w:t>Comitetele</w:t>
            </w:r>
            <w:proofErr w:type="spellEnd"/>
          </w:p>
          <w:p w14:paraId="16BE9826" w14:textId="77777777" w:rsidR="008F5636" w:rsidRPr="00CB6B95" w:rsidRDefault="00362D3D" w:rsidP="00362D3D">
            <w:pPr>
              <w:spacing w:after="0" w:line="240" w:lineRule="auto"/>
              <w:jc w:val="both"/>
              <w:rPr>
                <w:rFonts w:ascii="Times New Roman" w:hAnsi="Times New Roman"/>
                <w:sz w:val="20"/>
                <w:szCs w:val="20"/>
                <w:lang w:val="en-US" w:eastAsia="ru-RU"/>
              </w:rPr>
            </w:pPr>
            <w:r w:rsidRPr="00CB6B95">
              <w:rPr>
                <w:rFonts w:ascii="Times New Roman" w:hAnsi="Times New Roman"/>
                <w:sz w:val="20"/>
                <w:szCs w:val="20"/>
                <w:lang w:val="en-US" w:eastAsia="ru-RU"/>
              </w:rPr>
              <w:t>(</w:t>
            </w:r>
            <w:proofErr w:type="gramStart"/>
            <w:r w:rsidRPr="00CB6B95">
              <w:rPr>
                <w:rFonts w:ascii="Times New Roman" w:hAnsi="Times New Roman"/>
                <w:sz w:val="20"/>
                <w:szCs w:val="20"/>
                <w:lang w:val="en-US" w:eastAsia="ru-RU"/>
              </w:rPr>
              <w:t>1)</w:t>
            </w:r>
            <w:proofErr w:type="spellStart"/>
            <w:r w:rsidRPr="00CB6B95">
              <w:rPr>
                <w:rFonts w:ascii="Times New Roman" w:hAnsi="Times New Roman"/>
                <w:sz w:val="20"/>
                <w:szCs w:val="20"/>
                <w:lang w:val="en-US" w:eastAsia="ru-RU"/>
              </w:rPr>
              <w:t>Comisia</w:t>
            </w:r>
            <w:proofErr w:type="spellEnd"/>
            <w:proofErr w:type="gram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este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asistată</w:t>
            </w:r>
            <w:proofErr w:type="spellEnd"/>
            <w:r w:rsidRPr="00CB6B95">
              <w:rPr>
                <w:rFonts w:ascii="Times New Roman" w:hAnsi="Times New Roman"/>
                <w:sz w:val="20"/>
                <w:szCs w:val="20"/>
                <w:lang w:val="en-US" w:eastAsia="ru-RU"/>
              </w:rPr>
              <w:t xml:space="preserve"> de:</w:t>
            </w:r>
          </w:p>
          <w:p w14:paraId="25CF7840" w14:textId="77777777" w:rsidR="00362D3D" w:rsidRPr="00CB6B95" w:rsidRDefault="00362D3D" w:rsidP="000C5A3B">
            <w:pPr>
              <w:pStyle w:val="af3"/>
              <w:numPr>
                <w:ilvl w:val="0"/>
                <w:numId w:val="135"/>
              </w:numPr>
              <w:spacing w:after="0" w:line="240" w:lineRule="auto"/>
              <w:jc w:val="both"/>
              <w:rPr>
                <w:rFonts w:ascii="Times New Roman" w:hAnsi="Times New Roman"/>
                <w:sz w:val="20"/>
                <w:szCs w:val="20"/>
                <w:lang w:val="en-US"/>
              </w:rPr>
            </w:pPr>
            <w:r w:rsidRPr="00CB6B95">
              <w:rPr>
                <w:rFonts w:ascii="Times New Roman" w:hAnsi="Times New Roman"/>
                <w:sz w:val="20"/>
                <w:szCs w:val="20"/>
                <w:lang w:val="en-US" w:eastAsia="ru-RU"/>
              </w:rPr>
              <w:t xml:space="preserve">un </w:t>
            </w:r>
            <w:proofErr w:type="spellStart"/>
            <w:r w:rsidRPr="00CB6B95">
              <w:rPr>
                <w:rFonts w:ascii="Times New Roman" w:hAnsi="Times New Roman"/>
                <w:sz w:val="20"/>
                <w:szCs w:val="20"/>
                <w:lang w:val="en-US" w:eastAsia="ru-RU"/>
              </w:rPr>
              <w:t>Comitet</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privind</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schimbările</w:t>
            </w:r>
            <w:proofErr w:type="spellEnd"/>
            <w:r w:rsidRPr="00CB6B95">
              <w:rPr>
                <w:rFonts w:ascii="Times New Roman" w:hAnsi="Times New Roman"/>
                <w:sz w:val="20"/>
                <w:szCs w:val="20"/>
                <w:lang w:val="en-US" w:eastAsia="ru-RU"/>
              </w:rPr>
              <w:t xml:space="preserve"> climatice, în </w:t>
            </w:r>
            <w:proofErr w:type="spellStart"/>
            <w:r w:rsidRPr="00CB6B95">
              <w:rPr>
                <w:rFonts w:ascii="Times New Roman" w:hAnsi="Times New Roman"/>
                <w:sz w:val="20"/>
                <w:szCs w:val="20"/>
                <w:lang w:val="en-US" w:eastAsia="ru-RU"/>
              </w:rPr>
              <w:t>ceea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ce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privește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punerea</w:t>
            </w:r>
            <w:proofErr w:type="spellEnd"/>
            <w:r w:rsidRPr="00CB6B95">
              <w:rPr>
                <w:rFonts w:ascii="Times New Roman" w:hAnsi="Times New Roman"/>
                <w:sz w:val="20"/>
                <w:szCs w:val="20"/>
                <w:lang w:val="en-US" w:eastAsia="ru-RU"/>
              </w:rPr>
              <w:t xml:space="preserve"> în </w:t>
            </w:r>
            <w:proofErr w:type="spellStart"/>
            <w:r w:rsidRPr="00CB6B95">
              <w:rPr>
                <w:rFonts w:ascii="Times New Roman" w:hAnsi="Times New Roman"/>
                <w:sz w:val="20"/>
                <w:szCs w:val="20"/>
                <w:lang w:val="en-US" w:eastAsia="ru-RU"/>
              </w:rPr>
              <w:t>aplicare</w:t>
            </w:r>
            <w:proofErr w:type="spellEnd"/>
            <w:r w:rsidRPr="00CB6B95">
              <w:rPr>
                <w:rFonts w:ascii="Times New Roman" w:hAnsi="Times New Roman"/>
                <w:sz w:val="20"/>
                <w:szCs w:val="20"/>
                <w:lang w:val="en-US" w:eastAsia="ru-RU"/>
              </w:rPr>
              <w:t xml:space="preserve"> </w:t>
            </w:r>
            <w:proofErr w:type="gramStart"/>
            <w:r w:rsidRPr="00CB6B95">
              <w:rPr>
                <w:rFonts w:ascii="Times New Roman" w:hAnsi="Times New Roman"/>
                <w:sz w:val="20"/>
                <w:szCs w:val="20"/>
                <w:lang w:val="en-US" w:eastAsia="ru-RU"/>
              </w:rPr>
              <w:t>a</w:t>
            </w:r>
            <w:proofErr w:type="gram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aspectelor</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menționate</w:t>
            </w:r>
            <w:proofErr w:type="spellEnd"/>
            <w:r w:rsidRPr="00CB6B95">
              <w:rPr>
                <w:rFonts w:ascii="Times New Roman" w:hAnsi="Times New Roman"/>
                <w:sz w:val="20"/>
                <w:szCs w:val="20"/>
                <w:lang w:val="en-US" w:eastAsia="ru-RU"/>
              </w:rPr>
              <w:t xml:space="preserve"> la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19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(5),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26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(7),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37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(6),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38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(3) și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39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(3); și</w:t>
            </w:r>
          </w:p>
          <w:p w14:paraId="3D6189AC" w14:textId="77777777" w:rsidR="00362D3D" w:rsidRPr="00CB6B95" w:rsidRDefault="00362D3D" w:rsidP="000C5A3B">
            <w:pPr>
              <w:pStyle w:val="af3"/>
              <w:numPr>
                <w:ilvl w:val="0"/>
                <w:numId w:val="135"/>
              </w:numPr>
              <w:spacing w:after="0" w:line="240" w:lineRule="auto"/>
              <w:jc w:val="both"/>
              <w:rPr>
                <w:rFonts w:ascii="Times New Roman" w:hAnsi="Times New Roman"/>
                <w:sz w:val="20"/>
                <w:szCs w:val="20"/>
                <w:lang w:val="fr-FR"/>
              </w:rPr>
            </w:pPr>
            <w:proofErr w:type="gramStart"/>
            <w:r w:rsidRPr="00CB6B95">
              <w:rPr>
                <w:rFonts w:ascii="Times New Roman" w:hAnsi="Times New Roman"/>
                <w:sz w:val="20"/>
                <w:szCs w:val="20"/>
                <w:lang w:val="fr-FR" w:eastAsia="ru-RU"/>
              </w:rPr>
              <w:lastRenderedPageBreak/>
              <w:t>un</w:t>
            </w:r>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Comitet</w:t>
            </w:r>
            <w:proofErr w:type="spellEnd"/>
            <w:r w:rsidRPr="00CB6B95">
              <w:rPr>
                <w:rFonts w:ascii="Times New Roman" w:hAnsi="Times New Roman"/>
                <w:sz w:val="20"/>
                <w:szCs w:val="20"/>
                <w:lang w:val="fr-FR" w:eastAsia="ru-RU"/>
              </w:rPr>
              <w:t xml:space="preserve"> al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energetice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ceea</w:t>
            </w:r>
            <w:proofErr w:type="spellEnd"/>
            <w:r w:rsidRPr="00CB6B95">
              <w:rPr>
                <w:rFonts w:ascii="Times New Roman" w:hAnsi="Times New Roman"/>
                <w:sz w:val="20"/>
                <w:szCs w:val="20"/>
                <w:lang w:val="fr-FR" w:eastAsia="ru-RU"/>
              </w:rPr>
              <w:t xml:space="preserve"> ce </w:t>
            </w:r>
            <w:proofErr w:type="spellStart"/>
            <w:r w:rsidRPr="00CB6B95">
              <w:rPr>
                <w:rFonts w:ascii="Times New Roman" w:hAnsi="Times New Roman"/>
                <w:sz w:val="20"/>
                <w:szCs w:val="20"/>
                <w:lang w:val="fr-FR" w:eastAsia="ru-RU"/>
              </w:rPr>
              <w:t>privește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punerea</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aplicare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aspectelor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menționate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17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(4) și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33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(4).</w:t>
            </w:r>
          </w:p>
          <w:p w14:paraId="6A712A8F" w14:textId="77777777" w:rsidR="00362D3D" w:rsidRPr="00CB6B95" w:rsidRDefault="00362D3D" w:rsidP="00362D3D">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2)</w:t>
            </w:r>
            <w:proofErr w:type="spellStart"/>
            <w:r w:rsidRPr="00CB6B95">
              <w:rPr>
                <w:rFonts w:ascii="Times New Roman" w:hAnsi="Times New Roman"/>
                <w:sz w:val="20"/>
                <w:szCs w:val="20"/>
                <w:shd w:val="clear" w:color="auto" w:fill="FFFFFF"/>
                <w:lang w:val="fr-FR"/>
              </w:rPr>
              <w:t>Respectivele</w:t>
            </w:r>
            <w:proofErr w:type="spellEnd"/>
            <w:proofErr w:type="gram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reprezintă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comitete</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înțelesul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Regulamentului</w:t>
            </w:r>
            <w:proofErr w:type="spellEnd"/>
            <w:r w:rsidRPr="00CB6B95">
              <w:rPr>
                <w:rFonts w:ascii="Times New Roman" w:hAnsi="Times New Roman"/>
                <w:sz w:val="20"/>
                <w:szCs w:val="20"/>
                <w:shd w:val="clear" w:color="auto" w:fill="FFFFFF"/>
                <w:lang w:val="fr-FR"/>
              </w:rPr>
              <w:t xml:space="preserve"> (UE) nr. 182/2011</w:t>
            </w:r>
          </w:p>
          <w:p w14:paraId="06CE39BB" w14:textId="77777777" w:rsidR="00362D3D" w:rsidRPr="00CB6B95" w:rsidRDefault="00362D3D" w:rsidP="00362D3D">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3)</w:t>
            </w:r>
            <w:proofErr w:type="spellStart"/>
            <w:r w:rsidRPr="00CB6B95">
              <w:rPr>
                <w:rFonts w:ascii="Times New Roman" w:hAnsi="Times New Roman"/>
                <w:sz w:val="20"/>
                <w:szCs w:val="20"/>
                <w:shd w:val="clear" w:color="auto" w:fill="FFFFFF"/>
                <w:lang w:val="fr-FR"/>
              </w:rPr>
              <w:t>Comitetul</w:t>
            </w:r>
            <w:proofErr w:type="spellEnd"/>
            <w:proofErr w:type="gram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privind</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schimbările</w:t>
            </w:r>
            <w:proofErr w:type="spellEnd"/>
            <w:r w:rsidRPr="00CB6B95">
              <w:rPr>
                <w:rFonts w:ascii="Times New Roman" w:hAnsi="Times New Roman"/>
                <w:sz w:val="20"/>
                <w:szCs w:val="20"/>
                <w:shd w:val="clear" w:color="auto" w:fill="FFFFFF"/>
                <w:lang w:val="fr-FR"/>
              </w:rPr>
              <w:t xml:space="preserve"> climatice </w:t>
            </w:r>
            <w:proofErr w:type="spellStart"/>
            <w:r w:rsidRPr="00CB6B95">
              <w:rPr>
                <w:rFonts w:ascii="Times New Roman" w:hAnsi="Times New Roman"/>
                <w:sz w:val="20"/>
                <w:szCs w:val="20"/>
                <w:shd w:val="clear" w:color="auto" w:fill="FFFFFF"/>
                <w:lang w:val="fr-FR"/>
              </w:rPr>
              <w:t>menționat</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(1) litera (a)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prezentul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înlocuiește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instituit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26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Regulamentul</w:t>
            </w:r>
            <w:proofErr w:type="spellEnd"/>
            <w:r w:rsidRPr="00CB6B95">
              <w:rPr>
                <w:rFonts w:ascii="Times New Roman" w:hAnsi="Times New Roman"/>
                <w:sz w:val="20"/>
                <w:szCs w:val="20"/>
                <w:shd w:val="clear" w:color="auto" w:fill="FFFFFF"/>
                <w:lang w:val="fr-FR"/>
              </w:rPr>
              <w:t xml:space="preserve"> (UE) nr. 525/2013</w:t>
            </w:r>
          </w:p>
          <w:p w14:paraId="15131DCF" w14:textId="77777777" w:rsidR="00362D3D" w:rsidRPr="00CB6B95" w:rsidRDefault="00362D3D" w:rsidP="00362D3D">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4)În</w:t>
            </w:r>
            <w:proofErr w:type="gram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cazul</w:t>
            </w:r>
            <w:proofErr w:type="spellEnd"/>
            <w:r w:rsidRPr="00CB6B95">
              <w:rPr>
                <w:rFonts w:ascii="Times New Roman" w:hAnsi="Times New Roman"/>
                <w:sz w:val="20"/>
                <w:szCs w:val="20"/>
                <w:shd w:val="clear" w:color="auto" w:fill="FFFFFF"/>
                <w:lang w:val="fr-FR"/>
              </w:rPr>
              <w:t xml:space="preserve"> în care </w:t>
            </w:r>
            <w:proofErr w:type="spellStart"/>
            <w:r w:rsidRPr="00CB6B95">
              <w:rPr>
                <w:rFonts w:ascii="Times New Roman" w:hAnsi="Times New Roman"/>
                <w:sz w:val="20"/>
                <w:szCs w:val="20"/>
                <w:shd w:val="clear" w:color="auto" w:fill="FFFFFF"/>
                <w:lang w:val="fr-FR"/>
              </w:rPr>
              <w:t>oricare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dintre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comitetele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menționate</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(1) are în </w:t>
            </w:r>
            <w:proofErr w:type="spellStart"/>
            <w:r w:rsidRPr="00CB6B95">
              <w:rPr>
                <w:rFonts w:ascii="Times New Roman" w:hAnsi="Times New Roman"/>
                <w:sz w:val="20"/>
                <w:szCs w:val="20"/>
                <w:shd w:val="clear" w:color="auto" w:fill="FFFFFF"/>
                <w:lang w:val="fr-FR"/>
              </w:rPr>
              <w:t>vedere</w:t>
            </w:r>
            <w:proofErr w:type="spellEnd"/>
            <w:r w:rsidRPr="00CB6B95">
              <w:rPr>
                <w:rFonts w:ascii="Times New Roman" w:hAnsi="Times New Roman"/>
                <w:sz w:val="20"/>
                <w:szCs w:val="20"/>
                <w:shd w:val="clear" w:color="auto" w:fill="FFFFFF"/>
                <w:lang w:val="fr-FR"/>
              </w:rPr>
              <w:t xml:space="preserve"> aspecte </w:t>
            </w:r>
            <w:proofErr w:type="spellStart"/>
            <w:r w:rsidRPr="00CB6B95">
              <w:rPr>
                <w:rFonts w:ascii="Times New Roman" w:hAnsi="Times New Roman"/>
                <w:sz w:val="20"/>
                <w:szCs w:val="20"/>
                <w:shd w:val="clear" w:color="auto" w:fill="FFFFFF"/>
                <w:lang w:val="fr-FR"/>
              </w:rPr>
              <w:t>orizontale</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acțiuni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comune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acesta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informează</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consecință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celălalt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(1), </w:t>
            </w:r>
            <w:proofErr w:type="spellStart"/>
            <w:r w:rsidRPr="00CB6B95">
              <w:rPr>
                <w:rFonts w:ascii="Times New Roman" w:hAnsi="Times New Roman"/>
                <w:sz w:val="20"/>
                <w:szCs w:val="20"/>
                <w:shd w:val="clear" w:color="auto" w:fill="FFFFFF"/>
                <w:lang w:val="fr-FR"/>
              </w:rPr>
              <w:t>pentru</w:t>
            </w:r>
            <w:proofErr w:type="spellEnd"/>
            <w:r w:rsidRPr="00CB6B95">
              <w:rPr>
                <w:rFonts w:ascii="Times New Roman" w:hAnsi="Times New Roman"/>
                <w:sz w:val="20"/>
                <w:szCs w:val="20"/>
                <w:shd w:val="clear" w:color="auto" w:fill="FFFFFF"/>
                <w:lang w:val="fr-FR"/>
              </w:rPr>
              <w:t xml:space="preserve"> a </w:t>
            </w:r>
            <w:proofErr w:type="spellStart"/>
            <w:r w:rsidRPr="00CB6B95">
              <w:rPr>
                <w:rFonts w:ascii="Times New Roman" w:hAnsi="Times New Roman"/>
                <w:sz w:val="20"/>
                <w:szCs w:val="20"/>
                <w:shd w:val="clear" w:color="auto" w:fill="FFFFFF"/>
                <w:lang w:val="fr-FR"/>
              </w:rPr>
              <w:t>asigura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coerența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politicilor</w:t>
            </w:r>
            <w:proofErr w:type="spellEnd"/>
            <w:r w:rsidRPr="00CB6B95">
              <w:rPr>
                <w:rFonts w:ascii="Times New Roman" w:hAnsi="Times New Roman"/>
                <w:sz w:val="20"/>
                <w:szCs w:val="20"/>
                <w:shd w:val="clear" w:color="auto" w:fill="FFFFFF"/>
                <w:lang w:val="fr-FR"/>
              </w:rPr>
              <w:t xml:space="preserve"> și a </w:t>
            </w:r>
            <w:proofErr w:type="spellStart"/>
            <w:r w:rsidRPr="00CB6B95">
              <w:rPr>
                <w:rFonts w:ascii="Times New Roman" w:hAnsi="Times New Roman"/>
                <w:sz w:val="20"/>
                <w:szCs w:val="20"/>
                <w:shd w:val="clear" w:color="auto" w:fill="FFFFFF"/>
                <w:lang w:val="fr-FR"/>
              </w:rPr>
              <w:t>maximiza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sinergiile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dintre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sectoare</w:t>
            </w:r>
            <w:proofErr w:type="spellEnd"/>
            <w:r w:rsidRPr="00CB6B95">
              <w:rPr>
                <w:rFonts w:ascii="Times New Roman" w:hAnsi="Times New Roman"/>
                <w:sz w:val="20"/>
                <w:szCs w:val="20"/>
                <w:shd w:val="clear" w:color="auto" w:fill="FFFFFF"/>
                <w:lang w:val="fr-FR"/>
              </w:rPr>
              <w:t>.</w:t>
            </w:r>
          </w:p>
          <w:p w14:paraId="4E3EE169" w14:textId="1D08D7FD" w:rsidR="00362D3D" w:rsidRPr="00CB6B95" w:rsidRDefault="00362D3D" w:rsidP="00362D3D">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5)</w:t>
            </w:r>
            <w:proofErr w:type="spellStart"/>
            <w:r w:rsidRPr="00CB6B95">
              <w:rPr>
                <w:rFonts w:ascii="Times New Roman" w:hAnsi="Times New Roman"/>
                <w:sz w:val="20"/>
                <w:szCs w:val="20"/>
                <w:shd w:val="clear" w:color="auto" w:fill="FFFFFF"/>
                <w:lang w:val="fr-FR"/>
              </w:rPr>
              <w:t>Fiecare</w:t>
            </w:r>
            <w:proofErr w:type="spellEnd"/>
            <w:proofErr w:type="gramEnd"/>
            <w:r w:rsidRPr="00CB6B95">
              <w:rPr>
                <w:rFonts w:ascii="Times New Roman" w:hAnsi="Times New Roman"/>
                <w:sz w:val="20"/>
                <w:szCs w:val="20"/>
                <w:shd w:val="clear" w:color="auto" w:fill="FFFFFF"/>
                <w:lang w:val="fr-FR"/>
              </w:rPr>
              <w:t xml:space="preserve"> stat membru </w:t>
            </w:r>
            <w:proofErr w:type="spellStart"/>
            <w:r w:rsidRPr="00CB6B95">
              <w:rPr>
                <w:rFonts w:ascii="Times New Roman" w:hAnsi="Times New Roman"/>
                <w:sz w:val="20"/>
                <w:szCs w:val="20"/>
                <w:shd w:val="clear" w:color="auto" w:fill="FFFFFF"/>
                <w:lang w:val="fr-FR"/>
              </w:rPr>
              <w:t>își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desemnează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reprezentantul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sau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reprezentanții</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cadrul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Comitetului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privind</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schimbările</w:t>
            </w:r>
            <w:proofErr w:type="spellEnd"/>
            <w:r w:rsidRPr="00CB6B95">
              <w:rPr>
                <w:rFonts w:ascii="Times New Roman" w:hAnsi="Times New Roman"/>
                <w:sz w:val="20"/>
                <w:szCs w:val="20"/>
                <w:shd w:val="clear" w:color="auto" w:fill="FFFFFF"/>
                <w:lang w:val="fr-FR"/>
              </w:rPr>
              <w:t xml:space="preserve"> climatice și al </w:t>
            </w:r>
            <w:proofErr w:type="spellStart"/>
            <w:r w:rsidRPr="00CB6B95">
              <w:rPr>
                <w:rFonts w:ascii="Times New Roman" w:hAnsi="Times New Roman"/>
                <w:sz w:val="20"/>
                <w:szCs w:val="20"/>
                <w:shd w:val="clear" w:color="auto" w:fill="FFFFFF"/>
                <w:lang w:val="fr-FR"/>
              </w:rPr>
              <w:t>Comitetului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uniunii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energetice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Reprezentanții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cadrul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fiecărui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comitet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sunt</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invitați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să</w:t>
            </w:r>
            <w:proofErr w:type="spellEnd"/>
            <w:r w:rsidRPr="00CB6B95">
              <w:rPr>
                <w:rFonts w:ascii="Times New Roman" w:hAnsi="Times New Roman"/>
                <w:sz w:val="20"/>
                <w:szCs w:val="20"/>
                <w:shd w:val="clear" w:color="auto" w:fill="FFFFFF"/>
                <w:lang w:val="fr-FR"/>
              </w:rPr>
              <w:t xml:space="preserve"> participe la </w:t>
            </w:r>
            <w:proofErr w:type="spellStart"/>
            <w:r w:rsidRPr="00CB6B95">
              <w:rPr>
                <w:rFonts w:ascii="Times New Roman" w:hAnsi="Times New Roman"/>
                <w:sz w:val="20"/>
                <w:szCs w:val="20"/>
                <w:shd w:val="clear" w:color="auto" w:fill="FFFFFF"/>
                <w:lang w:val="fr-FR"/>
              </w:rPr>
              <w:t>reuniunile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celuilalt</w:t>
            </w:r>
            <w:proofErr w:type="spellEnd"/>
            <w:r w:rsidRPr="00CB6B95">
              <w:rPr>
                <w:rFonts w:ascii="Times New Roman" w:hAnsi="Times New Roman"/>
                <w:sz w:val="20"/>
                <w:szCs w:val="20"/>
                <w:shd w:val="clear" w:color="auto" w:fill="FFFFFF"/>
                <w:lang w:val="fr-FR"/>
              </w:rPr>
              <w:t>.</w:t>
            </w:r>
          </w:p>
          <w:p w14:paraId="7A99E55B" w14:textId="77777777" w:rsidR="00362D3D" w:rsidRDefault="00362D3D" w:rsidP="00362D3D">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gramStart"/>
            <w:r w:rsidRPr="00CB6B95">
              <w:rPr>
                <w:rFonts w:ascii="Times New Roman" w:hAnsi="Times New Roman"/>
                <w:sz w:val="20"/>
                <w:szCs w:val="20"/>
                <w:shd w:val="clear" w:color="auto" w:fill="FFFFFF"/>
                <w:lang w:val="fr-FR"/>
              </w:rPr>
              <w:t>6)În</w:t>
            </w:r>
            <w:proofErr w:type="gram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cazul</w:t>
            </w:r>
            <w:proofErr w:type="spellEnd"/>
            <w:r w:rsidRPr="00CB6B95">
              <w:rPr>
                <w:rFonts w:ascii="Times New Roman" w:hAnsi="Times New Roman"/>
                <w:sz w:val="20"/>
                <w:szCs w:val="20"/>
                <w:shd w:val="clear" w:color="auto" w:fill="FFFFFF"/>
                <w:lang w:val="fr-FR"/>
              </w:rPr>
              <w:t xml:space="preserve"> în care se face </w:t>
            </w:r>
            <w:proofErr w:type="spellStart"/>
            <w:r w:rsidRPr="00CB6B95">
              <w:rPr>
                <w:rFonts w:ascii="Times New Roman" w:hAnsi="Times New Roman"/>
                <w:sz w:val="20"/>
                <w:szCs w:val="20"/>
                <w:shd w:val="clear" w:color="auto" w:fill="FFFFFF"/>
                <w:lang w:val="fr-FR"/>
              </w:rPr>
              <w:t>trimitere</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prezentul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aplică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Regulamentul</w:t>
            </w:r>
            <w:proofErr w:type="spellEnd"/>
            <w:r w:rsidRPr="00CB6B95">
              <w:rPr>
                <w:rFonts w:ascii="Times New Roman" w:hAnsi="Times New Roman"/>
                <w:sz w:val="20"/>
                <w:szCs w:val="20"/>
                <w:shd w:val="clear" w:color="auto" w:fill="FFFFFF"/>
                <w:lang w:val="fr-FR"/>
              </w:rPr>
              <w:t xml:space="preserve"> (UE) nr. 182/2011.</w:t>
            </w:r>
          </w:p>
          <w:p w14:paraId="0227C8CC" w14:textId="59CF1D23" w:rsidR="00EA19BA" w:rsidRPr="00EA19BA" w:rsidRDefault="00000000" w:rsidP="00362D3D">
            <w:pPr>
              <w:spacing w:after="0" w:line="240" w:lineRule="auto"/>
              <w:jc w:val="both"/>
              <w:rPr>
                <w:rFonts w:ascii="Times New Roman" w:hAnsi="Times New Roman"/>
                <w:sz w:val="20"/>
                <w:szCs w:val="20"/>
                <w:highlight w:val="red"/>
                <w:shd w:val="clear" w:color="auto" w:fill="FFFFFF"/>
                <w:lang w:val="fr-FR"/>
              </w:rPr>
            </w:pPr>
            <w:hyperlink r:id="rId49" w:tooltip="32021R1119: REPLACED" w:history="1">
              <w:r w:rsidR="00EA19BA" w:rsidRPr="00EA19BA">
                <w:rPr>
                  <w:rStyle w:val="af6"/>
                  <w:rFonts w:ascii="Times New Roman" w:eastAsia="Arial Unicode MS" w:hAnsi="Times New Roman"/>
                  <w:b/>
                  <w:bCs/>
                  <w:color w:val="23527C"/>
                  <w:sz w:val="20"/>
                  <w:szCs w:val="20"/>
                  <w:shd w:val="clear" w:color="auto" w:fill="FFFFFF"/>
                </w:rPr>
                <w:t>▼M2</w:t>
              </w:r>
            </w:hyperlink>
          </w:p>
        </w:tc>
        <w:tc>
          <w:tcPr>
            <w:tcW w:w="4440" w:type="dxa"/>
          </w:tcPr>
          <w:p w14:paraId="4B4EDDA0" w14:textId="77777777" w:rsidR="008F5636" w:rsidRPr="00362D3D" w:rsidRDefault="008F5636" w:rsidP="008F5636">
            <w:pPr>
              <w:pStyle w:val="ColorfulList-Accent11"/>
              <w:spacing w:after="0" w:line="240" w:lineRule="auto"/>
              <w:ind w:left="0"/>
              <w:jc w:val="both"/>
              <w:rPr>
                <w:lang w:val="fr-FR"/>
              </w:rPr>
            </w:pPr>
          </w:p>
        </w:tc>
        <w:tc>
          <w:tcPr>
            <w:tcW w:w="1276" w:type="dxa"/>
          </w:tcPr>
          <w:p w14:paraId="2B9920B7" w14:textId="17DD03D1" w:rsidR="008F5636" w:rsidRPr="00362D3D" w:rsidRDefault="00362D3D"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2C88D1F1" w14:textId="77777777" w:rsidR="008F5636" w:rsidRPr="00362D3D" w:rsidRDefault="008F5636" w:rsidP="008F5636">
            <w:pPr>
              <w:pStyle w:val="ColorfulList-Accent11"/>
              <w:spacing w:after="0" w:line="240" w:lineRule="auto"/>
              <w:ind w:left="0"/>
              <w:jc w:val="both"/>
              <w:rPr>
                <w:lang w:val="fr-FR"/>
              </w:rPr>
            </w:pPr>
          </w:p>
        </w:tc>
        <w:tc>
          <w:tcPr>
            <w:tcW w:w="1701" w:type="dxa"/>
          </w:tcPr>
          <w:p w14:paraId="17EACCA4" w14:textId="2DAE6A45" w:rsidR="008F5636" w:rsidRPr="00362D3D" w:rsidRDefault="00362D3D"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25B96B00" w14:textId="77777777" w:rsidR="008F5636" w:rsidRPr="00362D3D" w:rsidRDefault="008F5636" w:rsidP="008F5636">
            <w:pPr>
              <w:pStyle w:val="ColorfulList-Accent11"/>
              <w:spacing w:after="0" w:line="240" w:lineRule="auto"/>
              <w:ind w:left="0"/>
              <w:jc w:val="both"/>
              <w:rPr>
                <w:lang w:val="fr-FR"/>
              </w:rPr>
            </w:pPr>
          </w:p>
        </w:tc>
      </w:tr>
      <w:tr w:rsidR="008F5636" w:rsidRPr="00745D9A" w14:paraId="453B9D96" w14:textId="77777777" w:rsidTr="00A90105">
        <w:tc>
          <w:tcPr>
            <w:tcW w:w="4945" w:type="dxa"/>
          </w:tcPr>
          <w:p w14:paraId="69E021F9" w14:textId="77777777" w:rsidR="008F5636" w:rsidRPr="00CB6B95" w:rsidRDefault="008F5636" w:rsidP="001804A5">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45</w:t>
            </w:r>
          </w:p>
          <w:p w14:paraId="5684377B" w14:textId="77777777" w:rsidR="008F5636" w:rsidRPr="00CB6B95" w:rsidRDefault="008F5636" w:rsidP="001804A5">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Revizuire</w:t>
            </w:r>
            <w:proofErr w:type="spellEnd"/>
          </w:p>
          <w:p w14:paraId="07C77F35" w14:textId="77777777" w:rsidR="008F5636" w:rsidRDefault="008F5636" w:rsidP="001804A5">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În </w:t>
            </w:r>
            <w:proofErr w:type="spellStart"/>
            <w:r w:rsidRPr="00CB6B95">
              <w:rPr>
                <w:rFonts w:ascii="Times New Roman" w:hAnsi="Times New Roman"/>
                <w:sz w:val="20"/>
                <w:szCs w:val="20"/>
                <w:lang w:val="fr-FR" w:eastAsia="ru-RU"/>
              </w:rPr>
              <w:t>termen</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șase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luni</w:t>
            </w:r>
            <w:proofErr w:type="spellEnd"/>
            <w:r w:rsidRPr="00CB6B95">
              <w:rPr>
                <w:rFonts w:ascii="Times New Roman" w:hAnsi="Times New Roman"/>
                <w:sz w:val="20"/>
                <w:szCs w:val="20"/>
                <w:lang w:val="fr-FR" w:eastAsia="ru-RU"/>
              </w:rPr>
              <w:t xml:space="preserve"> de la </w:t>
            </w:r>
            <w:proofErr w:type="spellStart"/>
            <w:r w:rsidRPr="00CB6B95">
              <w:rPr>
                <w:rFonts w:ascii="Times New Roman" w:hAnsi="Times New Roman"/>
                <w:sz w:val="20"/>
                <w:szCs w:val="20"/>
                <w:lang w:val="fr-FR" w:eastAsia="ru-RU"/>
              </w:rPr>
              <w:t>realizarea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fiecărei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evaluări</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nivel</w:t>
            </w:r>
            <w:proofErr w:type="spellEnd"/>
            <w:r w:rsidRPr="00CB6B95">
              <w:rPr>
                <w:rFonts w:ascii="Times New Roman" w:hAnsi="Times New Roman"/>
                <w:sz w:val="20"/>
                <w:szCs w:val="20"/>
                <w:lang w:val="fr-FR" w:eastAsia="ru-RU"/>
              </w:rPr>
              <w:t xml:space="preserve"> global </w:t>
            </w:r>
            <w:proofErr w:type="spellStart"/>
            <w:r w:rsidRPr="00CB6B95">
              <w:rPr>
                <w:rFonts w:ascii="Times New Roman" w:hAnsi="Times New Roman"/>
                <w:sz w:val="20"/>
                <w:szCs w:val="20"/>
                <w:lang w:val="fr-FR" w:eastAsia="ru-RU"/>
              </w:rPr>
              <w:t>convenite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temeiul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articolului</w:t>
            </w:r>
            <w:proofErr w:type="spellEnd"/>
            <w:r w:rsidR="001804A5"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14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Acordul</w:t>
            </w:r>
            <w:proofErr w:type="spellEnd"/>
            <w:r w:rsidRPr="00CB6B95">
              <w:rPr>
                <w:rFonts w:ascii="Times New Roman" w:hAnsi="Times New Roman"/>
                <w:sz w:val="20"/>
                <w:szCs w:val="20"/>
                <w:lang w:val="fr-FR" w:eastAsia="ru-RU"/>
              </w:rPr>
              <w:t xml:space="preserve"> de la Paris, </w:t>
            </w:r>
            <w:proofErr w:type="spellStart"/>
            <w:r w:rsidRPr="00CB6B95">
              <w:rPr>
                <w:rFonts w:ascii="Times New Roman" w:hAnsi="Times New Roman"/>
                <w:sz w:val="20"/>
                <w:szCs w:val="20"/>
                <w:lang w:val="fr-FR" w:eastAsia="ru-RU"/>
              </w:rPr>
              <w:t>Comisia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prezintă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Parlamentului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European</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Consiliului</w:t>
            </w:r>
            <w:proofErr w:type="spellEnd"/>
            <w:r w:rsidRPr="00CB6B95">
              <w:rPr>
                <w:rFonts w:ascii="Times New Roman" w:hAnsi="Times New Roman"/>
                <w:sz w:val="20"/>
                <w:szCs w:val="20"/>
                <w:lang w:val="fr-FR" w:eastAsia="ru-RU"/>
              </w:rPr>
              <w:t xml:space="preserve"> un </w:t>
            </w:r>
            <w:proofErr w:type="spellStart"/>
            <w:r w:rsidRPr="00CB6B95">
              <w:rPr>
                <w:rFonts w:ascii="Times New Roman" w:hAnsi="Times New Roman"/>
                <w:sz w:val="20"/>
                <w:szCs w:val="20"/>
                <w:lang w:val="fr-FR" w:eastAsia="ru-RU"/>
              </w:rPr>
              <w:t>raport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funcționarea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prezentului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contribuția</w:t>
            </w:r>
            <w:proofErr w:type="spellEnd"/>
            <w:r w:rsidRPr="00CB6B95">
              <w:rPr>
                <w:rFonts w:ascii="Times New Roman" w:hAnsi="Times New Roman"/>
                <w:sz w:val="20"/>
                <w:szCs w:val="20"/>
                <w:lang w:val="fr-FR" w:eastAsia="ru-RU"/>
              </w:rPr>
              <w:t xml:space="preserve"> sa la </w:t>
            </w:r>
            <w:proofErr w:type="spellStart"/>
            <w:r w:rsidRPr="00CB6B95">
              <w:rPr>
                <w:rFonts w:ascii="Times New Roman" w:hAnsi="Times New Roman"/>
                <w:sz w:val="20"/>
                <w:szCs w:val="20"/>
                <w:lang w:val="fr-FR" w:eastAsia="ru-RU"/>
              </w:rPr>
              <w:t>guvernanța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energetice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contribuția</w:t>
            </w:r>
            <w:proofErr w:type="spellEnd"/>
            <w:r w:rsidRPr="00CB6B95">
              <w:rPr>
                <w:rFonts w:ascii="Times New Roman" w:hAnsi="Times New Roman"/>
                <w:sz w:val="20"/>
                <w:szCs w:val="20"/>
                <w:lang w:val="fr-FR" w:eastAsia="ru-RU"/>
              </w:rPr>
              <w:t xml:space="preserve"> sa la </w:t>
            </w:r>
            <w:proofErr w:type="spellStart"/>
            <w:r w:rsidRPr="00CB6B95">
              <w:rPr>
                <w:rFonts w:ascii="Times New Roman" w:hAnsi="Times New Roman"/>
                <w:sz w:val="20"/>
                <w:szCs w:val="20"/>
                <w:lang w:val="fr-FR" w:eastAsia="ru-RU"/>
              </w:rPr>
              <w:t>îndeplinirea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obiectivelor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termen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lung</w:t>
            </w:r>
            <w:proofErr w:type="spellEnd"/>
            <w:r w:rsidRPr="00CB6B95">
              <w:rPr>
                <w:rFonts w:ascii="Times New Roman" w:hAnsi="Times New Roman"/>
                <w:sz w:val="20"/>
                <w:szCs w:val="20"/>
                <w:lang w:val="fr-FR" w:eastAsia="ru-RU"/>
              </w:rPr>
              <w:t xml:space="preserve"> ale </w:t>
            </w:r>
            <w:proofErr w:type="spellStart"/>
            <w:r w:rsidRPr="00CB6B95">
              <w:rPr>
                <w:rFonts w:ascii="Times New Roman" w:hAnsi="Times New Roman"/>
                <w:sz w:val="20"/>
                <w:szCs w:val="20"/>
                <w:lang w:val="fr-FR" w:eastAsia="ru-RU"/>
              </w:rPr>
              <w:t>Acordului</w:t>
            </w:r>
            <w:proofErr w:type="spellEnd"/>
            <w:r w:rsidRPr="00CB6B95">
              <w:rPr>
                <w:rFonts w:ascii="Times New Roman" w:hAnsi="Times New Roman"/>
                <w:sz w:val="20"/>
                <w:szCs w:val="20"/>
                <w:lang w:val="fr-FR" w:eastAsia="ru-RU"/>
              </w:rPr>
              <w:t xml:space="preserve"> de la Paris, la </w:t>
            </w:r>
            <w:proofErr w:type="spellStart"/>
            <w:r w:rsidRPr="00CB6B95">
              <w:rPr>
                <w:rFonts w:ascii="Times New Roman" w:hAnsi="Times New Roman"/>
                <w:sz w:val="20"/>
                <w:szCs w:val="20"/>
                <w:lang w:val="fr-FR" w:eastAsia="ru-RU"/>
              </w:rPr>
              <w:t>progresele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înregistrate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direcția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îndeplinirii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obiectivelor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privind</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energia</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clima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001804A5"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2030, la </w:t>
            </w:r>
            <w:proofErr w:type="spellStart"/>
            <w:r w:rsidRPr="00CB6B95">
              <w:rPr>
                <w:rFonts w:ascii="Times New Roman" w:hAnsi="Times New Roman"/>
                <w:sz w:val="20"/>
                <w:szCs w:val="20"/>
                <w:lang w:val="fr-FR" w:eastAsia="ru-RU"/>
              </w:rPr>
              <w:t>îndeplinirea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obiectivelor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suplimentare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privind</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uniunea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energetică</w:t>
            </w:r>
            <w:proofErr w:type="spellEnd"/>
            <w:r w:rsidRPr="00CB6B95">
              <w:rPr>
                <w:rFonts w:ascii="Times New Roman" w:hAnsi="Times New Roman"/>
                <w:sz w:val="20"/>
                <w:szCs w:val="20"/>
                <w:lang w:val="fr-FR" w:eastAsia="ru-RU"/>
              </w:rPr>
              <w:t xml:space="preserve"> și la </w:t>
            </w:r>
            <w:proofErr w:type="spellStart"/>
            <w:r w:rsidRPr="00CB6B95">
              <w:rPr>
                <w:rFonts w:ascii="Times New Roman" w:hAnsi="Times New Roman"/>
                <w:sz w:val="20"/>
                <w:szCs w:val="20"/>
                <w:lang w:val="fr-FR" w:eastAsia="ru-RU"/>
              </w:rPr>
              <w:t>conformitatea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dispozițiilor</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materie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planificare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raportare</w:t>
            </w:r>
            <w:proofErr w:type="spellEnd"/>
            <w:r w:rsidRPr="00CB6B95">
              <w:rPr>
                <w:rFonts w:ascii="Times New Roman" w:hAnsi="Times New Roman"/>
                <w:sz w:val="20"/>
                <w:szCs w:val="20"/>
                <w:lang w:val="fr-FR" w:eastAsia="ru-RU"/>
              </w:rPr>
              <w:t xml:space="preserve"> și de </w:t>
            </w:r>
            <w:proofErr w:type="spellStart"/>
            <w:r w:rsidRPr="00CB6B95">
              <w:rPr>
                <w:rFonts w:ascii="Times New Roman" w:hAnsi="Times New Roman"/>
                <w:sz w:val="20"/>
                <w:szCs w:val="20"/>
                <w:lang w:val="fr-FR" w:eastAsia="ru-RU"/>
              </w:rPr>
              <w:t>monitorizare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stabilite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prezentul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alte</w:t>
            </w:r>
            <w:proofErr w:type="spellEnd"/>
            <w:r w:rsidRPr="00CB6B95">
              <w:rPr>
                <w:rFonts w:ascii="Times New Roman" w:hAnsi="Times New Roman"/>
                <w:sz w:val="20"/>
                <w:szCs w:val="20"/>
                <w:lang w:val="fr-FR" w:eastAsia="ru-RU"/>
              </w:rPr>
              <w:t xml:space="preserve"> acte </w:t>
            </w:r>
            <w:proofErr w:type="spellStart"/>
            <w:r w:rsidRPr="00CB6B95">
              <w:rPr>
                <w:rFonts w:ascii="Times New Roman" w:hAnsi="Times New Roman"/>
                <w:sz w:val="20"/>
                <w:szCs w:val="20"/>
                <w:lang w:val="fr-FR" w:eastAsia="ru-RU"/>
              </w:rPr>
              <w:t>legislative</w:t>
            </w:r>
            <w:proofErr w:type="spellEnd"/>
            <w:r w:rsidRPr="00CB6B95">
              <w:rPr>
                <w:rFonts w:ascii="Times New Roman" w:hAnsi="Times New Roman"/>
                <w:sz w:val="20"/>
                <w:szCs w:val="20"/>
                <w:lang w:val="fr-FR" w:eastAsia="ru-RU"/>
              </w:rPr>
              <w:t xml:space="preserve"> ale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sau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decizii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legate</w:t>
            </w:r>
            <w:proofErr w:type="spellEnd"/>
            <w:r w:rsidRPr="00CB6B95">
              <w:rPr>
                <w:rFonts w:ascii="Times New Roman" w:hAnsi="Times New Roman"/>
                <w:sz w:val="20"/>
                <w:szCs w:val="20"/>
                <w:lang w:val="fr-FR" w:eastAsia="ru-RU"/>
              </w:rPr>
              <w:t xml:space="preserve"> de CCONUSC și de </w:t>
            </w:r>
            <w:proofErr w:type="spellStart"/>
            <w:r w:rsidRPr="00CB6B95">
              <w:rPr>
                <w:rFonts w:ascii="Times New Roman" w:hAnsi="Times New Roman"/>
                <w:sz w:val="20"/>
                <w:szCs w:val="20"/>
                <w:lang w:val="fr-FR" w:eastAsia="ru-RU"/>
              </w:rPr>
              <w:t>Acordul</w:t>
            </w:r>
            <w:proofErr w:type="spellEnd"/>
            <w:r w:rsidRPr="00CB6B95">
              <w:rPr>
                <w:rFonts w:ascii="Times New Roman" w:hAnsi="Times New Roman"/>
                <w:sz w:val="20"/>
                <w:szCs w:val="20"/>
                <w:lang w:val="fr-FR" w:eastAsia="ru-RU"/>
              </w:rPr>
              <w:t xml:space="preserve"> de la Paris.</w:t>
            </w:r>
            <w:r w:rsidR="001804A5"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Rapoartele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pot fi </w:t>
            </w:r>
            <w:proofErr w:type="spellStart"/>
            <w:r w:rsidRPr="00CB6B95">
              <w:rPr>
                <w:rFonts w:ascii="Times New Roman" w:hAnsi="Times New Roman"/>
                <w:sz w:val="20"/>
                <w:szCs w:val="20"/>
                <w:lang w:val="fr-FR" w:eastAsia="ru-RU"/>
              </w:rPr>
              <w:t>însoțite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propuneri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legislative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dacă</w:t>
            </w:r>
            <w:proofErr w:type="spellEnd"/>
            <w:r w:rsidRPr="00CB6B95">
              <w:rPr>
                <w:rFonts w:ascii="Times New Roman" w:hAnsi="Times New Roman"/>
                <w:sz w:val="20"/>
                <w:szCs w:val="20"/>
                <w:lang w:val="fr-FR" w:eastAsia="ru-RU"/>
              </w:rPr>
              <w:t xml:space="preserve"> este </w:t>
            </w:r>
            <w:proofErr w:type="spellStart"/>
            <w:r w:rsidRPr="00CB6B95">
              <w:rPr>
                <w:rFonts w:ascii="Times New Roman" w:hAnsi="Times New Roman"/>
                <w:sz w:val="20"/>
                <w:szCs w:val="20"/>
                <w:lang w:val="fr-FR" w:eastAsia="ru-RU"/>
              </w:rPr>
              <w:t>cazul</w:t>
            </w:r>
            <w:proofErr w:type="spellEnd"/>
            <w:r w:rsidRPr="00CB6B95">
              <w:rPr>
                <w:rFonts w:ascii="Times New Roman" w:hAnsi="Times New Roman"/>
                <w:sz w:val="20"/>
                <w:szCs w:val="20"/>
                <w:lang w:val="fr-FR" w:eastAsia="ru-RU"/>
              </w:rPr>
              <w:t>.</w:t>
            </w:r>
          </w:p>
          <w:p w14:paraId="143DD46C" w14:textId="1844C27B" w:rsidR="00EA19BA" w:rsidRPr="00EA19BA" w:rsidRDefault="00000000" w:rsidP="001804A5">
            <w:pPr>
              <w:spacing w:after="0" w:line="240" w:lineRule="auto"/>
              <w:jc w:val="both"/>
              <w:rPr>
                <w:rFonts w:ascii="Times New Roman" w:hAnsi="Times New Roman"/>
                <w:sz w:val="20"/>
                <w:szCs w:val="20"/>
                <w:highlight w:val="red"/>
                <w:lang w:val="fr-FR" w:eastAsia="ru-RU"/>
              </w:rPr>
            </w:pPr>
            <w:hyperlink r:id="rId50" w:tooltip="32018R1999" w:history="1">
              <w:r w:rsidR="00EA19BA" w:rsidRPr="00EA19BA">
                <w:rPr>
                  <w:rStyle w:val="af6"/>
                  <w:rFonts w:ascii="Times New Roman" w:eastAsia="Arial Unicode MS" w:hAnsi="Times New Roman"/>
                  <w:b/>
                  <w:bCs/>
                  <w:color w:val="23527C"/>
                  <w:sz w:val="20"/>
                  <w:szCs w:val="20"/>
                  <w:shd w:val="clear" w:color="auto" w:fill="FFFFFF"/>
                </w:rPr>
                <w:t>▼B</w:t>
              </w:r>
            </w:hyperlink>
          </w:p>
        </w:tc>
        <w:tc>
          <w:tcPr>
            <w:tcW w:w="4440" w:type="dxa"/>
          </w:tcPr>
          <w:p w14:paraId="230AEFD8" w14:textId="77777777" w:rsidR="008F5636" w:rsidRPr="00745D9A" w:rsidRDefault="008F5636" w:rsidP="008F5636">
            <w:pPr>
              <w:pStyle w:val="ColorfulList-Accent11"/>
              <w:spacing w:after="0" w:line="240" w:lineRule="auto"/>
              <w:ind w:left="0"/>
              <w:jc w:val="both"/>
              <w:rPr>
                <w:lang w:val="fr-FR"/>
              </w:rPr>
            </w:pPr>
          </w:p>
        </w:tc>
        <w:tc>
          <w:tcPr>
            <w:tcW w:w="1276" w:type="dxa"/>
          </w:tcPr>
          <w:p w14:paraId="759FFA09" w14:textId="55B8864D" w:rsidR="008F5636" w:rsidRPr="00745D9A" w:rsidRDefault="001804A5"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1548152F" w14:textId="77777777" w:rsidR="008F5636" w:rsidRPr="00745D9A" w:rsidRDefault="008F5636" w:rsidP="008F5636">
            <w:pPr>
              <w:pStyle w:val="ColorfulList-Accent11"/>
              <w:spacing w:after="0" w:line="240" w:lineRule="auto"/>
              <w:ind w:left="0"/>
              <w:jc w:val="both"/>
              <w:rPr>
                <w:lang w:val="fr-FR"/>
              </w:rPr>
            </w:pPr>
          </w:p>
        </w:tc>
        <w:tc>
          <w:tcPr>
            <w:tcW w:w="1701" w:type="dxa"/>
          </w:tcPr>
          <w:p w14:paraId="09616925" w14:textId="08DE980C" w:rsidR="008F5636" w:rsidRPr="00745D9A" w:rsidRDefault="001804A5"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790B6556" w14:textId="77777777" w:rsidR="008F5636" w:rsidRPr="00745D9A" w:rsidRDefault="008F5636" w:rsidP="008F5636">
            <w:pPr>
              <w:pStyle w:val="ColorfulList-Accent11"/>
              <w:spacing w:after="0" w:line="240" w:lineRule="auto"/>
              <w:ind w:left="0"/>
              <w:jc w:val="both"/>
              <w:rPr>
                <w:lang w:val="fr-FR"/>
              </w:rPr>
            </w:pPr>
          </w:p>
        </w:tc>
      </w:tr>
      <w:tr w:rsidR="008F5636" w:rsidRPr="00745D9A" w14:paraId="02BC8551" w14:textId="77777777" w:rsidTr="00A90105">
        <w:tc>
          <w:tcPr>
            <w:tcW w:w="4945" w:type="dxa"/>
            <w:shd w:val="clear" w:color="auto" w:fill="auto"/>
          </w:tcPr>
          <w:p w14:paraId="045EC2D7" w14:textId="77777777" w:rsidR="008F5636" w:rsidRPr="00CB6B95" w:rsidRDefault="008F5636" w:rsidP="00E154F8">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46</w:t>
            </w:r>
          </w:p>
          <w:p w14:paraId="42655C5D" w14:textId="77777777" w:rsidR="008F5636" w:rsidRPr="00CB6B95" w:rsidRDefault="008F5636" w:rsidP="00E154F8">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ale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94/22/CE</w:t>
            </w:r>
          </w:p>
          <w:p w14:paraId="459546B5" w14:textId="25A5D449" w:rsidR="008F5636" w:rsidRPr="00CB6B95" w:rsidRDefault="008F5636" w:rsidP="008F65E0">
            <w:pPr>
              <w:spacing w:after="0" w:line="240" w:lineRule="auto"/>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94/22/CE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2835E069" w14:textId="2145E4F2" w:rsidR="008F65E0" w:rsidRPr="00CB6B95" w:rsidRDefault="008F65E0" w:rsidP="000C5A3B">
            <w:pPr>
              <w:pStyle w:val="af3"/>
              <w:numPr>
                <w:ilvl w:val="0"/>
                <w:numId w:val="136"/>
              </w:num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8,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(2)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1B195B63" w14:textId="779948A8" w:rsidR="008F5636" w:rsidRPr="00CB6B95" w:rsidRDefault="00CB6B95" w:rsidP="00CB6B95">
            <w:pPr>
              <w:spacing w:after="0" w:line="240" w:lineRule="auto"/>
              <w:ind w:left="360"/>
              <w:jc w:val="both"/>
              <w:rPr>
                <w:rFonts w:ascii="Times New Roman" w:hAnsi="Times New Roman"/>
                <w:sz w:val="20"/>
                <w:szCs w:val="20"/>
                <w:highlight w:val="red"/>
                <w:lang w:val="fr-FR" w:eastAsia="ru-RU"/>
              </w:rPr>
            </w:pPr>
            <w:r>
              <w:rPr>
                <w:rFonts w:ascii="Times New Roman" w:hAnsi="Times New Roman"/>
                <w:sz w:val="20"/>
                <w:szCs w:val="20"/>
                <w:lang w:val="ro-MD" w:eastAsia="ru-RU"/>
              </w:rPr>
              <w:t xml:space="preserve">2. </w:t>
            </w:r>
            <w:proofErr w:type="spellStart"/>
            <w:r w:rsidR="008F65E0" w:rsidRPr="00CB6B95">
              <w:rPr>
                <w:rFonts w:ascii="Times New Roman" w:hAnsi="Times New Roman"/>
                <w:sz w:val="20"/>
                <w:szCs w:val="20"/>
                <w:lang w:val="ru-RU" w:eastAsia="ru-RU"/>
              </w:rPr>
              <w:t>Articolul</w:t>
            </w:r>
            <w:proofErr w:type="spellEnd"/>
            <w:r w:rsidR="008F65E0" w:rsidRPr="00CB6B95">
              <w:rPr>
                <w:rFonts w:ascii="Times New Roman" w:hAnsi="Times New Roman"/>
                <w:sz w:val="20"/>
                <w:szCs w:val="20"/>
                <w:lang w:val="ru-RU" w:eastAsia="ru-RU"/>
              </w:rPr>
              <w:t xml:space="preserve"> 9 </w:t>
            </w:r>
            <w:proofErr w:type="spellStart"/>
            <w:r w:rsidR="008F65E0" w:rsidRPr="00CB6B95">
              <w:rPr>
                <w:rFonts w:ascii="Times New Roman" w:hAnsi="Times New Roman"/>
                <w:sz w:val="20"/>
                <w:szCs w:val="20"/>
                <w:lang w:val="ru-RU" w:eastAsia="ru-RU"/>
              </w:rPr>
              <w:t>se</w:t>
            </w:r>
            <w:proofErr w:type="spellEnd"/>
            <w:r w:rsidR="008F65E0" w:rsidRPr="00CB6B95">
              <w:rPr>
                <w:rFonts w:ascii="Times New Roman" w:hAnsi="Times New Roman"/>
                <w:sz w:val="20"/>
                <w:szCs w:val="20"/>
                <w:lang w:val="ru-RU" w:eastAsia="ru-RU"/>
              </w:rPr>
              <w:t xml:space="preserve"> </w:t>
            </w:r>
            <w:proofErr w:type="spellStart"/>
            <w:r w:rsidR="008F65E0" w:rsidRPr="00CB6B95">
              <w:rPr>
                <w:rFonts w:ascii="Times New Roman" w:hAnsi="Times New Roman"/>
                <w:sz w:val="20"/>
                <w:szCs w:val="20"/>
                <w:lang w:val="ru-RU" w:eastAsia="ru-RU"/>
              </w:rPr>
              <w:t>elimină</w:t>
            </w:r>
            <w:proofErr w:type="spellEnd"/>
            <w:r w:rsidR="008F65E0" w:rsidRPr="00CB6B95">
              <w:rPr>
                <w:rFonts w:ascii="Times New Roman" w:hAnsi="Times New Roman"/>
                <w:sz w:val="20"/>
                <w:szCs w:val="20"/>
                <w:lang w:val="ro-MD" w:eastAsia="ru-RU"/>
              </w:rPr>
              <w:t>.</w:t>
            </w:r>
          </w:p>
        </w:tc>
        <w:tc>
          <w:tcPr>
            <w:tcW w:w="4440" w:type="dxa"/>
          </w:tcPr>
          <w:p w14:paraId="36D39AEA" w14:textId="77777777" w:rsidR="008F5636" w:rsidRPr="00745D9A" w:rsidRDefault="008F5636" w:rsidP="008F5636">
            <w:pPr>
              <w:pStyle w:val="ColorfulList-Accent11"/>
              <w:spacing w:after="0" w:line="240" w:lineRule="auto"/>
              <w:ind w:left="0"/>
              <w:jc w:val="both"/>
              <w:rPr>
                <w:lang w:val="fr-FR"/>
              </w:rPr>
            </w:pPr>
          </w:p>
        </w:tc>
        <w:tc>
          <w:tcPr>
            <w:tcW w:w="1276" w:type="dxa"/>
          </w:tcPr>
          <w:p w14:paraId="6EEAD474" w14:textId="498A3ABF" w:rsidR="008F5636" w:rsidRPr="00745D9A" w:rsidRDefault="008F65E0"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41E550FD" w14:textId="77777777" w:rsidR="008F5636" w:rsidRPr="00745D9A" w:rsidRDefault="008F5636" w:rsidP="008F5636">
            <w:pPr>
              <w:pStyle w:val="ColorfulList-Accent11"/>
              <w:spacing w:after="0" w:line="240" w:lineRule="auto"/>
              <w:ind w:left="0"/>
              <w:jc w:val="both"/>
              <w:rPr>
                <w:lang w:val="fr-FR"/>
              </w:rPr>
            </w:pPr>
          </w:p>
        </w:tc>
        <w:tc>
          <w:tcPr>
            <w:tcW w:w="1701" w:type="dxa"/>
          </w:tcPr>
          <w:p w14:paraId="1560D4A7" w14:textId="585F5BA8" w:rsidR="008F5636" w:rsidRPr="00745D9A" w:rsidRDefault="008F65E0"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3ECABCDF" w14:textId="77777777" w:rsidR="008F5636" w:rsidRPr="00745D9A" w:rsidRDefault="008F5636" w:rsidP="008F5636">
            <w:pPr>
              <w:pStyle w:val="ColorfulList-Accent11"/>
              <w:spacing w:after="0" w:line="240" w:lineRule="auto"/>
              <w:ind w:left="0"/>
              <w:jc w:val="both"/>
              <w:rPr>
                <w:lang w:val="fr-FR"/>
              </w:rPr>
            </w:pPr>
          </w:p>
        </w:tc>
      </w:tr>
      <w:tr w:rsidR="008F5636" w14:paraId="5EE8941C" w14:textId="77777777" w:rsidTr="00A90105">
        <w:tc>
          <w:tcPr>
            <w:tcW w:w="4945" w:type="dxa"/>
          </w:tcPr>
          <w:p w14:paraId="10AD01FF" w14:textId="77777777" w:rsidR="008F5636" w:rsidRPr="00CB6B95" w:rsidRDefault="008F5636" w:rsidP="00E154F8">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lastRenderedPageBreak/>
              <w:t>Articolul</w:t>
            </w:r>
            <w:proofErr w:type="spellEnd"/>
            <w:r w:rsidRPr="00CB6B95">
              <w:rPr>
                <w:rFonts w:ascii="Times New Roman" w:hAnsi="Times New Roman"/>
                <w:sz w:val="20"/>
                <w:szCs w:val="20"/>
                <w:lang w:val="fr-FR" w:eastAsia="ru-RU"/>
              </w:rPr>
              <w:t xml:space="preserve"> 47</w:t>
            </w:r>
          </w:p>
          <w:p w14:paraId="58324829" w14:textId="77777777" w:rsidR="008F5636" w:rsidRPr="00CB6B95" w:rsidRDefault="008F5636" w:rsidP="00E154F8">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98/70/CE</w:t>
            </w:r>
          </w:p>
          <w:p w14:paraId="1C073366" w14:textId="7B73FAF6" w:rsidR="008F5636" w:rsidRPr="00CB6B95" w:rsidRDefault="008F5636" w:rsidP="00E154F8">
            <w:pPr>
              <w:spacing w:after="0" w:line="240" w:lineRule="auto"/>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00E154F8"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98/70/CE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24D81992" w14:textId="0D6B2CA3" w:rsidR="00E154F8" w:rsidRPr="00CB6B95" w:rsidRDefault="00E154F8" w:rsidP="000C5A3B">
            <w:pPr>
              <w:pStyle w:val="af3"/>
              <w:numPr>
                <w:ilvl w:val="0"/>
                <w:numId w:val="137"/>
              </w:numPr>
              <w:spacing w:after="0" w:line="240" w:lineRule="auto"/>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7a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72BF9B00" w14:textId="53ABAD3E" w:rsidR="00E154F8" w:rsidRPr="00CB6B95" w:rsidRDefault="00E154F8" w:rsidP="000C5A3B">
            <w:pPr>
              <w:pStyle w:val="af3"/>
              <w:numPr>
                <w:ilvl w:val="0"/>
                <w:numId w:val="138"/>
              </w:numPr>
              <w:spacing w:after="0" w:line="240" w:lineRule="auto"/>
              <w:jc w:val="both"/>
              <w:rPr>
                <w:rFonts w:ascii="Times New Roman" w:hAnsi="Times New Roman"/>
                <w:sz w:val="20"/>
                <w:szCs w:val="20"/>
                <w:lang w:val="fr-FR" w:eastAsia="ru-RU"/>
              </w:rPr>
            </w:pPr>
            <w:proofErr w:type="gramStart"/>
            <w:r w:rsidRPr="00CB6B95">
              <w:rPr>
                <w:rFonts w:ascii="Times New Roman" w:hAnsi="Times New Roman"/>
                <w:sz w:val="20"/>
                <w:szCs w:val="20"/>
                <w:lang w:val="fr-FR" w:eastAsia="ru-RU"/>
              </w:rPr>
              <w:t>la</w:t>
            </w:r>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al </w:t>
            </w:r>
            <w:proofErr w:type="spellStart"/>
            <w:r w:rsidRPr="00CB6B95">
              <w:rPr>
                <w:rFonts w:ascii="Times New Roman" w:hAnsi="Times New Roman"/>
                <w:sz w:val="20"/>
                <w:szCs w:val="20"/>
                <w:lang w:val="fr-FR" w:eastAsia="ru-RU"/>
              </w:rPr>
              <w:t>treilea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paragraf</w:t>
            </w:r>
            <w:proofErr w:type="spellEnd"/>
            <w:r w:rsidRPr="00CB6B95">
              <w:rPr>
                <w:rFonts w:ascii="Times New Roman" w:hAnsi="Times New Roman"/>
                <w:sz w:val="20"/>
                <w:szCs w:val="20"/>
                <w:lang w:val="fr-FR" w:eastAsia="ru-RU"/>
              </w:rPr>
              <w:t xml:space="preserve">, litera (a)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
          <w:tbl>
            <w:tblPr>
              <w:tblW w:w="5000" w:type="pct"/>
              <w:tblLayout w:type="fixed"/>
              <w:tblCellMar>
                <w:left w:w="0" w:type="dxa"/>
                <w:right w:w="0" w:type="dxa"/>
              </w:tblCellMar>
              <w:tblLook w:val="04A0" w:firstRow="1" w:lastRow="0" w:firstColumn="1" w:lastColumn="0" w:noHBand="0" w:noVBand="1"/>
            </w:tblPr>
            <w:tblGrid>
              <w:gridCol w:w="262"/>
              <w:gridCol w:w="4467"/>
            </w:tblGrid>
            <w:tr w:rsidR="00E154F8" w:rsidRPr="00CB6B95" w14:paraId="4FC43A0D" w14:textId="77777777" w:rsidTr="00A81801">
              <w:tc>
                <w:tcPr>
                  <w:tcW w:w="474" w:type="dxa"/>
                  <w:shd w:val="clear" w:color="auto" w:fill="auto"/>
                  <w:hideMark/>
                </w:tcPr>
                <w:p w14:paraId="3BAA4CBB" w14:textId="77777777" w:rsidR="00E154F8" w:rsidRPr="00CB6B95" w:rsidRDefault="00E154F8" w:rsidP="00E154F8">
                  <w:pPr>
                    <w:spacing w:after="0" w:line="240" w:lineRule="auto"/>
                    <w:jc w:val="both"/>
                    <w:rPr>
                      <w:rFonts w:ascii="Times New Roman" w:hAnsi="Times New Roman"/>
                      <w:sz w:val="20"/>
                      <w:szCs w:val="20"/>
                      <w:lang w:val="ru-RU" w:eastAsia="ru-RU"/>
                    </w:rPr>
                  </w:pPr>
                  <w:r w:rsidRPr="00CB6B95">
                    <w:rPr>
                      <w:rFonts w:ascii="Times New Roman" w:hAnsi="Times New Roman"/>
                      <w:sz w:val="20"/>
                      <w:szCs w:val="20"/>
                      <w:lang w:val="ru-RU" w:eastAsia="ru-RU"/>
                    </w:rPr>
                    <w:t>„(a)</w:t>
                  </w:r>
                </w:p>
              </w:tc>
              <w:tc>
                <w:tcPr>
                  <w:tcW w:w="8352" w:type="dxa"/>
                  <w:shd w:val="clear" w:color="auto" w:fill="auto"/>
                  <w:hideMark/>
                </w:tcPr>
                <w:p w14:paraId="18FF2AFA" w14:textId="77777777" w:rsidR="00E154F8" w:rsidRPr="00CB6B95" w:rsidRDefault="00E154F8" w:rsidP="00E154F8">
                  <w:pPr>
                    <w:spacing w:after="0" w:line="240" w:lineRule="auto"/>
                    <w:jc w:val="both"/>
                    <w:rPr>
                      <w:rFonts w:ascii="Times New Roman" w:hAnsi="Times New Roman"/>
                      <w:sz w:val="20"/>
                      <w:szCs w:val="20"/>
                      <w:lang w:val="fr-FR" w:eastAsia="ru-RU"/>
                    </w:rPr>
                  </w:pPr>
                  <w:proofErr w:type="spellStart"/>
                  <w:proofErr w:type="gramStart"/>
                  <w:r w:rsidRPr="00CB6B95">
                    <w:rPr>
                      <w:rFonts w:ascii="Times New Roman" w:hAnsi="Times New Roman"/>
                      <w:sz w:val="20"/>
                      <w:szCs w:val="20"/>
                      <w:lang w:val="fr-FR" w:eastAsia="ru-RU"/>
                    </w:rPr>
                    <w:t>volumul</w:t>
                  </w:r>
                  <w:proofErr w:type="spellEnd"/>
                  <w:proofErr w:type="gramEnd"/>
                  <w:r w:rsidRPr="00CB6B95">
                    <w:rPr>
                      <w:rFonts w:ascii="Times New Roman" w:hAnsi="Times New Roman"/>
                      <w:sz w:val="20"/>
                      <w:szCs w:val="20"/>
                      <w:lang w:val="fr-FR" w:eastAsia="ru-RU"/>
                    </w:rPr>
                    <w:t xml:space="preserve"> total al </w:t>
                  </w:r>
                  <w:proofErr w:type="spellStart"/>
                  <w:r w:rsidRPr="00CB6B95">
                    <w:rPr>
                      <w:rFonts w:ascii="Times New Roman" w:hAnsi="Times New Roman"/>
                      <w:sz w:val="20"/>
                      <w:szCs w:val="20"/>
                      <w:lang w:val="fr-FR" w:eastAsia="ru-RU"/>
                    </w:rPr>
                    <w:t>fiecărui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tip</w:t>
                  </w:r>
                  <w:proofErr w:type="spellEnd"/>
                  <w:r w:rsidRPr="00CB6B95">
                    <w:rPr>
                      <w:rFonts w:ascii="Times New Roman" w:hAnsi="Times New Roman"/>
                      <w:sz w:val="20"/>
                      <w:szCs w:val="20"/>
                      <w:lang w:val="fr-FR" w:eastAsia="ru-RU"/>
                    </w:rPr>
                    <w:t xml:space="preserve"> de carburant </w:t>
                  </w:r>
                  <w:proofErr w:type="spellStart"/>
                  <w:r w:rsidRPr="00CB6B95">
                    <w:rPr>
                      <w:rFonts w:ascii="Times New Roman" w:hAnsi="Times New Roman"/>
                      <w:sz w:val="20"/>
                      <w:szCs w:val="20"/>
                      <w:lang w:val="fr-FR" w:eastAsia="ru-RU"/>
                    </w:rPr>
                    <w:t>sau</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energie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furnizat</w:t>
                  </w:r>
                  <w:proofErr w:type="spellEnd"/>
                  <w:r w:rsidRPr="00CB6B95">
                    <w:rPr>
                      <w:rFonts w:ascii="Times New Roman" w:hAnsi="Times New Roman"/>
                      <w:sz w:val="20"/>
                      <w:szCs w:val="20"/>
                      <w:lang w:val="fr-FR" w:eastAsia="ru-RU"/>
                    </w:rPr>
                    <w:t>; și”;</w:t>
                  </w:r>
                </w:p>
                <w:p w14:paraId="72876215" w14:textId="4AABDA0F" w:rsidR="00E154F8" w:rsidRPr="00CB6B95" w:rsidRDefault="00E154F8" w:rsidP="000C5A3B">
                  <w:pPr>
                    <w:pStyle w:val="af3"/>
                    <w:numPr>
                      <w:ilvl w:val="0"/>
                      <w:numId w:val="138"/>
                    </w:numPr>
                    <w:spacing w:after="0" w:line="240" w:lineRule="auto"/>
                    <w:jc w:val="both"/>
                    <w:rPr>
                      <w:rFonts w:ascii="Times New Roman" w:hAnsi="Times New Roman"/>
                      <w:sz w:val="20"/>
                      <w:szCs w:val="20"/>
                      <w:lang w:val="fr-FR" w:eastAsia="ru-RU"/>
                    </w:rPr>
                  </w:pPr>
                  <w:proofErr w:type="gramStart"/>
                  <w:r w:rsidRPr="00CB6B95">
                    <w:rPr>
                      <w:rFonts w:ascii="Times New Roman" w:hAnsi="Times New Roman"/>
                      <w:sz w:val="20"/>
                      <w:szCs w:val="20"/>
                      <w:lang w:val="fr-FR" w:eastAsia="ru-RU"/>
                    </w:rPr>
                    <w:t>la</w:t>
                  </w:r>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(2), </w:t>
                  </w:r>
                  <w:proofErr w:type="spellStart"/>
                  <w:r w:rsidRPr="00CB6B95">
                    <w:rPr>
                      <w:rFonts w:ascii="Times New Roman" w:hAnsi="Times New Roman"/>
                      <w:sz w:val="20"/>
                      <w:szCs w:val="20"/>
                      <w:lang w:val="fr-FR" w:eastAsia="ru-RU"/>
                    </w:rPr>
                    <w:t>partea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introductivă</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
                <w:p w14:paraId="0F4E73FC" w14:textId="0F779806" w:rsidR="00E154F8" w:rsidRPr="00CB6B95" w:rsidRDefault="00E154F8" w:rsidP="00E154F8">
                  <w:pPr>
                    <w:pStyle w:val="af3"/>
                    <w:spacing w:after="0" w:line="240" w:lineRule="auto"/>
                    <w:jc w:val="both"/>
                    <w:rPr>
                      <w:rFonts w:ascii="Times New Roman" w:hAnsi="Times New Roman"/>
                      <w:sz w:val="20"/>
                      <w:szCs w:val="20"/>
                      <w:lang w:val="fr-FR" w:eastAsia="ru-RU"/>
                    </w:rPr>
                  </w:pPr>
                  <w:proofErr w:type="gramStart"/>
                  <w:r w:rsidRPr="00CB6B95">
                    <w:rPr>
                      <w:rFonts w:ascii="Times New Roman" w:hAnsi="Times New Roman"/>
                      <w:sz w:val="20"/>
                      <w:szCs w:val="20"/>
                      <w:lang w:val="fr-FR" w:eastAsia="ru-RU"/>
                    </w:rPr>
                    <w:t>„(</w:t>
                  </w:r>
                  <w:proofErr w:type="gramEnd"/>
                  <w:r w:rsidRPr="00CB6B95">
                    <w:rPr>
                      <w:rFonts w:ascii="Times New Roman" w:hAnsi="Times New Roman"/>
                      <w:sz w:val="20"/>
                      <w:szCs w:val="20"/>
                      <w:lang w:val="fr-FR" w:eastAsia="ru-RU"/>
                    </w:rPr>
                    <w:t>2)</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 le </w:t>
                  </w:r>
                  <w:proofErr w:type="spellStart"/>
                  <w:r w:rsidRPr="00CB6B95">
                    <w:rPr>
                      <w:rFonts w:ascii="Times New Roman" w:hAnsi="Times New Roman"/>
                      <w:sz w:val="20"/>
                      <w:szCs w:val="20"/>
                      <w:lang w:val="fr-FR" w:eastAsia="ru-RU"/>
                    </w:rPr>
                    <w:t>impun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furnizorilor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reducă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cât</w:t>
                  </w:r>
                  <w:proofErr w:type="spellEnd"/>
                  <w:r w:rsidRPr="00CB6B95">
                    <w:rPr>
                      <w:rFonts w:ascii="Times New Roman" w:hAnsi="Times New Roman"/>
                      <w:sz w:val="20"/>
                      <w:szCs w:val="20"/>
                      <w:lang w:val="fr-FR" w:eastAsia="ru-RU"/>
                    </w:rPr>
                    <w:t xml:space="preserve"> mai </w:t>
                  </w:r>
                  <w:proofErr w:type="spellStart"/>
                  <w:r w:rsidRPr="00CB6B95">
                    <w:rPr>
                      <w:rFonts w:ascii="Times New Roman" w:hAnsi="Times New Roman"/>
                      <w:sz w:val="20"/>
                      <w:szCs w:val="20"/>
                      <w:lang w:val="fr-FR" w:eastAsia="ru-RU"/>
                    </w:rPr>
                    <w:t>treptat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posibil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emisiile</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generate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durata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ciclului</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viață</w:t>
                  </w:r>
                  <w:proofErr w:type="spellEnd"/>
                  <w:r w:rsidRPr="00CB6B95">
                    <w:rPr>
                      <w:rFonts w:ascii="Times New Roman" w:hAnsi="Times New Roman"/>
                      <w:sz w:val="20"/>
                      <w:szCs w:val="20"/>
                      <w:lang w:val="fr-FR" w:eastAsia="ru-RU"/>
                    </w:rPr>
                    <w:t xml:space="preserve">, per </w:t>
                  </w:r>
                  <w:proofErr w:type="spellStart"/>
                  <w:r w:rsidRPr="00CB6B95">
                    <w:rPr>
                      <w:rFonts w:ascii="Times New Roman" w:hAnsi="Times New Roman"/>
                      <w:sz w:val="20"/>
                      <w:szCs w:val="20"/>
                      <w:lang w:val="fr-FR" w:eastAsia="ru-RU"/>
                    </w:rPr>
                    <w:t>unitate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energie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către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carburanții</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energia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furnizată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până</w:t>
                  </w:r>
                  <w:proofErr w:type="spellEnd"/>
                  <w:r w:rsidRPr="00CB6B95">
                    <w:rPr>
                      <w:rFonts w:ascii="Times New Roman" w:hAnsi="Times New Roman"/>
                      <w:sz w:val="20"/>
                      <w:szCs w:val="20"/>
                      <w:lang w:val="fr-FR" w:eastAsia="ru-RU"/>
                    </w:rPr>
                    <w:t xml:space="preserve"> la 10% </w:t>
                  </w:r>
                  <w:proofErr w:type="spellStart"/>
                  <w:r w:rsidRPr="00CB6B95">
                    <w:rPr>
                      <w:rFonts w:ascii="Times New Roman" w:hAnsi="Times New Roman"/>
                      <w:sz w:val="20"/>
                      <w:szCs w:val="20"/>
                      <w:lang w:val="fr-FR" w:eastAsia="ru-RU"/>
                    </w:rPr>
                    <w:t>până</w:t>
                  </w:r>
                  <w:proofErr w:type="spellEnd"/>
                  <w:r w:rsidRPr="00CB6B95">
                    <w:rPr>
                      <w:rFonts w:ascii="Times New Roman" w:hAnsi="Times New Roman"/>
                      <w:sz w:val="20"/>
                      <w:szCs w:val="20"/>
                      <w:lang w:val="fr-FR" w:eastAsia="ru-RU"/>
                    </w:rPr>
                    <w:t xml:space="preserve"> la 31 </w:t>
                  </w:r>
                  <w:proofErr w:type="spellStart"/>
                  <w:r w:rsidRPr="00CB6B95">
                    <w:rPr>
                      <w:rFonts w:ascii="Times New Roman" w:hAnsi="Times New Roman"/>
                      <w:sz w:val="20"/>
                      <w:szCs w:val="20"/>
                      <w:lang w:val="fr-FR" w:eastAsia="ru-RU"/>
                    </w:rPr>
                    <w:t>decembrie</w:t>
                  </w:r>
                  <w:proofErr w:type="spellEnd"/>
                  <w:r w:rsidRPr="00CB6B95">
                    <w:rPr>
                      <w:rFonts w:ascii="Times New Roman" w:hAnsi="Times New Roman"/>
                      <w:sz w:val="20"/>
                      <w:szCs w:val="20"/>
                      <w:lang w:val="fr-FR" w:eastAsia="ru-RU"/>
                    </w:rPr>
                    <w:t xml:space="preserve"> 2020, </w:t>
                  </w:r>
                  <w:proofErr w:type="spellStart"/>
                  <w:r w:rsidRPr="00CB6B95">
                    <w:rPr>
                      <w:rFonts w:ascii="Times New Roman" w:hAnsi="Times New Roman"/>
                      <w:sz w:val="20"/>
                      <w:szCs w:val="20"/>
                      <w:lang w:val="fr-FR" w:eastAsia="ru-RU"/>
                    </w:rPr>
                    <w:t>având</w:t>
                  </w:r>
                  <w:proofErr w:type="spellEnd"/>
                  <w:r w:rsidRPr="00CB6B95">
                    <w:rPr>
                      <w:rFonts w:ascii="Times New Roman" w:hAnsi="Times New Roman"/>
                      <w:sz w:val="20"/>
                      <w:szCs w:val="20"/>
                      <w:lang w:val="fr-FR" w:eastAsia="ru-RU"/>
                    </w:rPr>
                    <w:t xml:space="preserve"> ca </w:t>
                  </w:r>
                  <w:proofErr w:type="spellStart"/>
                  <w:r w:rsidRPr="00CB6B95">
                    <w:rPr>
                      <w:rFonts w:ascii="Times New Roman" w:hAnsi="Times New Roman"/>
                      <w:sz w:val="20"/>
                      <w:szCs w:val="20"/>
                      <w:lang w:val="fr-FR" w:eastAsia="ru-RU"/>
                    </w:rPr>
                    <w:t>referință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standardul</w:t>
                  </w:r>
                  <w:proofErr w:type="spellEnd"/>
                  <w:r w:rsidRPr="00CB6B95">
                    <w:rPr>
                      <w:rFonts w:ascii="Times New Roman" w:hAnsi="Times New Roman"/>
                      <w:sz w:val="20"/>
                      <w:szCs w:val="20"/>
                      <w:lang w:val="fr-FR" w:eastAsia="ru-RU"/>
                    </w:rPr>
                    <w:t xml:space="preserve"> de carburant de </w:t>
                  </w:r>
                  <w:proofErr w:type="spellStart"/>
                  <w:r w:rsidRPr="00CB6B95">
                    <w:rPr>
                      <w:rFonts w:ascii="Times New Roman" w:hAnsi="Times New Roman"/>
                      <w:sz w:val="20"/>
                      <w:szCs w:val="20"/>
                      <w:lang w:val="fr-FR" w:eastAsia="ru-RU"/>
                    </w:rPr>
                    <w:t>referință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stabilit</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anexa</w:t>
                  </w:r>
                  <w:proofErr w:type="spellEnd"/>
                  <w:r w:rsidRPr="00CB6B95">
                    <w:rPr>
                      <w:rFonts w:ascii="Times New Roman" w:hAnsi="Times New Roman"/>
                      <w:sz w:val="20"/>
                      <w:szCs w:val="20"/>
                      <w:lang w:val="fr-FR" w:eastAsia="ru-RU"/>
                    </w:rPr>
                    <w:t xml:space="preserve"> II la </w:t>
                  </w: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(UE) 2015/652 a </w:t>
                  </w:r>
                  <w:proofErr w:type="spellStart"/>
                  <w:r w:rsidRPr="00CB6B95">
                    <w:rPr>
                      <w:rFonts w:ascii="Times New Roman" w:hAnsi="Times New Roman"/>
                      <w:sz w:val="20"/>
                      <w:szCs w:val="20"/>
                      <w:lang w:val="fr-FR" w:eastAsia="ru-RU"/>
                    </w:rPr>
                    <w:t>Consiliului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Această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reducere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constă</w:t>
                  </w:r>
                  <w:proofErr w:type="spellEnd"/>
                  <w:r w:rsidRPr="00CB6B95">
                    <w:rPr>
                      <w:rFonts w:ascii="Times New Roman" w:hAnsi="Times New Roman"/>
                      <w:sz w:val="20"/>
                      <w:szCs w:val="20"/>
                      <w:lang w:val="fr-FR" w:eastAsia="ru-RU"/>
                    </w:rPr>
                    <w:t xml:space="preserve"> </w:t>
                  </w:r>
                  <w:proofErr w:type="gramStart"/>
                  <w:r w:rsidRPr="00CB6B95">
                    <w:rPr>
                      <w:rFonts w:ascii="Times New Roman" w:hAnsi="Times New Roman"/>
                      <w:sz w:val="20"/>
                      <w:szCs w:val="20"/>
                      <w:lang w:val="fr-FR" w:eastAsia="ru-RU"/>
                    </w:rPr>
                    <w:t>în:”</w:t>
                  </w:r>
                  <w:proofErr w:type="gramEnd"/>
                  <w:r w:rsidRPr="00CB6B95">
                    <w:rPr>
                      <w:rFonts w:ascii="Times New Roman" w:hAnsi="Times New Roman"/>
                      <w:sz w:val="20"/>
                      <w:szCs w:val="20"/>
                      <w:lang w:val="fr-FR" w:eastAsia="ru-RU"/>
                    </w:rPr>
                    <w:t>.</w:t>
                  </w:r>
                </w:p>
              </w:tc>
            </w:tr>
          </w:tbl>
          <w:p w14:paraId="53344419" w14:textId="440CB92E" w:rsidR="00E154F8" w:rsidRPr="00CB6B95" w:rsidRDefault="00E154F8" w:rsidP="000C5A3B">
            <w:pPr>
              <w:pStyle w:val="af3"/>
              <w:numPr>
                <w:ilvl w:val="0"/>
                <w:numId w:val="137"/>
              </w:numPr>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8,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(4)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proofErr w:type="gram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roofErr w:type="gramEnd"/>
          </w:p>
          <w:p w14:paraId="2D63CCF0" w14:textId="5F62BBC3" w:rsidR="008F5636" w:rsidRPr="009231D7" w:rsidRDefault="00E154F8" w:rsidP="0018134D">
            <w:pPr>
              <w:pStyle w:val="af3"/>
              <w:jc w:val="both"/>
              <w:rPr>
                <w:rFonts w:ascii="Times New Roman" w:hAnsi="Times New Roman"/>
                <w:sz w:val="20"/>
                <w:szCs w:val="20"/>
                <w:highlight w:val="red"/>
                <w:lang w:val="fr-FR" w:eastAsia="ru-RU"/>
              </w:rPr>
            </w:pPr>
            <w:proofErr w:type="gramStart"/>
            <w:r w:rsidRPr="00CB6B95">
              <w:rPr>
                <w:rFonts w:ascii="Times New Roman" w:hAnsi="Times New Roman"/>
                <w:sz w:val="20"/>
                <w:szCs w:val="20"/>
                <w:lang w:val="fr-FR" w:eastAsia="ru-RU"/>
              </w:rPr>
              <w:t>„(</w:t>
            </w:r>
            <w:proofErr w:type="gramEnd"/>
            <w:r w:rsidRPr="00CB6B95">
              <w:rPr>
                <w:rFonts w:ascii="Times New Roman" w:hAnsi="Times New Roman"/>
                <w:sz w:val="20"/>
                <w:szCs w:val="20"/>
                <w:lang w:val="fr-FR" w:eastAsia="ru-RU"/>
              </w:rPr>
              <w:t>4)</w:t>
            </w:r>
            <w:proofErr w:type="spellStart"/>
            <w:r w:rsidRPr="00CB6B95">
              <w:rPr>
                <w:rFonts w:ascii="Times New Roman" w:hAnsi="Times New Roman"/>
                <w:sz w:val="20"/>
                <w:szCs w:val="20"/>
                <w:lang w:val="fr-FR" w:eastAsia="ru-RU"/>
              </w:rPr>
              <w:t>Comisia</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asigură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informațiile</w:t>
            </w:r>
            <w:proofErr w:type="spellEnd"/>
            <w:r w:rsidRPr="00CB6B95">
              <w:rPr>
                <w:rFonts w:ascii="Times New Roman" w:hAnsi="Times New Roman"/>
                <w:sz w:val="20"/>
                <w:szCs w:val="20"/>
                <w:lang w:val="fr-FR" w:eastAsia="ru-RU"/>
              </w:rPr>
              <w:t xml:space="preserve"> transmise în </w:t>
            </w:r>
            <w:proofErr w:type="spellStart"/>
            <w:r w:rsidRPr="00CB6B95">
              <w:rPr>
                <w:rFonts w:ascii="Times New Roman" w:hAnsi="Times New Roman"/>
                <w:sz w:val="20"/>
                <w:szCs w:val="20"/>
                <w:lang w:val="fr-FR" w:eastAsia="ru-RU"/>
              </w:rPr>
              <w:t>temeiul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alineatului</w:t>
            </w:r>
            <w:proofErr w:type="spellEnd"/>
            <w:r w:rsidRPr="00CB6B95">
              <w:rPr>
                <w:rFonts w:ascii="Times New Roman" w:hAnsi="Times New Roman"/>
                <w:sz w:val="20"/>
                <w:szCs w:val="20"/>
                <w:lang w:val="fr-FR" w:eastAsia="ru-RU"/>
              </w:rPr>
              <w:t xml:space="preserve">(3) </w:t>
            </w:r>
            <w:proofErr w:type="spellStart"/>
            <w:r w:rsidRPr="00CB6B95">
              <w:rPr>
                <w:rFonts w:ascii="Times New Roman" w:hAnsi="Times New Roman"/>
                <w:sz w:val="20"/>
                <w:szCs w:val="20"/>
                <w:lang w:val="fr-FR" w:eastAsia="ru-RU"/>
              </w:rPr>
              <w:t>sunt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puse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dispoziție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promptitudine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mijloace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adecvate</w:t>
            </w:r>
            <w:proofErr w:type="spellEnd"/>
            <w:r w:rsidRPr="00CB6B95">
              <w:rPr>
                <w:rFonts w:ascii="Times New Roman" w:hAnsi="Times New Roman"/>
                <w:sz w:val="20"/>
                <w:szCs w:val="20"/>
                <w:lang w:val="fr-FR" w:eastAsia="ru-RU"/>
              </w:rPr>
              <w:t>.”</w:t>
            </w:r>
          </w:p>
        </w:tc>
        <w:tc>
          <w:tcPr>
            <w:tcW w:w="4440" w:type="dxa"/>
          </w:tcPr>
          <w:p w14:paraId="68B9ED53" w14:textId="77777777" w:rsidR="008F5636" w:rsidRPr="00E154F8" w:rsidRDefault="008F5636" w:rsidP="008F5636">
            <w:pPr>
              <w:pStyle w:val="ColorfulList-Accent11"/>
              <w:spacing w:after="0" w:line="240" w:lineRule="auto"/>
              <w:ind w:left="0"/>
              <w:jc w:val="both"/>
              <w:rPr>
                <w:lang w:val="fr-FR"/>
              </w:rPr>
            </w:pPr>
          </w:p>
        </w:tc>
        <w:tc>
          <w:tcPr>
            <w:tcW w:w="1276" w:type="dxa"/>
          </w:tcPr>
          <w:p w14:paraId="3FD276B3" w14:textId="79BB149A" w:rsidR="008F5636" w:rsidRDefault="00E154F8" w:rsidP="008F5636">
            <w:pPr>
              <w:pStyle w:val="ColorfulList-Accent11"/>
              <w:spacing w:after="0" w:line="240" w:lineRule="auto"/>
              <w:ind w:left="0"/>
              <w:jc w:val="both"/>
              <w:rPr>
                <w:lang w:val="en-US"/>
              </w:rPr>
            </w:pPr>
            <w:r w:rsidRPr="00C951E7">
              <w:rPr>
                <w:rFonts w:ascii="Times New Roman" w:hAnsi="Times New Roman"/>
                <w:sz w:val="20"/>
                <w:szCs w:val="20"/>
                <w:lang w:val="ro-RO"/>
              </w:rPr>
              <w:t>Prevederi UE neaplicabile</w:t>
            </w:r>
          </w:p>
        </w:tc>
        <w:tc>
          <w:tcPr>
            <w:tcW w:w="1276" w:type="dxa"/>
          </w:tcPr>
          <w:p w14:paraId="082079F0" w14:textId="77777777" w:rsidR="008F5636" w:rsidRDefault="008F5636" w:rsidP="008F5636">
            <w:pPr>
              <w:pStyle w:val="ColorfulList-Accent11"/>
              <w:spacing w:after="0" w:line="240" w:lineRule="auto"/>
              <w:ind w:left="0"/>
              <w:jc w:val="both"/>
              <w:rPr>
                <w:lang w:val="en-US"/>
              </w:rPr>
            </w:pPr>
          </w:p>
        </w:tc>
        <w:tc>
          <w:tcPr>
            <w:tcW w:w="1701" w:type="dxa"/>
          </w:tcPr>
          <w:p w14:paraId="60F2958C" w14:textId="18DDD134" w:rsidR="008F5636" w:rsidRDefault="00E154F8" w:rsidP="008F5636">
            <w:pPr>
              <w:pStyle w:val="ColorfulList-Accent11"/>
              <w:spacing w:after="0" w:line="240" w:lineRule="auto"/>
              <w:ind w:left="0"/>
              <w:jc w:val="both"/>
              <w:rPr>
                <w:lang w:val="en-US"/>
              </w:rPr>
            </w:pPr>
            <w:r w:rsidRPr="00C951E7">
              <w:rPr>
                <w:rFonts w:ascii="Times New Roman" w:hAnsi="Times New Roman"/>
                <w:sz w:val="20"/>
                <w:szCs w:val="20"/>
                <w:lang w:val="ro-RO"/>
              </w:rPr>
              <w:t>Transpunerea nu este necesară, deoarece se referă la tehnica legislativă UE.</w:t>
            </w:r>
          </w:p>
        </w:tc>
        <w:tc>
          <w:tcPr>
            <w:tcW w:w="1460" w:type="dxa"/>
          </w:tcPr>
          <w:p w14:paraId="555FFFE3" w14:textId="77777777" w:rsidR="008F5636" w:rsidRDefault="008F5636" w:rsidP="008F5636">
            <w:pPr>
              <w:pStyle w:val="ColorfulList-Accent11"/>
              <w:spacing w:after="0" w:line="240" w:lineRule="auto"/>
              <w:ind w:left="0"/>
              <w:jc w:val="both"/>
              <w:rPr>
                <w:lang w:val="en-US"/>
              </w:rPr>
            </w:pPr>
          </w:p>
        </w:tc>
      </w:tr>
      <w:tr w:rsidR="008F5636" w:rsidRPr="00745D9A" w14:paraId="6097B138" w14:textId="77777777" w:rsidTr="00A90105">
        <w:tc>
          <w:tcPr>
            <w:tcW w:w="4945" w:type="dxa"/>
          </w:tcPr>
          <w:p w14:paraId="0B1EC222" w14:textId="77777777"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48</w:t>
            </w:r>
          </w:p>
          <w:p w14:paraId="360A526B" w14:textId="77777777" w:rsidR="008F5636" w:rsidRPr="00CB6B95" w:rsidRDefault="008F5636" w:rsidP="0018134D">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ale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2009/31/CE</w:t>
            </w:r>
          </w:p>
          <w:p w14:paraId="450891F6" w14:textId="0CDF1ABC"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2009/31/CE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3D4EB01C" w14:textId="444CBA7B" w:rsidR="0018134D" w:rsidRPr="00CB6B95" w:rsidRDefault="0018134D" w:rsidP="0018134D">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1.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27,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proofErr w:type="gram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roofErr w:type="gramEnd"/>
          </w:p>
          <w:p w14:paraId="4E9ADB59" w14:textId="1F858BF9" w:rsidR="0018134D" w:rsidRPr="00CB6B95" w:rsidRDefault="0018134D" w:rsidP="0018134D">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„La </w:t>
            </w:r>
            <w:proofErr w:type="spellStart"/>
            <w:r w:rsidRPr="00CB6B95">
              <w:rPr>
                <w:rFonts w:ascii="Times New Roman" w:hAnsi="Times New Roman"/>
                <w:sz w:val="20"/>
                <w:szCs w:val="20"/>
                <w:lang w:val="fr-FR" w:eastAsia="ru-RU"/>
              </w:rPr>
              <w:t>fiecare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patru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ani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înaintează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un </w:t>
            </w:r>
            <w:proofErr w:type="spellStart"/>
            <w:r w:rsidRPr="00CB6B95">
              <w:rPr>
                <w:rFonts w:ascii="Times New Roman" w:hAnsi="Times New Roman"/>
                <w:sz w:val="20"/>
                <w:szCs w:val="20"/>
                <w:lang w:val="fr-FR" w:eastAsia="ru-RU"/>
              </w:rPr>
              <w:t>raport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privind</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punerea</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aplicare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prezentei</w:t>
            </w:r>
            <w:proofErr w:type="spellEnd"/>
            <w:r w:rsidRPr="00CB6B95">
              <w:rPr>
                <w:rFonts w:ascii="Times New Roman" w:hAnsi="Times New Roman"/>
                <w:sz w:val="20"/>
                <w:szCs w:val="20"/>
                <w:lang w:val="fr-FR" w:eastAsia="ru-RU"/>
              </w:rPr>
              <w:t xml:space="preserve"> directive, </w:t>
            </w:r>
            <w:proofErr w:type="spellStart"/>
            <w:r w:rsidRPr="00CB6B95">
              <w:rPr>
                <w:rFonts w:ascii="Times New Roman" w:hAnsi="Times New Roman"/>
                <w:sz w:val="20"/>
                <w:szCs w:val="20"/>
                <w:lang w:val="fr-FR" w:eastAsia="ru-RU"/>
              </w:rPr>
              <w:t>inclusiv</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registrul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menționat</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25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litera (b). </w:t>
            </w:r>
            <w:proofErr w:type="spellStart"/>
            <w:r w:rsidRPr="00CB6B95">
              <w:rPr>
                <w:rFonts w:ascii="Times New Roman" w:hAnsi="Times New Roman"/>
                <w:sz w:val="20"/>
                <w:szCs w:val="20"/>
                <w:lang w:val="fr-FR" w:eastAsia="ru-RU"/>
              </w:rPr>
              <w:t>Primul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transmite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până</w:t>
            </w:r>
            <w:proofErr w:type="spellEnd"/>
            <w:r w:rsidRPr="00CB6B95">
              <w:rPr>
                <w:rFonts w:ascii="Times New Roman" w:hAnsi="Times New Roman"/>
                <w:sz w:val="20"/>
                <w:szCs w:val="20"/>
                <w:lang w:val="fr-FR" w:eastAsia="ru-RU"/>
              </w:rPr>
              <w:t xml:space="preserve"> la 30 </w:t>
            </w:r>
            <w:proofErr w:type="spellStart"/>
            <w:r w:rsidRPr="00CB6B95">
              <w:rPr>
                <w:rFonts w:ascii="Times New Roman" w:hAnsi="Times New Roman"/>
                <w:sz w:val="20"/>
                <w:szCs w:val="20"/>
                <w:lang w:val="fr-FR" w:eastAsia="ru-RU"/>
              </w:rPr>
              <w:t>iunie</w:t>
            </w:r>
            <w:proofErr w:type="spellEnd"/>
            <w:r w:rsidRPr="00CB6B95">
              <w:rPr>
                <w:rFonts w:ascii="Times New Roman" w:hAnsi="Times New Roman"/>
                <w:sz w:val="20"/>
                <w:szCs w:val="20"/>
                <w:lang w:val="fr-FR" w:eastAsia="ru-RU"/>
              </w:rPr>
              <w:t xml:space="preserve"> 2011. </w:t>
            </w:r>
            <w:proofErr w:type="spellStart"/>
            <w:r w:rsidRPr="00CB6B95">
              <w:rPr>
                <w:rFonts w:ascii="Times New Roman" w:hAnsi="Times New Roman"/>
                <w:sz w:val="20"/>
                <w:szCs w:val="20"/>
                <w:lang w:val="fr-FR" w:eastAsia="ru-RU"/>
              </w:rPr>
              <w:t>Raportul</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întocmește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baza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chestionar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sau</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unei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prezentări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generale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adoptate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Comisie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sub</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formă</w:t>
            </w:r>
            <w:proofErr w:type="spellEnd"/>
            <w:r w:rsidRPr="00CB6B95">
              <w:rPr>
                <w:rFonts w:ascii="Times New Roman" w:hAnsi="Times New Roman"/>
                <w:sz w:val="20"/>
                <w:szCs w:val="20"/>
                <w:lang w:val="fr-FR" w:eastAsia="ru-RU"/>
              </w:rPr>
              <w:t xml:space="preserve"> </w:t>
            </w:r>
            <w:proofErr w:type="gramStart"/>
            <w:r w:rsidRPr="00CB6B95">
              <w:rPr>
                <w:rFonts w:ascii="Times New Roman" w:hAnsi="Times New Roman"/>
                <w:sz w:val="20"/>
                <w:szCs w:val="20"/>
                <w:lang w:val="fr-FR" w:eastAsia="ru-RU"/>
              </w:rPr>
              <w:t>de acte</w:t>
            </w:r>
            <w:proofErr w:type="gram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punere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aplicare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Respectivele</w:t>
            </w:r>
            <w:proofErr w:type="spellEnd"/>
            <w:r w:rsidRPr="00CB6B95">
              <w:rPr>
                <w:rFonts w:ascii="Times New Roman" w:hAnsi="Times New Roman"/>
                <w:sz w:val="20"/>
                <w:szCs w:val="20"/>
                <w:lang w:val="fr-FR" w:eastAsia="ru-RU"/>
              </w:rPr>
              <w:t xml:space="preserve"> acte de </w:t>
            </w:r>
            <w:proofErr w:type="spellStart"/>
            <w:r w:rsidRPr="00CB6B95">
              <w:rPr>
                <w:rFonts w:ascii="Times New Roman" w:hAnsi="Times New Roman"/>
                <w:sz w:val="20"/>
                <w:szCs w:val="20"/>
                <w:lang w:val="fr-FR" w:eastAsia="ru-RU"/>
              </w:rPr>
              <w:t>punere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aplicare</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adoptă</w:t>
            </w:r>
            <w:proofErr w:type="spellEnd"/>
            <w:r w:rsidRPr="00CB6B95">
              <w:rPr>
                <w:rFonts w:ascii="Times New Roman" w:hAnsi="Times New Roman"/>
                <w:sz w:val="20"/>
                <w:szCs w:val="20"/>
                <w:lang w:val="fr-FR" w:eastAsia="ru-RU"/>
              </w:rPr>
              <w:t xml:space="preserve"> în conformitate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procedura</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examinare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menționată</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30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(2). </w:t>
            </w:r>
            <w:proofErr w:type="spellStart"/>
            <w:r w:rsidRPr="00CB6B95">
              <w:rPr>
                <w:rFonts w:ascii="Times New Roman" w:hAnsi="Times New Roman"/>
                <w:sz w:val="20"/>
                <w:szCs w:val="20"/>
                <w:lang w:val="fr-FR" w:eastAsia="ru-RU"/>
              </w:rPr>
              <w:t>Chestionarul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sau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prezentarea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generală</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trimit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statelor</w:t>
            </w:r>
            <w:proofErr w:type="spell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cel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puțin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șase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luni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înainte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termenul</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depunere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raportului</w:t>
            </w:r>
            <w:proofErr w:type="spellEnd"/>
            <w:r w:rsidRPr="00CB6B95">
              <w:rPr>
                <w:rFonts w:ascii="Times New Roman" w:hAnsi="Times New Roman"/>
                <w:sz w:val="20"/>
                <w:szCs w:val="20"/>
                <w:lang w:val="fr-FR" w:eastAsia="ru-RU"/>
              </w:rPr>
              <w:t>.”</w:t>
            </w:r>
          </w:p>
          <w:p w14:paraId="149135BD" w14:textId="55306C05" w:rsidR="008F5636" w:rsidRPr="009231D7" w:rsidRDefault="0018134D" w:rsidP="0018134D">
            <w:pPr>
              <w:spacing w:after="0" w:line="240" w:lineRule="auto"/>
              <w:jc w:val="both"/>
              <w:rPr>
                <w:rFonts w:ascii="Times New Roman" w:hAnsi="Times New Roman"/>
                <w:sz w:val="20"/>
                <w:szCs w:val="20"/>
                <w:highlight w:val="red"/>
                <w:lang w:val="fr-FR" w:eastAsia="ru-RU"/>
              </w:rPr>
            </w:pPr>
            <w:r w:rsidRPr="00CB6B95">
              <w:rPr>
                <w:rFonts w:ascii="Times New Roman" w:hAnsi="Times New Roman"/>
                <w:sz w:val="20"/>
                <w:szCs w:val="20"/>
                <w:lang w:val="fr-FR" w:eastAsia="ru-RU"/>
              </w:rPr>
              <w:t xml:space="preserve">2.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38,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tc>
        <w:tc>
          <w:tcPr>
            <w:tcW w:w="4440" w:type="dxa"/>
          </w:tcPr>
          <w:p w14:paraId="21C74318" w14:textId="77777777" w:rsidR="008F5636" w:rsidRPr="00745D9A" w:rsidRDefault="008F5636" w:rsidP="008F5636">
            <w:pPr>
              <w:pStyle w:val="ColorfulList-Accent11"/>
              <w:spacing w:after="0" w:line="240" w:lineRule="auto"/>
              <w:ind w:left="0"/>
              <w:jc w:val="both"/>
              <w:rPr>
                <w:lang w:val="fr-FR"/>
              </w:rPr>
            </w:pPr>
          </w:p>
        </w:tc>
        <w:tc>
          <w:tcPr>
            <w:tcW w:w="1276" w:type="dxa"/>
          </w:tcPr>
          <w:p w14:paraId="7465A25E" w14:textId="108A3B05" w:rsidR="008F5636" w:rsidRPr="00745D9A" w:rsidRDefault="0018134D"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7A12E841" w14:textId="77777777" w:rsidR="008F5636" w:rsidRPr="00745D9A" w:rsidRDefault="008F5636" w:rsidP="008F5636">
            <w:pPr>
              <w:pStyle w:val="ColorfulList-Accent11"/>
              <w:spacing w:after="0" w:line="240" w:lineRule="auto"/>
              <w:ind w:left="0"/>
              <w:jc w:val="both"/>
              <w:rPr>
                <w:lang w:val="fr-FR"/>
              </w:rPr>
            </w:pPr>
          </w:p>
        </w:tc>
        <w:tc>
          <w:tcPr>
            <w:tcW w:w="1701" w:type="dxa"/>
          </w:tcPr>
          <w:p w14:paraId="42650C69" w14:textId="3E40F5E2" w:rsidR="008F5636" w:rsidRPr="00745D9A" w:rsidRDefault="0018134D"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3999E94B" w14:textId="77777777" w:rsidR="008F5636" w:rsidRPr="00745D9A" w:rsidRDefault="008F5636" w:rsidP="008F5636">
            <w:pPr>
              <w:pStyle w:val="ColorfulList-Accent11"/>
              <w:spacing w:after="0" w:line="240" w:lineRule="auto"/>
              <w:ind w:left="0"/>
              <w:jc w:val="both"/>
              <w:rPr>
                <w:lang w:val="fr-FR"/>
              </w:rPr>
            </w:pPr>
          </w:p>
        </w:tc>
      </w:tr>
      <w:tr w:rsidR="008F5636" w:rsidRPr="00745D9A" w14:paraId="0967C6EE" w14:textId="77777777" w:rsidTr="00A90105">
        <w:tc>
          <w:tcPr>
            <w:tcW w:w="4945" w:type="dxa"/>
          </w:tcPr>
          <w:p w14:paraId="7211BE62" w14:textId="77777777"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49</w:t>
            </w:r>
          </w:p>
          <w:p w14:paraId="2DC1A505" w14:textId="33CB3C4B" w:rsidR="008F5636" w:rsidRPr="00CB6B95" w:rsidRDefault="008F5636" w:rsidP="0018134D">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Regulamentului</w:t>
            </w:r>
            <w:proofErr w:type="spellEnd"/>
            <w:r w:rsidRPr="00CB6B95">
              <w:rPr>
                <w:rFonts w:ascii="Times New Roman" w:hAnsi="Times New Roman"/>
                <w:b/>
                <w:bCs/>
                <w:sz w:val="20"/>
                <w:szCs w:val="20"/>
                <w:lang w:val="fr-FR" w:eastAsia="ru-RU"/>
              </w:rPr>
              <w:t xml:space="preserve"> (CE) nr.</w:t>
            </w:r>
            <w:r w:rsidR="0018134D" w:rsidRPr="00CB6B95">
              <w:rPr>
                <w:rFonts w:ascii="Times New Roman" w:hAnsi="Times New Roman"/>
                <w:b/>
                <w:bCs/>
                <w:sz w:val="20"/>
                <w:szCs w:val="20"/>
                <w:lang w:val="fr-FR" w:eastAsia="ru-RU"/>
              </w:rPr>
              <w:t xml:space="preserve"> </w:t>
            </w:r>
            <w:r w:rsidRPr="00CB6B95">
              <w:rPr>
                <w:rFonts w:ascii="Times New Roman" w:hAnsi="Times New Roman"/>
                <w:b/>
                <w:bCs/>
                <w:sz w:val="20"/>
                <w:szCs w:val="20"/>
                <w:lang w:val="fr-FR" w:eastAsia="ru-RU"/>
              </w:rPr>
              <w:t>663/2009</w:t>
            </w:r>
          </w:p>
          <w:p w14:paraId="78E48E8C" w14:textId="4E18197D" w:rsidR="008F5636" w:rsidRPr="00CB6B95" w:rsidRDefault="008F5636" w:rsidP="0018134D">
            <w:pPr>
              <w:spacing w:after="0" w:line="240" w:lineRule="auto"/>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Regulamentul</w:t>
            </w:r>
            <w:proofErr w:type="spellEnd"/>
            <w:r w:rsidRPr="00CB6B95">
              <w:rPr>
                <w:rFonts w:ascii="Times New Roman" w:hAnsi="Times New Roman"/>
                <w:sz w:val="20"/>
                <w:szCs w:val="20"/>
                <w:lang w:val="fr-FR" w:eastAsia="ru-RU"/>
              </w:rPr>
              <w:t xml:space="preserve"> (CE) nr.</w:t>
            </w:r>
            <w:r w:rsidR="0018134D"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663/2009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498857E5" w14:textId="0205486D" w:rsidR="0018134D" w:rsidRPr="00CB6B95" w:rsidRDefault="0018134D" w:rsidP="0018134D">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t xml:space="preserve">1.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27, </w:t>
            </w:r>
            <w:proofErr w:type="spellStart"/>
            <w:r w:rsidRPr="00CB6B95">
              <w:rPr>
                <w:rFonts w:ascii="Times New Roman" w:hAnsi="Times New Roman"/>
                <w:sz w:val="20"/>
                <w:szCs w:val="20"/>
                <w:lang w:val="fr-FR" w:eastAsia="ru-RU"/>
              </w:rPr>
              <w:t>alineatele</w:t>
            </w:r>
            <w:proofErr w:type="spellEnd"/>
            <w:r w:rsidRPr="00CB6B95">
              <w:rPr>
                <w:rFonts w:ascii="Times New Roman" w:hAnsi="Times New Roman"/>
                <w:sz w:val="20"/>
                <w:szCs w:val="20"/>
                <w:lang w:val="fr-FR" w:eastAsia="ru-RU"/>
              </w:rPr>
              <w:t xml:space="preserve"> (1) și (3)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7F1F9D25" w14:textId="17DE3406" w:rsidR="008F5636" w:rsidRPr="00CB6B95" w:rsidRDefault="0018134D" w:rsidP="0018134D">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lastRenderedPageBreak/>
              <w:t>2.</w:t>
            </w:r>
            <w:r w:rsidRPr="00CB6B95">
              <w:rPr>
                <w:rFonts w:ascii="Times New Roman" w:hAnsi="Times New Roman"/>
                <w:sz w:val="20"/>
                <w:szCs w:val="20"/>
                <w:lang w:val="ru-RU" w:eastAsia="ru-RU"/>
              </w:rPr>
              <w:t xml:space="preserve"> </w:t>
            </w:r>
            <w:proofErr w:type="spellStart"/>
            <w:r w:rsidRPr="00CB6B95">
              <w:rPr>
                <w:rFonts w:ascii="Times New Roman" w:hAnsi="Times New Roman"/>
                <w:sz w:val="20"/>
                <w:szCs w:val="20"/>
                <w:lang w:val="ru-RU" w:eastAsia="ru-RU"/>
              </w:rPr>
              <w:t>Articolul</w:t>
            </w:r>
            <w:proofErr w:type="spellEnd"/>
            <w:r w:rsidRPr="00CB6B95">
              <w:rPr>
                <w:rFonts w:ascii="Times New Roman" w:hAnsi="Times New Roman"/>
                <w:sz w:val="20"/>
                <w:szCs w:val="20"/>
                <w:lang w:val="ro-MD" w:eastAsia="ru-RU"/>
              </w:rPr>
              <w:t xml:space="preserve"> </w:t>
            </w:r>
            <w:r w:rsidRPr="00CB6B95">
              <w:rPr>
                <w:rFonts w:ascii="Times New Roman" w:hAnsi="Times New Roman"/>
                <w:sz w:val="20"/>
                <w:szCs w:val="20"/>
                <w:lang w:val="ru-RU" w:eastAsia="ru-RU"/>
              </w:rPr>
              <w:t xml:space="preserve">28 </w:t>
            </w:r>
            <w:proofErr w:type="spellStart"/>
            <w:r w:rsidRPr="00CB6B95">
              <w:rPr>
                <w:rFonts w:ascii="Times New Roman" w:hAnsi="Times New Roman"/>
                <w:sz w:val="20"/>
                <w:szCs w:val="20"/>
                <w:lang w:val="ru-RU" w:eastAsia="ru-RU"/>
              </w:rPr>
              <w:t>se</w:t>
            </w:r>
            <w:proofErr w:type="spellEnd"/>
            <w:r w:rsidRPr="00CB6B95">
              <w:rPr>
                <w:rFonts w:ascii="Times New Roman" w:hAnsi="Times New Roman"/>
                <w:sz w:val="20"/>
                <w:szCs w:val="20"/>
                <w:lang w:val="ru-RU" w:eastAsia="ru-RU"/>
              </w:rPr>
              <w:t xml:space="preserve"> </w:t>
            </w:r>
            <w:proofErr w:type="spellStart"/>
            <w:r w:rsidRPr="00CB6B95">
              <w:rPr>
                <w:rFonts w:ascii="Times New Roman" w:hAnsi="Times New Roman"/>
                <w:sz w:val="20"/>
                <w:szCs w:val="20"/>
                <w:lang w:val="ru-RU" w:eastAsia="ru-RU"/>
              </w:rPr>
              <w:t>elimină</w:t>
            </w:r>
            <w:proofErr w:type="spellEnd"/>
          </w:p>
        </w:tc>
        <w:tc>
          <w:tcPr>
            <w:tcW w:w="4440" w:type="dxa"/>
          </w:tcPr>
          <w:p w14:paraId="7ADC84C1" w14:textId="77777777" w:rsidR="008F5636" w:rsidRPr="00745D9A" w:rsidRDefault="008F5636" w:rsidP="008F5636">
            <w:pPr>
              <w:pStyle w:val="ColorfulList-Accent11"/>
              <w:spacing w:after="0" w:line="240" w:lineRule="auto"/>
              <w:ind w:left="0"/>
              <w:jc w:val="both"/>
              <w:rPr>
                <w:lang w:val="fr-FR"/>
              </w:rPr>
            </w:pPr>
          </w:p>
        </w:tc>
        <w:tc>
          <w:tcPr>
            <w:tcW w:w="1276" w:type="dxa"/>
          </w:tcPr>
          <w:p w14:paraId="78DDEB1A" w14:textId="2112C00B" w:rsidR="008F5636" w:rsidRPr="00745D9A" w:rsidRDefault="0018134D"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7491428C" w14:textId="77777777" w:rsidR="008F5636" w:rsidRPr="00745D9A" w:rsidRDefault="008F5636" w:rsidP="008F5636">
            <w:pPr>
              <w:pStyle w:val="ColorfulList-Accent11"/>
              <w:spacing w:after="0" w:line="240" w:lineRule="auto"/>
              <w:ind w:left="0"/>
              <w:jc w:val="both"/>
              <w:rPr>
                <w:lang w:val="fr-FR"/>
              </w:rPr>
            </w:pPr>
          </w:p>
        </w:tc>
        <w:tc>
          <w:tcPr>
            <w:tcW w:w="1701" w:type="dxa"/>
          </w:tcPr>
          <w:p w14:paraId="03B2E9AD" w14:textId="4D94C016" w:rsidR="008F5636" w:rsidRPr="00745D9A" w:rsidRDefault="0018134D"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01BB4C39" w14:textId="77777777" w:rsidR="008F5636" w:rsidRPr="00745D9A" w:rsidRDefault="008F5636" w:rsidP="008F5636">
            <w:pPr>
              <w:pStyle w:val="ColorfulList-Accent11"/>
              <w:spacing w:after="0" w:line="240" w:lineRule="auto"/>
              <w:ind w:left="0"/>
              <w:jc w:val="both"/>
              <w:rPr>
                <w:lang w:val="fr-FR"/>
              </w:rPr>
            </w:pPr>
          </w:p>
        </w:tc>
      </w:tr>
      <w:tr w:rsidR="008F5636" w14:paraId="2C03E39E" w14:textId="77777777" w:rsidTr="00A90105">
        <w:tc>
          <w:tcPr>
            <w:tcW w:w="4945" w:type="dxa"/>
          </w:tcPr>
          <w:p w14:paraId="69C7AB3D" w14:textId="77777777"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50</w:t>
            </w:r>
          </w:p>
          <w:p w14:paraId="2C012132" w14:textId="2F0AB0F2" w:rsidR="008F5636" w:rsidRPr="00CB6B95" w:rsidRDefault="008F5636" w:rsidP="0018134D">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Modificare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adusă</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Regulamentului</w:t>
            </w:r>
            <w:proofErr w:type="spellEnd"/>
            <w:r w:rsidRPr="00CB6B95">
              <w:rPr>
                <w:rFonts w:ascii="Times New Roman" w:hAnsi="Times New Roman"/>
                <w:b/>
                <w:bCs/>
                <w:sz w:val="20"/>
                <w:szCs w:val="20"/>
                <w:lang w:val="fr-FR" w:eastAsia="ru-RU"/>
              </w:rPr>
              <w:t xml:space="preserve"> (CE) nr.</w:t>
            </w:r>
            <w:r w:rsidR="0018134D" w:rsidRPr="00CB6B95">
              <w:rPr>
                <w:rFonts w:ascii="Times New Roman" w:hAnsi="Times New Roman"/>
                <w:b/>
                <w:bCs/>
                <w:sz w:val="20"/>
                <w:szCs w:val="20"/>
                <w:lang w:val="fr-FR" w:eastAsia="ru-RU"/>
              </w:rPr>
              <w:t xml:space="preserve"> </w:t>
            </w:r>
            <w:r w:rsidRPr="00CB6B95">
              <w:rPr>
                <w:rFonts w:ascii="Times New Roman" w:hAnsi="Times New Roman"/>
                <w:b/>
                <w:bCs/>
                <w:sz w:val="20"/>
                <w:szCs w:val="20"/>
                <w:lang w:val="fr-FR" w:eastAsia="ru-RU"/>
              </w:rPr>
              <w:t>715/2009</w:t>
            </w:r>
          </w:p>
          <w:p w14:paraId="2646B329" w14:textId="5C7CE311" w:rsidR="008F5636" w:rsidRPr="00CB6B95" w:rsidRDefault="008F5636" w:rsidP="0018134D">
            <w:pPr>
              <w:spacing w:after="0" w:line="240" w:lineRule="auto"/>
              <w:jc w:val="both"/>
              <w:rPr>
                <w:rFonts w:ascii="Times New Roman" w:hAnsi="Times New Roman"/>
                <w:sz w:val="20"/>
                <w:szCs w:val="20"/>
                <w:lang w:val="en-US" w:eastAsia="ru-RU"/>
              </w:rPr>
            </w:pPr>
            <w:r w:rsidRPr="00CB6B95">
              <w:rPr>
                <w:rFonts w:ascii="Times New Roman" w:hAnsi="Times New Roman"/>
                <w:sz w:val="20"/>
                <w:szCs w:val="20"/>
                <w:lang w:val="en-US" w:eastAsia="ru-RU"/>
              </w:rPr>
              <w:t xml:space="preserve">În </w:t>
            </w:r>
            <w:proofErr w:type="spellStart"/>
            <w:r w:rsidRPr="00CB6B95">
              <w:rPr>
                <w:rFonts w:ascii="Times New Roman" w:hAnsi="Times New Roman"/>
                <w:sz w:val="20"/>
                <w:szCs w:val="20"/>
                <w:lang w:val="en-US" w:eastAsia="ru-RU"/>
              </w:rPr>
              <w:t>Regulamentul</w:t>
            </w:r>
            <w:proofErr w:type="spellEnd"/>
            <w:r w:rsidRPr="00CB6B95">
              <w:rPr>
                <w:rFonts w:ascii="Times New Roman" w:hAnsi="Times New Roman"/>
                <w:sz w:val="20"/>
                <w:szCs w:val="20"/>
                <w:lang w:val="en-US" w:eastAsia="ru-RU"/>
              </w:rPr>
              <w:t xml:space="preserve"> (CE) nr.</w:t>
            </w:r>
            <w:r w:rsidR="0018134D" w:rsidRPr="00CB6B95">
              <w:rPr>
                <w:rFonts w:ascii="Times New Roman" w:hAnsi="Times New Roman"/>
                <w:sz w:val="20"/>
                <w:szCs w:val="20"/>
                <w:lang w:val="en-US" w:eastAsia="ru-RU"/>
              </w:rPr>
              <w:t xml:space="preserve"> </w:t>
            </w:r>
            <w:r w:rsidRPr="00CB6B95">
              <w:rPr>
                <w:rFonts w:ascii="Times New Roman" w:hAnsi="Times New Roman"/>
                <w:sz w:val="20"/>
                <w:szCs w:val="20"/>
                <w:lang w:val="en-US" w:eastAsia="ru-RU"/>
              </w:rPr>
              <w:t xml:space="preserve">715/2009, </w:t>
            </w:r>
            <w:proofErr w:type="spellStart"/>
            <w:r w:rsidRPr="00CB6B95">
              <w:rPr>
                <w:rFonts w:ascii="Times New Roman" w:hAnsi="Times New Roman"/>
                <w:sz w:val="20"/>
                <w:szCs w:val="20"/>
                <w:lang w:val="en-US" w:eastAsia="ru-RU"/>
              </w:rPr>
              <w:t>articolul</w:t>
            </w:r>
            <w:proofErr w:type="spellEnd"/>
            <w:r w:rsidR="0018134D" w:rsidRPr="00CB6B95">
              <w:rPr>
                <w:rFonts w:ascii="Times New Roman" w:hAnsi="Times New Roman"/>
                <w:sz w:val="20"/>
                <w:szCs w:val="20"/>
                <w:lang w:val="en-US" w:eastAsia="ru-RU"/>
              </w:rPr>
              <w:t xml:space="preserve"> </w:t>
            </w:r>
            <w:r w:rsidRPr="00CB6B95">
              <w:rPr>
                <w:rFonts w:ascii="Times New Roman" w:hAnsi="Times New Roman"/>
                <w:sz w:val="20"/>
                <w:szCs w:val="20"/>
                <w:lang w:val="en-US" w:eastAsia="ru-RU"/>
              </w:rPr>
              <w:t xml:space="preserve">29 se </w:t>
            </w:r>
            <w:proofErr w:type="spellStart"/>
            <w:r w:rsidRPr="00CB6B95">
              <w:rPr>
                <w:rFonts w:ascii="Times New Roman" w:hAnsi="Times New Roman"/>
                <w:sz w:val="20"/>
                <w:szCs w:val="20"/>
                <w:lang w:val="en-US" w:eastAsia="ru-RU"/>
              </w:rPr>
              <w:t>elimină</w:t>
            </w:r>
            <w:proofErr w:type="spellEnd"/>
            <w:r w:rsidRPr="00CB6B95">
              <w:rPr>
                <w:rFonts w:ascii="Times New Roman" w:hAnsi="Times New Roman"/>
                <w:sz w:val="20"/>
                <w:szCs w:val="20"/>
                <w:lang w:val="en-US" w:eastAsia="ru-RU"/>
              </w:rPr>
              <w:t>.</w:t>
            </w:r>
          </w:p>
        </w:tc>
        <w:tc>
          <w:tcPr>
            <w:tcW w:w="4440" w:type="dxa"/>
          </w:tcPr>
          <w:p w14:paraId="0153E179" w14:textId="77777777" w:rsidR="008F5636" w:rsidRDefault="008F5636" w:rsidP="008F5636">
            <w:pPr>
              <w:pStyle w:val="ColorfulList-Accent11"/>
              <w:spacing w:after="0" w:line="240" w:lineRule="auto"/>
              <w:ind w:left="0"/>
              <w:jc w:val="both"/>
              <w:rPr>
                <w:lang w:val="en-US"/>
              </w:rPr>
            </w:pPr>
          </w:p>
        </w:tc>
        <w:tc>
          <w:tcPr>
            <w:tcW w:w="1276" w:type="dxa"/>
          </w:tcPr>
          <w:p w14:paraId="09FD8D91" w14:textId="5820B1BF" w:rsidR="008F5636" w:rsidRDefault="0018134D" w:rsidP="008F5636">
            <w:pPr>
              <w:pStyle w:val="ColorfulList-Accent11"/>
              <w:spacing w:after="0" w:line="240" w:lineRule="auto"/>
              <w:ind w:left="0"/>
              <w:jc w:val="both"/>
              <w:rPr>
                <w:lang w:val="en-US"/>
              </w:rPr>
            </w:pPr>
            <w:r w:rsidRPr="00C951E7">
              <w:rPr>
                <w:rFonts w:ascii="Times New Roman" w:hAnsi="Times New Roman"/>
                <w:sz w:val="20"/>
                <w:szCs w:val="20"/>
                <w:lang w:val="ro-RO"/>
              </w:rPr>
              <w:t>Prevederi UE neaplicabile</w:t>
            </w:r>
          </w:p>
        </w:tc>
        <w:tc>
          <w:tcPr>
            <w:tcW w:w="1276" w:type="dxa"/>
          </w:tcPr>
          <w:p w14:paraId="5F2CA667" w14:textId="77777777" w:rsidR="008F5636" w:rsidRDefault="008F5636" w:rsidP="008F5636">
            <w:pPr>
              <w:pStyle w:val="ColorfulList-Accent11"/>
              <w:spacing w:after="0" w:line="240" w:lineRule="auto"/>
              <w:ind w:left="0"/>
              <w:jc w:val="both"/>
              <w:rPr>
                <w:lang w:val="en-US"/>
              </w:rPr>
            </w:pPr>
          </w:p>
        </w:tc>
        <w:tc>
          <w:tcPr>
            <w:tcW w:w="1701" w:type="dxa"/>
          </w:tcPr>
          <w:p w14:paraId="4EF8A1A2" w14:textId="71E5F932" w:rsidR="008F5636" w:rsidRDefault="0018134D" w:rsidP="008F5636">
            <w:pPr>
              <w:pStyle w:val="ColorfulList-Accent11"/>
              <w:spacing w:after="0" w:line="240" w:lineRule="auto"/>
              <w:ind w:left="0"/>
              <w:jc w:val="both"/>
              <w:rPr>
                <w:lang w:val="en-US"/>
              </w:rPr>
            </w:pPr>
            <w:r w:rsidRPr="00C951E7">
              <w:rPr>
                <w:rFonts w:ascii="Times New Roman" w:hAnsi="Times New Roman"/>
                <w:sz w:val="20"/>
                <w:szCs w:val="20"/>
                <w:lang w:val="ro-RO"/>
              </w:rPr>
              <w:t>Transpunerea nu este necesară, deoarece se referă la tehnica legislativă UE.</w:t>
            </w:r>
          </w:p>
        </w:tc>
        <w:tc>
          <w:tcPr>
            <w:tcW w:w="1460" w:type="dxa"/>
          </w:tcPr>
          <w:p w14:paraId="335DAEB3" w14:textId="77777777" w:rsidR="008F5636" w:rsidRDefault="008F5636" w:rsidP="008F5636">
            <w:pPr>
              <w:pStyle w:val="ColorfulList-Accent11"/>
              <w:spacing w:after="0" w:line="240" w:lineRule="auto"/>
              <w:ind w:left="0"/>
              <w:jc w:val="both"/>
              <w:rPr>
                <w:lang w:val="en-US"/>
              </w:rPr>
            </w:pPr>
          </w:p>
        </w:tc>
      </w:tr>
      <w:tr w:rsidR="008F5636" w14:paraId="14E10CDA" w14:textId="77777777" w:rsidTr="00A90105">
        <w:tc>
          <w:tcPr>
            <w:tcW w:w="4945" w:type="dxa"/>
          </w:tcPr>
          <w:p w14:paraId="31E461E5" w14:textId="77777777"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51</w:t>
            </w:r>
          </w:p>
          <w:p w14:paraId="218C6D21" w14:textId="77777777" w:rsidR="008F5636" w:rsidRPr="00CB6B95" w:rsidRDefault="008F5636" w:rsidP="0018134D">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2009/73/CE</w:t>
            </w:r>
          </w:p>
          <w:p w14:paraId="234343C9" w14:textId="6502EAC2" w:rsidR="008F5636" w:rsidRPr="00CB6B95" w:rsidRDefault="008F5636" w:rsidP="0018134D">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2009/73/CE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775F64C0" w14:textId="77777777" w:rsidR="008F5636" w:rsidRPr="00CB6B95" w:rsidRDefault="0018134D" w:rsidP="0018134D">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1.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ro-MD" w:eastAsia="ru-RU"/>
              </w:rPr>
              <w:t xml:space="preserve"> </w:t>
            </w:r>
            <w:r w:rsidRPr="00CB6B95">
              <w:rPr>
                <w:rFonts w:ascii="Times New Roman" w:hAnsi="Times New Roman"/>
                <w:sz w:val="20"/>
                <w:szCs w:val="20"/>
                <w:lang w:val="fr-FR" w:eastAsia="ru-RU"/>
              </w:rPr>
              <w:t xml:space="preserve">5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0245867D" w14:textId="335B85B4" w:rsidR="0018134D" w:rsidRPr="00CB6B95" w:rsidRDefault="0018134D" w:rsidP="0018134D">
            <w:pPr>
              <w:pStyle w:val="Normal4"/>
              <w:spacing w:before="0" w:beforeAutospacing="0" w:after="0" w:afterAutospacing="0"/>
              <w:jc w:val="both"/>
              <w:rPr>
                <w:sz w:val="20"/>
                <w:szCs w:val="20"/>
              </w:rPr>
            </w:pPr>
            <w:r w:rsidRPr="00CB6B95">
              <w:rPr>
                <w:sz w:val="20"/>
                <w:szCs w:val="20"/>
                <w:lang w:val="fr-FR" w:eastAsia="ru-RU"/>
              </w:rPr>
              <w:t>2.</w:t>
            </w:r>
            <w:r w:rsidRPr="00CB6B95">
              <w:rPr>
                <w:sz w:val="20"/>
                <w:szCs w:val="20"/>
              </w:rPr>
              <w:t xml:space="preserve"> Articolul 52 se înlocuiește cu următorul </w:t>
            </w:r>
            <w:proofErr w:type="gramStart"/>
            <w:r w:rsidRPr="00CB6B95">
              <w:rPr>
                <w:sz w:val="20"/>
                <w:szCs w:val="20"/>
              </w:rPr>
              <w:t>text:</w:t>
            </w:r>
            <w:proofErr w:type="gramEnd"/>
          </w:p>
          <w:p w14:paraId="0B448029" w14:textId="77777777" w:rsidR="0018134D" w:rsidRPr="00CB6B95" w:rsidRDefault="0018134D" w:rsidP="0018134D">
            <w:pPr>
              <w:pStyle w:val="ti-art"/>
              <w:spacing w:before="0" w:beforeAutospacing="0" w:after="0" w:afterAutospacing="0"/>
              <w:jc w:val="center"/>
              <w:rPr>
                <w:i/>
                <w:iCs/>
                <w:sz w:val="20"/>
                <w:szCs w:val="20"/>
                <w:lang w:val="ro-MD"/>
              </w:rPr>
            </w:pPr>
            <w:r w:rsidRPr="00CB6B95">
              <w:rPr>
                <w:i/>
                <w:iCs/>
                <w:sz w:val="20"/>
                <w:szCs w:val="20"/>
                <w:lang w:val="fr-FR"/>
              </w:rPr>
              <w:t>„</w:t>
            </w:r>
            <w:proofErr w:type="spellStart"/>
            <w:r w:rsidRPr="00CB6B95">
              <w:rPr>
                <w:i/>
                <w:iCs/>
                <w:sz w:val="20"/>
                <w:szCs w:val="20"/>
                <w:lang w:val="fr-FR"/>
              </w:rPr>
              <w:t>Articolul</w:t>
            </w:r>
            <w:proofErr w:type="spellEnd"/>
            <w:r w:rsidRPr="00CB6B95">
              <w:rPr>
                <w:i/>
                <w:iCs/>
                <w:sz w:val="20"/>
                <w:szCs w:val="20"/>
                <w:lang w:val="fr-FR"/>
              </w:rPr>
              <w:t xml:space="preserve"> 52</w:t>
            </w:r>
          </w:p>
          <w:p w14:paraId="5DF56C26" w14:textId="77777777" w:rsidR="0018134D" w:rsidRPr="00CB6B95" w:rsidRDefault="0018134D" w:rsidP="0018134D">
            <w:pPr>
              <w:pStyle w:val="sti-art"/>
              <w:spacing w:before="0" w:beforeAutospacing="0" w:after="0" w:afterAutospacing="0"/>
              <w:jc w:val="center"/>
              <w:rPr>
                <w:b/>
                <w:bCs/>
                <w:color w:val="333333"/>
                <w:sz w:val="20"/>
                <w:szCs w:val="20"/>
                <w:lang w:val="fr-FR"/>
              </w:rPr>
            </w:pPr>
            <w:proofErr w:type="spellStart"/>
            <w:r w:rsidRPr="00CB6B95">
              <w:rPr>
                <w:b/>
                <w:bCs/>
                <w:color w:val="333333"/>
                <w:sz w:val="20"/>
                <w:szCs w:val="20"/>
                <w:lang w:val="fr-FR"/>
              </w:rPr>
              <w:t>Raportare</w:t>
            </w:r>
            <w:proofErr w:type="spellEnd"/>
          </w:p>
          <w:p w14:paraId="2B42E40B" w14:textId="717C069D" w:rsidR="0018134D" w:rsidRPr="00CB6B95" w:rsidRDefault="0018134D" w:rsidP="0018134D">
            <w:pPr>
              <w:pStyle w:val="Normal4"/>
              <w:spacing w:before="0" w:beforeAutospacing="0" w:after="0" w:afterAutospacing="0"/>
              <w:jc w:val="both"/>
              <w:rPr>
                <w:sz w:val="20"/>
                <w:szCs w:val="20"/>
              </w:rPr>
            </w:pPr>
            <w:r w:rsidRPr="00CB6B95">
              <w:rPr>
                <w:sz w:val="20"/>
                <w:szCs w:val="20"/>
              </w:rPr>
              <w:t>Comisia monitorizează și examinează aplicarea prezentei directive și prezintă Parlamentului European și Consiliului un raport intermediar general, ca anexă la raportul privind starea uniunii energetice menționat la articolul 35 din Regulamentul (UE) 2018/1999 al Parlamentului European și al Consiliului</w:t>
            </w:r>
            <w:hyperlink r:id="rId51" w:anchor="ntr*1-L_2018328RO.01000101-E0036" w:history="1">
              <w:r w:rsidRPr="00CB6B95">
                <w:rPr>
                  <w:rStyle w:val="af6"/>
                  <w:color w:val="auto"/>
                  <w:sz w:val="20"/>
                  <w:szCs w:val="20"/>
                </w:rPr>
                <w:t> (</w:t>
              </w:r>
              <w:r w:rsidRPr="00CB6B95">
                <w:rPr>
                  <w:rStyle w:val="super"/>
                  <w:sz w:val="20"/>
                  <w:szCs w:val="20"/>
                  <w:vertAlign w:val="superscript"/>
                </w:rPr>
                <w:t>*1</w:t>
              </w:r>
              <w:r w:rsidRPr="00CB6B95">
                <w:rPr>
                  <w:rStyle w:val="af6"/>
                  <w:color w:val="auto"/>
                  <w:sz w:val="20"/>
                  <w:szCs w:val="20"/>
                </w:rPr>
                <w:t>)</w:t>
              </w:r>
            </w:hyperlink>
            <w:r w:rsidRPr="00CB6B95">
              <w:rPr>
                <w:sz w:val="20"/>
                <w:szCs w:val="20"/>
              </w:rPr>
              <w:t>.</w:t>
            </w:r>
          </w:p>
          <w:p w14:paraId="2C3FEF07" w14:textId="79CE197E" w:rsidR="0018134D" w:rsidRPr="009231D7" w:rsidRDefault="00000000" w:rsidP="0018134D">
            <w:pPr>
              <w:pStyle w:val="note"/>
              <w:spacing w:before="0" w:beforeAutospacing="0" w:after="0" w:afterAutospacing="0"/>
              <w:jc w:val="both"/>
              <w:rPr>
                <w:color w:val="333333"/>
                <w:sz w:val="20"/>
                <w:szCs w:val="20"/>
                <w:highlight w:val="red"/>
                <w:lang w:val="fr-FR"/>
              </w:rPr>
            </w:pPr>
            <w:hyperlink r:id="rId52" w:anchor="ntc*1-L_2018328RO.01000101-E0036" w:history="1">
              <w:r w:rsidR="0018134D" w:rsidRPr="00CB6B95">
                <w:rPr>
                  <w:rStyle w:val="af6"/>
                  <w:color w:val="auto"/>
                  <w:sz w:val="20"/>
                  <w:szCs w:val="20"/>
                  <w:lang w:val="fr-FR"/>
                </w:rPr>
                <w:t>(</w:t>
              </w:r>
              <w:r w:rsidR="0018134D" w:rsidRPr="00CB6B95">
                <w:rPr>
                  <w:rStyle w:val="super"/>
                  <w:sz w:val="20"/>
                  <w:szCs w:val="20"/>
                  <w:vertAlign w:val="superscript"/>
                  <w:lang w:val="fr-FR"/>
                </w:rPr>
                <w:t>*1</w:t>
              </w:r>
              <w:r w:rsidR="0018134D" w:rsidRPr="00CB6B95">
                <w:rPr>
                  <w:rStyle w:val="af6"/>
                  <w:color w:val="auto"/>
                  <w:sz w:val="20"/>
                  <w:szCs w:val="20"/>
                  <w:lang w:val="fr-FR"/>
                </w:rPr>
                <w:t>)</w:t>
              </w:r>
              <w:proofErr w:type="spellStart"/>
            </w:hyperlink>
            <w:r w:rsidR="0018134D" w:rsidRPr="00CB6B95">
              <w:rPr>
                <w:sz w:val="20"/>
                <w:szCs w:val="20"/>
                <w:lang w:val="fr-FR"/>
              </w:rPr>
              <w:t>Regulamentul</w:t>
            </w:r>
            <w:proofErr w:type="spellEnd"/>
            <w:r w:rsidR="0018134D" w:rsidRPr="00CB6B95">
              <w:rPr>
                <w:sz w:val="20"/>
                <w:szCs w:val="20"/>
                <w:lang w:val="fr-FR"/>
              </w:rPr>
              <w:t xml:space="preserve"> (UE) 2018/1999 al </w:t>
            </w:r>
            <w:proofErr w:type="spellStart"/>
            <w:r w:rsidR="0018134D" w:rsidRPr="00CB6B95">
              <w:rPr>
                <w:sz w:val="20"/>
                <w:szCs w:val="20"/>
                <w:lang w:val="fr-FR"/>
              </w:rPr>
              <w:t>Parlamentului</w:t>
            </w:r>
            <w:proofErr w:type="spellEnd"/>
            <w:r w:rsidR="0018134D" w:rsidRPr="00CB6B95">
              <w:rPr>
                <w:sz w:val="20"/>
                <w:szCs w:val="20"/>
                <w:lang w:val="fr-FR"/>
              </w:rPr>
              <w:t xml:space="preserve"> </w:t>
            </w:r>
            <w:proofErr w:type="spellStart"/>
            <w:r w:rsidR="0018134D" w:rsidRPr="00CB6B95">
              <w:rPr>
                <w:sz w:val="20"/>
                <w:szCs w:val="20"/>
                <w:lang w:val="fr-FR"/>
              </w:rPr>
              <w:t>European</w:t>
            </w:r>
            <w:proofErr w:type="spellEnd"/>
            <w:r w:rsidR="0018134D" w:rsidRPr="00CB6B95">
              <w:rPr>
                <w:sz w:val="20"/>
                <w:szCs w:val="20"/>
                <w:lang w:val="fr-FR"/>
              </w:rPr>
              <w:t xml:space="preserve"> și al </w:t>
            </w:r>
            <w:proofErr w:type="spellStart"/>
            <w:r w:rsidR="0018134D" w:rsidRPr="00CB6B95">
              <w:rPr>
                <w:sz w:val="20"/>
                <w:szCs w:val="20"/>
                <w:lang w:val="fr-FR"/>
              </w:rPr>
              <w:t>Consiliului</w:t>
            </w:r>
            <w:proofErr w:type="spellEnd"/>
            <w:r w:rsidR="0018134D" w:rsidRPr="00CB6B95">
              <w:rPr>
                <w:sz w:val="20"/>
                <w:szCs w:val="20"/>
                <w:lang w:val="fr-FR"/>
              </w:rPr>
              <w:t xml:space="preserve"> </w:t>
            </w:r>
            <w:proofErr w:type="spellStart"/>
            <w:r w:rsidR="0018134D" w:rsidRPr="00CB6B95">
              <w:rPr>
                <w:sz w:val="20"/>
                <w:szCs w:val="20"/>
                <w:lang w:val="fr-FR"/>
              </w:rPr>
              <w:t>din</w:t>
            </w:r>
            <w:proofErr w:type="spellEnd"/>
            <w:r w:rsidR="0018134D" w:rsidRPr="00CB6B95">
              <w:rPr>
                <w:sz w:val="20"/>
                <w:szCs w:val="20"/>
                <w:lang w:val="fr-FR"/>
              </w:rPr>
              <w:t xml:space="preserve"> 11 </w:t>
            </w:r>
            <w:proofErr w:type="spellStart"/>
            <w:r w:rsidR="0018134D" w:rsidRPr="00CB6B95">
              <w:rPr>
                <w:sz w:val="20"/>
                <w:szCs w:val="20"/>
                <w:lang w:val="fr-FR"/>
              </w:rPr>
              <w:t>decembrie</w:t>
            </w:r>
            <w:proofErr w:type="spellEnd"/>
            <w:r w:rsidR="0018134D" w:rsidRPr="00CB6B95">
              <w:rPr>
                <w:sz w:val="20"/>
                <w:szCs w:val="20"/>
                <w:lang w:val="fr-FR"/>
              </w:rPr>
              <w:t xml:space="preserve"> 2018 </w:t>
            </w:r>
            <w:proofErr w:type="spellStart"/>
            <w:r w:rsidR="0018134D" w:rsidRPr="00CB6B95">
              <w:rPr>
                <w:sz w:val="20"/>
                <w:szCs w:val="20"/>
                <w:lang w:val="fr-FR"/>
              </w:rPr>
              <w:t>privind</w:t>
            </w:r>
            <w:proofErr w:type="spellEnd"/>
            <w:r w:rsidR="0018134D" w:rsidRPr="00CB6B95">
              <w:rPr>
                <w:sz w:val="20"/>
                <w:szCs w:val="20"/>
                <w:lang w:val="fr-FR"/>
              </w:rPr>
              <w:t xml:space="preserve"> </w:t>
            </w:r>
            <w:proofErr w:type="spellStart"/>
            <w:r w:rsidR="0018134D" w:rsidRPr="00CB6B95">
              <w:rPr>
                <w:sz w:val="20"/>
                <w:szCs w:val="20"/>
                <w:lang w:val="fr-FR"/>
              </w:rPr>
              <w:t>guvernanța</w:t>
            </w:r>
            <w:proofErr w:type="spellEnd"/>
            <w:r w:rsidR="0018134D" w:rsidRPr="00CB6B95">
              <w:rPr>
                <w:sz w:val="20"/>
                <w:szCs w:val="20"/>
                <w:lang w:val="fr-FR"/>
              </w:rPr>
              <w:t xml:space="preserve"> </w:t>
            </w:r>
            <w:proofErr w:type="spellStart"/>
            <w:r w:rsidR="0018134D" w:rsidRPr="00CB6B95">
              <w:rPr>
                <w:sz w:val="20"/>
                <w:szCs w:val="20"/>
                <w:lang w:val="fr-FR"/>
              </w:rPr>
              <w:t>uniunii</w:t>
            </w:r>
            <w:proofErr w:type="spellEnd"/>
            <w:r w:rsidR="0018134D" w:rsidRPr="00CB6B95">
              <w:rPr>
                <w:sz w:val="20"/>
                <w:szCs w:val="20"/>
                <w:lang w:val="fr-FR"/>
              </w:rPr>
              <w:t xml:space="preserve"> </w:t>
            </w:r>
            <w:proofErr w:type="spellStart"/>
            <w:r w:rsidR="0018134D" w:rsidRPr="00CB6B95">
              <w:rPr>
                <w:sz w:val="20"/>
                <w:szCs w:val="20"/>
                <w:lang w:val="fr-FR"/>
              </w:rPr>
              <w:t>energetice</w:t>
            </w:r>
            <w:proofErr w:type="spellEnd"/>
            <w:r w:rsidR="0018134D" w:rsidRPr="00CB6B95">
              <w:rPr>
                <w:sz w:val="20"/>
                <w:szCs w:val="20"/>
                <w:lang w:val="fr-FR"/>
              </w:rPr>
              <w:t xml:space="preserve"> și a </w:t>
            </w:r>
            <w:proofErr w:type="spellStart"/>
            <w:r w:rsidR="0018134D" w:rsidRPr="00CB6B95">
              <w:rPr>
                <w:sz w:val="20"/>
                <w:szCs w:val="20"/>
                <w:lang w:val="fr-FR"/>
              </w:rPr>
              <w:t>acțiunilor</w:t>
            </w:r>
            <w:proofErr w:type="spellEnd"/>
            <w:r w:rsidR="0018134D" w:rsidRPr="00CB6B95">
              <w:rPr>
                <w:sz w:val="20"/>
                <w:szCs w:val="20"/>
                <w:lang w:val="fr-FR"/>
              </w:rPr>
              <w:t xml:space="preserve"> climatice, de </w:t>
            </w:r>
            <w:proofErr w:type="spellStart"/>
            <w:r w:rsidR="0018134D" w:rsidRPr="00CB6B95">
              <w:rPr>
                <w:sz w:val="20"/>
                <w:szCs w:val="20"/>
                <w:lang w:val="fr-FR"/>
              </w:rPr>
              <w:t>modificare</w:t>
            </w:r>
            <w:proofErr w:type="spellEnd"/>
            <w:r w:rsidR="0018134D" w:rsidRPr="00CB6B95">
              <w:rPr>
                <w:sz w:val="20"/>
                <w:szCs w:val="20"/>
                <w:lang w:val="fr-FR"/>
              </w:rPr>
              <w:t xml:space="preserve"> a </w:t>
            </w:r>
            <w:proofErr w:type="spellStart"/>
            <w:r w:rsidR="0018134D" w:rsidRPr="00CB6B95">
              <w:rPr>
                <w:sz w:val="20"/>
                <w:szCs w:val="20"/>
                <w:lang w:val="fr-FR"/>
              </w:rPr>
              <w:t>Regulamentelor</w:t>
            </w:r>
            <w:proofErr w:type="spellEnd"/>
            <w:r w:rsidR="0018134D" w:rsidRPr="00CB6B95">
              <w:rPr>
                <w:sz w:val="20"/>
                <w:szCs w:val="20"/>
                <w:lang w:val="fr-FR"/>
              </w:rPr>
              <w:t xml:space="preserve"> (CE) nr. 663/2009 și (CE) nr. 715/2009 ale </w:t>
            </w:r>
            <w:proofErr w:type="spellStart"/>
            <w:r w:rsidR="0018134D" w:rsidRPr="00CB6B95">
              <w:rPr>
                <w:sz w:val="20"/>
                <w:szCs w:val="20"/>
                <w:lang w:val="fr-FR"/>
              </w:rPr>
              <w:t>Parlamentului</w:t>
            </w:r>
            <w:proofErr w:type="spellEnd"/>
            <w:r w:rsidR="0018134D" w:rsidRPr="00CB6B95">
              <w:rPr>
                <w:sz w:val="20"/>
                <w:szCs w:val="20"/>
                <w:lang w:val="fr-FR"/>
              </w:rPr>
              <w:t xml:space="preserve"> </w:t>
            </w:r>
            <w:proofErr w:type="spellStart"/>
            <w:r w:rsidR="0018134D" w:rsidRPr="00CB6B95">
              <w:rPr>
                <w:sz w:val="20"/>
                <w:szCs w:val="20"/>
                <w:lang w:val="fr-FR"/>
              </w:rPr>
              <w:t>European</w:t>
            </w:r>
            <w:proofErr w:type="spellEnd"/>
            <w:r w:rsidR="0018134D" w:rsidRPr="00CB6B95">
              <w:rPr>
                <w:sz w:val="20"/>
                <w:szCs w:val="20"/>
                <w:lang w:val="fr-FR"/>
              </w:rPr>
              <w:t xml:space="preserve"> și ale </w:t>
            </w:r>
            <w:proofErr w:type="spellStart"/>
            <w:r w:rsidR="0018134D" w:rsidRPr="00CB6B95">
              <w:rPr>
                <w:sz w:val="20"/>
                <w:szCs w:val="20"/>
                <w:lang w:val="fr-FR"/>
              </w:rPr>
              <w:t>Consiliului</w:t>
            </w:r>
            <w:proofErr w:type="spellEnd"/>
            <w:r w:rsidR="0018134D" w:rsidRPr="00CB6B95">
              <w:rPr>
                <w:sz w:val="20"/>
                <w:szCs w:val="20"/>
                <w:lang w:val="fr-FR"/>
              </w:rPr>
              <w:t xml:space="preserve">, a </w:t>
            </w:r>
            <w:proofErr w:type="spellStart"/>
            <w:r w:rsidR="0018134D" w:rsidRPr="00CB6B95">
              <w:rPr>
                <w:sz w:val="20"/>
                <w:szCs w:val="20"/>
                <w:lang w:val="fr-FR"/>
              </w:rPr>
              <w:t>Directivelor</w:t>
            </w:r>
            <w:proofErr w:type="spellEnd"/>
            <w:r w:rsidR="0018134D" w:rsidRPr="00CB6B95">
              <w:rPr>
                <w:sz w:val="20"/>
                <w:szCs w:val="20"/>
                <w:lang w:val="fr-FR"/>
              </w:rPr>
              <w:t xml:space="preserve"> 94/22/CE, 98/70/CE, 2009/31/CE, 2009/73/CE, 2010/31/UE, 2012/27/UE și 2013/30/UE ale </w:t>
            </w:r>
            <w:proofErr w:type="spellStart"/>
            <w:r w:rsidR="0018134D" w:rsidRPr="00CB6B95">
              <w:rPr>
                <w:sz w:val="20"/>
                <w:szCs w:val="20"/>
                <w:lang w:val="fr-FR"/>
              </w:rPr>
              <w:t>Parlamentului</w:t>
            </w:r>
            <w:proofErr w:type="spellEnd"/>
            <w:r w:rsidR="0018134D" w:rsidRPr="00CB6B95">
              <w:rPr>
                <w:sz w:val="20"/>
                <w:szCs w:val="20"/>
                <w:lang w:val="fr-FR"/>
              </w:rPr>
              <w:t xml:space="preserve"> </w:t>
            </w:r>
            <w:proofErr w:type="spellStart"/>
            <w:r w:rsidR="0018134D" w:rsidRPr="00CB6B95">
              <w:rPr>
                <w:sz w:val="20"/>
                <w:szCs w:val="20"/>
                <w:lang w:val="fr-FR"/>
              </w:rPr>
              <w:t>European</w:t>
            </w:r>
            <w:proofErr w:type="spellEnd"/>
            <w:r w:rsidR="0018134D" w:rsidRPr="00CB6B95">
              <w:rPr>
                <w:sz w:val="20"/>
                <w:szCs w:val="20"/>
                <w:lang w:val="fr-FR"/>
              </w:rPr>
              <w:t xml:space="preserve"> și ale </w:t>
            </w:r>
            <w:proofErr w:type="spellStart"/>
            <w:r w:rsidR="0018134D" w:rsidRPr="00CB6B95">
              <w:rPr>
                <w:sz w:val="20"/>
                <w:szCs w:val="20"/>
                <w:lang w:val="fr-FR"/>
              </w:rPr>
              <w:t>Consiliului</w:t>
            </w:r>
            <w:proofErr w:type="spellEnd"/>
            <w:r w:rsidR="0018134D" w:rsidRPr="00CB6B95">
              <w:rPr>
                <w:sz w:val="20"/>
                <w:szCs w:val="20"/>
                <w:lang w:val="fr-FR"/>
              </w:rPr>
              <w:t xml:space="preserve">, a </w:t>
            </w:r>
            <w:proofErr w:type="spellStart"/>
            <w:r w:rsidR="0018134D" w:rsidRPr="00CB6B95">
              <w:rPr>
                <w:sz w:val="20"/>
                <w:szCs w:val="20"/>
                <w:lang w:val="fr-FR"/>
              </w:rPr>
              <w:t>Directivelor</w:t>
            </w:r>
            <w:proofErr w:type="spellEnd"/>
            <w:r w:rsidR="0018134D" w:rsidRPr="00CB6B95">
              <w:rPr>
                <w:sz w:val="20"/>
                <w:szCs w:val="20"/>
                <w:lang w:val="fr-FR"/>
              </w:rPr>
              <w:t xml:space="preserve"> 2009/119/CE și (UE) 2015/652 ale </w:t>
            </w:r>
            <w:proofErr w:type="spellStart"/>
            <w:r w:rsidR="0018134D" w:rsidRPr="00CB6B95">
              <w:rPr>
                <w:sz w:val="20"/>
                <w:szCs w:val="20"/>
                <w:lang w:val="fr-FR"/>
              </w:rPr>
              <w:t>Consiliului</w:t>
            </w:r>
            <w:proofErr w:type="spellEnd"/>
            <w:r w:rsidR="0018134D" w:rsidRPr="00CB6B95">
              <w:rPr>
                <w:sz w:val="20"/>
                <w:szCs w:val="20"/>
                <w:lang w:val="fr-FR"/>
              </w:rPr>
              <w:t xml:space="preserve"> și de </w:t>
            </w:r>
            <w:proofErr w:type="spellStart"/>
            <w:r w:rsidR="0018134D" w:rsidRPr="00CB6B95">
              <w:rPr>
                <w:sz w:val="20"/>
                <w:szCs w:val="20"/>
                <w:lang w:val="fr-FR"/>
              </w:rPr>
              <w:t>abrogare</w:t>
            </w:r>
            <w:proofErr w:type="spellEnd"/>
            <w:r w:rsidR="0018134D" w:rsidRPr="00CB6B95">
              <w:rPr>
                <w:sz w:val="20"/>
                <w:szCs w:val="20"/>
                <w:lang w:val="fr-FR"/>
              </w:rPr>
              <w:t xml:space="preserve"> a </w:t>
            </w:r>
            <w:proofErr w:type="spellStart"/>
            <w:r w:rsidR="0018134D" w:rsidRPr="00CB6B95">
              <w:rPr>
                <w:sz w:val="20"/>
                <w:szCs w:val="20"/>
                <w:lang w:val="fr-FR"/>
              </w:rPr>
              <w:t>Regulamentului</w:t>
            </w:r>
            <w:proofErr w:type="spellEnd"/>
            <w:r w:rsidR="0018134D" w:rsidRPr="00CB6B95">
              <w:rPr>
                <w:sz w:val="20"/>
                <w:szCs w:val="20"/>
                <w:lang w:val="fr-FR"/>
              </w:rPr>
              <w:t xml:space="preserve"> (UE) nr. 525/2013 al </w:t>
            </w:r>
            <w:proofErr w:type="spellStart"/>
            <w:r w:rsidR="0018134D" w:rsidRPr="00CB6B95">
              <w:rPr>
                <w:sz w:val="20"/>
                <w:szCs w:val="20"/>
                <w:lang w:val="fr-FR"/>
              </w:rPr>
              <w:t>Parlamentului</w:t>
            </w:r>
            <w:proofErr w:type="spellEnd"/>
            <w:r w:rsidR="0018134D" w:rsidRPr="00CB6B95">
              <w:rPr>
                <w:sz w:val="20"/>
                <w:szCs w:val="20"/>
                <w:lang w:val="fr-FR"/>
              </w:rPr>
              <w:t xml:space="preserve"> </w:t>
            </w:r>
            <w:proofErr w:type="spellStart"/>
            <w:r w:rsidR="0018134D" w:rsidRPr="00CB6B95">
              <w:rPr>
                <w:sz w:val="20"/>
                <w:szCs w:val="20"/>
                <w:lang w:val="fr-FR"/>
              </w:rPr>
              <w:t>European</w:t>
            </w:r>
            <w:proofErr w:type="spellEnd"/>
            <w:r w:rsidR="0018134D" w:rsidRPr="00CB6B95">
              <w:rPr>
                <w:sz w:val="20"/>
                <w:szCs w:val="20"/>
                <w:lang w:val="fr-FR"/>
              </w:rPr>
              <w:t xml:space="preserve"> și al </w:t>
            </w:r>
            <w:proofErr w:type="spellStart"/>
            <w:r w:rsidR="0018134D" w:rsidRPr="00CB6B95">
              <w:rPr>
                <w:sz w:val="20"/>
                <w:szCs w:val="20"/>
                <w:lang w:val="fr-FR"/>
              </w:rPr>
              <w:t>Consiliului</w:t>
            </w:r>
            <w:proofErr w:type="spellEnd"/>
            <w:r w:rsidR="0018134D" w:rsidRPr="00CB6B95">
              <w:rPr>
                <w:sz w:val="20"/>
                <w:szCs w:val="20"/>
                <w:lang w:val="fr-FR"/>
              </w:rPr>
              <w:t xml:space="preserve"> (</w:t>
            </w:r>
            <w:hyperlink r:id="rId53" w:history="1">
              <w:r w:rsidR="0018134D" w:rsidRPr="00CB6B95">
                <w:rPr>
                  <w:rStyle w:val="af6"/>
                  <w:color w:val="337AB7"/>
                  <w:sz w:val="20"/>
                  <w:szCs w:val="20"/>
                  <w:lang w:val="fr-FR"/>
                </w:rPr>
                <w:t>JO</w:t>
              </w:r>
              <w:r w:rsidR="009E5BB0" w:rsidRPr="00CB6B95">
                <w:rPr>
                  <w:rStyle w:val="af6"/>
                  <w:color w:val="337AB7"/>
                  <w:sz w:val="20"/>
                  <w:szCs w:val="20"/>
                  <w:lang w:val="fr-FR"/>
                </w:rPr>
                <w:t xml:space="preserve"> </w:t>
              </w:r>
              <w:r w:rsidR="0018134D" w:rsidRPr="00CB6B95">
                <w:rPr>
                  <w:rStyle w:val="af6"/>
                  <w:color w:val="337AB7"/>
                  <w:sz w:val="20"/>
                  <w:szCs w:val="20"/>
                  <w:lang w:val="fr-FR"/>
                </w:rPr>
                <w:t>L</w:t>
              </w:r>
              <w:r w:rsidR="009E5BB0" w:rsidRPr="00CB6B95">
                <w:rPr>
                  <w:rStyle w:val="af6"/>
                  <w:color w:val="337AB7"/>
                  <w:sz w:val="20"/>
                  <w:szCs w:val="20"/>
                  <w:lang w:val="fr-FR"/>
                </w:rPr>
                <w:t xml:space="preserve"> </w:t>
              </w:r>
              <w:r w:rsidR="0018134D" w:rsidRPr="00CB6B95">
                <w:rPr>
                  <w:rStyle w:val="af6"/>
                  <w:color w:val="337AB7"/>
                  <w:sz w:val="20"/>
                  <w:szCs w:val="20"/>
                  <w:lang w:val="fr-FR"/>
                </w:rPr>
                <w:t>328, 21.12.2018, p.1</w:t>
              </w:r>
            </w:hyperlink>
            <w:r w:rsidR="0018134D" w:rsidRPr="00CB6B95">
              <w:rPr>
                <w:color w:val="333333"/>
                <w:sz w:val="20"/>
                <w:szCs w:val="20"/>
                <w:lang w:val="fr-FR"/>
              </w:rPr>
              <w:t>).”"</w:t>
            </w:r>
          </w:p>
        </w:tc>
        <w:tc>
          <w:tcPr>
            <w:tcW w:w="4440" w:type="dxa"/>
          </w:tcPr>
          <w:p w14:paraId="2BC1B616" w14:textId="77777777" w:rsidR="008F5636" w:rsidRPr="0018134D" w:rsidRDefault="008F5636" w:rsidP="008F5636">
            <w:pPr>
              <w:pStyle w:val="ColorfulList-Accent11"/>
              <w:spacing w:after="0" w:line="240" w:lineRule="auto"/>
              <w:ind w:left="0"/>
              <w:jc w:val="both"/>
              <w:rPr>
                <w:lang w:val="fr-FR"/>
              </w:rPr>
            </w:pPr>
          </w:p>
        </w:tc>
        <w:tc>
          <w:tcPr>
            <w:tcW w:w="1276" w:type="dxa"/>
          </w:tcPr>
          <w:p w14:paraId="41733BF7" w14:textId="5A801324" w:rsidR="008F5636" w:rsidRDefault="0018134D" w:rsidP="008F5636">
            <w:pPr>
              <w:pStyle w:val="ColorfulList-Accent11"/>
              <w:spacing w:after="0" w:line="240" w:lineRule="auto"/>
              <w:ind w:left="0"/>
              <w:jc w:val="both"/>
              <w:rPr>
                <w:lang w:val="en-US"/>
              </w:rPr>
            </w:pPr>
            <w:r w:rsidRPr="00C951E7">
              <w:rPr>
                <w:rFonts w:ascii="Times New Roman" w:hAnsi="Times New Roman"/>
                <w:sz w:val="20"/>
                <w:szCs w:val="20"/>
                <w:lang w:val="ro-RO"/>
              </w:rPr>
              <w:t>Prevederi UE neaplicabile</w:t>
            </w:r>
          </w:p>
        </w:tc>
        <w:tc>
          <w:tcPr>
            <w:tcW w:w="1276" w:type="dxa"/>
          </w:tcPr>
          <w:p w14:paraId="7CD041A0" w14:textId="77777777" w:rsidR="008F5636" w:rsidRDefault="008F5636" w:rsidP="008F5636">
            <w:pPr>
              <w:pStyle w:val="ColorfulList-Accent11"/>
              <w:spacing w:after="0" w:line="240" w:lineRule="auto"/>
              <w:ind w:left="0"/>
              <w:jc w:val="both"/>
              <w:rPr>
                <w:lang w:val="en-US"/>
              </w:rPr>
            </w:pPr>
          </w:p>
        </w:tc>
        <w:tc>
          <w:tcPr>
            <w:tcW w:w="1701" w:type="dxa"/>
          </w:tcPr>
          <w:p w14:paraId="5C72A197" w14:textId="6CC9A2F9" w:rsidR="008F5636" w:rsidRDefault="0018134D" w:rsidP="008F5636">
            <w:pPr>
              <w:pStyle w:val="ColorfulList-Accent11"/>
              <w:spacing w:after="0" w:line="240" w:lineRule="auto"/>
              <w:ind w:left="0"/>
              <w:jc w:val="both"/>
              <w:rPr>
                <w:lang w:val="en-US"/>
              </w:rPr>
            </w:pPr>
            <w:r w:rsidRPr="00C951E7">
              <w:rPr>
                <w:rFonts w:ascii="Times New Roman" w:hAnsi="Times New Roman"/>
                <w:sz w:val="20"/>
                <w:szCs w:val="20"/>
                <w:lang w:val="ro-RO"/>
              </w:rPr>
              <w:t>Transpunerea nu este necesară, deoarece se referă la tehnica legislativă UE.</w:t>
            </w:r>
          </w:p>
        </w:tc>
        <w:tc>
          <w:tcPr>
            <w:tcW w:w="1460" w:type="dxa"/>
          </w:tcPr>
          <w:p w14:paraId="34AE1179" w14:textId="77777777" w:rsidR="008F5636" w:rsidRDefault="008F5636" w:rsidP="008F5636">
            <w:pPr>
              <w:pStyle w:val="ColorfulList-Accent11"/>
              <w:spacing w:after="0" w:line="240" w:lineRule="auto"/>
              <w:ind w:left="0"/>
              <w:jc w:val="both"/>
              <w:rPr>
                <w:lang w:val="en-US"/>
              </w:rPr>
            </w:pPr>
          </w:p>
        </w:tc>
      </w:tr>
      <w:tr w:rsidR="008F5636" w:rsidRPr="00745D9A" w14:paraId="00A9F680" w14:textId="77777777" w:rsidTr="00A90105">
        <w:tc>
          <w:tcPr>
            <w:tcW w:w="4945" w:type="dxa"/>
          </w:tcPr>
          <w:p w14:paraId="7C656B2A" w14:textId="77777777" w:rsidR="008F5636" w:rsidRPr="00CB6B95" w:rsidRDefault="008F5636" w:rsidP="009E5BB0">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52</w:t>
            </w:r>
          </w:p>
          <w:p w14:paraId="59CD1435" w14:textId="77777777" w:rsidR="008F5636" w:rsidRPr="00CB6B95" w:rsidRDefault="008F5636" w:rsidP="009E5BB0">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Modificare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adusă</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2009/119/CE a </w:t>
            </w:r>
            <w:proofErr w:type="spellStart"/>
            <w:r w:rsidRPr="00CB6B95">
              <w:rPr>
                <w:rFonts w:ascii="Times New Roman" w:hAnsi="Times New Roman"/>
                <w:b/>
                <w:bCs/>
                <w:sz w:val="20"/>
                <w:szCs w:val="20"/>
                <w:lang w:val="fr-FR" w:eastAsia="ru-RU"/>
              </w:rPr>
              <w:t>Consiliului</w:t>
            </w:r>
            <w:proofErr w:type="spellEnd"/>
          </w:p>
          <w:p w14:paraId="2B8D091A" w14:textId="455C53C3" w:rsidR="008F5636" w:rsidRPr="00CB6B95" w:rsidRDefault="008F5636" w:rsidP="009E5BB0">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t xml:space="preserve">La </w:t>
            </w:r>
            <w:proofErr w:type="spellStart"/>
            <w:r w:rsidRPr="00CB6B95">
              <w:rPr>
                <w:rFonts w:ascii="Times New Roman" w:hAnsi="Times New Roman"/>
                <w:sz w:val="20"/>
                <w:szCs w:val="20"/>
                <w:lang w:val="fr-FR" w:eastAsia="ru-RU"/>
              </w:rPr>
              <w:t>articolul</w:t>
            </w:r>
            <w:proofErr w:type="spellEnd"/>
            <w:r w:rsidR="009E5BB0"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6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Directiva</w:t>
            </w:r>
            <w:proofErr w:type="spellEnd"/>
            <w:r w:rsidR="009E5BB0"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2009/119/CE, </w:t>
            </w:r>
            <w:proofErr w:type="spellStart"/>
            <w:r w:rsidRPr="00CB6B95">
              <w:rPr>
                <w:rFonts w:ascii="Times New Roman" w:hAnsi="Times New Roman"/>
                <w:sz w:val="20"/>
                <w:szCs w:val="20"/>
                <w:lang w:val="fr-FR" w:eastAsia="ru-RU"/>
              </w:rPr>
              <w:t>alineatul</w:t>
            </w:r>
            <w:proofErr w:type="spellEnd"/>
            <w:r w:rsidR="009E5BB0"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(2)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proofErr w:type="gram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roofErr w:type="gramEnd"/>
          </w:p>
          <w:p w14:paraId="418BA0F4" w14:textId="72B4F7B9" w:rsidR="008F5636" w:rsidRPr="009231D7" w:rsidRDefault="008F5636" w:rsidP="009E5BB0">
            <w:pPr>
              <w:jc w:val="both"/>
              <w:rPr>
                <w:rFonts w:ascii="Times New Roman" w:hAnsi="Times New Roman"/>
                <w:sz w:val="20"/>
                <w:szCs w:val="20"/>
                <w:highlight w:val="red"/>
                <w:lang w:val="fr-FR" w:eastAsia="ru-RU"/>
              </w:rPr>
            </w:pPr>
            <w:proofErr w:type="gramStart"/>
            <w:r w:rsidRPr="00CB6B95">
              <w:rPr>
                <w:rFonts w:ascii="Times New Roman" w:hAnsi="Times New Roman"/>
                <w:sz w:val="20"/>
                <w:szCs w:val="20"/>
                <w:lang w:val="fr-FR" w:eastAsia="ru-RU"/>
              </w:rPr>
              <w:t>„(</w:t>
            </w:r>
            <w:proofErr w:type="gramEnd"/>
            <w:r w:rsidRPr="00CB6B95">
              <w:rPr>
                <w:rFonts w:ascii="Times New Roman" w:hAnsi="Times New Roman"/>
                <w:sz w:val="20"/>
                <w:szCs w:val="20"/>
                <w:lang w:val="fr-FR" w:eastAsia="ru-RU"/>
              </w:rPr>
              <w:t>2)Până la data de 15</w:t>
            </w:r>
            <w:r w:rsidR="009E5BB0"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martie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fiecărui</w:t>
            </w:r>
            <w:proofErr w:type="spellEnd"/>
            <w:r w:rsidRPr="00CB6B95">
              <w:rPr>
                <w:rFonts w:ascii="Times New Roman" w:hAnsi="Times New Roman"/>
                <w:sz w:val="20"/>
                <w:szCs w:val="20"/>
                <w:lang w:val="fr-FR" w:eastAsia="ru-RU"/>
              </w:rPr>
              <w:t xml:space="preserve"> an, </w:t>
            </w:r>
            <w:proofErr w:type="spellStart"/>
            <w:r w:rsidRPr="00CB6B95">
              <w:rPr>
                <w:rFonts w:ascii="Times New Roman" w:hAnsi="Times New Roman"/>
                <w:sz w:val="20"/>
                <w:szCs w:val="20"/>
                <w:lang w:val="fr-FR" w:eastAsia="ru-RU"/>
              </w:rPr>
              <w:t>fiecare</w:t>
            </w:r>
            <w:proofErr w:type="spellEnd"/>
            <w:r w:rsidRPr="00CB6B95">
              <w:rPr>
                <w:rFonts w:ascii="Times New Roman" w:hAnsi="Times New Roman"/>
                <w:sz w:val="20"/>
                <w:szCs w:val="20"/>
                <w:lang w:val="fr-FR" w:eastAsia="ru-RU"/>
              </w:rPr>
              <w:t xml:space="preserve"> stat membru </w:t>
            </w:r>
            <w:proofErr w:type="spellStart"/>
            <w:r w:rsidRPr="00CB6B95">
              <w:rPr>
                <w:rFonts w:ascii="Times New Roman" w:hAnsi="Times New Roman"/>
                <w:sz w:val="20"/>
                <w:szCs w:val="20"/>
                <w:lang w:val="fr-FR" w:eastAsia="ru-RU"/>
              </w:rPr>
              <w:t>transmite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o copie </w:t>
            </w:r>
            <w:proofErr w:type="spellStart"/>
            <w:r w:rsidRPr="00CB6B95">
              <w:rPr>
                <w:rFonts w:ascii="Times New Roman" w:hAnsi="Times New Roman"/>
                <w:sz w:val="20"/>
                <w:szCs w:val="20"/>
                <w:lang w:val="fr-FR" w:eastAsia="ru-RU"/>
              </w:rPr>
              <w:t>sintetică</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registrului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stocurilor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menționat</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alineatul</w:t>
            </w:r>
            <w:proofErr w:type="spellEnd"/>
            <w:r w:rsidR="009E5BB0"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(1), care </w:t>
            </w:r>
            <w:proofErr w:type="spellStart"/>
            <w:r w:rsidRPr="00CB6B95">
              <w:rPr>
                <w:rFonts w:ascii="Times New Roman" w:hAnsi="Times New Roman"/>
                <w:sz w:val="20"/>
                <w:szCs w:val="20"/>
                <w:lang w:val="fr-FR" w:eastAsia="ru-RU"/>
              </w:rPr>
              <w:t>arată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cel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puțin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cantitățile</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natura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stocurilor</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urgență</w:t>
            </w:r>
            <w:proofErr w:type="spellEnd"/>
            <w:r w:rsidRPr="00CB6B95">
              <w:rPr>
                <w:rFonts w:ascii="Times New Roman" w:hAnsi="Times New Roman"/>
                <w:sz w:val="20"/>
                <w:szCs w:val="20"/>
                <w:lang w:val="fr-FR" w:eastAsia="ru-RU"/>
              </w:rPr>
              <w:t xml:space="preserve"> incluse în </w:t>
            </w:r>
            <w:proofErr w:type="spellStart"/>
            <w:r w:rsidRPr="00CB6B95">
              <w:rPr>
                <w:rFonts w:ascii="Times New Roman" w:hAnsi="Times New Roman"/>
                <w:sz w:val="20"/>
                <w:szCs w:val="20"/>
                <w:lang w:val="fr-FR" w:eastAsia="ru-RU"/>
              </w:rPr>
              <w:t>registru</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ultima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zi</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anului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calendaristic</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precedent</w:t>
            </w:r>
            <w:proofErr w:type="spellEnd"/>
            <w:r w:rsidRPr="00CB6B95">
              <w:rPr>
                <w:rFonts w:ascii="Times New Roman" w:hAnsi="Times New Roman"/>
                <w:sz w:val="20"/>
                <w:szCs w:val="20"/>
                <w:lang w:val="fr-FR" w:eastAsia="ru-RU"/>
              </w:rPr>
              <w:t>.”</w:t>
            </w:r>
          </w:p>
        </w:tc>
        <w:tc>
          <w:tcPr>
            <w:tcW w:w="4440" w:type="dxa"/>
          </w:tcPr>
          <w:p w14:paraId="24AA96B2" w14:textId="77777777" w:rsidR="008F5636" w:rsidRPr="00745D9A" w:rsidRDefault="008F5636" w:rsidP="008F5636">
            <w:pPr>
              <w:pStyle w:val="ColorfulList-Accent11"/>
              <w:spacing w:after="0" w:line="240" w:lineRule="auto"/>
              <w:ind w:left="0"/>
              <w:jc w:val="both"/>
              <w:rPr>
                <w:lang w:val="fr-FR"/>
              </w:rPr>
            </w:pPr>
          </w:p>
        </w:tc>
        <w:tc>
          <w:tcPr>
            <w:tcW w:w="1276" w:type="dxa"/>
          </w:tcPr>
          <w:p w14:paraId="3F63ED47" w14:textId="24FD7AA7" w:rsidR="008F5636" w:rsidRPr="00745D9A" w:rsidRDefault="009E5BB0"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779282A0" w14:textId="77777777" w:rsidR="008F5636" w:rsidRPr="00745D9A" w:rsidRDefault="008F5636" w:rsidP="008F5636">
            <w:pPr>
              <w:pStyle w:val="ColorfulList-Accent11"/>
              <w:spacing w:after="0" w:line="240" w:lineRule="auto"/>
              <w:ind w:left="0"/>
              <w:jc w:val="both"/>
              <w:rPr>
                <w:lang w:val="fr-FR"/>
              </w:rPr>
            </w:pPr>
          </w:p>
        </w:tc>
        <w:tc>
          <w:tcPr>
            <w:tcW w:w="1701" w:type="dxa"/>
          </w:tcPr>
          <w:p w14:paraId="4AAA190E" w14:textId="3086A242" w:rsidR="008F5636" w:rsidRPr="00745D9A" w:rsidRDefault="009E5BB0"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7A8FFB55" w14:textId="77777777" w:rsidR="008F5636" w:rsidRPr="00745D9A" w:rsidRDefault="008F5636" w:rsidP="008F5636">
            <w:pPr>
              <w:pStyle w:val="ColorfulList-Accent11"/>
              <w:spacing w:after="0" w:line="240" w:lineRule="auto"/>
              <w:ind w:left="0"/>
              <w:jc w:val="both"/>
              <w:rPr>
                <w:lang w:val="fr-FR"/>
              </w:rPr>
            </w:pPr>
          </w:p>
        </w:tc>
      </w:tr>
      <w:tr w:rsidR="008F5636" w:rsidRPr="009E5BB0" w14:paraId="31FEB5FE" w14:textId="77777777" w:rsidTr="00A90105">
        <w:tc>
          <w:tcPr>
            <w:tcW w:w="4945" w:type="dxa"/>
          </w:tcPr>
          <w:p w14:paraId="3DCC7AD5" w14:textId="77777777" w:rsidR="008F5636" w:rsidRPr="00CB6B95" w:rsidRDefault="008F5636" w:rsidP="00FF2219">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53</w:t>
            </w:r>
          </w:p>
          <w:p w14:paraId="68910023" w14:textId="77777777" w:rsidR="008F5636" w:rsidRPr="00CB6B95" w:rsidRDefault="008F5636" w:rsidP="00FF2219">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2010/31/UE</w:t>
            </w:r>
          </w:p>
          <w:p w14:paraId="1DBF38DA" w14:textId="31543400" w:rsidR="008F5636" w:rsidRPr="00CB6B95" w:rsidRDefault="008F5636" w:rsidP="00FF2219">
            <w:pPr>
              <w:spacing w:after="0" w:line="240" w:lineRule="auto"/>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00FF2219"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2010/31/UE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2A1BF716" w14:textId="3905A30D" w:rsidR="009E5BB0" w:rsidRPr="00CB6B95" w:rsidRDefault="009E5BB0" w:rsidP="009E5BB0">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t xml:space="preserve">1.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2a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119A04E9" w14:textId="1CB1D381" w:rsidR="009E5BB0" w:rsidRPr="00CB6B95" w:rsidRDefault="009E5BB0" w:rsidP="000C5A3B">
            <w:pPr>
              <w:pStyle w:val="af3"/>
              <w:numPr>
                <w:ilvl w:val="0"/>
                <w:numId w:val="139"/>
              </w:numPr>
              <w:suppressAutoHyphens w:val="0"/>
              <w:autoSpaceDN/>
              <w:spacing w:after="0" w:line="240" w:lineRule="auto"/>
              <w:jc w:val="both"/>
              <w:textAlignment w:val="auto"/>
              <w:rPr>
                <w:rFonts w:ascii="Times New Roman" w:eastAsia="Times New Roman" w:hAnsi="Times New Roman"/>
                <w:sz w:val="20"/>
                <w:szCs w:val="20"/>
                <w:lang w:val="ro-MD" w:eastAsia="ro-MD"/>
              </w:rPr>
            </w:pPr>
            <w:r w:rsidRPr="00CB6B95">
              <w:rPr>
                <w:rFonts w:ascii="Times New Roman" w:eastAsia="Times New Roman" w:hAnsi="Times New Roman"/>
                <w:sz w:val="20"/>
                <w:szCs w:val="20"/>
                <w:lang w:val="ro-MD" w:eastAsia="ro-MD"/>
              </w:rPr>
              <w:t>la alineatul(1), partea introductivă se înlocuiește cu următorul text:</w:t>
            </w:r>
          </w:p>
          <w:p w14:paraId="284CEFEF" w14:textId="1EEC3EEE" w:rsidR="009E5BB0" w:rsidRPr="00CB6B95" w:rsidRDefault="009E5BB0" w:rsidP="009E5BB0">
            <w:pPr>
              <w:jc w:val="both"/>
              <w:rPr>
                <w:rFonts w:ascii="Times New Roman" w:eastAsia="Times New Roman" w:hAnsi="Times New Roman"/>
                <w:sz w:val="20"/>
                <w:szCs w:val="20"/>
                <w:lang w:val="ro-MD" w:eastAsia="ro-MD"/>
              </w:rPr>
            </w:pPr>
            <w:r w:rsidRPr="00CB6B95">
              <w:rPr>
                <w:rFonts w:ascii="Times New Roman" w:eastAsia="Times New Roman" w:hAnsi="Times New Roman"/>
                <w:sz w:val="20"/>
                <w:szCs w:val="20"/>
                <w:lang w:val="ro-MD" w:eastAsia="ro-MD"/>
              </w:rPr>
              <w:lastRenderedPageBreak/>
              <w:t>„(1)Fiecare stat membru stabilește o strategie de renovare pe termen lung pentru a sprijini renovarea parcului național de clădiri rezidențiale și nerezidențiale, atât publice, cât și private, într-un parc imobiliar cu un nivel ridicat de eficiență energetică și decarbonizat până în 2050, facilitând transformarea eficace din punct de vedere al costurilor a clădirilor existente în clădiri al căror consum de energie este aproape egal cu zero.Fiecare strategie de renovare pe termen lung cuprinde:”;</w:t>
            </w:r>
          </w:p>
          <w:p w14:paraId="6836ED86" w14:textId="37FEE00A" w:rsidR="009E5BB0" w:rsidRPr="00CB6B95" w:rsidRDefault="009E5BB0" w:rsidP="000C5A3B">
            <w:pPr>
              <w:pStyle w:val="af3"/>
              <w:numPr>
                <w:ilvl w:val="0"/>
                <w:numId w:val="139"/>
              </w:numPr>
              <w:jc w:val="both"/>
              <w:rPr>
                <w:rFonts w:ascii="Times New Roman" w:hAnsi="Times New Roman"/>
                <w:sz w:val="20"/>
                <w:szCs w:val="20"/>
                <w:lang w:val="ro-MD" w:eastAsia="ru-RU"/>
              </w:rPr>
            </w:pPr>
            <w:r w:rsidRPr="00CB6B95">
              <w:rPr>
                <w:rFonts w:ascii="Times New Roman" w:hAnsi="Times New Roman"/>
                <w:sz w:val="20"/>
                <w:szCs w:val="20"/>
                <w:shd w:val="clear" w:color="auto" w:fill="FFFFFF"/>
              </w:rPr>
              <w:t xml:space="preserve">se </w:t>
            </w:r>
            <w:proofErr w:type="spellStart"/>
            <w:r w:rsidRPr="00CB6B95">
              <w:rPr>
                <w:rFonts w:ascii="Times New Roman" w:hAnsi="Times New Roman"/>
                <w:sz w:val="20"/>
                <w:szCs w:val="20"/>
                <w:shd w:val="clear" w:color="auto" w:fill="FFFFFF"/>
              </w:rPr>
              <w:t>adaugă</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următorul</w:t>
            </w:r>
            <w:proofErr w:type="spellEnd"/>
            <w:r w:rsidRPr="00CB6B95">
              <w:rPr>
                <w:rFonts w:ascii="Times New Roman" w:hAnsi="Times New Roman"/>
                <w:sz w:val="20"/>
                <w:szCs w:val="20"/>
                <w:shd w:val="clear" w:color="auto" w:fill="FFFFFF"/>
              </w:rPr>
              <w:t xml:space="preserve"> </w:t>
            </w:r>
            <w:proofErr w:type="spellStart"/>
            <w:r w:rsidRPr="00CB6B95">
              <w:rPr>
                <w:rFonts w:ascii="Times New Roman" w:hAnsi="Times New Roman"/>
                <w:sz w:val="20"/>
                <w:szCs w:val="20"/>
                <w:shd w:val="clear" w:color="auto" w:fill="FFFFFF"/>
              </w:rPr>
              <w:t>alineat</w:t>
            </w:r>
            <w:proofErr w:type="spellEnd"/>
            <w:r w:rsidRPr="00CB6B95">
              <w:rPr>
                <w:rFonts w:ascii="Times New Roman" w:hAnsi="Times New Roman"/>
                <w:sz w:val="20"/>
                <w:szCs w:val="20"/>
                <w:shd w:val="clear" w:color="auto" w:fill="FFFFFF"/>
              </w:rPr>
              <w:t>:</w:t>
            </w:r>
          </w:p>
          <w:p w14:paraId="47E5BE91" w14:textId="147ACBC5" w:rsidR="009E5BB0" w:rsidRPr="00CB6B95" w:rsidRDefault="009E5BB0" w:rsidP="009E5BB0">
            <w:pPr>
              <w:pStyle w:val="af3"/>
              <w:spacing w:after="0" w:line="240" w:lineRule="auto"/>
              <w:ind w:left="17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ro-MD"/>
              </w:rPr>
              <w:t>„(8)Strategia de renovare pe termen lung a fiecărui stat membru se transmite Comisiei în cadrul planului național final integrat privind energia și clima al statului membru respectiv, menționat la articolul 3 din Regulamentul (UE) 2018/1999 al Parlamentului European și al Consiliului</w:t>
            </w:r>
            <w:hyperlink r:id="rId54" w:anchor="ntr*2-L_2018328RO.01000101-E0037" w:history="1">
              <w:r w:rsidRPr="00CB6B95">
                <w:rPr>
                  <w:rStyle w:val="af6"/>
                  <w:rFonts w:ascii="Times New Roman" w:hAnsi="Times New Roman"/>
                  <w:color w:val="auto"/>
                  <w:sz w:val="20"/>
                  <w:szCs w:val="20"/>
                  <w:shd w:val="clear" w:color="auto" w:fill="FFFFFF"/>
                  <w:lang w:val="ro-MD"/>
                </w:rPr>
                <w:t xml:space="preserve"> (</w:t>
              </w:r>
              <w:r w:rsidRPr="00CB6B95">
                <w:rPr>
                  <w:rStyle w:val="super"/>
                  <w:rFonts w:ascii="Times New Roman" w:hAnsi="Times New Roman"/>
                  <w:sz w:val="20"/>
                  <w:szCs w:val="20"/>
                  <w:shd w:val="clear" w:color="auto" w:fill="FFFFFF"/>
                  <w:vertAlign w:val="superscript"/>
                  <w:lang w:val="ro-MD"/>
                </w:rPr>
                <w:t>*2</w:t>
              </w:r>
              <w:r w:rsidRPr="00CB6B95">
                <w:rPr>
                  <w:rStyle w:val="af6"/>
                  <w:rFonts w:ascii="Times New Roman" w:hAnsi="Times New Roman"/>
                  <w:color w:val="auto"/>
                  <w:sz w:val="20"/>
                  <w:szCs w:val="20"/>
                  <w:shd w:val="clear" w:color="auto" w:fill="FFFFFF"/>
                  <w:lang w:val="ro-MD"/>
                </w:rPr>
                <w:t>)</w:t>
              </w:r>
            </w:hyperlink>
            <w:r w:rsidRPr="00CB6B95">
              <w:rPr>
                <w:rFonts w:ascii="Times New Roman" w:hAnsi="Times New Roman"/>
                <w:sz w:val="20"/>
                <w:szCs w:val="20"/>
                <w:shd w:val="clear" w:color="auto" w:fill="FFFFFF"/>
                <w:lang w:val="ro-MD"/>
              </w:rPr>
              <w:t xml:space="preserve">. </w:t>
            </w:r>
            <w:r w:rsidRPr="00CB6B95">
              <w:rPr>
                <w:rFonts w:ascii="Times New Roman" w:hAnsi="Times New Roman"/>
                <w:sz w:val="20"/>
                <w:szCs w:val="20"/>
                <w:shd w:val="clear" w:color="auto" w:fill="FFFFFF"/>
                <w:lang w:val="fr-FR"/>
              </w:rPr>
              <w:t xml:space="preserve">Prin </w:t>
            </w:r>
            <w:proofErr w:type="spellStart"/>
            <w:r w:rsidRPr="00CB6B95">
              <w:rPr>
                <w:rFonts w:ascii="Times New Roman" w:hAnsi="Times New Roman"/>
                <w:sz w:val="20"/>
                <w:szCs w:val="20"/>
                <w:shd w:val="clear" w:color="auto" w:fill="FFFFFF"/>
                <w:lang w:val="fr-FR"/>
              </w:rPr>
              <w:t>derogare</w:t>
            </w:r>
            <w:proofErr w:type="spellEnd"/>
            <w:r w:rsidRPr="00CB6B95">
              <w:rPr>
                <w:rFonts w:ascii="Times New Roman" w:hAnsi="Times New Roman"/>
                <w:sz w:val="20"/>
                <w:szCs w:val="20"/>
                <w:shd w:val="clear" w:color="auto" w:fill="FFFFFF"/>
                <w:lang w:val="fr-FR"/>
              </w:rPr>
              <w:t xml:space="preserve"> de 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(1)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respectivul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w:t>
            </w:r>
            <w:proofErr w:type="spellEnd"/>
            <w:r w:rsidRPr="00CB6B95">
              <w:rPr>
                <w:rFonts w:ascii="Times New Roman" w:hAnsi="Times New Roman"/>
                <w:sz w:val="20"/>
                <w:szCs w:val="20"/>
                <w:shd w:val="clear" w:color="auto" w:fill="FFFFFF"/>
                <w:lang w:val="fr-FR"/>
              </w:rPr>
              <w:t xml:space="preserve">, prima </w:t>
            </w:r>
            <w:proofErr w:type="spellStart"/>
            <w:r w:rsidRPr="00CB6B95">
              <w:rPr>
                <w:rFonts w:ascii="Times New Roman" w:hAnsi="Times New Roman"/>
                <w:sz w:val="20"/>
                <w:szCs w:val="20"/>
                <w:shd w:val="clear" w:color="auto" w:fill="FFFFFF"/>
                <w:lang w:val="fr-FR"/>
              </w:rPr>
              <w:t>strategie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renovare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termen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lung</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prevăzută</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(1)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prezentul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articol</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transmite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Comisiei</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până</w:t>
            </w:r>
            <w:proofErr w:type="spellEnd"/>
            <w:r w:rsidRPr="00CB6B95">
              <w:rPr>
                <w:rFonts w:ascii="Times New Roman" w:hAnsi="Times New Roman"/>
                <w:sz w:val="20"/>
                <w:szCs w:val="20"/>
                <w:shd w:val="clear" w:color="auto" w:fill="FFFFFF"/>
                <w:lang w:val="fr-FR"/>
              </w:rPr>
              <w:t xml:space="preserve"> la data de 10 </w:t>
            </w:r>
            <w:proofErr w:type="spellStart"/>
            <w:r w:rsidRPr="00CB6B95">
              <w:rPr>
                <w:rFonts w:ascii="Times New Roman" w:hAnsi="Times New Roman"/>
                <w:sz w:val="20"/>
                <w:szCs w:val="20"/>
                <w:shd w:val="clear" w:color="auto" w:fill="FFFFFF"/>
                <w:lang w:val="fr-FR"/>
              </w:rPr>
              <w:t>martie</w:t>
            </w:r>
            <w:proofErr w:type="spellEnd"/>
            <w:r w:rsidRPr="00CB6B95">
              <w:rPr>
                <w:rFonts w:ascii="Times New Roman" w:hAnsi="Times New Roman"/>
                <w:sz w:val="20"/>
                <w:szCs w:val="20"/>
                <w:shd w:val="clear" w:color="auto" w:fill="FFFFFF"/>
                <w:lang w:val="fr-FR"/>
              </w:rPr>
              <w:t xml:space="preserve"> 2020.</w:t>
            </w:r>
          </w:p>
          <w:p w14:paraId="45E7F4D2" w14:textId="3C83C0B8" w:rsidR="009E5BB0" w:rsidRPr="00CB6B95" w:rsidRDefault="009E5BB0" w:rsidP="009E5BB0">
            <w:pPr>
              <w:spacing w:after="0" w:line="240" w:lineRule="auto"/>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 xml:space="preserve">2.La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5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(2) al </w:t>
            </w:r>
            <w:proofErr w:type="spellStart"/>
            <w:r w:rsidRPr="00CB6B95">
              <w:rPr>
                <w:rFonts w:ascii="Times New Roman" w:hAnsi="Times New Roman"/>
                <w:sz w:val="20"/>
                <w:szCs w:val="20"/>
                <w:shd w:val="clear" w:color="auto" w:fill="FFFFFF"/>
                <w:lang w:val="fr-FR"/>
              </w:rPr>
              <w:t>doilea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paragraf</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teza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Raportul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poate</w:t>
            </w:r>
            <w:proofErr w:type="spellEnd"/>
            <w:r w:rsidRPr="00CB6B95">
              <w:rPr>
                <w:rFonts w:ascii="Times New Roman" w:hAnsi="Times New Roman"/>
                <w:sz w:val="20"/>
                <w:szCs w:val="20"/>
                <w:shd w:val="clear" w:color="auto" w:fill="FFFFFF"/>
                <w:lang w:val="fr-FR"/>
              </w:rPr>
              <w:t xml:space="preserve"> fi inclus în </w:t>
            </w:r>
            <w:proofErr w:type="spellStart"/>
            <w:r w:rsidRPr="00CB6B95">
              <w:rPr>
                <w:rFonts w:ascii="Times New Roman" w:hAnsi="Times New Roman"/>
                <w:sz w:val="20"/>
                <w:szCs w:val="20"/>
                <w:shd w:val="clear" w:color="auto" w:fill="FFFFFF"/>
                <w:lang w:val="fr-FR"/>
              </w:rPr>
              <w:t>Planurile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naționale</w:t>
            </w:r>
            <w:proofErr w:type="spellEnd"/>
            <w:r w:rsidRPr="00CB6B95">
              <w:rPr>
                <w:rFonts w:ascii="Times New Roman" w:hAnsi="Times New Roman"/>
                <w:sz w:val="20"/>
                <w:szCs w:val="20"/>
                <w:shd w:val="clear" w:color="auto" w:fill="FFFFFF"/>
                <w:lang w:val="fr-FR"/>
              </w:rPr>
              <w:t xml:space="preserve"> de </w:t>
            </w:r>
            <w:proofErr w:type="spellStart"/>
            <w:r w:rsidRPr="00CB6B95">
              <w:rPr>
                <w:rFonts w:ascii="Times New Roman" w:hAnsi="Times New Roman"/>
                <w:sz w:val="20"/>
                <w:szCs w:val="20"/>
                <w:shd w:val="clear" w:color="auto" w:fill="FFFFFF"/>
                <w:lang w:val="fr-FR"/>
              </w:rPr>
              <w:t>acțiune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pentru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eficiență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energetică</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menționate</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14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(2)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Directiva</w:t>
            </w:r>
            <w:proofErr w:type="spellEnd"/>
            <w:r w:rsidRPr="00CB6B95">
              <w:rPr>
                <w:rFonts w:ascii="Times New Roman" w:hAnsi="Times New Roman"/>
                <w:sz w:val="20"/>
                <w:szCs w:val="20"/>
                <w:shd w:val="clear" w:color="auto" w:fill="FFFFFF"/>
                <w:lang w:val="fr-FR"/>
              </w:rPr>
              <w:t xml:space="preserve"> 2006/32/CE” se </w:t>
            </w:r>
            <w:proofErr w:type="spellStart"/>
            <w:r w:rsidRPr="00CB6B95">
              <w:rPr>
                <w:rFonts w:ascii="Times New Roman" w:hAnsi="Times New Roman"/>
                <w:sz w:val="20"/>
                <w:szCs w:val="20"/>
                <w:shd w:val="clear" w:color="auto" w:fill="FFFFFF"/>
                <w:lang w:val="fr-FR"/>
              </w:rPr>
              <w:t>elimină</w:t>
            </w:r>
            <w:proofErr w:type="spellEnd"/>
            <w:r w:rsidRPr="00CB6B95">
              <w:rPr>
                <w:rFonts w:ascii="Times New Roman" w:hAnsi="Times New Roman"/>
                <w:sz w:val="20"/>
                <w:szCs w:val="20"/>
                <w:shd w:val="clear" w:color="auto" w:fill="FFFFFF"/>
                <w:lang w:val="fr-FR"/>
              </w:rPr>
              <w:t>.</w:t>
            </w:r>
          </w:p>
          <w:p w14:paraId="17EEB36A" w14:textId="5B3D251C" w:rsidR="009E5BB0" w:rsidRPr="00CB6B95" w:rsidRDefault="009E5BB0" w:rsidP="009E5BB0">
            <w:pPr>
              <w:pStyle w:val="Normal4"/>
              <w:spacing w:before="0" w:beforeAutospacing="0" w:after="0" w:afterAutospacing="0"/>
              <w:jc w:val="both"/>
              <w:rPr>
                <w:sz w:val="20"/>
                <w:szCs w:val="20"/>
              </w:rPr>
            </w:pPr>
            <w:r w:rsidRPr="00CB6B95">
              <w:rPr>
                <w:sz w:val="20"/>
                <w:szCs w:val="20"/>
              </w:rPr>
              <w:t>3.La articolul 9, alineatul (5) se înlocuiește cu următorul text:</w:t>
            </w:r>
          </w:p>
          <w:p w14:paraId="53C587E0" w14:textId="6E1F738F" w:rsidR="009E5BB0" w:rsidRPr="00CB6B95" w:rsidRDefault="009E5BB0" w:rsidP="009E5BB0">
            <w:pPr>
              <w:pStyle w:val="Normal4"/>
              <w:spacing w:before="0" w:beforeAutospacing="0" w:after="0" w:afterAutospacing="0"/>
              <w:jc w:val="both"/>
              <w:rPr>
                <w:sz w:val="20"/>
                <w:szCs w:val="20"/>
              </w:rPr>
            </w:pPr>
            <w:r w:rsidRPr="00CB6B95">
              <w:rPr>
                <w:sz w:val="20"/>
                <w:szCs w:val="20"/>
                <w:shd w:val="clear" w:color="auto" w:fill="FFFFFF"/>
              </w:rPr>
              <w:t>„(5)În cadrul raportului privind starea uniunii energetice menționat la articolul 35 din Regulamentul (UE)2018/1999, Comisia prezintă Parlamentului European și Consiliului, la fiecare patru ani, un raport cu privire la progresele înregistrate de statele membre în ceea ce privește creșterea numărului de clădiri cu consum de energie aproape egal cu zero. Pe baza acestor informații raportate, dacă este necesar, Comisia elaborează un plan de acțiune și propune recomandări și măsuri în conformitate cu articolul 34 din Regulamentul (UE) 2018/1999 pentru creșterea numărului acestor clădiri și încurajarea bunelor practici în ceea ce privește transformarea rentabilă a clădirilor existente în clădiri cu consum de energie aproape egal cu zero.”</w:t>
            </w:r>
          </w:p>
          <w:p w14:paraId="005CC7E4" w14:textId="77777777" w:rsidR="008F5636" w:rsidRPr="00CB6B95" w:rsidRDefault="000F2A07" w:rsidP="008F5636">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 xml:space="preserve">4.La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10, </w:t>
            </w:r>
            <w:proofErr w:type="spellStart"/>
            <w:r w:rsidRPr="00CB6B95">
              <w:rPr>
                <w:rFonts w:ascii="Times New Roman" w:hAnsi="Times New Roman"/>
                <w:sz w:val="20"/>
                <w:szCs w:val="20"/>
                <w:shd w:val="clear" w:color="auto" w:fill="FFFFFF"/>
                <w:lang w:val="fr-FR"/>
              </w:rPr>
              <w:t>alineatele</w:t>
            </w:r>
            <w:proofErr w:type="spellEnd"/>
            <w:r w:rsidRPr="00CB6B95">
              <w:rPr>
                <w:rFonts w:ascii="Times New Roman" w:hAnsi="Times New Roman"/>
                <w:sz w:val="20"/>
                <w:szCs w:val="20"/>
                <w:shd w:val="clear" w:color="auto" w:fill="FFFFFF"/>
                <w:lang w:val="fr-FR"/>
              </w:rPr>
              <w:t xml:space="preserve"> (2) și (3) se </w:t>
            </w:r>
            <w:proofErr w:type="spellStart"/>
            <w:r w:rsidRPr="00CB6B95">
              <w:rPr>
                <w:rFonts w:ascii="Times New Roman" w:hAnsi="Times New Roman"/>
                <w:sz w:val="20"/>
                <w:szCs w:val="20"/>
                <w:shd w:val="clear" w:color="auto" w:fill="FFFFFF"/>
                <w:lang w:val="fr-FR"/>
              </w:rPr>
              <w:t>elimină</w:t>
            </w:r>
            <w:proofErr w:type="spellEnd"/>
            <w:r w:rsidRPr="00CB6B95">
              <w:rPr>
                <w:rFonts w:ascii="Times New Roman" w:hAnsi="Times New Roman"/>
                <w:sz w:val="20"/>
                <w:szCs w:val="20"/>
                <w:shd w:val="clear" w:color="auto" w:fill="FFFFFF"/>
                <w:lang w:val="fr-FR"/>
              </w:rPr>
              <w:t>.</w:t>
            </w:r>
          </w:p>
          <w:p w14:paraId="2B7EF740" w14:textId="77777777" w:rsidR="000F2A07" w:rsidRPr="00CB6B95" w:rsidRDefault="000F2A07" w:rsidP="008F5636">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 xml:space="preserve">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14 </w:t>
            </w:r>
            <w:proofErr w:type="spellStart"/>
            <w:r w:rsidRPr="00CB6B95">
              <w:rPr>
                <w:rFonts w:ascii="Times New Roman" w:hAnsi="Times New Roman"/>
                <w:sz w:val="20"/>
                <w:szCs w:val="20"/>
                <w:shd w:val="clear" w:color="auto" w:fill="FFFFFF"/>
                <w:lang w:val="fr-FR"/>
              </w:rPr>
              <w:t>alineatul</w:t>
            </w:r>
            <w:proofErr w:type="spellEnd"/>
            <w:r w:rsidRPr="00CB6B95">
              <w:rPr>
                <w:rFonts w:ascii="Times New Roman" w:hAnsi="Times New Roman"/>
                <w:sz w:val="20"/>
                <w:szCs w:val="20"/>
                <w:shd w:val="clear" w:color="auto" w:fill="FFFFFF"/>
                <w:lang w:val="fr-FR"/>
              </w:rPr>
              <w:t xml:space="preserve"> (3), al </w:t>
            </w:r>
            <w:proofErr w:type="spellStart"/>
            <w:r w:rsidRPr="00CB6B95">
              <w:rPr>
                <w:rFonts w:ascii="Times New Roman" w:hAnsi="Times New Roman"/>
                <w:sz w:val="20"/>
                <w:szCs w:val="20"/>
                <w:shd w:val="clear" w:color="auto" w:fill="FFFFFF"/>
                <w:lang w:val="fr-FR"/>
              </w:rPr>
              <w:t>treilea</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paragraf</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înlocuiește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cu</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următorul</w:t>
            </w:r>
            <w:proofErr w:type="spellEnd"/>
            <w:r w:rsidRPr="00CB6B95">
              <w:rPr>
                <w:rFonts w:ascii="Times New Roman" w:hAnsi="Times New Roman"/>
                <w:sz w:val="20"/>
                <w:szCs w:val="20"/>
                <w:shd w:val="clear" w:color="auto" w:fill="FFFFFF"/>
                <w:lang w:val="fr-FR"/>
              </w:rPr>
              <w:t xml:space="preserve"> </w:t>
            </w:r>
            <w:proofErr w:type="spellStart"/>
            <w:proofErr w:type="gramStart"/>
            <w:r w:rsidRPr="00CB6B95">
              <w:rPr>
                <w:rFonts w:ascii="Times New Roman" w:hAnsi="Times New Roman"/>
                <w:sz w:val="20"/>
                <w:szCs w:val="20"/>
                <w:shd w:val="clear" w:color="auto" w:fill="FFFFFF"/>
                <w:lang w:val="fr-FR"/>
              </w:rPr>
              <w:t>text</w:t>
            </w:r>
            <w:proofErr w:type="spellEnd"/>
            <w:r w:rsidRPr="00CB6B95">
              <w:rPr>
                <w:rFonts w:ascii="Times New Roman" w:hAnsi="Times New Roman"/>
                <w:sz w:val="20"/>
                <w:szCs w:val="20"/>
                <w:shd w:val="clear" w:color="auto" w:fill="FFFFFF"/>
                <w:lang w:val="fr-FR"/>
              </w:rPr>
              <w:t>:</w:t>
            </w:r>
            <w:proofErr w:type="gramEnd"/>
          </w:p>
          <w:p w14:paraId="52385F0C" w14:textId="77777777" w:rsidR="000F2A07" w:rsidRPr="00CB6B95" w:rsidRDefault="000F2A07" w:rsidP="008F5636">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t>„</w:t>
            </w:r>
            <w:proofErr w:type="spellStart"/>
            <w:r w:rsidRPr="00CB6B95">
              <w:rPr>
                <w:rFonts w:ascii="Times New Roman" w:hAnsi="Times New Roman"/>
                <w:sz w:val="20"/>
                <w:szCs w:val="20"/>
                <w:shd w:val="clear" w:color="auto" w:fill="FFFFFF"/>
                <w:lang w:val="fr-FR"/>
              </w:rPr>
              <w:t>Respectivul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raport</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transmite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Comisiei</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cadrul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planurilor</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naționale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integrate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privind</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energia</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clima</w:t>
            </w:r>
            <w:proofErr w:type="spellEnd"/>
            <w:r w:rsidRPr="00CB6B95">
              <w:rPr>
                <w:rFonts w:ascii="Times New Roman" w:hAnsi="Times New Roman"/>
                <w:sz w:val="20"/>
                <w:szCs w:val="20"/>
                <w:shd w:val="clear" w:color="auto" w:fill="FFFFFF"/>
                <w:lang w:val="fr-FR"/>
              </w:rPr>
              <w:t xml:space="preserve"> ale </w:t>
            </w:r>
            <w:proofErr w:type="spellStart"/>
            <w:r w:rsidRPr="00CB6B95">
              <w:rPr>
                <w:rFonts w:ascii="Times New Roman" w:hAnsi="Times New Roman"/>
                <w:sz w:val="20"/>
                <w:szCs w:val="20"/>
                <w:shd w:val="clear" w:color="auto" w:fill="FFFFFF"/>
                <w:lang w:val="fr-FR"/>
              </w:rPr>
              <w:t>statelor</w:t>
            </w:r>
            <w:proofErr w:type="spellEnd"/>
            <w:r w:rsidRPr="00CB6B95">
              <w:rPr>
                <w:rFonts w:ascii="Times New Roman" w:hAnsi="Times New Roman"/>
                <w:sz w:val="20"/>
                <w:szCs w:val="20"/>
                <w:shd w:val="clear" w:color="auto" w:fill="FFFFFF"/>
                <w:lang w:val="fr-FR"/>
              </w:rPr>
              <w:t xml:space="preserve"> membre, </w:t>
            </w:r>
            <w:proofErr w:type="spellStart"/>
            <w:r w:rsidRPr="00CB6B95">
              <w:rPr>
                <w:rFonts w:ascii="Times New Roman" w:hAnsi="Times New Roman"/>
                <w:sz w:val="20"/>
                <w:szCs w:val="20"/>
                <w:shd w:val="clear" w:color="auto" w:fill="FFFFFF"/>
                <w:lang w:val="fr-FR"/>
              </w:rPr>
              <w:t>menționate</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Regulamentul</w:t>
            </w:r>
            <w:proofErr w:type="spellEnd"/>
            <w:r w:rsidRPr="00CB6B95">
              <w:rPr>
                <w:rFonts w:ascii="Times New Roman" w:hAnsi="Times New Roman"/>
                <w:sz w:val="20"/>
                <w:szCs w:val="20"/>
                <w:shd w:val="clear" w:color="auto" w:fill="FFFFFF"/>
                <w:lang w:val="fr-FR"/>
              </w:rPr>
              <w:t xml:space="preserve"> (UE) 2018/1999”</w:t>
            </w:r>
          </w:p>
          <w:p w14:paraId="076450B9" w14:textId="77777777" w:rsidR="000F2A07" w:rsidRPr="00CB6B95" w:rsidRDefault="000F2A07" w:rsidP="008F5636">
            <w:pPr>
              <w:pStyle w:val="ColorfulList-Accent11"/>
              <w:spacing w:after="0" w:line="240" w:lineRule="auto"/>
              <w:ind w:left="0"/>
              <w:jc w:val="both"/>
              <w:rPr>
                <w:rFonts w:ascii="Times New Roman" w:hAnsi="Times New Roman"/>
                <w:sz w:val="20"/>
                <w:szCs w:val="20"/>
                <w:shd w:val="clear" w:color="auto" w:fill="FFFFFF"/>
                <w:lang w:val="fr-FR"/>
              </w:rPr>
            </w:pPr>
            <w:r w:rsidRPr="00CB6B95">
              <w:rPr>
                <w:rFonts w:ascii="Times New Roman" w:hAnsi="Times New Roman"/>
                <w:sz w:val="20"/>
                <w:szCs w:val="20"/>
                <w:shd w:val="clear" w:color="auto" w:fill="FFFFFF"/>
                <w:lang w:val="fr-FR"/>
              </w:rPr>
              <w:lastRenderedPageBreak/>
              <w:t>5.</w:t>
            </w:r>
            <w:r w:rsidR="00FE55DA" w:rsidRPr="00CB6B95">
              <w:rPr>
                <w:rFonts w:ascii="Times New Roman" w:hAnsi="Times New Roman"/>
                <w:sz w:val="20"/>
                <w:szCs w:val="20"/>
                <w:shd w:val="clear" w:color="auto" w:fill="FFFFFF"/>
                <w:lang w:val="fr-FR"/>
              </w:rPr>
              <w:t xml:space="preserve"> La </w:t>
            </w:r>
            <w:proofErr w:type="spellStart"/>
            <w:r w:rsidR="00FE55DA" w:rsidRPr="00CB6B95">
              <w:rPr>
                <w:rFonts w:ascii="Times New Roman" w:hAnsi="Times New Roman"/>
                <w:sz w:val="20"/>
                <w:szCs w:val="20"/>
                <w:shd w:val="clear" w:color="auto" w:fill="FFFFFF"/>
                <w:lang w:val="fr-FR"/>
              </w:rPr>
              <w:t>articolul</w:t>
            </w:r>
            <w:proofErr w:type="spellEnd"/>
            <w:r w:rsidR="00FE55DA" w:rsidRPr="00CB6B95">
              <w:rPr>
                <w:rFonts w:ascii="Times New Roman" w:hAnsi="Times New Roman"/>
                <w:sz w:val="20"/>
                <w:szCs w:val="20"/>
                <w:shd w:val="clear" w:color="auto" w:fill="FFFFFF"/>
                <w:lang w:val="fr-FR"/>
              </w:rPr>
              <w:t xml:space="preserve"> 15 </w:t>
            </w:r>
            <w:proofErr w:type="spellStart"/>
            <w:r w:rsidR="00FE55DA" w:rsidRPr="00CB6B95">
              <w:rPr>
                <w:rFonts w:ascii="Times New Roman" w:hAnsi="Times New Roman"/>
                <w:sz w:val="20"/>
                <w:szCs w:val="20"/>
                <w:shd w:val="clear" w:color="auto" w:fill="FFFFFF"/>
                <w:lang w:val="fr-FR"/>
              </w:rPr>
              <w:t>alineatul</w:t>
            </w:r>
            <w:proofErr w:type="spellEnd"/>
            <w:r w:rsidR="00FE55DA" w:rsidRPr="00CB6B95">
              <w:rPr>
                <w:rFonts w:ascii="Times New Roman" w:hAnsi="Times New Roman"/>
                <w:sz w:val="20"/>
                <w:szCs w:val="20"/>
                <w:shd w:val="clear" w:color="auto" w:fill="FFFFFF"/>
                <w:lang w:val="fr-FR"/>
              </w:rPr>
              <w:t xml:space="preserve"> (3), al </w:t>
            </w:r>
            <w:proofErr w:type="spellStart"/>
            <w:r w:rsidR="00FE55DA" w:rsidRPr="00CB6B95">
              <w:rPr>
                <w:rFonts w:ascii="Times New Roman" w:hAnsi="Times New Roman"/>
                <w:sz w:val="20"/>
                <w:szCs w:val="20"/>
                <w:shd w:val="clear" w:color="auto" w:fill="FFFFFF"/>
                <w:lang w:val="fr-FR"/>
              </w:rPr>
              <w:t>treilea</w:t>
            </w:r>
            <w:proofErr w:type="spellEnd"/>
            <w:r w:rsidR="00FE55DA" w:rsidRPr="00CB6B95">
              <w:rPr>
                <w:rFonts w:ascii="Times New Roman" w:hAnsi="Times New Roman"/>
                <w:sz w:val="20"/>
                <w:szCs w:val="20"/>
                <w:shd w:val="clear" w:color="auto" w:fill="FFFFFF"/>
                <w:lang w:val="fr-FR"/>
              </w:rPr>
              <w:t xml:space="preserve"> </w:t>
            </w:r>
            <w:proofErr w:type="spellStart"/>
            <w:r w:rsidR="00FE55DA" w:rsidRPr="00CB6B95">
              <w:rPr>
                <w:rFonts w:ascii="Times New Roman" w:hAnsi="Times New Roman"/>
                <w:sz w:val="20"/>
                <w:szCs w:val="20"/>
                <w:shd w:val="clear" w:color="auto" w:fill="FFFFFF"/>
                <w:lang w:val="fr-FR"/>
              </w:rPr>
              <w:t>paragraf</w:t>
            </w:r>
            <w:proofErr w:type="spellEnd"/>
            <w:r w:rsidR="00FE55DA" w:rsidRPr="00CB6B95">
              <w:rPr>
                <w:rFonts w:ascii="Times New Roman" w:hAnsi="Times New Roman"/>
                <w:sz w:val="20"/>
                <w:szCs w:val="20"/>
                <w:shd w:val="clear" w:color="auto" w:fill="FFFFFF"/>
                <w:lang w:val="fr-FR"/>
              </w:rPr>
              <w:t xml:space="preserve"> se </w:t>
            </w:r>
            <w:proofErr w:type="spellStart"/>
            <w:r w:rsidR="00FE55DA" w:rsidRPr="00CB6B95">
              <w:rPr>
                <w:rFonts w:ascii="Times New Roman" w:hAnsi="Times New Roman"/>
                <w:sz w:val="20"/>
                <w:szCs w:val="20"/>
                <w:shd w:val="clear" w:color="auto" w:fill="FFFFFF"/>
                <w:lang w:val="fr-FR"/>
              </w:rPr>
              <w:t>înlocuiește</w:t>
            </w:r>
            <w:proofErr w:type="spellEnd"/>
            <w:r w:rsidR="00FE55DA" w:rsidRPr="00CB6B95">
              <w:rPr>
                <w:rFonts w:ascii="Times New Roman" w:hAnsi="Times New Roman"/>
                <w:sz w:val="20"/>
                <w:szCs w:val="20"/>
                <w:shd w:val="clear" w:color="auto" w:fill="FFFFFF"/>
                <w:lang w:val="fr-FR"/>
              </w:rPr>
              <w:t xml:space="preserve"> </w:t>
            </w:r>
            <w:proofErr w:type="spellStart"/>
            <w:r w:rsidR="00FE55DA" w:rsidRPr="00CB6B95">
              <w:rPr>
                <w:rFonts w:ascii="Times New Roman" w:hAnsi="Times New Roman"/>
                <w:sz w:val="20"/>
                <w:szCs w:val="20"/>
                <w:shd w:val="clear" w:color="auto" w:fill="FFFFFF"/>
                <w:lang w:val="fr-FR"/>
              </w:rPr>
              <w:t>cu</w:t>
            </w:r>
            <w:proofErr w:type="spellEnd"/>
            <w:r w:rsidR="00FE55DA" w:rsidRPr="00CB6B95">
              <w:rPr>
                <w:rFonts w:ascii="Times New Roman" w:hAnsi="Times New Roman"/>
                <w:sz w:val="20"/>
                <w:szCs w:val="20"/>
                <w:shd w:val="clear" w:color="auto" w:fill="FFFFFF"/>
                <w:lang w:val="fr-FR"/>
              </w:rPr>
              <w:t xml:space="preserve"> </w:t>
            </w:r>
            <w:proofErr w:type="spellStart"/>
            <w:r w:rsidR="00FE55DA" w:rsidRPr="00CB6B95">
              <w:rPr>
                <w:rFonts w:ascii="Times New Roman" w:hAnsi="Times New Roman"/>
                <w:sz w:val="20"/>
                <w:szCs w:val="20"/>
                <w:shd w:val="clear" w:color="auto" w:fill="FFFFFF"/>
                <w:lang w:val="fr-FR"/>
              </w:rPr>
              <w:t>următorul</w:t>
            </w:r>
            <w:proofErr w:type="spellEnd"/>
            <w:r w:rsidR="00FE55DA" w:rsidRPr="00CB6B95">
              <w:rPr>
                <w:rFonts w:ascii="Times New Roman" w:hAnsi="Times New Roman"/>
                <w:sz w:val="20"/>
                <w:szCs w:val="20"/>
                <w:shd w:val="clear" w:color="auto" w:fill="FFFFFF"/>
                <w:lang w:val="fr-FR"/>
              </w:rPr>
              <w:t xml:space="preserve"> </w:t>
            </w:r>
            <w:proofErr w:type="spellStart"/>
            <w:proofErr w:type="gramStart"/>
            <w:r w:rsidR="00FE55DA" w:rsidRPr="00CB6B95">
              <w:rPr>
                <w:rFonts w:ascii="Times New Roman" w:hAnsi="Times New Roman"/>
                <w:sz w:val="20"/>
                <w:szCs w:val="20"/>
                <w:shd w:val="clear" w:color="auto" w:fill="FFFFFF"/>
                <w:lang w:val="fr-FR"/>
              </w:rPr>
              <w:t>text</w:t>
            </w:r>
            <w:proofErr w:type="spellEnd"/>
            <w:r w:rsidR="00FE55DA" w:rsidRPr="00CB6B95">
              <w:rPr>
                <w:rFonts w:ascii="Times New Roman" w:hAnsi="Times New Roman"/>
                <w:sz w:val="20"/>
                <w:szCs w:val="20"/>
                <w:shd w:val="clear" w:color="auto" w:fill="FFFFFF"/>
                <w:lang w:val="fr-FR"/>
              </w:rPr>
              <w:t>:</w:t>
            </w:r>
            <w:proofErr w:type="gramEnd"/>
          </w:p>
          <w:p w14:paraId="1362417A" w14:textId="11D296A6" w:rsidR="00FE55DA" w:rsidRPr="00CB6B95" w:rsidRDefault="00FE55DA" w:rsidP="008F5636">
            <w:pPr>
              <w:pStyle w:val="ColorfulList-Accent11"/>
              <w:spacing w:after="0" w:line="240" w:lineRule="auto"/>
              <w:ind w:left="0"/>
              <w:jc w:val="both"/>
              <w:rPr>
                <w:rFonts w:ascii="Times New Roman" w:hAnsi="Times New Roman"/>
                <w:sz w:val="20"/>
                <w:szCs w:val="20"/>
                <w:lang w:val="fr-FR"/>
              </w:rPr>
            </w:pPr>
            <w:r w:rsidRPr="00CB6B95">
              <w:rPr>
                <w:rFonts w:ascii="Times New Roman" w:hAnsi="Times New Roman"/>
                <w:sz w:val="20"/>
                <w:szCs w:val="20"/>
                <w:shd w:val="clear" w:color="auto" w:fill="FFFFFF"/>
                <w:lang w:val="fr-FR"/>
              </w:rPr>
              <w:t>„</w:t>
            </w:r>
            <w:proofErr w:type="spellStart"/>
            <w:r w:rsidRPr="00CB6B95">
              <w:rPr>
                <w:rFonts w:ascii="Times New Roman" w:hAnsi="Times New Roman"/>
                <w:sz w:val="20"/>
                <w:szCs w:val="20"/>
                <w:shd w:val="clear" w:color="auto" w:fill="FFFFFF"/>
                <w:lang w:val="fr-FR"/>
              </w:rPr>
              <w:t>Respectivul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raport</w:t>
            </w:r>
            <w:proofErr w:type="spellEnd"/>
            <w:r w:rsidRPr="00CB6B95">
              <w:rPr>
                <w:rFonts w:ascii="Times New Roman" w:hAnsi="Times New Roman"/>
                <w:sz w:val="20"/>
                <w:szCs w:val="20"/>
                <w:shd w:val="clear" w:color="auto" w:fill="FFFFFF"/>
                <w:lang w:val="fr-FR"/>
              </w:rPr>
              <w:t xml:space="preserve"> se </w:t>
            </w:r>
            <w:proofErr w:type="spellStart"/>
            <w:r w:rsidRPr="00CB6B95">
              <w:rPr>
                <w:rFonts w:ascii="Times New Roman" w:hAnsi="Times New Roman"/>
                <w:sz w:val="20"/>
                <w:szCs w:val="20"/>
                <w:shd w:val="clear" w:color="auto" w:fill="FFFFFF"/>
                <w:lang w:val="fr-FR"/>
              </w:rPr>
              <w:t>transmite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Comisiei</w:t>
            </w:r>
            <w:proofErr w:type="spellEnd"/>
            <w:r w:rsidRPr="00CB6B95">
              <w:rPr>
                <w:rFonts w:ascii="Times New Roman" w:hAnsi="Times New Roman"/>
                <w:sz w:val="20"/>
                <w:szCs w:val="20"/>
                <w:shd w:val="clear" w:color="auto" w:fill="FFFFFF"/>
                <w:lang w:val="fr-FR"/>
              </w:rPr>
              <w:t xml:space="preserve"> în </w:t>
            </w:r>
            <w:proofErr w:type="spellStart"/>
            <w:r w:rsidRPr="00CB6B95">
              <w:rPr>
                <w:rFonts w:ascii="Times New Roman" w:hAnsi="Times New Roman"/>
                <w:sz w:val="20"/>
                <w:szCs w:val="20"/>
                <w:shd w:val="clear" w:color="auto" w:fill="FFFFFF"/>
                <w:lang w:val="fr-FR"/>
              </w:rPr>
              <w:t>cadrul</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planurilor</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naționale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integrate</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privind</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energia</w:t>
            </w:r>
            <w:proofErr w:type="spellEnd"/>
            <w:r w:rsidRPr="00CB6B95">
              <w:rPr>
                <w:rFonts w:ascii="Times New Roman" w:hAnsi="Times New Roman"/>
                <w:sz w:val="20"/>
                <w:szCs w:val="20"/>
                <w:shd w:val="clear" w:color="auto" w:fill="FFFFFF"/>
                <w:lang w:val="fr-FR"/>
              </w:rPr>
              <w:t xml:space="preserve"> și </w:t>
            </w:r>
            <w:proofErr w:type="spellStart"/>
            <w:r w:rsidRPr="00CB6B95">
              <w:rPr>
                <w:rFonts w:ascii="Times New Roman" w:hAnsi="Times New Roman"/>
                <w:sz w:val="20"/>
                <w:szCs w:val="20"/>
                <w:shd w:val="clear" w:color="auto" w:fill="FFFFFF"/>
                <w:lang w:val="fr-FR"/>
              </w:rPr>
              <w:t>clima</w:t>
            </w:r>
            <w:proofErr w:type="spellEnd"/>
            <w:r w:rsidRPr="00CB6B95">
              <w:rPr>
                <w:rFonts w:ascii="Times New Roman" w:hAnsi="Times New Roman"/>
                <w:sz w:val="20"/>
                <w:szCs w:val="20"/>
                <w:shd w:val="clear" w:color="auto" w:fill="FFFFFF"/>
                <w:lang w:val="fr-FR"/>
              </w:rPr>
              <w:t xml:space="preserve"> ale </w:t>
            </w:r>
            <w:proofErr w:type="spellStart"/>
            <w:r w:rsidRPr="00CB6B95">
              <w:rPr>
                <w:rFonts w:ascii="Times New Roman" w:hAnsi="Times New Roman"/>
                <w:sz w:val="20"/>
                <w:szCs w:val="20"/>
                <w:shd w:val="clear" w:color="auto" w:fill="FFFFFF"/>
                <w:lang w:val="fr-FR"/>
              </w:rPr>
              <w:t>statelor</w:t>
            </w:r>
            <w:proofErr w:type="spellEnd"/>
            <w:r w:rsidRPr="00CB6B95">
              <w:rPr>
                <w:rFonts w:ascii="Times New Roman" w:hAnsi="Times New Roman"/>
                <w:sz w:val="20"/>
                <w:szCs w:val="20"/>
                <w:shd w:val="clear" w:color="auto" w:fill="FFFFFF"/>
                <w:lang w:val="fr-FR"/>
              </w:rPr>
              <w:t xml:space="preserve"> membre, </w:t>
            </w:r>
            <w:proofErr w:type="spellStart"/>
            <w:r w:rsidRPr="00CB6B95">
              <w:rPr>
                <w:rFonts w:ascii="Times New Roman" w:hAnsi="Times New Roman"/>
                <w:sz w:val="20"/>
                <w:szCs w:val="20"/>
                <w:shd w:val="clear" w:color="auto" w:fill="FFFFFF"/>
                <w:lang w:val="fr-FR"/>
              </w:rPr>
              <w:t>menționate</w:t>
            </w:r>
            <w:proofErr w:type="spellEnd"/>
            <w:r w:rsidRPr="00CB6B95">
              <w:rPr>
                <w:rFonts w:ascii="Times New Roman" w:hAnsi="Times New Roman"/>
                <w:sz w:val="20"/>
                <w:szCs w:val="20"/>
                <w:shd w:val="clear" w:color="auto" w:fill="FFFFFF"/>
                <w:lang w:val="fr-FR"/>
              </w:rPr>
              <w:t xml:space="preserve"> la </w:t>
            </w:r>
            <w:proofErr w:type="spellStart"/>
            <w:r w:rsidRPr="00CB6B95">
              <w:rPr>
                <w:rFonts w:ascii="Times New Roman" w:hAnsi="Times New Roman"/>
                <w:sz w:val="20"/>
                <w:szCs w:val="20"/>
                <w:shd w:val="clear" w:color="auto" w:fill="FFFFFF"/>
                <w:lang w:val="fr-FR"/>
              </w:rPr>
              <w:t>articolul</w:t>
            </w:r>
            <w:proofErr w:type="spellEnd"/>
            <w:r w:rsidRPr="00CB6B95">
              <w:rPr>
                <w:rFonts w:ascii="Times New Roman" w:hAnsi="Times New Roman"/>
                <w:sz w:val="20"/>
                <w:szCs w:val="20"/>
                <w:shd w:val="clear" w:color="auto" w:fill="FFFFFF"/>
                <w:lang w:val="fr-FR"/>
              </w:rPr>
              <w:t xml:space="preserve"> 3 </w:t>
            </w:r>
            <w:proofErr w:type="spellStart"/>
            <w:r w:rsidRPr="00CB6B95">
              <w:rPr>
                <w:rFonts w:ascii="Times New Roman" w:hAnsi="Times New Roman"/>
                <w:sz w:val="20"/>
                <w:szCs w:val="20"/>
                <w:shd w:val="clear" w:color="auto" w:fill="FFFFFF"/>
                <w:lang w:val="fr-FR"/>
              </w:rPr>
              <w:t>din</w:t>
            </w:r>
            <w:proofErr w:type="spellEnd"/>
            <w:r w:rsidRPr="00CB6B95">
              <w:rPr>
                <w:rFonts w:ascii="Times New Roman" w:hAnsi="Times New Roman"/>
                <w:sz w:val="20"/>
                <w:szCs w:val="20"/>
                <w:shd w:val="clear" w:color="auto" w:fill="FFFFFF"/>
                <w:lang w:val="fr-FR"/>
              </w:rPr>
              <w:t xml:space="preserve"> </w:t>
            </w:r>
            <w:proofErr w:type="spellStart"/>
            <w:r w:rsidRPr="00CB6B95">
              <w:rPr>
                <w:rFonts w:ascii="Times New Roman" w:hAnsi="Times New Roman"/>
                <w:sz w:val="20"/>
                <w:szCs w:val="20"/>
                <w:shd w:val="clear" w:color="auto" w:fill="FFFFFF"/>
                <w:lang w:val="fr-FR"/>
              </w:rPr>
              <w:t>Regulamentul</w:t>
            </w:r>
            <w:proofErr w:type="spellEnd"/>
            <w:r w:rsidRPr="00CB6B95">
              <w:rPr>
                <w:rFonts w:ascii="Times New Roman" w:hAnsi="Times New Roman"/>
                <w:sz w:val="20"/>
                <w:szCs w:val="20"/>
                <w:shd w:val="clear" w:color="auto" w:fill="FFFFFF"/>
                <w:lang w:val="fr-FR"/>
              </w:rPr>
              <w:t xml:space="preserve"> (UE) 2018/1999.”</w:t>
            </w:r>
          </w:p>
        </w:tc>
        <w:tc>
          <w:tcPr>
            <w:tcW w:w="4440" w:type="dxa"/>
          </w:tcPr>
          <w:p w14:paraId="3B76A8E8" w14:textId="77777777" w:rsidR="008F5636" w:rsidRPr="009E5BB0" w:rsidRDefault="008F5636" w:rsidP="008F5636">
            <w:pPr>
              <w:pStyle w:val="ColorfulList-Accent11"/>
              <w:spacing w:after="0" w:line="240" w:lineRule="auto"/>
              <w:ind w:left="0"/>
              <w:jc w:val="both"/>
              <w:rPr>
                <w:lang w:val="ro-MD"/>
              </w:rPr>
            </w:pPr>
          </w:p>
        </w:tc>
        <w:tc>
          <w:tcPr>
            <w:tcW w:w="1276" w:type="dxa"/>
          </w:tcPr>
          <w:p w14:paraId="523AAB7A" w14:textId="132FD8F3" w:rsidR="008F5636" w:rsidRPr="009E5BB0" w:rsidRDefault="00FE55DA" w:rsidP="008F5636">
            <w:pPr>
              <w:pStyle w:val="ColorfulList-Accent11"/>
              <w:spacing w:after="0" w:line="240" w:lineRule="auto"/>
              <w:ind w:left="0"/>
              <w:jc w:val="both"/>
              <w:rPr>
                <w:lang w:val="ro-MD"/>
              </w:rPr>
            </w:pPr>
            <w:r w:rsidRPr="00C951E7">
              <w:rPr>
                <w:rFonts w:ascii="Times New Roman" w:hAnsi="Times New Roman"/>
                <w:sz w:val="20"/>
                <w:szCs w:val="20"/>
                <w:lang w:val="ro-RO"/>
              </w:rPr>
              <w:t>Prevederi UE neaplicabile</w:t>
            </w:r>
          </w:p>
        </w:tc>
        <w:tc>
          <w:tcPr>
            <w:tcW w:w="1276" w:type="dxa"/>
          </w:tcPr>
          <w:p w14:paraId="2FD14BBA" w14:textId="77777777" w:rsidR="008F5636" w:rsidRPr="009E5BB0" w:rsidRDefault="008F5636" w:rsidP="008F5636">
            <w:pPr>
              <w:pStyle w:val="ColorfulList-Accent11"/>
              <w:spacing w:after="0" w:line="240" w:lineRule="auto"/>
              <w:ind w:left="0"/>
              <w:jc w:val="both"/>
              <w:rPr>
                <w:lang w:val="ro-MD"/>
              </w:rPr>
            </w:pPr>
          </w:p>
        </w:tc>
        <w:tc>
          <w:tcPr>
            <w:tcW w:w="1701" w:type="dxa"/>
          </w:tcPr>
          <w:p w14:paraId="0B52E156" w14:textId="3B22A318" w:rsidR="008F5636" w:rsidRPr="009E5BB0" w:rsidRDefault="00FE55DA" w:rsidP="008F5636">
            <w:pPr>
              <w:pStyle w:val="ColorfulList-Accent11"/>
              <w:spacing w:after="0" w:line="240" w:lineRule="auto"/>
              <w:ind w:left="0"/>
              <w:jc w:val="both"/>
              <w:rPr>
                <w:lang w:val="ro-MD"/>
              </w:rPr>
            </w:pPr>
            <w:r w:rsidRPr="00C951E7">
              <w:rPr>
                <w:rFonts w:ascii="Times New Roman" w:hAnsi="Times New Roman"/>
                <w:sz w:val="20"/>
                <w:szCs w:val="20"/>
                <w:lang w:val="ro-RO"/>
              </w:rPr>
              <w:t>Transpunerea nu este necesară, deoarece se referă la tehnica legislativă UE.</w:t>
            </w:r>
          </w:p>
        </w:tc>
        <w:tc>
          <w:tcPr>
            <w:tcW w:w="1460" w:type="dxa"/>
          </w:tcPr>
          <w:p w14:paraId="059B4DA7" w14:textId="77777777" w:rsidR="008F5636" w:rsidRPr="009E5BB0" w:rsidRDefault="008F5636" w:rsidP="008F5636">
            <w:pPr>
              <w:pStyle w:val="ColorfulList-Accent11"/>
              <w:spacing w:after="0" w:line="240" w:lineRule="auto"/>
              <w:ind w:left="0"/>
              <w:jc w:val="both"/>
              <w:rPr>
                <w:lang w:val="ro-MD"/>
              </w:rPr>
            </w:pPr>
          </w:p>
        </w:tc>
      </w:tr>
      <w:tr w:rsidR="008F5636" w:rsidRPr="00FE55DA" w14:paraId="628F1682" w14:textId="77777777" w:rsidTr="00A90105">
        <w:tc>
          <w:tcPr>
            <w:tcW w:w="4945" w:type="dxa"/>
          </w:tcPr>
          <w:p w14:paraId="59DD96E5" w14:textId="77777777" w:rsidR="008F5636" w:rsidRPr="00CB6B95" w:rsidRDefault="008F5636" w:rsidP="00FE55DA">
            <w:pPr>
              <w:spacing w:after="0" w:line="240" w:lineRule="auto"/>
              <w:jc w:val="center"/>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lastRenderedPageBreak/>
              <w:t>Articolul</w:t>
            </w:r>
            <w:proofErr w:type="spellEnd"/>
            <w:r w:rsidRPr="00CB6B95">
              <w:rPr>
                <w:rFonts w:ascii="Times New Roman" w:hAnsi="Times New Roman"/>
                <w:sz w:val="20"/>
                <w:szCs w:val="20"/>
                <w:lang w:val="fr-FR" w:eastAsia="ru-RU"/>
              </w:rPr>
              <w:t xml:space="preserve"> 54</w:t>
            </w:r>
          </w:p>
          <w:p w14:paraId="24F2BF49" w14:textId="77777777" w:rsidR="008F5636" w:rsidRPr="00CB6B95" w:rsidRDefault="008F5636" w:rsidP="00FE55DA">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2012/27/UE</w:t>
            </w:r>
          </w:p>
          <w:p w14:paraId="0FA1232C" w14:textId="3C7CFEE9" w:rsidR="008F5636" w:rsidRPr="00CB6B95" w:rsidRDefault="008F5636" w:rsidP="00FE55DA">
            <w:pPr>
              <w:spacing w:after="0" w:line="240" w:lineRule="auto"/>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00FE55DA" w:rsidRPr="00CB6B95">
              <w:rPr>
                <w:rFonts w:ascii="Times New Roman" w:hAnsi="Times New Roman"/>
                <w:sz w:val="20"/>
                <w:szCs w:val="20"/>
                <w:lang w:val="fr-FR" w:eastAsia="ru-RU"/>
              </w:rPr>
              <w:t xml:space="preserve"> </w:t>
            </w:r>
            <w:r w:rsidRPr="00CB6B95">
              <w:rPr>
                <w:rFonts w:ascii="Times New Roman" w:hAnsi="Times New Roman"/>
                <w:sz w:val="20"/>
                <w:szCs w:val="20"/>
                <w:lang w:val="fr-FR" w:eastAsia="ru-RU"/>
              </w:rPr>
              <w:t xml:space="preserve">2012/27/UE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224C120E" w14:textId="169175ED" w:rsidR="00FE55DA" w:rsidRPr="00CB6B95" w:rsidRDefault="00FE55DA" w:rsidP="00FE55DA">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1.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4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6E78A5FD" w14:textId="076C5D9E" w:rsidR="00FE55DA" w:rsidRPr="00CB6B95" w:rsidRDefault="00FE55DA" w:rsidP="00FE55DA">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2. 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18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litera (e)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6DDE6AF4" w14:textId="417E5C29" w:rsidR="00FE55DA" w:rsidRPr="00CB6B95" w:rsidRDefault="00FE55DA" w:rsidP="00FE55DA">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t xml:space="preserve">3.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24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27A2785F" w14:textId="35329A7E" w:rsidR="00FE55DA" w:rsidRPr="00CB6B95" w:rsidRDefault="00FE55DA" w:rsidP="00FE55DA">
            <w:pPr>
              <w:spacing w:after="0" w:line="240" w:lineRule="auto"/>
              <w:rPr>
                <w:rFonts w:ascii="Times New Roman" w:hAnsi="Times New Roman"/>
                <w:sz w:val="20"/>
                <w:szCs w:val="20"/>
                <w:lang w:val="en-US" w:eastAsia="ru-RU"/>
              </w:rPr>
            </w:pPr>
            <w:r w:rsidRPr="00CB6B95">
              <w:rPr>
                <w:rFonts w:ascii="Times New Roman" w:hAnsi="Times New Roman"/>
                <w:sz w:val="20"/>
                <w:szCs w:val="20"/>
                <w:lang w:val="fr-FR" w:eastAsia="ru-RU"/>
              </w:rPr>
              <w:t>a)</w:t>
            </w:r>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alineatele</w:t>
            </w:r>
            <w:proofErr w:type="spellEnd"/>
            <w:r w:rsidRPr="00CB6B95">
              <w:rPr>
                <w:rFonts w:ascii="Times New Roman" w:hAnsi="Times New Roman"/>
                <w:sz w:val="20"/>
                <w:szCs w:val="20"/>
                <w:lang w:val="ro-MD" w:eastAsia="ru-RU"/>
              </w:rPr>
              <w:t xml:space="preserve"> </w:t>
            </w:r>
            <w:r w:rsidRPr="00CB6B95">
              <w:rPr>
                <w:rFonts w:ascii="Times New Roman" w:hAnsi="Times New Roman"/>
                <w:sz w:val="20"/>
                <w:szCs w:val="20"/>
                <w:lang w:val="en-US" w:eastAsia="ru-RU"/>
              </w:rPr>
              <w:t>(1), (3), (4) și</w:t>
            </w:r>
            <w:r w:rsidRPr="00CB6B95">
              <w:rPr>
                <w:rFonts w:ascii="Times New Roman" w:hAnsi="Times New Roman"/>
                <w:sz w:val="20"/>
                <w:szCs w:val="20"/>
                <w:lang w:val="ro-MD" w:eastAsia="ru-RU"/>
              </w:rPr>
              <w:t xml:space="preserve"> </w:t>
            </w:r>
            <w:r w:rsidRPr="00CB6B95">
              <w:rPr>
                <w:rFonts w:ascii="Times New Roman" w:hAnsi="Times New Roman"/>
                <w:sz w:val="20"/>
                <w:szCs w:val="20"/>
                <w:lang w:val="en-US" w:eastAsia="ru-RU"/>
              </w:rPr>
              <w:t xml:space="preserve">(11) se </w:t>
            </w:r>
            <w:proofErr w:type="spellStart"/>
            <w:proofErr w:type="gramStart"/>
            <w:r w:rsidRPr="00CB6B95">
              <w:rPr>
                <w:rFonts w:ascii="Times New Roman" w:hAnsi="Times New Roman"/>
                <w:sz w:val="20"/>
                <w:szCs w:val="20"/>
                <w:lang w:val="en-US" w:eastAsia="ru-RU"/>
              </w:rPr>
              <w:t>elimină</w:t>
            </w:r>
            <w:proofErr w:type="spellEnd"/>
            <w:r w:rsidRPr="00CB6B95">
              <w:rPr>
                <w:rFonts w:ascii="Times New Roman" w:hAnsi="Times New Roman"/>
                <w:sz w:val="20"/>
                <w:szCs w:val="20"/>
                <w:lang w:val="en-US" w:eastAsia="ru-RU"/>
              </w:rPr>
              <w:t>;</w:t>
            </w:r>
            <w:proofErr w:type="gramEnd"/>
          </w:p>
          <w:p w14:paraId="715DA106" w14:textId="48566335" w:rsidR="00FE55DA" w:rsidRPr="00CB6B95" w:rsidRDefault="00FE55DA" w:rsidP="00FE55DA">
            <w:pPr>
              <w:spacing w:after="0" w:line="240" w:lineRule="auto"/>
              <w:rPr>
                <w:rFonts w:ascii="Times New Roman" w:hAnsi="Times New Roman"/>
                <w:sz w:val="20"/>
                <w:szCs w:val="20"/>
                <w:lang w:val="fr-FR" w:eastAsia="ru-RU"/>
              </w:rPr>
            </w:pPr>
            <w:r w:rsidRPr="00CB6B95">
              <w:rPr>
                <w:rFonts w:ascii="Times New Roman" w:hAnsi="Times New Roman"/>
                <w:sz w:val="20"/>
                <w:szCs w:val="20"/>
                <w:lang w:val="ro-MD" w:eastAsia="ru-RU"/>
              </w:rPr>
              <w:t>b)</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(2) se </w:t>
            </w:r>
            <w:proofErr w:type="spellStart"/>
            <w:r w:rsidRPr="00CB6B95">
              <w:rPr>
                <w:rFonts w:ascii="Times New Roman" w:hAnsi="Times New Roman"/>
                <w:sz w:val="20"/>
                <w:szCs w:val="20"/>
                <w:lang w:val="en-US" w:eastAsia="ru-RU"/>
              </w:rPr>
              <w:t>elimină</w:t>
            </w:r>
            <w:proofErr w:type="spellEnd"/>
            <w:r w:rsidRPr="00CB6B95">
              <w:rPr>
                <w:rFonts w:ascii="Times New Roman" w:hAnsi="Times New Roman"/>
                <w:sz w:val="20"/>
                <w:szCs w:val="20"/>
                <w:lang w:val="en-US" w:eastAsia="ru-RU"/>
              </w:rPr>
              <w:t>.</w:t>
            </w:r>
          </w:p>
          <w:p w14:paraId="2D676037" w14:textId="46CDE0A7" w:rsidR="008F5636" w:rsidRPr="00CB6B95" w:rsidRDefault="00FE55DA" w:rsidP="00FE55DA">
            <w:pPr>
              <w:pStyle w:val="Normal4"/>
              <w:spacing w:before="0" w:beforeAutospacing="0" w:after="0" w:afterAutospacing="0"/>
              <w:jc w:val="both"/>
              <w:rPr>
                <w:sz w:val="20"/>
                <w:szCs w:val="20"/>
              </w:rPr>
            </w:pPr>
            <w:r w:rsidRPr="00CB6B95">
              <w:rPr>
                <w:sz w:val="20"/>
                <w:szCs w:val="20"/>
              </w:rPr>
              <w:t>4.AnexaXIV se elimină.</w:t>
            </w:r>
          </w:p>
        </w:tc>
        <w:tc>
          <w:tcPr>
            <w:tcW w:w="4440" w:type="dxa"/>
          </w:tcPr>
          <w:p w14:paraId="71E2F0B3" w14:textId="77777777" w:rsidR="008F5636" w:rsidRPr="00FE55DA" w:rsidRDefault="008F5636" w:rsidP="008F5636">
            <w:pPr>
              <w:pStyle w:val="ColorfulList-Accent11"/>
              <w:spacing w:after="0" w:line="240" w:lineRule="auto"/>
              <w:ind w:left="0"/>
              <w:jc w:val="both"/>
              <w:rPr>
                <w:lang w:val="fr-FR"/>
              </w:rPr>
            </w:pPr>
          </w:p>
        </w:tc>
        <w:tc>
          <w:tcPr>
            <w:tcW w:w="1276" w:type="dxa"/>
          </w:tcPr>
          <w:p w14:paraId="2A38F140" w14:textId="63ACBC17" w:rsidR="008F5636" w:rsidRPr="00FE55DA" w:rsidRDefault="003274E5"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658BDF37" w14:textId="77777777" w:rsidR="008F5636" w:rsidRPr="00FE55DA" w:rsidRDefault="008F5636" w:rsidP="008F5636">
            <w:pPr>
              <w:pStyle w:val="ColorfulList-Accent11"/>
              <w:spacing w:after="0" w:line="240" w:lineRule="auto"/>
              <w:ind w:left="0"/>
              <w:jc w:val="both"/>
              <w:rPr>
                <w:lang w:val="fr-FR"/>
              </w:rPr>
            </w:pPr>
          </w:p>
        </w:tc>
        <w:tc>
          <w:tcPr>
            <w:tcW w:w="1701" w:type="dxa"/>
          </w:tcPr>
          <w:p w14:paraId="41FF3F4F" w14:textId="7CFA25D3" w:rsidR="008F5636" w:rsidRPr="00FE55DA" w:rsidRDefault="003274E5"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782C9CFA" w14:textId="77777777" w:rsidR="008F5636" w:rsidRPr="00FE55DA" w:rsidRDefault="008F5636" w:rsidP="008F5636">
            <w:pPr>
              <w:pStyle w:val="ColorfulList-Accent11"/>
              <w:spacing w:after="0" w:line="240" w:lineRule="auto"/>
              <w:ind w:left="0"/>
              <w:jc w:val="both"/>
              <w:rPr>
                <w:lang w:val="fr-FR"/>
              </w:rPr>
            </w:pPr>
          </w:p>
        </w:tc>
      </w:tr>
      <w:tr w:rsidR="008F5636" w:rsidRPr="00FE55DA" w14:paraId="3BBE23F9" w14:textId="77777777" w:rsidTr="00A90105">
        <w:tc>
          <w:tcPr>
            <w:tcW w:w="4945" w:type="dxa"/>
          </w:tcPr>
          <w:p w14:paraId="28B8CF30" w14:textId="77777777" w:rsidR="008F5636" w:rsidRPr="00CB6B95" w:rsidRDefault="008F5636" w:rsidP="00FE55DA">
            <w:pPr>
              <w:spacing w:after="0" w:line="240" w:lineRule="auto"/>
              <w:jc w:val="center"/>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55</w:t>
            </w:r>
          </w:p>
          <w:p w14:paraId="54F11FDB" w14:textId="77777777" w:rsidR="008F5636" w:rsidRPr="00CB6B95" w:rsidRDefault="008F5636" w:rsidP="00FE55DA">
            <w:pPr>
              <w:spacing w:after="0" w:line="240" w:lineRule="auto"/>
              <w:jc w:val="center"/>
              <w:rPr>
                <w:rFonts w:ascii="Times New Roman" w:hAnsi="Times New Roman"/>
                <w:b/>
                <w:bCs/>
                <w:sz w:val="20"/>
                <w:szCs w:val="20"/>
                <w:lang w:val="en-US" w:eastAsia="ru-RU"/>
              </w:rPr>
            </w:pPr>
            <w:proofErr w:type="spellStart"/>
            <w:r w:rsidRPr="00CB6B95">
              <w:rPr>
                <w:rFonts w:ascii="Times New Roman" w:hAnsi="Times New Roman"/>
                <w:b/>
                <w:bCs/>
                <w:sz w:val="20"/>
                <w:szCs w:val="20"/>
                <w:lang w:val="en-US" w:eastAsia="ru-RU"/>
              </w:rPr>
              <w:t>Modificare</w:t>
            </w:r>
            <w:proofErr w:type="spellEnd"/>
            <w:r w:rsidRPr="00CB6B95">
              <w:rPr>
                <w:rFonts w:ascii="Times New Roman" w:hAnsi="Times New Roman"/>
                <w:b/>
                <w:bCs/>
                <w:sz w:val="20"/>
                <w:szCs w:val="20"/>
                <w:lang w:val="en-US" w:eastAsia="ru-RU"/>
              </w:rPr>
              <w:t xml:space="preserve"> </w:t>
            </w:r>
            <w:proofErr w:type="spellStart"/>
            <w:r w:rsidRPr="00CB6B95">
              <w:rPr>
                <w:rFonts w:ascii="Times New Roman" w:hAnsi="Times New Roman"/>
                <w:b/>
                <w:bCs/>
                <w:sz w:val="20"/>
                <w:szCs w:val="20"/>
                <w:lang w:val="en-US" w:eastAsia="ru-RU"/>
              </w:rPr>
              <w:t>adusă</w:t>
            </w:r>
            <w:proofErr w:type="spellEnd"/>
            <w:r w:rsidRPr="00CB6B95">
              <w:rPr>
                <w:rFonts w:ascii="Times New Roman" w:hAnsi="Times New Roman"/>
                <w:b/>
                <w:bCs/>
                <w:sz w:val="20"/>
                <w:szCs w:val="20"/>
                <w:lang w:val="en-US" w:eastAsia="ru-RU"/>
              </w:rPr>
              <w:t xml:space="preserve"> </w:t>
            </w:r>
            <w:proofErr w:type="spellStart"/>
            <w:r w:rsidRPr="00CB6B95">
              <w:rPr>
                <w:rFonts w:ascii="Times New Roman" w:hAnsi="Times New Roman"/>
                <w:b/>
                <w:bCs/>
                <w:sz w:val="20"/>
                <w:szCs w:val="20"/>
                <w:lang w:val="en-US" w:eastAsia="ru-RU"/>
              </w:rPr>
              <w:t>Directivei</w:t>
            </w:r>
            <w:proofErr w:type="spellEnd"/>
            <w:r w:rsidRPr="00CB6B95">
              <w:rPr>
                <w:rFonts w:ascii="Times New Roman" w:hAnsi="Times New Roman"/>
                <w:b/>
                <w:bCs/>
                <w:sz w:val="20"/>
                <w:szCs w:val="20"/>
                <w:lang w:val="en-US" w:eastAsia="ru-RU"/>
              </w:rPr>
              <w:t xml:space="preserve"> 2013/30/UE</w:t>
            </w:r>
          </w:p>
          <w:p w14:paraId="415FEFF9" w14:textId="310CF170" w:rsidR="008F5636" w:rsidRPr="00CB6B95" w:rsidRDefault="008F5636" w:rsidP="00FE55DA">
            <w:pPr>
              <w:spacing w:after="0" w:line="240" w:lineRule="auto"/>
              <w:jc w:val="both"/>
              <w:rPr>
                <w:rFonts w:ascii="Times New Roman" w:hAnsi="Times New Roman"/>
                <w:sz w:val="20"/>
                <w:szCs w:val="20"/>
                <w:lang w:eastAsia="ru-RU"/>
              </w:rPr>
            </w:pPr>
            <w:r w:rsidRPr="00CB6B95">
              <w:rPr>
                <w:rFonts w:ascii="Times New Roman" w:hAnsi="Times New Roman"/>
                <w:sz w:val="20"/>
                <w:szCs w:val="20"/>
                <w:lang w:eastAsia="ru-RU"/>
              </w:rPr>
              <w:t xml:space="preserve">La </w:t>
            </w:r>
            <w:proofErr w:type="spellStart"/>
            <w:r w:rsidRPr="00CB6B95">
              <w:rPr>
                <w:rFonts w:ascii="Times New Roman" w:hAnsi="Times New Roman"/>
                <w:sz w:val="20"/>
                <w:szCs w:val="20"/>
                <w:lang w:eastAsia="ru-RU"/>
              </w:rPr>
              <w:t>articolul</w:t>
            </w:r>
            <w:proofErr w:type="spellEnd"/>
            <w:r w:rsidR="00FE55DA" w:rsidRPr="00CB6B95">
              <w:rPr>
                <w:rFonts w:ascii="Times New Roman" w:hAnsi="Times New Roman"/>
                <w:sz w:val="20"/>
                <w:szCs w:val="20"/>
                <w:lang w:eastAsia="ru-RU"/>
              </w:rPr>
              <w:t xml:space="preserve"> </w:t>
            </w:r>
            <w:r w:rsidRPr="00CB6B95">
              <w:rPr>
                <w:rFonts w:ascii="Times New Roman" w:hAnsi="Times New Roman"/>
                <w:sz w:val="20"/>
                <w:szCs w:val="20"/>
                <w:lang w:eastAsia="ru-RU"/>
              </w:rPr>
              <w:t xml:space="preserve">25 din </w:t>
            </w:r>
            <w:proofErr w:type="spellStart"/>
            <w:r w:rsidRPr="00CB6B95">
              <w:rPr>
                <w:rFonts w:ascii="Times New Roman" w:hAnsi="Times New Roman"/>
                <w:sz w:val="20"/>
                <w:szCs w:val="20"/>
                <w:lang w:eastAsia="ru-RU"/>
              </w:rPr>
              <w:t>Directiva</w:t>
            </w:r>
            <w:proofErr w:type="spellEnd"/>
            <w:r w:rsidR="00FE55DA" w:rsidRPr="00CB6B95">
              <w:rPr>
                <w:rFonts w:ascii="Times New Roman" w:hAnsi="Times New Roman"/>
                <w:sz w:val="20"/>
                <w:szCs w:val="20"/>
                <w:lang w:eastAsia="ru-RU"/>
              </w:rPr>
              <w:t xml:space="preserve"> </w:t>
            </w:r>
            <w:r w:rsidRPr="00CB6B95">
              <w:rPr>
                <w:rFonts w:ascii="Times New Roman" w:hAnsi="Times New Roman"/>
                <w:sz w:val="20"/>
                <w:szCs w:val="20"/>
                <w:lang w:eastAsia="ru-RU"/>
              </w:rPr>
              <w:t xml:space="preserve">2013/30/UE, </w:t>
            </w:r>
            <w:proofErr w:type="spellStart"/>
            <w:r w:rsidRPr="00CB6B95">
              <w:rPr>
                <w:rFonts w:ascii="Times New Roman" w:hAnsi="Times New Roman"/>
                <w:sz w:val="20"/>
                <w:szCs w:val="20"/>
                <w:lang w:eastAsia="ru-RU"/>
              </w:rPr>
              <w:t>alineatul</w:t>
            </w:r>
            <w:proofErr w:type="spellEnd"/>
            <w:r w:rsidRPr="00CB6B95">
              <w:rPr>
                <w:rFonts w:ascii="Times New Roman" w:hAnsi="Times New Roman"/>
                <w:sz w:val="20"/>
                <w:szCs w:val="20"/>
                <w:lang w:eastAsia="ru-RU"/>
              </w:rPr>
              <w:t xml:space="preserve"> (1) se </w:t>
            </w:r>
            <w:proofErr w:type="spellStart"/>
            <w:r w:rsidRPr="00CB6B95">
              <w:rPr>
                <w:rFonts w:ascii="Times New Roman" w:hAnsi="Times New Roman"/>
                <w:sz w:val="20"/>
                <w:szCs w:val="20"/>
                <w:lang w:eastAsia="ru-RU"/>
              </w:rPr>
              <w:t>înlocuiește</w:t>
            </w:r>
            <w:proofErr w:type="spellEnd"/>
            <w:r w:rsidRPr="00CB6B95">
              <w:rPr>
                <w:rFonts w:ascii="Times New Roman" w:hAnsi="Times New Roman"/>
                <w:sz w:val="20"/>
                <w:szCs w:val="20"/>
                <w:lang w:eastAsia="ru-RU"/>
              </w:rPr>
              <w:t xml:space="preserve"> cu </w:t>
            </w:r>
            <w:proofErr w:type="spellStart"/>
            <w:r w:rsidRPr="00CB6B95">
              <w:rPr>
                <w:rFonts w:ascii="Times New Roman" w:hAnsi="Times New Roman"/>
                <w:sz w:val="20"/>
                <w:szCs w:val="20"/>
                <w:lang w:eastAsia="ru-RU"/>
              </w:rPr>
              <w:t>următorul</w:t>
            </w:r>
            <w:proofErr w:type="spellEnd"/>
            <w:r w:rsidRPr="00CB6B95">
              <w:rPr>
                <w:rFonts w:ascii="Times New Roman" w:hAnsi="Times New Roman"/>
                <w:sz w:val="20"/>
                <w:szCs w:val="20"/>
                <w:lang w:eastAsia="ru-RU"/>
              </w:rPr>
              <w:t xml:space="preserve"> text:</w:t>
            </w:r>
          </w:p>
          <w:p w14:paraId="2F62D93D" w14:textId="5D224C7E" w:rsidR="008F5636" w:rsidRPr="00263A32" w:rsidRDefault="008F5636" w:rsidP="00FE55DA">
            <w:pPr>
              <w:jc w:val="both"/>
              <w:rPr>
                <w:rFonts w:ascii="Times New Roman" w:hAnsi="Times New Roman"/>
                <w:sz w:val="20"/>
                <w:szCs w:val="20"/>
                <w:lang w:eastAsia="ru-RU"/>
              </w:rPr>
            </w:pPr>
            <w:r w:rsidRPr="00263A32">
              <w:rPr>
                <w:rFonts w:ascii="Times New Roman" w:hAnsi="Times New Roman"/>
                <w:sz w:val="20"/>
                <w:szCs w:val="20"/>
                <w:lang w:eastAsia="ru-RU"/>
              </w:rPr>
              <w:t>„(1)</w:t>
            </w:r>
            <w:proofErr w:type="spellStart"/>
            <w:r w:rsidRPr="00263A32">
              <w:rPr>
                <w:rFonts w:ascii="Times New Roman" w:hAnsi="Times New Roman"/>
                <w:sz w:val="20"/>
                <w:szCs w:val="20"/>
                <w:lang w:eastAsia="ru-RU"/>
              </w:rPr>
              <w:t>Statele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membre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prezintă</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anual</w:t>
            </w:r>
            <w:proofErr w:type="spellEnd"/>
            <w:r w:rsidRPr="00263A32">
              <w:rPr>
                <w:rFonts w:ascii="Times New Roman" w:hAnsi="Times New Roman"/>
                <w:sz w:val="20"/>
                <w:szCs w:val="20"/>
                <w:lang w:eastAsia="ru-RU"/>
              </w:rPr>
              <w:t xml:space="preserve"> un </w:t>
            </w:r>
            <w:proofErr w:type="spellStart"/>
            <w:r w:rsidRPr="00263A32">
              <w:rPr>
                <w:rFonts w:ascii="Times New Roman" w:hAnsi="Times New Roman"/>
                <w:sz w:val="20"/>
                <w:szCs w:val="20"/>
                <w:lang w:eastAsia="ru-RU"/>
              </w:rPr>
              <w:t>raport</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Comisiei</w:t>
            </w:r>
            <w:proofErr w:type="spellEnd"/>
            <w:r w:rsidRPr="00263A32">
              <w:rPr>
                <w:rFonts w:ascii="Times New Roman" w:hAnsi="Times New Roman"/>
                <w:sz w:val="20"/>
                <w:szCs w:val="20"/>
                <w:lang w:eastAsia="ru-RU"/>
              </w:rPr>
              <w:t xml:space="preserve">, în </w:t>
            </w:r>
            <w:proofErr w:type="spellStart"/>
            <w:r w:rsidRPr="00263A32">
              <w:rPr>
                <w:rFonts w:ascii="Times New Roman" w:hAnsi="Times New Roman"/>
                <w:sz w:val="20"/>
                <w:szCs w:val="20"/>
                <w:lang w:eastAsia="ru-RU"/>
              </w:rPr>
              <w:t>cadrul</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raportării</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anuale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menționate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articolul</w:t>
            </w:r>
            <w:proofErr w:type="spellEnd"/>
            <w:r w:rsidR="00FE55DA"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26 din </w:t>
            </w:r>
            <w:proofErr w:type="spellStart"/>
            <w:r w:rsidRPr="00263A32">
              <w:rPr>
                <w:rFonts w:ascii="Times New Roman" w:hAnsi="Times New Roman"/>
                <w:sz w:val="20"/>
                <w:szCs w:val="20"/>
                <w:lang w:eastAsia="ru-RU"/>
              </w:rPr>
              <w:t>Regulamentul</w:t>
            </w:r>
            <w:proofErr w:type="spellEnd"/>
            <w:r w:rsidRPr="00263A32">
              <w:rPr>
                <w:rFonts w:ascii="Times New Roman" w:hAnsi="Times New Roman"/>
                <w:sz w:val="20"/>
                <w:szCs w:val="20"/>
                <w:lang w:eastAsia="ru-RU"/>
              </w:rPr>
              <w:t xml:space="preserve"> (UE)</w:t>
            </w:r>
            <w:r w:rsidR="00FE55DA"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2018/1999 al </w:t>
            </w:r>
            <w:proofErr w:type="spellStart"/>
            <w:r w:rsidRPr="00263A32">
              <w:rPr>
                <w:rFonts w:ascii="Times New Roman" w:hAnsi="Times New Roman"/>
                <w:sz w:val="20"/>
                <w:szCs w:val="20"/>
                <w:lang w:eastAsia="ru-RU"/>
              </w:rPr>
              <w:t>Parlamentului</w:t>
            </w:r>
            <w:proofErr w:type="spellEnd"/>
            <w:r w:rsidRPr="00263A32">
              <w:rPr>
                <w:rFonts w:ascii="Times New Roman" w:hAnsi="Times New Roman"/>
                <w:sz w:val="20"/>
                <w:szCs w:val="20"/>
                <w:lang w:eastAsia="ru-RU"/>
              </w:rPr>
              <w:t xml:space="preserve"> European și al </w:t>
            </w:r>
            <w:proofErr w:type="spellStart"/>
            <w:r w:rsidRPr="00263A32">
              <w:rPr>
                <w:rFonts w:ascii="Times New Roman" w:hAnsi="Times New Roman"/>
                <w:sz w:val="20"/>
                <w:szCs w:val="20"/>
                <w:lang w:eastAsia="ru-RU"/>
              </w:rPr>
              <w:t>Consiliului</w:t>
            </w:r>
            <w:proofErr w:type="spellEnd"/>
            <w:r>
              <w:fldChar w:fldCharType="begin"/>
            </w:r>
            <w:r w:rsidRPr="00263A32">
              <w:instrText>HYPERLINK "https://eur-lex.europa.eu/legal-content/RO/TXT/?uri=CELEX:32018R1999" \l "ntr*3-L_2018328RO.01000101-E0038"</w:instrText>
            </w:r>
            <w:r>
              <w:fldChar w:fldCharType="separate"/>
            </w:r>
            <w:r w:rsidR="00FE55DA" w:rsidRPr="00263A32">
              <w:rPr>
                <w:rFonts w:ascii="Times New Roman" w:hAnsi="Times New Roman"/>
                <w:sz w:val="20"/>
                <w:szCs w:val="20"/>
                <w:lang w:eastAsia="ru-RU"/>
              </w:rPr>
              <w:t xml:space="preserve"> </w:t>
            </w:r>
            <w:r w:rsidRPr="00263A32">
              <w:rPr>
                <w:rFonts w:ascii="Times New Roman" w:hAnsi="Times New Roman"/>
                <w:sz w:val="20"/>
                <w:szCs w:val="20"/>
                <w:lang w:eastAsia="ru-RU"/>
              </w:rPr>
              <w:t>(</w:t>
            </w:r>
            <w:r w:rsidRPr="00263A32">
              <w:rPr>
                <w:rFonts w:ascii="Times New Roman" w:hAnsi="Times New Roman"/>
                <w:sz w:val="20"/>
                <w:szCs w:val="20"/>
                <w:vertAlign w:val="superscript"/>
                <w:lang w:eastAsia="ru-RU"/>
              </w:rPr>
              <w:t>*3</w:t>
            </w:r>
            <w:r w:rsidRPr="00263A32">
              <w:rPr>
                <w:rFonts w:ascii="Times New Roman" w:hAnsi="Times New Roman"/>
                <w:sz w:val="20"/>
                <w:szCs w:val="20"/>
                <w:lang w:eastAsia="ru-RU"/>
              </w:rPr>
              <w:t>)</w:t>
            </w:r>
            <w:r>
              <w:rPr>
                <w:rFonts w:ascii="Times New Roman" w:hAnsi="Times New Roman"/>
                <w:sz w:val="20"/>
                <w:szCs w:val="20"/>
                <w:lang w:val="fr-FR" w:eastAsia="ru-RU"/>
              </w:rPr>
              <w:fldChar w:fldCharType="end"/>
            </w:r>
            <w:r w:rsidRPr="00263A32">
              <w:rPr>
                <w:rFonts w:ascii="Times New Roman" w:hAnsi="Times New Roman"/>
                <w:sz w:val="20"/>
                <w:szCs w:val="20"/>
                <w:lang w:eastAsia="ru-RU"/>
              </w:rPr>
              <w:t xml:space="preserve">, cu </w:t>
            </w:r>
            <w:proofErr w:type="spellStart"/>
            <w:r w:rsidRPr="00263A32">
              <w:rPr>
                <w:rFonts w:ascii="Times New Roman" w:hAnsi="Times New Roman"/>
                <w:sz w:val="20"/>
                <w:szCs w:val="20"/>
                <w:lang w:eastAsia="ru-RU"/>
              </w:rPr>
              <w:t>privire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informațiile</w:t>
            </w:r>
            <w:proofErr w:type="spellEnd"/>
            <w:r w:rsidRPr="00263A32">
              <w:rPr>
                <w:rFonts w:ascii="Times New Roman" w:hAnsi="Times New Roman"/>
                <w:sz w:val="20"/>
                <w:szCs w:val="20"/>
                <w:lang w:eastAsia="ru-RU"/>
              </w:rPr>
              <w:t xml:space="preserve"> </w:t>
            </w:r>
            <w:proofErr w:type="spellStart"/>
            <w:r w:rsidRPr="00263A32">
              <w:rPr>
                <w:rFonts w:ascii="Times New Roman" w:hAnsi="Times New Roman"/>
                <w:sz w:val="20"/>
                <w:szCs w:val="20"/>
                <w:lang w:eastAsia="ru-RU"/>
              </w:rPr>
              <w:t>specificate</w:t>
            </w:r>
            <w:proofErr w:type="spellEnd"/>
            <w:r w:rsidRPr="00263A32">
              <w:rPr>
                <w:rFonts w:ascii="Times New Roman" w:hAnsi="Times New Roman"/>
                <w:sz w:val="20"/>
                <w:szCs w:val="20"/>
                <w:lang w:eastAsia="ru-RU"/>
              </w:rPr>
              <w:t xml:space="preserve"> la </w:t>
            </w:r>
            <w:proofErr w:type="spellStart"/>
            <w:r w:rsidRPr="00263A32">
              <w:rPr>
                <w:rFonts w:ascii="Times New Roman" w:hAnsi="Times New Roman"/>
                <w:sz w:val="20"/>
                <w:szCs w:val="20"/>
                <w:lang w:eastAsia="ru-RU"/>
              </w:rPr>
              <w:t>punctul</w:t>
            </w:r>
            <w:proofErr w:type="spellEnd"/>
            <w:r w:rsidR="00FE55DA" w:rsidRPr="00263A32">
              <w:rPr>
                <w:rFonts w:ascii="Times New Roman" w:hAnsi="Times New Roman"/>
                <w:sz w:val="20"/>
                <w:szCs w:val="20"/>
                <w:lang w:eastAsia="ru-RU"/>
              </w:rPr>
              <w:t xml:space="preserve"> </w:t>
            </w:r>
            <w:r w:rsidRPr="00263A32">
              <w:rPr>
                <w:rFonts w:ascii="Times New Roman" w:hAnsi="Times New Roman"/>
                <w:sz w:val="20"/>
                <w:szCs w:val="20"/>
                <w:lang w:eastAsia="ru-RU"/>
              </w:rPr>
              <w:t xml:space="preserve">3 din </w:t>
            </w:r>
            <w:proofErr w:type="spellStart"/>
            <w:r w:rsidRPr="00263A32">
              <w:rPr>
                <w:rFonts w:ascii="Times New Roman" w:hAnsi="Times New Roman"/>
                <w:sz w:val="20"/>
                <w:szCs w:val="20"/>
                <w:lang w:eastAsia="ru-RU"/>
              </w:rPr>
              <w:t>anexa</w:t>
            </w:r>
            <w:proofErr w:type="spellEnd"/>
            <w:r w:rsidR="00FE55DA" w:rsidRPr="00263A32">
              <w:rPr>
                <w:rFonts w:ascii="Times New Roman" w:hAnsi="Times New Roman"/>
                <w:sz w:val="20"/>
                <w:szCs w:val="20"/>
                <w:lang w:eastAsia="ru-RU"/>
              </w:rPr>
              <w:t xml:space="preserve"> </w:t>
            </w:r>
            <w:r w:rsidRPr="00263A32">
              <w:rPr>
                <w:rFonts w:ascii="Times New Roman" w:hAnsi="Times New Roman"/>
                <w:sz w:val="20"/>
                <w:szCs w:val="20"/>
                <w:lang w:eastAsia="ru-RU"/>
              </w:rPr>
              <w:t>IX.</w:t>
            </w:r>
          </w:p>
        </w:tc>
        <w:tc>
          <w:tcPr>
            <w:tcW w:w="4440" w:type="dxa"/>
          </w:tcPr>
          <w:p w14:paraId="7E34C176" w14:textId="77777777" w:rsidR="008F5636" w:rsidRPr="00263A32" w:rsidRDefault="008F5636" w:rsidP="008F5636">
            <w:pPr>
              <w:pStyle w:val="ColorfulList-Accent11"/>
              <w:spacing w:after="0" w:line="240" w:lineRule="auto"/>
              <w:ind w:left="0"/>
              <w:jc w:val="both"/>
            </w:pPr>
          </w:p>
        </w:tc>
        <w:tc>
          <w:tcPr>
            <w:tcW w:w="1276" w:type="dxa"/>
          </w:tcPr>
          <w:p w14:paraId="48EED6EF" w14:textId="31238CCE" w:rsidR="008F5636" w:rsidRPr="00FE55DA" w:rsidRDefault="003274E5"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0DB86D76" w14:textId="77777777" w:rsidR="008F5636" w:rsidRPr="00FE55DA" w:rsidRDefault="008F5636" w:rsidP="008F5636">
            <w:pPr>
              <w:pStyle w:val="ColorfulList-Accent11"/>
              <w:spacing w:after="0" w:line="240" w:lineRule="auto"/>
              <w:ind w:left="0"/>
              <w:jc w:val="both"/>
              <w:rPr>
                <w:lang w:val="fr-FR"/>
              </w:rPr>
            </w:pPr>
          </w:p>
        </w:tc>
        <w:tc>
          <w:tcPr>
            <w:tcW w:w="1701" w:type="dxa"/>
          </w:tcPr>
          <w:p w14:paraId="774C0B26" w14:textId="238A1BB2" w:rsidR="008F5636" w:rsidRPr="00FE55DA" w:rsidRDefault="003274E5"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3B54B55A" w14:textId="77777777" w:rsidR="008F5636" w:rsidRPr="00FE55DA" w:rsidRDefault="008F5636" w:rsidP="008F5636">
            <w:pPr>
              <w:pStyle w:val="ColorfulList-Accent11"/>
              <w:spacing w:after="0" w:line="240" w:lineRule="auto"/>
              <w:ind w:left="0"/>
              <w:jc w:val="both"/>
              <w:rPr>
                <w:lang w:val="fr-FR"/>
              </w:rPr>
            </w:pPr>
          </w:p>
        </w:tc>
      </w:tr>
      <w:tr w:rsidR="008F5636" w:rsidRPr="00CF6FF2" w14:paraId="39BBEDC6" w14:textId="77777777" w:rsidTr="00A90105">
        <w:tc>
          <w:tcPr>
            <w:tcW w:w="4945" w:type="dxa"/>
          </w:tcPr>
          <w:p w14:paraId="3ADBDB71" w14:textId="7909FB85" w:rsidR="008F5636" w:rsidRPr="00CB6B95" w:rsidRDefault="008F5636" w:rsidP="008F5636">
            <w:pPr>
              <w:spacing w:after="0" w:line="240" w:lineRule="auto"/>
              <w:jc w:val="center"/>
              <w:rPr>
                <w:rFonts w:ascii="Times New Roman" w:hAnsi="Times New Roman"/>
                <w:sz w:val="20"/>
                <w:szCs w:val="20"/>
                <w:lang w:val="fr-FR" w:eastAsia="ru-RU"/>
              </w:rPr>
            </w:pPr>
            <w:r w:rsidRPr="00CB6B95">
              <w:rPr>
                <w:rFonts w:ascii="Times New Roman" w:hAnsi="Times New Roman"/>
                <w:sz w:val="20"/>
                <w:szCs w:val="20"/>
                <w:lang w:val="ru-RU" w:eastAsia="ru-RU"/>
              </w:rPr>
              <w:t>А</w:t>
            </w:r>
            <w:proofErr w:type="spellStart"/>
            <w:r w:rsidRPr="00CB6B95">
              <w:rPr>
                <w:rFonts w:ascii="Times New Roman" w:hAnsi="Times New Roman"/>
                <w:sz w:val="20"/>
                <w:szCs w:val="20"/>
                <w:lang w:val="fr-FR" w:eastAsia="ru-RU"/>
              </w:rPr>
              <w:t>rticolul</w:t>
            </w:r>
            <w:proofErr w:type="spellEnd"/>
            <w:r w:rsidRPr="00CB6B95">
              <w:rPr>
                <w:rFonts w:ascii="Times New Roman" w:hAnsi="Times New Roman"/>
                <w:sz w:val="20"/>
                <w:szCs w:val="20"/>
                <w:lang w:val="fr-FR" w:eastAsia="ru-RU"/>
              </w:rPr>
              <w:t xml:space="preserve"> 56</w:t>
            </w:r>
          </w:p>
          <w:p w14:paraId="1F7E43BD" w14:textId="77777777" w:rsidR="008F5636" w:rsidRPr="00CB6B95" w:rsidRDefault="008F5636" w:rsidP="008F5636">
            <w:pPr>
              <w:spacing w:after="0" w:line="240" w:lineRule="auto"/>
              <w:jc w:val="center"/>
              <w:rPr>
                <w:rFonts w:ascii="Times New Roman" w:hAnsi="Times New Roman"/>
                <w:b/>
                <w:bCs/>
                <w:sz w:val="20"/>
                <w:szCs w:val="20"/>
                <w:lang w:val="fr-FR" w:eastAsia="ru-RU"/>
              </w:rPr>
            </w:pPr>
            <w:proofErr w:type="spellStart"/>
            <w:r w:rsidRPr="00CB6B95">
              <w:rPr>
                <w:rFonts w:ascii="Times New Roman" w:hAnsi="Times New Roman"/>
                <w:b/>
                <w:bCs/>
                <w:sz w:val="20"/>
                <w:szCs w:val="20"/>
                <w:lang w:val="fr-FR" w:eastAsia="ru-RU"/>
              </w:rPr>
              <w:t>Modificări</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aduse</w:t>
            </w:r>
            <w:proofErr w:type="spellEnd"/>
            <w:r w:rsidRPr="00CB6B95">
              <w:rPr>
                <w:rFonts w:ascii="Times New Roman" w:hAnsi="Times New Roman"/>
                <w:b/>
                <w:bCs/>
                <w:sz w:val="20"/>
                <w:szCs w:val="20"/>
                <w:lang w:val="fr-FR" w:eastAsia="ru-RU"/>
              </w:rPr>
              <w:t xml:space="preserve"> </w:t>
            </w:r>
            <w:proofErr w:type="spellStart"/>
            <w:r w:rsidRPr="00CB6B95">
              <w:rPr>
                <w:rFonts w:ascii="Times New Roman" w:hAnsi="Times New Roman"/>
                <w:b/>
                <w:bCs/>
                <w:sz w:val="20"/>
                <w:szCs w:val="20"/>
                <w:lang w:val="fr-FR" w:eastAsia="ru-RU"/>
              </w:rPr>
              <w:t>Directivei</w:t>
            </w:r>
            <w:proofErr w:type="spellEnd"/>
            <w:r w:rsidRPr="00CB6B95">
              <w:rPr>
                <w:rFonts w:ascii="Times New Roman" w:hAnsi="Times New Roman"/>
                <w:b/>
                <w:bCs/>
                <w:sz w:val="20"/>
                <w:szCs w:val="20"/>
                <w:lang w:val="fr-FR" w:eastAsia="ru-RU"/>
              </w:rPr>
              <w:t xml:space="preserve"> (UE) 2015/652</w:t>
            </w:r>
          </w:p>
          <w:p w14:paraId="49F965C1" w14:textId="119BD424" w:rsidR="008F5636" w:rsidRPr="00CB6B95" w:rsidRDefault="008F5636" w:rsidP="00E154F8">
            <w:pPr>
              <w:spacing w:after="0" w:line="240" w:lineRule="auto"/>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(UE) 2015/652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6D8CF016" w14:textId="48DE4DBF" w:rsidR="008F5636" w:rsidRPr="00CB6B95" w:rsidRDefault="008F5636" w:rsidP="00E154F8">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1.La </w:t>
            </w: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5,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(1) se </w:t>
            </w:r>
            <w:proofErr w:type="spellStart"/>
            <w:r w:rsidRPr="00CB6B95">
              <w:rPr>
                <w:rFonts w:ascii="Times New Roman" w:hAnsi="Times New Roman"/>
                <w:sz w:val="20"/>
                <w:szCs w:val="20"/>
                <w:lang w:val="fr-FR" w:eastAsia="ru-RU"/>
              </w:rPr>
              <w:t>înlocuiește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următorul</w:t>
            </w:r>
            <w:proofErr w:type="spellEnd"/>
            <w:r w:rsidRPr="00CB6B95">
              <w:rPr>
                <w:rFonts w:ascii="Times New Roman" w:hAnsi="Times New Roman"/>
                <w:sz w:val="20"/>
                <w:szCs w:val="20"/>
                <w:lang w:val="fr-FR" w:eastAsia="ru-RU"/>
              </w:rPr>
              <w:t xml:space="preserve"> </w:t>
            </w:r>
            <w:proofErr w:type="spellStart"/>
            <w:proofErr w:type="gramStart"/>
            <w:r w:rsidRPr="00CB6B95">
              <w:rPr>
                <w:rFonts w:ascii="Times New Roman" w:hAnsi="Times New Roman"/>
                <w:sz w:val="20"/>
                <w:szCs w:val="20"/>
                <w:lang w:val="fr-FR" w:eastAsia="ru-RU"/>
              </w:rPr>
              <w:t>text</w:t>
            </w:r>
            <w:proofErr w:type="spellEnd"/>
            <w:r w:rsidRPr="00CB6B95">
              <w:rPr>
                <w:rFonts w:ascii="Times New Roman" w:hAnsi="Times New Roman"/>
                <w:sz w:val="20"/>
                <w:szCs w:val="20"/>
                <w:lang w:val="fr-FR" w:eastAsia="ru-RU"/>
              </w:rPr>
              <w:t>:</w:t>
            </w:r>
            <w:proofErr w:type="gramEnd"/>
          </w:p>
          <w:p w14:paraId="22262D1D" w14:textId="2D21BC16" w:rsidR="008F5636" w:rsidRPr="00CB6B95" w:rsidRDefault="008F5636" w:rsidP="008F5636">
            <w:pPr>
              <w:spacing w:after="0" w:line="240" w:lineRule="auto"/>
              <w:jc w:val="both"/>
              <w:rPr>
                <w:rFonts w:ascii="Times New Roman" w:hAnsi="Times New Roman"/>
                <w:sz w:val="20"/>
                <w:szCs w:val="20"/>
                <w:lang w:val="fr-FR" w:eastAsia="ru-RU"/>
              </w:rPr>
            </w:pPr>
            <w:proofErr w:type="gramStart"/>
            <w:r w:rsidRPr="00CB6B95">
              <w:rPr>
                <w:rFonts w:ascii="Times New Roman" w:hAnsi="Times New Roman"/>
                <w:sz w:val="20"/>
                <w:szCs w:val="20"/>
                <w:lang w:val="fr-FR" w:eastAsia="ru-RU"/>
              </w:rPr>
              <w:t>„(</w:t>
            </w:r>
            <w:proofErr w:type="gramEnd"/>
            <w:r w:rsidRPr="00CB6B95">
              <w:rPr>
                <w:rFonts w:ascii="Times New Roman" w:hAnsi="Times New Roman"/>
                <w:sz w:val="20"/>
                <w:szCs w:val="20"/>
                <w:lang w:val="fr-FR" w:eastAsia="ru-RU"/>
              </w:rPr>
              <w:t xml:space="preserve">1)În </w:t>
            </w:r>
            <w:proofErr w:type="spellStart"/>
            <w:r w:rsidRPr="00CB6B95">
              <w:rPr>
                <w:rFonts w:ascii="Times New Roman" w:hAnsi="Times New Roman"/>
                <w:sz w:val="20"/>
                <w:szCs w:val="20"/>
                <w:lang w:val="fr-FR" w:eastAsia="ru-RU"/>
              </w:rPr>
              <w:t>fiecare</w:t>
            </w:r>
            <w:proofErr w:type="spellEnd"/>
            <w:r w:rsidRPr="00CB6B95">
              <w:rPr>
                <w:rFonts w:ascii="Times New Roman" w:hAnsi="Times New Roman"/>
                <w:sz w:val="20"/>
                <w:szCs w:val="20"/>
                <w:lang w:val="fr-FR" w:eastAsia="ru-RU"/>
              </w:rPr>
              <w:t xml:space="preserve"> an </w:t>
            </w:r>
            <w:proofErr w:type="spellStart"/>
            <w:r w:rsidRPr="00CB6B95">
              <w:rPr>
                <w:rFonts w:ascii="Times New Roman" w:hAnsi="Times New Roman"/>
                <w:sz w:val="20"/>
                <w:szCs w:val="20"/>
                <w:lang w:val="fr-FR" w:eastAsia="ru-RU"/>
              </w:rPr>
              <w:t>până</w:t>
            </w:r>
            <w:proofErr w:type="spellEnd"/>
            <w:r w:rsidRPr="00CB6B95">
              <w:rPr>
                <w:rFonts w:ascii="Times New Roman" w:hAnsi="Times New Roman"/>
                <w:sz w:val="20"/>
                <w:szCs w:val="20"/>
                <w:lang w:val="fr-FR" w:eastAsia="ru-RU"/>
              </w:rPr>
              <w:t xml:space="preserve"> la data de 31 </w:t>
            </w:r>
            <w:proofErr w:type="spellStart"/>
            <w:r w:rsidRPr="00CB6B95">
              <w:rPr>
                <w:rFonts w:ascii="Times New Roman" w:hAnsi="Times New Roman"/>
                <w:sz w:val="20"/>
                <w:szCs w:val="20"/>
                <w:lang w:val="fr-FR" w:eastAsia="ru-RU"/>
              </w:rPr>
              <w:t>decembrie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statele</w:t>
            </w:r>
            <w:proofErr w:type="spell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furnizează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Comisiei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anul </w:t>
            </w:r>
            <w:proofErr w:type="spellStart"/>
            <w:r w:rsidRPr="00CB6B95">
              <w:rPr>
                <w:rFonts w:ascii="Times New Roman" w:hAnsi="Times New Roman"/>
                <w:sz w:val="20"/>
                <w:szCs w:val="20"/>
                <w:lang w:val="fr-FR" w:eastAsia="ru-RU"/>
              </w:rPr>
              <w:t>calendaristic</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precedent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referitoare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respectarea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articolului</w:t>
            </w:r>
            <w:proofErr w:type="spellEnd"/>
            <w:r w:rsidRPr="00CB6B95">
              <w:rPr>
                <w:rFonts w:ascii="Times New Roman" w:hAnsi="Times New Roman"/>
                <w:sz w:val="20"/>
                <w:szCs w:val="20"/>
                <w:lang w:val="fr-FR" w:eastAsia="ru-RU"/>
              </w:rPr>
              <w:t xml:space="preserve"> 7a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Directiva</w:t>
            </w:r>
            <w:proofErr w:type="spellEnd"/>
            <w:r w:rsidRPr="00CB6B95">
              <w:rPr>
                <w:rFonts w:ascii="Times New Roman" w:hAnsi="Times New Roman"/>
                <w:sz w:val="20"/>
                <w:szCs w:val="20"/>
                <w:lang w:val="fr-FR" w:eastAsia="ru-RU"/>
              </w:rPr>
              <w:t xml:space="preserve"> 98/70/CE, </w:t>
            </w:r>
            <w:proofErr w:type="spellStart"/>
            <w:r w:rsidRPr="00CB6B95">
              <w:rPr>
                <w:rFonts w:ascii="Times New Roman" w:hAnsi="Times New Roman"/>
                <w:sz w:val="20"/>
                <w:szCs w:val="20"/>
                <w:lang w:val="fr-FR" w:eastAsia="ru-RU"/>
              </w:rPr>
              <w:t>astfel</w:t>
            </w:r>
            <w:proofErr w:type="spellEnd"/>
            <w:r w:rsidRPr="00CB6B95">
              <w:rPr>
                <w:rFonts w:ascii="Times New Roman" w:hAnsi="Times New Roman"/>
                <w:sz w:val="20"/>
                <w:szCs w:val="20"/>
                <w:lang w:val="fr-FR" w:eastAsia="ru-RU"/>
              </w:rPr>
              <w:t xml:space="preserve"> cum </w:t>
            </w:r>
            <w:proofErr w:type="spellStart"/>
            <w:r w:rsidRPr="00CB6B95">
              <w:rPr>
                <w:rFonts w:ascii="Times New Roman" w:hAnsi="Times New Roman"/>
                <w:sz w:val="20"/>
                <w:szCs w:val="20"/>
                <w:lang w:val="fr-FR" w:eastAsia="ru-RU"/>
              </w:rPr>
              <w:t>sunt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definite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anexa</w:t>
            </w:r>
            <w:proofErr w:type="spellEnd"/>
            <w:r w:rsidRPr="00CB6B95">
              <w:rPr>
                <w:rFonts w:ascii="Times New Roman" w:hAnsi="Times New Roman"/>
                <w:sz w:val="20"/>
                <w:szCs w:val="20"/>
                <w:lang w:val="fr-FR" w:eastAsia="ru-RU"/>
              </w:rPr>
              <w:t xml:space="preserve"> III la prezenta </w:t>
            </w:r>
            <w:proofErr w:type="spellStart"/>
            <w:r w:rsidRPr="00CB6B95">
              <w:rPr>
                <w:rFonts w:ascii="Times New Roman" w:hAnsi="Times New Roman"/>
                <w:sz w:val="20"/>
                <w:szCs w:val="20"/>
                <w:lang w:val="fr-FR" w:eastAsia="ru-RU"/>
              </w:rPr>
              <w:t>directivă</w:t>
            </w:r>
            <w:proofErr w:type="spellEnd"/>
            <w:r w:rsidRPr="00CB6B95">
              <w:rPr>
                <w:rFonts w:ascii="Times New Roman" w:hAnsi="Times New Roman"/>
                <w:sz w:val="20"/>
                <w:szCs w:val="20"/>
                <w:lang w:val="fr-FR" w:eastAsia="ru-RU"/>
              </w:rPr>
              <w:t>.”</w:t>
            </w:r>
          </w:p>
          <w:p w14:paraId="02395C55" w14:textId="4B807CC0" w:rsidR="008F5636" w:rsidRPr="00CB6B95" w:rsidRDefault="008F5636" w:rsidP="008F5636">
            <w:p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2. În </w:t>
            </w:r>
            <w:proofErr w:type="spellStart"/>
            <w:r w:rsidRPr="00CB6B95">
              <w:rPr>
                <w:rFonts w:ascii="Times New Roman" w:hAnsi="Times New Roman"/>
                <w:sz w:val="20"/>
                <w:szCs w:val="20"/>
                <w:lang w:val="fr-FR" w:eastAsia="ru-RU"/>
              </w:rPr>
              <w:t>partea</w:t>
            </w:r>
            <w:proofErr w:type="spellEnd"/>
            <w:r w:rsidRPr="00CB6B95">
              <w:rPr>
                <w:rFonts w:ascii="Times New Roman" w:hAnsi="Times New Roman"/>
                <w:sz w:val="20"/>
                <w:szCs w:val="20"/>
                <w:lang w:val="fr-FR" w:eastAsia="ru-RU"/>
              </w:rPr>
              <w:t xml:space="preserve"> 2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anexa</w:t>
            </w:r>
            <w:proofErr w:type="spellEnd"/>
            <w:r w:rsidRPr="00CB6B95">
              <w:rPr>
                <w:rFonts w:ascii="Times New Roman" w:hAnsi="Times New Roman"/>
                <w:sz w:val="20"/>
                <w:szCs w:val="20"/>
                <w:lang w:val="fr-FR" w:eastAsia="ru-RU"/>
              </w:rPr>
              <w:t xml:space="preserve"> I, </w:t>
            </w:r>
            <w:proofErr w:type="spellStart"/>
            <w:r w:rsidRPr="00CB6B95">
              <w:rPr>
                <w:rFonts w:ascii="Times New Roman" w:hAnsi="Times New Roman"/>
                <w:sz w:val="20"/>
                <w:szCs w:val="20"/>
                <w:lang w:val="fr-FR" w:eastAsia="ru-RU"/>
              </w:rPr>
              <w:t>punctul</w:t>
            </w:r>
            <w:proofErr w:type="spellEnd"/>
            <w:r w:rsidRPr="00CB6B95">
              <w:rPr>
                <w:rFonts w:ascii="Times New Roman" w:hAnsi="Times New Roman"/>
                <w:sz w:val="20"/>
                <w:szCs w:val="20"/>
                <w:lang w:val="fr-FR" w:eastAsia="ru-RU"/>
              </w:rPr>
              <w:t xml:space="preserve"> 1 litera (h) și </w:t>
            </w:r>
            <w:proofErr w:type="spellStart"/>
            <w:r w:rsidRPr="00CB6B95">
              <w:rPr>
                <w:rFonts w:ascii="Times New Roman" w:hAnsi="Times New Roman"/>
                <w:sz w:val="20"/>
                <w:szCs w:val="20"/>
                <w:lang w:val="fr-FR" w:eastAsia="ru-RU"/>
              </w:rPr>
              <w:t>punctele</w:t>
            </w:r>
            <w:proofErr w:type="spellEnd"/>
            <w:r w:rsidRPr="00CB6B95">
              <w:rPr>
                <w:rFonts w:ascii="Times New Roman" w:hAnsi="Times New Roman"/>
                <w:sz w:val="20"/>
                <w:szCs w:val="20"/>
                <w:lang w:val="fr-FR" w:eastAsia="ru-RU"/>
              </w:rPr>
              <w:t xml:space="preserve"> 2, 3, 4 și 7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1809DCAF" w14:textId="3435A684" w:rsidR="008F5636" w:rsidRPr="00CB6B95" w:rsidRDefault="008F5636" w:rsidP="008F5636">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t xml:space="preserve">3. </w:t>
            </w:r>
            <w:proofErr w:type="spellStart"/>
            <w:r w:rsidRPr="00CB6B95">
              <w:rPr>
                <w:rFonts w:ascii="Times New Roman" w:hAnsi="Times New Roman"/>
                <w:sz w:val="20"/>
                <w:szCs w:val="20"/>
                <w:lang w:val="fr-FR" w:eastAsia="ru-RU"/>
              </w:rPr>
              <w:t>Anexa</w:t>
            </w:r>
            <w:proofErr w:type="spellEnd"/>
            <w:r w:rsidRPr="00CB6B95">
              <w:rPr>
                <w:rFonts w:ascii="Times New Roman" w:hAnsi="Times New Roman"/>
                <w:sz w:val="20"/>
                <w:szCs w:val="20"/>
                <w:lang w:val="fr-FR" w:eastAsia="ru-RU"/>
              </w:rPr>
              <w:t xml:space="preserve"> III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05630AEE" w14:textId="5B619C27" w:rsidR="008F5636" w:rsidRPr="00CB6B95" w:rsidRDefault="008F5636" w:rsidP="000C5A3B">
            <w:pPr>
              <w:pStyle w:val="af3"/>
              <w:numPr>
                <w:ilvl w:val="0"/>
                <w:numId w:val="5"/>
              </w:numPr>
              <w:spacing w:after="0" w:line="240" w:lineRule="auto"/>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Punctul</w:t>
            </w:r>
            <w:proofErr w:type="spellEnd"/>
            <w:r w:rsidRPr="00CB6B95">
              <w:rPr>
                <w:rFonts w:ascii="Times New Roman" w:hAnsi="Times New Roman"/>
                <w:sz w:val="20"/>
                <w:szCs w:val="20"/>
                <w:lang w:val="en-US" w:eastAsia="ru-RU"/>
              </w:rPr>
              <w:t xml:space="preserve"> 1 se </w:t>
            </w:r>
            <w:proofErr w:type="spellStart"/>
            <w:r w:rsidRPr="00CB6B95">
              <w:rPr>
                <w:rFonts w:ascii="Times New Roman" w:hAnsi="Times New Roman"/>
                <w:sz w:val="20"/>
                <w:szCs w:val="20"/>
                <w:lang w:val="en-US" w:eastAsia="ru-RU"/>
              </w:rPr>
              <w:t>înlocuiește</w:t>
            </w:r>
            <w:proofErr w:type="spellEnd"/>
            <w:r w:rsidRPr="00CB6B95">
              <w:rPr>
                <w:rFonts w:ascii="Times New Roman" w:hAnsi="Times New Roman"/>
                <w:sz w:val="20"/>
                <w:szCs w:val="20"/>
                <w:lang w:val="en-US" w:eastAsia="ru-RU"/>
              </w:rPr>
              <w:t xml:space="preserve"> cu </w:t>
            </w:r>
            <w:proofErr w:type="spellStart"/>
            <w:r w:rsidRPr="00CB6B95">
              <w:rPr>
                <w:rFonts w:ascii="Times New Roman" w:hAnsi="Times New Roman"/>
                <w:sz w:val="20"/>
                <w:szCs w:val="20"/>
                <w:lang w:val="en-US" w:eastAsia="ru-RU"/>
              </w:rPr>
              <w:t>următorul</w:t>
            </w:r>
            <w:proofErr w:type="spellEnd"/>
            <w:r w:rsidRPr="00CB6B95">
              <w:rPr>
                <w:rFonts w:ascii="Times New Roman" w:hAnsi="Times New Roman"/>
                <w:sz w:val="20"/>
                <w:szCs w:val="20"/>
                <w:lang w:val="en-US" w:eastAsia="ru-RU"/>
              </w:rPr>
              <w:t xml:space="preserve"> text:</w:t>
            </w:r>
          </w:p>
          <w:p w14:paraId="27983DAF" w14:textId="0255427D" w:rsidR="008F5636" w:rsidRPr="00CB6B95" w:rsidRDefault="008F5636" w:rsidP="008F5636">
            <w:pPr>
              <w:pStyle w:val="af3"/>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w:t>
            </w:r>
            <w:proofErr w:type="gramStart"/>
            <w:r w:rsidRPr="00CB6B95">
              <w:rPr>
                <w:rFonts w:ascii="Times New Roman" w:hAnsi="Times New Roman"/>
                <w:sz w:val="20"/>
                <w:szCs w:val="20"/>
                <w:lang w:val="fr-FR" w:eastAsia="ru-RU"/>
              </w:rPr>
              <w:t>1.Statele</w:t>
            </w:r>
            <w:proofErr w:type="gramEnd"/>
            <w:r w:rsidRPr="00CB6B95">
              <w:rPr>
                <w:rFonts w:ascii="Times New Roman" w:hAnsi="Times New Roman"/>
                <w:sz w:val="20"/>
                <w:szCs w:val="20"/>
                <w:lang w:val="fr-FR" w:eastAsia="ru-RU"/>
              </w:rPr>
              <w:t xml:space="preserve"> membre </w:t>
            </w:r>
            <w:proofErr w:type="spellStart"/>
            <w:r w:rsidRPr="00CB6B95">
              <w:rPr>
                <w:rFonts w:ascii="Times New Roman" w:hAnsi="Times New Roman"/>
                <w:sz w:val="20"/>
                <w:szCs w:val="20"/>
                <w:lang w:val="fr-FR" w:eastAsia="ru-RU"/>
              </w:rPr>
              <w:t>prezintă</w:t>
            </w:r>
            <w:proofErr w:type="spellEnd"/>
            <w:r w:rsidRPr="00CB6B95">
              <w:rPr>
                <w:rFonts w:ascii="Times New Roman" w:hAnsi="Times New Roman"/>
                <w:sz w:val="20"/>
                <w:szCs w:val="20"/>
                <w:lang w:val="fr-FR" w:eastAsia="ru-RU"/>
              </w:rPr>
              <w:t xml:space="preserve"> un </w:t>
            </w:r>
            <w:proofErr w:type="spellStart"/>
            <w:r w:rsidRPr="00CB6B95">
              <w:rPr>
                <w:rFonts w:ascii="Times New Roman" w:hAnsi="Times New Roman"/>
                <w:sz w:val="20"/>
                <w:szCs w:val="20"/>
                <w:lang w:val="fr-FR" w:eastAsia="ru-RU"/>
              </w:rPr>
              <w:t>raport</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privire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enumerate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punctul</w:t>
            </w:r>
            <w:proofErr w:type="spellEnd"/>
            <w:r w:rsidRPr="00CB6B95">
              <w:rPr>
                <w:rFonts w:ascii="Times New Roman" w:hAnsi="Times New Roman"/>
                <w:sz w:val="20"/>
                <w:szCs w:val="20"/>
                <w:lang w:val="fr-FR" w:eastAsia="ru-RU"/>
              </w:rPr>
              <w:t xml:space="preserve"> 3.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respective </w:t>
            </w:r>
            <w:proofErr w:type="spellStart"/>
            <w:r w:rsidRPr="00CB6B95">
              <w:rPr>
                <w:rFonts w:ascii="Times New Roman" w:hAnsi="Times New Roman"/>
                <w:sz w:val="20"/>
                <w:szCs w:val="20"/>
                <w:lang w:val="fr-FR" w:eastAsia="ru-RU"/>
              </w:rPr>
              <w:t>trebuie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să</w:t>
            </w:r>
            <w:proofErr w:type="spellEnd"/>
            <w:r w:rsidRPr="00CB6B95">
              <w:rPr>
                <w:rFonts w:ascii="Times New Roman" w:hAnsi="Times New Roman"/>
                <w:sz w:val="20"/>
                <w:szCs w:val="20"/>
                <w:lang w:val="fr-FR" w:eastAsia="ru-RU"/>
              </w:rPr>
              <w:t xml:space="preserve"> fie </w:t>
            </w:r>
            <w:proofErr w:type="spellStart"/>
            <w:r w:rsidRPr="00CB6B95">
              <w:rPr>
                <w:rFonts w:ascii="Times New Roman" w:hAnsi="Times New Roman"/>
                <w:sz w:val="20"/>
                <w:szCs w:val="20"/>
                <w:lang w:val="fr-FR" w:eastAsia="ru-RU"/>
              </w:rPr>
              <w:t>raportate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toți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carburanții</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toate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formele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energie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introduse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piață</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fiecare</w:t>
            </w:r>
            <w:proofErr w:type="spellEnd"/>
            <w:r w:rsidRPr="00CB6B95">
              <w:rPr>
                <w:rFonts w:ascii="Times New Roman" w:hAnsi="Times New Roman"/>
                <w:sz w:val="20"/>
                <w:szCs w:val="20"/>
                <w:lang w:val="fr-FR" w:eastAsia="ru-RU"/>
              </w:rPr>
              <w:t xml:space="preserve"> stat membru. În </w:t>
            </w:r>
            <w:proofErr w:type="spellStart"/>
            <w:r w:rsidRPr="00CB6B95">
              <w:rPr>
                <w:rFonts w:ascii="Times New Roman" w:hAnsi="Times New Roman"/>
                <w:sz w:val="20"/>
                <w:szCs w:val="20"/>
                <w:lang w:val="fr-FR" w:eastAsia="ru-RU"/>
              </w:rPr>
              <w:t>cazul</w:t>
            </w:r>
            <w:proofErr w:type="spellEnd"/>
            <w:r w:rsidRPr="00CB6B95">
              <w:rPr>
                <w:rFonts w:ascii="Times New Roman" w:hAnsi="Times New Roman"/>
                <w:sz w:val="20"/>
                <w:szCs w:val="20"/>
                <w:lang w:val="fr-FR" w:eastAsia="ru-RU"/>
              </w:rPr>
              <w:t xml:space="preserve"> în care se </w:t>
            </w:r>
            <w:proofErr w:type="spellStart"/>
            <w:r w:rsidRPr="00CB6B95">
              <w:rPr>
                <w:rFonts w:ascii="Times New Roman" w:hAnsi="Times New Roman"/>
                <w:sz w:val="20"/>
                <w:szCs w:val="20"/>
                <w:lang w:val="fr-FR" w:eastAsia="ru-RU"/>
              </w:rPr>
              <w:t>amestecă</w:t>
            </w:r>
            <w:proofErr w:type="spellEnd"/>
            <w:r w:rsidRPr="00CB6B95">
              <w:rPr>
                <w:rFonts w:ascii="Times New Roman" w:hAnsi="Times New Roman"/>
                <w:sz w:val="20"/>
                <w:szCs w:val="20"/>
                <w:lang w:val="fr-FR" w:eastAsia="ru-RU"/>
              </w:rPr>
              <w:t xml:space="preserve"> mai </w:t>
            </w:r>
            <w:proofErr w:type="spellStart"/>
            <w:r w:rsidRPr="00CB6B95">
              <w:rPr>
                <w:rFonts w:ascii="Times New Roman" w:hAnsi="Times New Roman"/>
                <w:sz w:val="20"/>
                <w:szCs w:val="20"/>
                <w:lang w:val="fr-FR" w:eastAsia="ru-RU"/>
              </w:rPr>
              <w:t>mulți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biocarburanți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combustibili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fosili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trebuie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să</w:t>
            </w:r>
            <w:proofErr w:type="spellEnd"/>
            <w:r w:rsidRPr="00CB6B95">
              <w:rPr>
                <w:rFonts w:ascii="Times New Roman" w:hAnsi="Times New Roman"/>
                <w:sz w:val="20"/>
                <w:szCs w:val="20"/>
                <w:lang w:val="fr-FR" w:eastAsia="ru-RU"/>
              </w:rPr>
              <w:t xml:space="preserve"> fie </w:t>
            </w:r>
            <w:proofErr w:type="spellStart"/>
            <w:r w:rsidRPr="00CB6B95">
              <w:rPr>
                <w:rFonts w:ascii="Times New Roman" w:hAnsi="Times New Roman"/>
                <w:sz w:val="20"/>
                <w:szCs w:val="20"/>
                <w:lang w:val="fr-FR" w:eastAsia="ru-RU"/>
              </w:rPr>
              <w:t>furnizate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fiecare</w:t>
            </w:r>
            <w:proofErr w:type="spellEnd"/>
            <w:r w:rsidRPr="00CB6B95">
              <w:rPr>
                <w:rFonts w:ascii="Times New Roman" w:hAnsi="Times New Roman"/>
                <w:sz w:val="20"/>
                <w:szCs w:val="20"/>
                <w:lang w:val="fr-FR" w:eastAsia="ru-RU"/>
              </w:rPr>
              <w:t xml:space="preserve"> biocarburant.</w:t>
            </w:r>
            <w:proofErr w:type="gramStart"/>
            <w:r w:rsidRPr="00CB6B95">
              <w:rPr>
                <w:rFonts w:ascii="Times New Roman" w:hAnsi="Times New Roman"/>
                <w:sz w:val="20"/>
                <w:szCs w:val="20"/>
                <w:lang w:val="fr-FR" w:eastAsia="ru-RU"/>
              </w:rPr>
              <w:t>”;</w:t>
            </w:r>
            <w:proofErr w:type="gramEnd"/>
          </w:p>
          <w:p w14:paraId="116A095C" w14:textId="2261269A" w:rsidR="008F5636" w:rsidRPr="00CB6B95" w:rsidRDefault="008F5636" w:rsidP="000C5A3B">
            <w:pPr>
              <w:pStyle w:val="af3"/>
              <w:numPr>
                <w:ilvl w:val="0"/>
                <w:numId w:val="5"/>
              </w:numPr>
              <w:spacing w:after="0" w:line="240" w:lineRule="auto"/>
              <w:rPr>
                <w:rFonts w:ascii="Times New Roman" w:hAnsi="Times New Roman"/>
                <w:sz w:val="20"/>
                <w:szCs w:val="20"/>
                <w:lang w:val="fr-FR" w:eastAsia="ru-RU"/>
              </w:rPr>
            </w:pPr>
            <w:proofErr w:type="gramStart"/>
            <w:r w:rsidRPr="00CB6B95">
              <w:rPr>
                <w:rFonts w:ascii="Times New Roman" w:hAnsi="Times New Roman"/>
                <w:sz w:val="20"/>
                <w:szCs w:val="20"/>
                <w:lang w:val="fr-FR" w:eastAsia="ru-RU"/>
              </w:rPr>
              <w:t>la</w:t>
            </w:r>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punctul</w:t>
            </w:r>
            <w:proofErr w:type="spellEnd"/>
            <w:r w:rsidRPr="00CB6B95">
              <w:rPr>
                <w:rFonts w:ascii="Times New Roman" w:hAnsi="Times New Roman"/>
                <w:sz w:val="20"/>
                <w:szCs w:val="20"/>
                <w:lang w:val="fr-FR" w:eastAsia="ru-RU"/>
              </w:rPr>
              <w:t xml:space="preserve"> 3, </w:t>
            </w:r>
            <w:proofErr w:type="spellStart"/>
            <w:r w:rsidRPr="00CB6B95">
              <w:rPr>
                <w:rFonts w:ascii="Times New Roman" w:hAnsi="Times New Roman"/>
                <w:sz w:val="20"/>
                <w:szCs w:val="20"/>
                <w:lang w:val="fr-FR" w:eastAsia="ru-RU"/>
              </w:rPr>
              <w:t>literele</w:t>
            </w:r>
            <w:proofErr w:type="spellEnd"/>
            <w:r w:rsidRPr="00CB6B95">
              <w:rPr>
                <w:rFonts w:ascii="Times New Roman" w:hAnsi="Times New Roman"/>
                <w:sz w:val="20"/>
                <w:szCs w:val="20"/>
                <w:lang w:val="fr-FR" w:eastAsia="ru-RU"/>
              </w:rPr>
              <w:t xml:space="preserve"> (e) și (f) se </w:t>
            </w:r>
            <w:proofErr w:type="spellStart"/>
            <w:r w:rsidRPr="00CB6B95">
              <w:rPr>
                <w:rFonts w:ascii="Times New Roman" w:hAnsi="Times New Roman"/>
                <w:sz w:val="20"/>
                <w:szCs w:val="20"/>
                <w:lang w:val="fr-FR" w:eastAsia="ru-RU"/>
              </w:rPr>
              <w:t>elimină</w:t>
            </w:r>
            <w:proofErr w:type="spellEnd"/>
            <w:r w:rsidRPr="00CB6B95">
              <w:rPr>
                <w:rFonts w:ascii="Times New Roman" w:hAnsi="Times New Roman"/>
                <w:sz w:val="20"/>
                <w:szCs w:val="20"/>
                <w:lang w:val="fr-FR" w:eastAsia="ru-RU"/>
              </w:rPr>
              <w:t>.</w:t>
            </w:r>
          </w:p>
          <w:p w14:paraId="78A7C73E" w14:textId="0DC0915C" w:rsidR="008F5636" w:rsidRPr="00CB6B95" w:rsidRDefault="008F5636" w:rsidP="008F5636">
            <w:pPr>
              <w:spacing w:after="0" w:line="240" w:lineRule="auto"/>
              <w:rPr>
                <w:rFonts w:ascii="Times New Roman" w:hAnsi="Times New Roman"/>
                <w:sz w:val="20"/>
                <w:szCs w:val="20"/>
                <w:lang w:val="fr-FR" w:eastAsia="ru-RU"/>
              </w:rPr>
            </w:pPr>
            <w:r w:rsidRPr="00CB6B95">
              <w:rPr>
                <w:rFonts w:ascii="Times New Roman" w:hAnsi="Times New Roman"/>
                <w:sz w:val="20"/>
                <w:szCs w:val="20"/>
                <w:lang w:val="fr-FR" w:eastAsia="ru-RU"/>
              </w:rPr>
              <w:lastRenderedPageBreak/>
              <w:t xml:space="preserve">4.Anexa IV se </w:t>
            </w:r>
            <w:proofErr w:type="spellStart"/>
            <w:r w:rsidRPr="00CB6B95">
              <w:rPr>
                <w:rFonts w:ascii="Times New Roman" w:hAnsi="Times New Roman"/>
                <w:sz w:val="20"/>
                <w:szCs w:val="20"/>
                <w:lang w:val="fr-FR" w:eastAsia="ru-RU"/>
              </w:rPr>
              <w:t>modifică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după</w:t>
            </w:r>
            <w:proofErr w:type="spellEnd"/>
            <w:r w:rsidRPr="00CB6B95">
              <w:rPr>
                <w:rFonts w:ascii="Times New Roman" w:hAnsi="Times New Roman"/>
                <w:sz w:val="20"/>
                <w:szCs w:val="20"/>
                <w:lang w:val="fr-FR" w:eastAsia="ru-RU"/>
              </w:rPr>
              <w:t xml:space="preserve"> cum </w:t>
            </w:r>
            <w:proofErr w:type="spellStart"/>
            <w:proofErr w:type="gramStart"/>
            <w:r w:rsidRPr="00CB6B95">
              <w:rPr>
                <w:rFonts w:ascii="Times New Roman" w:hAnsi="Times New Roman"/>
                <w:sz w:val="20"/>
                <w:szCs w:val="20"/>
                <w:lang w:val="fr-FR" w:eastAsia="ru-RU"/>
              </w:rPr>
              <w:t>urmează</w:t>
            </w:r>
            <w:proofErr w:type="spellEnd"/>
            <w:r w:rsidRPr="00CB6B95">
              <w:rPr>
                <w:rFonts w:ascii="Times New Roman" w:hAnsi="Times New Roman"/>
                <w:sz w:val="20"/>
                <w:szCs w:val="20"/>
                <w:lang w:val="fr-FR" w:eastAsia="ru-RU"/>
              </w:rPr>
              <w:t>:</w:t>
            </w:r>
            <w:proofErr w:type="gramEnd"/>
          </w:p>
          <w:p w14:paraId="048E752E" w14:textId="77777777" w:rsidR="008F5636" w:rsidRPr="00CB6B95" w:rsidRDefault="008F5636" w:rsidP="000C5A3B">
            <w:pPr>
              <w:pStyle w:val="af3"/>
              <w:numPr>
                <w:ilvl w:val="0"/>
                <w:numId w:val="6"/>
              </w:numPr>
              <w:spacing w:after="0" w:line="240" w:lineRule="auto"/>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următoarele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modele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pentru</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raportarea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informațiilor</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privind</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coerența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datelor</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raportate</w:t>
            </w:r>
            <w:proofErr w:type="spellEnd"/>
            <w:r w:rsidRPr="00CB6B95">
              <w:rPr>
                <w:rFonts w:ascii="Times New Roman" w:hAnsi="Times New Roman"/>
                <w:sz w:val="20"/>
                <w:szCs w:val="20"/>
                <w:lang w:val="en-US" w:eastAsia="ru-RU"/>
              </w:rPr>
              <w:t xml:space="preserve"> se </w:t>
            </w:r>
            <w:proofErr w:type="spellStart"/>
            <w:r w:rsidRPr="00CB6B95">
              <w:rPr>
                <w:rFonts w:ascii="Times New Roman" w:hAnsi="Times New Roman"/>
                <w:sz w:val="20"/>
                <w:szCs w:val="20"/>
                <w:lang w:val="en-US" w:eastAsia="ru-RU"/>
              </w:rPr>
              <w:t>elimină</w:t>
            </w:r>
            <w:proofErr w:type="spellEnd"/>
            <w:r w:rsidRPr="00CB6B95">
              <w:rPr>
                <w:rFonts w:ascii="Times New Roman" w:hAnsi="Times New Roman"/>
                <w:sz w:val="20"/>
                <w:szCs w:val="20"/>
                <w:lang w:val="en-US" w:eastAsia="ru-RU"/>
              </w:rPr>
              <w:t>:</w:t>
            </w:r>
          </w:p>
          <w:p w14:paraId="1B3EA958" w14:textId="7FD3DA0B" w:rsidR="008F5636" w:rsidRPr="00CB6B95" w:rsidRDefault="008F5636" w:rsidP="000C5A3B">
            <w:pPr>
              <w:pStyle w:val="af3"/>
              <w:numPr>
                <w:ilvl w:val="0"/>
                <w:numId w:val="7"/>
              </w:num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Origine – </w:t>
            </w:r>
            <w:proofErr w:type="spellStart"/>
            <w:r w:rsidRPr="00CB6B95">
              <w:rPr>
                <w:rFonts w:ascii="Times New Roman" w:hAnsi="Times New Roman"/>
                <w:sz w:val="20"/>
                <w:szCs w:val="20"/>
                <w:lang w:val="fr-FR" w:eastAsia="ru-RU"/>
              </w:rPr>
              <w:t>Furnizori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unici</w:t>
            </w:r>
            <w:proofErr w:type="spellEnd"/>
          </w:p>
          <w:p w14:paraId="367D0D39" w14:textId="041BD01F" w:rsidR="008F5636" w:rsidRPr="00CB6B95" w:rsidRDefault="008F5636" w:rsidP="000C5A3B">
            <w:pPr>
              <w:pStyle w:val="ColorfulList-Accent11"/>
              <w:numPr>
                <w:ilvl w:val="0"/>
                <w:numId w:val="7"/>
              </w:numPr>
              <w:spacing w:after="0" w:line="240" w:lineRule="auto"/>
              <w:jc w:val="both"/>
              <w:rPr>
                <w:rFonts w:ascii="Times New Roman" w:hAnsi="Times New Roman"/>
                <w:sz w:val="20"/>
                <w:szCs w:val="20"/>
                <w:lang w:val="fr-FR" w:eastAsia="ru-RU"/>
              </w:rPr>
            </w:pPr>
            <w:r w:rsidRPr="00CB6B95">
              <w:rPr>
                <w:rFonts w:ascii="Times New Roman" w:hAnsi="Times New Roman"/>
                <w:sz w:val="20"/>
                <w:szCs w:val="20"/>
                <w:lang w:val="fr-FR" w:eastAsia="ru-RU"/>
              </w:rPr>
              <w:t xml:space="preserve">Origine – </w:t>
            </w:r>
            <w:proofErr w:type="spellStart"/>
            <w:r w:rsidRPr="00CB6B95">
              <w:rPr>
                <w:rFonts w:ascii="Times New Roman" w:hAnsi="Times New Roman"/>
                <w:sz w:val="20"/>
                <w:szCs w:val="20"/>
                <w:lang w:val="fr-FR" w:eastAsia="ru-RU"/>
              </w:rPr>
              <w:t>Furnizori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comuni</w:t>
            </w:r>
            <w:proofErr w:type="spellEnd"/>
          </w:p>
          <w:p w14:paraId="01E04CDE" w14:textId="77777777" w:rsidR="008F5636" w:rsidRPr="00CB6B95" w:rsidRDefault="008F5636" w:rsidP="000C5A3B">
            <w:pPr>
              <w:pStyle w:val="ColorfulList-Accent11"/>
              <w:numPr>
                <w:ilvl w:val="0"/>
                <w:numId w:val="7"/>
              </w:numPr>
              <w:spacing w:after="0" w:line="240" w:lineRule="auto"/>
              <w:jc w:val="both"/>
              <w:rPr>
                <w:lang w:val="fr-FR"/>
              </w:rPr>
            </w:pPr>
            <w:proofErr w:type="spellStart"/>
            <w:r w:rsidRPr="00CB6B95">
              <w:rPr>
                <w:rFonts w:ascii="Times New Roman" w:hAnsi="Times New Roman"/>
                <w:sz w:val="20"/>
                <w:szCs w:val="20"/>
                <w:lang w:val="ru-RU" w:eastAsia="ru-RU"/>
              </w:rPr>
              <w:t>Locul</w:t>
            </w:r>
            <w:proofErr w:type="spellEnd"/>
            <w:r w:rsidRPr="00CB6B95">
              <w:rPr>
                <w:rFonts w:ascii="Times New Roman" w:hAnsi="Times New Roman"/>
                <w:sz w:val="20"/>
                <w:szCs w:val="20"/>
                <w:lang w:val="ru-RU" w:eastAsia="ru-RU"/>
              </w:rPr>
              <w:t xml:space="preserve"> </w:t>
            </w:r>
            <w:proofErr w:type="spellStart"/>
            <w:r w:rsidRPr="00CB6B95">
              <w:rPr>
                <w:rFonts w:ascii="Times New Roman" w:hAnsi="Times New Roman"/>
                <w:sz w:val="20"/>
                <w:szCs w:val="20"/>
                <w:lang w:val="ru-RU" w:eastAsia="ru-RU"/>
              </w:rPr>
              <w:t>de</w:t>
            </w:r>
            <w:proofErr w:type="spellEnd"/>
            <w:r w:rsidRPr="00CB6B95">
              <w:rPr>
                <w:rFonts w:ascii="Times New Roman" w:hAnsi="Times New Roman"/>
                <w:sz w:val="20"/>
                <w:szCs w:val="20"/>
                <w:lang w:val="ru-RU" w:eastAsia="ru-RU"/>
              </w:rPr>
              <w:t xml:space="preserve"> </w:t>
            </w:r>
            <w:proofErr w:type="spellStart"/>
            <w:r w:rsidRPr="00CB6B95">
              <w:rPr>
                <w:rFonts w:ascii="Times New Roman" w:hAnsi="Times New Roman"/>
                <w:sz w:val="20"/>
                <w:szCs w:val="20"/>
                <w:lang w:val="ru-RU" w:eastAsia="ru-RU"/>
              </w:rPr>
              <w:t>achiziție</w:t>
            </w:r>
            <w:proofErr w:type="spellEnd"/>
          </w:p>
          <w:p w14:paraId="0876DEFA" w14:textId="466805E1" w:rsidR="008F5636" w:rsidRPr="00CB6B95" w:rsidRDefault="008F5636" w:rsidP="000C5A3B">
            <w:pPr>
              <w:pStyle w:val="ColorfulList-Accent11"/>
              <w:numPr>
                <w:ilvl w:val="0"/>
                <w:numId w:val="6"/>
              </w:numPr>
              <w:spacing w:after="0" w:line="240" w:lineRule="auto"/>
              <w:jc w:val="both"/>
              <w:rPr>
                <w:rFonts w:ascii="Times New Roman" w:hAnsi="Times New Roman"/>
                <w:sz w:val="20"/>
                <w:szCs w:val="20"/>
                <w:lang w:val="fr-FR"/>
              </w:rPr>
            </w:pPr>
            <w:r w:rsidRPr="00CB6B95">
              <w:rPr>
                <w:rFonts w:ascii="Times New Roman" w:hAnsi="Times New Roman"/>
                <w:sz w:val="20"/>
                <w:szCs w:val="20"/>
                <w:lang w:val="en-US" w:eastAsia="ru-RU"/>
              </w:rPr>
              <w:t xml:space="preserve">în </w:t>
            </w:r>
            <w:proofErr w:type="spellStart"/>
            <w:r w:rsidRPr="00CB6B95">
              <w:rPr>
                <w:rFonts w:ascii="Times New Roman" w:hAnsi="Times New Roman"/>
                <w:sz w:val="20"/>
                <w:szCs w:val="20"/>
                <w:lang w:val="en-US" w:eastAsia="ru-RU"/>
              </w:rPr>
              <w:t>formatul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notelor</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punctele</w:t>
            </w:r>
            <w:proofErr w:type="spellEnd"/>
            <w:r w:rsidRPr="00CB6B95">
              <w:rPr>
                <w:rFonts w:ascii="Times New Roman" w:hAnsi="Times New Roman"/>
                <w:sz w:val="20"/>
                <w:szCs w:val="20"/>
                <w:lang w:val="en-US" w:eastAsia="ru-RU"/>
              </w:rPr>
              <w:t xml:space="preserve"> 8 și 9 se </w:t>
            </w:r>
            <w:proofErr w:type="spellStart"/>
            <w:r w:rsidRPr="00CB6B95">
              <w:rPr>
                <w:rFonts w:ascii="Times New Roman" w:hAnsi="Times New Roman"/>
                <w:sz w:val="20"/>
                <w:szCs w:val="20"/>
                <w:lang w:val="en-US" w:eastAsia="ru-RU"/>
              </w:rPr>
              <w:t>elimină</w:t>
            </w:r>
            <w:proofErr w:type="spellEnd"/>
            <w:r w:rsidRPr="00CB6B95">
              <w:rPr>
                <w:rFonts w:ascii="Times New Roman" w:hAnsi="Times New Roman"/>
                <w:sz w:val="20"/>
                <w:szCs w:val="20"/>
                <w:lang w:val="en-US" w:eastAsia="ru-RU"/>
              </w:rPr>
              <w:t>.</w:t>
            </w:r>
          </w:p>
        </w:tc>
        <w:tc>
          <w:tcPr>
            <w:tcW w:w="4440" w:type="dxa"/>
          </w:tcPr>
          <w:p w14:paraId="5354D64A" w14:textId="77777777" w:rsidR="008F5636" w:rsidRPr="00CF6FF2" w:rsidRDefault="008F5636" w:rsidP="008F5636">
            <w:pPr>
              <w:pStyle w:val="ColorfulList-Accent11"/>
              <w:spacing w:after="0" w:line="240" w:lineRule="auto"/>
              <w:ind w:left="0"/>
              <w:jc w:val="both"/>
              <w:rPr>
                <w:lang w:val="fr-FR"/>
              </w:rPr>
            </w:pPr>
          </w:p>
        </w:tc>
        <w:tc>
          <w:tcPr>
            <w:tcW w:w="1276" w:type="dxa"/>
          </w:tcPr>
          <w:p w14:paraId="78ADBAEF" w14:textId="5DB9B37E" w:rsidR="008F5636" w:rsidRPr="00CF6FF2" w:rsidRDefault="00E154F8"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3BE94BCD" w14:textId="77777777" w:rsidR="008F5636" w:rsidRPr="00CF6FF2" w:rsidRDefault="008F5636" w:rsidP="008F5636">
            <w:pPr>
              <w:pStyle w:val="ColorfulList-Accent11"/>
              <w:spacing w:after="0" w:line="240" w:lineRule="auto"/>
              <w:ind w:left="0"/>
              <w:jc w:val="both"/>
              <w:rPr>
                <w:lang w:val="fr-FR"/>
              </w:rPr>
            </w:pPr>
          </w:p>
        </w:tc>
        <w:tc>
          <w:tcPr>
            <w:tcW w:w="1701" w:type="dxa"/>
          </w:tcPr>
          <w:p w14:paraId="000DBD63" w14:textId="2183BE7D" w:rsidR="008F5636" w:rsidRPr="00CF6FF2" w:rsidRDefault="00E154F8"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2A271E23" w14:textId="77777777" w:rsidR="008F5636" w:rsidRPr="00CF6FF2" w:rsidRDefault="008F5636" w:rsidP="008F5636">
            <w:pPr>
              <w:pStyle w:val="ColorfulList-Accent11"/>
              <w:spacing w:after="0" w:line="240" w:lineRule="auto"/>
              <w:ind w:left="0"/>
              <w:jc w:val="both"/>
              <w:rPr>
                <w:lang w:val="fr-FR"/>
              </w:rPr>
            </w:pPr>
          </w:p>
        </w:tc>
      </w:tr>
      <w:tr w:rsidR="008F5636" w:rsidRPr="00745D9A" w14:paraId="62046D7A" w14:textId="77777777" w:rsidTr="00A90105">
        <w:tc>
          <w:tcPr>
            <w:tcW w:w="4945" w:type="dxa"/>
          </w:tcPr>
          <w:p w14:paraId="423A97E5" w14:textId="77777777" w:rsidR="008F5636" w:rsidRPr="00CB6B95" w:rsidRDefault="008F5636" w:rsidP="008F5636">
            <w:pPr>
              <w:spacing w:after="0" w:line="240" w:lineRule="auto"/>
              <w:jc w:val="center"/>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57</w:t>
            </w:r>
          </w:p>
          <w:p w14:paraId="5CE20A00" w14:textId="77777777" w:rsidR="008F5636" w:rsidRPr="00CB6B95" w:rsidRDefault="008F5636" w:rsidP="008F5636">
            <w:pPr>
              <w:spacing w:after="0" w:line="240" w:lineRule="auto"/>
              <w:jc w:val="center"/>
              <w:rPr>
                <w:rFonts w:ascii="Times New Roman" w:hAnsi="Times New Roman"/>
                <w:b/>
                <w:bCs/>
                <w:sz w:val="20"/>
                <w:szCs w:val="20"/>
                <w:lang w:val="en-US" w:eastAsia="ru-RU"/>
              </w:rPr>
            </w:pPr>
            <w:proofErr w:type="spellStart"/>
            <w:r w:rsidRPr="00CB6B95">
              <w:rPr>
                <w:rFonts w:ascii="Times New Roman" w:hAnsi="Times New Roman"/>
                <w:b/>
                <w:bCs/>
                <w:sz w:val="20"/>
                <w:szCs w:val="20"/>
                <w:lang w:val="en-US" w:eastAsia="ru-RU"/>
              </w:rPr>
              <w:t>Abrogare</w:t>
            </w:r>
            <w:proofErr w:type="spellEnd"/>
          </w:p>
          <w:p w14:paraId="1ACBEBE3" w14:textId="70E315B5" w:rsidR="008F5636" w:rsidRPr="00CB6B95" w:rsidRDefault="008F5636" w:rsidP="008F5636">
            <w:pPr>
              <w:jc w:val="both"/>
              <w:rPr>
                <w:rFonts w:ascii="Times New Roman" w:hAnsi="Times New Roman"/>
                <w:sz w:val="20"/>
                <w:szCs w:val="20"/>
                <w:lang w:val="fr-FR" w:eastAsia="ru-RU"/>
              </w:rPr>
            </w:pPr>
            <w:proofErr w:type="spellStart"/>
            <w:r w:rsidRPr="00CB6B95">
              <w:rPr>
                <w:rFonts w:ascii="Times New Roman" w:hAnsi="Times New Roman"/>
                <w:sz w:val="20"/>
                <w:szCs w:val="20"/>
                <w:lang w:val="en-US" w:eastAsia="ru-RU"/>
              </w:rPr>
              <w:t>Regulamentul</w:t>
            </w:r>
            <w:proofErr w:type="spellEnd"/>
            <w:r w:rsidRPr="00CB6B95">
              <w:rPr>
                <w:rFonts w:ascii="Times New Roman" w:hAnsi="Times New Roman"/>
                <w:sz w:val="20"/>
                <w:szCs w:val="20"/>
                <w:lang w:val="en-US" w:eastAsia="ru-RU"/>
              </w:rPr>
              <w:t xml:space="preserve"> (UE) nr. 525/2013 se </w:t>
            </w:r>
            <w:proofErr w:type="spellStart"/>
            <w:r w:rsidRPr="00CB6B95">
              <w:rPr>
                <w:rFonts w:ascii="Times New Roman" w:hAnsi="Times New Roman"/>
                <w:sz w:val="20"/>
                <w:szCs w:val="20"/>
                <w:lang w:val="en-US" w:eastAsia="ru-RU"/>
              </w:rPr>
              <w:t>abrogă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începând</w:t>
            </w:r>
            <w:proofErr w:type="spellEnd"/>
            <w:r w:rsidRPr="00CB6B95">
              <w:rPr>
                <w:rFonts w:ascii="Times New Roman" w:hAnsi="Times New Roman"/>
                <w:sz w:val="20"/>
                <w:szCs w:val="20"/>
                <w:lang w:val="en-US" w:eastAsia="ru-RU"/>
              </w:rPr>
              <w:t xml:space="preserve"> cu 1 </w:t>
            </w:r>
            <w:proofErr w:type="spellStart"/>
            <w:r w:rsidRPr="00CB6B95">
              <w:rPr>
                <w:rFonts w:ascii="Times New Roman" w:hAnsi="Times New Roman"/>
                <w:sz w:val="20"/>
                <w:szCs w:val="20"/>
                <w:lang w:val="en-US" w:eastAsia="ru-RU"/>
              </w:rPr>
              <w:t>ianuarie</w:t>
            </w:r>
            <w:proofErr w:type="spellEnd"/>
            <w:r w:rsidRPr="00CB6B95">
              <w:rPr>
                <w:rFonts w:ascii="Times New Roman" w:hAnsi="Times New Roman"/>
                <w:sz w:val="20"/>
                <w:szCs w:val="20"/>
                <w:lang w:val="en-US" w:eastAsia="ru-RU"/>
              </w:rPr>
              <w:t xml:space="preserve"> 2021, sub </w:t>
            </w:r>
            <w:proofErr w:type="spellStart"/>
            <w:r w:rsidRPr="00CB6B95">
              <w:rPr>
                <w:rFonts w:ascii="Times New Roman" w:hAnsi="Times New Roman"/>
                <w:sz w:val="20"/>
                <w:szCs w:val="20"/>
                <w:lang w:val="en-US" w:eastAsia="ru-RU"/>
              </w:rPr>
              <w:t>rezerva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dispozițiilor</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tranzitorii</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prevăzute</w:t>
            </w:r>
            <w:proofErr w:type="spellEnd"/>
            <w:r w:rsidRPr="00CB6B95">
              <w:rPr>
                <w:rFonts w:ascii="Times New Roman" w:hAnsi="Times New Roman"/>
                <w:sz w:val="20"/>
                <w:szCs w:val="20"/>
                <w:lang w:val="en-US" w:eastAsia="ru-RU"/>
              </w:rPr>
              <w:t xml:space="preserve"> la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58 din </w:t>
            </w:r>
            <w:proofErr w:type="spellStart"/>
            <w:r w:rsidRPr="00CB6B95">
              <w:rPr>
                <w:rFonts w:ascii="Times New Roman" w:hAnsi="Times New Roman"/>
                <w:sz w:val="20"/>
                <w:szCs w:val="20"/>
                <w:lang w:val="en-US" w:eastAsia="ru-RU"/>
              </w:rPr>
              <w:t>prezentul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regulament</w:t>
            </w:r>
            <w:proofErr w:type="spellEnd"/>
            <w:r w:rsidRPr="00CB6B95">
              <w:rPr>
                <w:rFonts w:ascii="Times New Roman" w:hAnsi="Times New Roman"/>
                <w:sz w:val="20"/>
                <w:szCs w:val="20"/>
                <w:lang w:val="en-US" w:eastAsia="ru-RU"/>
              </w:rPr>
              <w:t xml:space="preserve">, cu </w:t>
            </w:r>
            <w:proofErr w:type="spellStart"/>
            <w:r w:rsidRPr="00CB6B95">
              <w:rPr>
                <w:rFonts w:ascii="Times New Roman" w:hAnsi="Times New Roman"/>
                <w:sz w:val="20"/>
                <w:szCs w:val="20"/>
                <w:lang w:val="en-US" w:eastAsia="ru-RU"/>
              </w:rPr>
              <w:t>excepția</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26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(1) din </w:t>
            </w:r>
            <w:proofErr w:type="spellStart"/>
            <w:r w:rsidRPr="00CB6B95">
              <w:rPr>
                <w:rFonts w:ascii="Times New Roman" w:hAnsi="Times New Roman"/>
                <w:sz w:val="20"/>
                <w:szCs w:val="20"/>
                <w:lang w:val="en-US" w:eastAsia="ru-RU"/>
              </w:rPr>
              <w:t>Regulamentul</w:t>
            </w:r>
            <w:proofErr w:type="spellEnd"/>
            <w:r w:rsidRPr="00CB6B95">
              <w:rPr>
                <w:rFonts w:ascii="Times New Roman" w:hAnsi="Times New Roman"/>
                <w:sz w:val="20"/>
                <w:szCs w:val="20"/>
                <w:lang w:val="en-US" w:eastAsia="ru-RU"/>
              </w:rPr>
              <w:t xml:space="preserve"> (UE) nr. 525/2013, care se </w:t>
            </w:r>
            <w:proofErr w:type="spellStart"/>
            <w:r w:rsidRPr="00CB6B95">
              <w:rPr>
                <w:rFonts w:ascii="Times New Roman" w:hAnsi="Times New Roman"/>
                <w:sz w:val="20"/>
                <w:szCs w:val="20"/>
                <w:lang w:val="en-US" w:eastAsia="ru-RU"/>
              </w:rPr>
              <w:t>abrogă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începând</w:t>
            </w:r>
            <w:proofErr w:type="spellEnd"/>
            <w:r w:rsidRPr="00CB6B95">
              <w:rPr>
                <w:rFonts w:ascii="Times New Roman" w:hAnsi="Times New Roman"/>
                <w:sz w:val="20"/>
                <w:szCs w:val="20"/>
                <w:lang w:val="en-US" w:eastAsia="ru-RU"/>
              </w:rPr>
              <w:t xml:space="preserve"> cu 24 </w:t>
            </w:r>
            <w:proofErr w:type="spellStart"/>
            <w:r w:rsidRPr="00CB6B95">
              <w:rPr>
                <w:rFonts w:ascii="Times New Roman" w:hAnsi="Times New Roman"/>
                <w:sz w:val="20"/>
                <w:szCs w:val="20"/>
                <w:lang w:val="en-US" w:eastAsia="ru-RU"/>
              </w:rPr>
              <w:t>decembrie</w:t>
            </w:r>
            <w:proofErr w:type="spellEnd"/>
            <w:r w:rsidRPr="00CB6B95">
              <w:rPr>
                <w:rFonts w:ascii="Times New Roman" w:hAnsi="Times New Roman"/>
                <w:sz w:val="20"/>
                <w:szCs w:val="20"/>
                <w:lang w:val="en-US" w:eastAsia="ru-RU"/>
              </w:rPr>
              <w:t xml:space="preserve"> 2018. </w:t>
            </w:r>
            <w:proofErr w:type="spellStart"/>
            <w:r w:rsidRPr="00CB6B95">
              <w:rPr>
                <w:rFonts w:ascii="Times New Roman" w:hAnsi="Times New Roman"/>
                <w:sz w:val="20"/>
                <w:szCs w:val="20"/>
                <w:lang w:val="fr-FR" w:eastAsia="ru-RU"/>
              </w:rPr>
              <w:t>Trimiterile</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regulamentul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abrogat</w:t>
            </w:r>
            <w:proofErr w:type="spellEnd"/>
            <w:r w:rsidRPr="00CB6B95">
              <w:rPr>
                <w:rFonts w:ascii="Times New Roman" w:hAnsi="Times New Roman"/>
                <w:sz w:val="20"/>
                <w:szCs w:val="20"/>
                <w:lang w:val="fr-FR" w:eastAsia="ru-RU"/>
              </w:rPr>
              <w:t xml:space="preserve"> se </w:t>
            </w:r>
            <w:proofErr w:type="spellStart"/>
            <w:r w:rsidRPr="00CB6B95">
              <w:rPr>
                <w:rFonts w:ascii="Times New Roman" w:hAnsi="Times New Roman"/>
                <w:sz w:val="20"/>
                <w:szCs w:val="20"/>
                <w:lang w:val="fr-FR" w:eastAsia="ru-RU"/>
              </w:rPr>
              <w:t>interpretează</w:t>
            </w:r>
            <w:proofErr w:type="spellEnd"/>
            <w:r w:rsidRPr="00CB6B95">
              <w:rPr>
                <w:rFonts w:ascii="Times New Roman" w:hAnsi="Times New Roman"/>
                <w:sz w:val="20"/>
                <w:szCs w:val="20"/>
                <w:lang w:val="fr-FR" w:eastAsia="ru-RU"/>
              </w:rPr>
              <w:t xml:space="preserve"> </w:t>
            </w:r>
            <w:proofErr w:type="gramStart"/>
            <w:r w:rsidRPr="00CB6B95">
              <w:rPr>
                <w:rFonts w:ascii="Times New Roman" w:hAnsi="Times New Roman"/>
                <w:sz w:val="20"/>
                <w:szCs w:val="20"/>
                <w:lang w:val="fr-FR" w:eastAsia="ru-RU"/>
              </w:rPr>
              <w:t>ca</w:t>
            </w:r>
            <w:proofErr w:type="gram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trimiteri</w:t>
            </w:r>
            <w:proofErr w:type="spellEnd"/>
            <w:r w:rsidRPr="00CB6B95">
              <w:rPr>
                <w:rFonts w:ascii="Times New Roman" w:hAnsi="Times New Roman"/>
                <w:sz w:val="20"/>
                <w:szCs w:val="20"/>
                <w:lang w:val="fr-FR" w:eastAsia="ru-RU"/>
              </w:rPr>
              <w:t xml:space="preserve"> la </w:t>
            </w:r>
            <w:proofErr w:type="spellStart"/>
            <w:r w:rsidRPr="00CB6B95">
              <w:rPr>
                <w:rFonts w:ascii="Times New Roman" w:hAnsi="Times New Roman"/>
                <w:sz w:val="20"/>
                <w:szCs w:val="20"/>
                <w:lang w:val="fr-FR" w:eastAsia="ru-RU"/>
              </w:rPr>
              <w:t>prezentul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w:t>
            </w:r>
            <w:proofErr w:type="spellEnd"/>
            <w:r w:rsidRPr="00CB6B95">
              <w:rPr>
                <w:rFonts w:ascii="Times New Roman" w:hAnsi="Times New Roman"/>
                <w:sz w:val="20"/>
                <w:szCs w:val="20"/>
                <w:lang w:val="fr-FR" w:eastAsia="ru-RU"/>
              </w:rPr>
              <w:t xml:space="preserve"> și se </w:t>
            </w:r>
            <w:proofErr w:type="spellStart"/>
            <w:r w:rsidRPr="00CB6B95">
              <w:rPr>
                <w:rFonts w:ascii="Times New Roman" w:hAnsi="Times New Roman"/>
                <w:sz w:val="20"/>
                <w:szCs w:val="20"/>
                <w:lang w:val="fr-FR" w:eastAsia="ru-RU"/>
              </w:rPr>
              <w:t>citesc</w:t>
            </w:r>
            <w:proofErr w:type="spellEnd"/>
            <w:r w:rsidRPr="00CB6B95">
              <w:rPr>
                <w:rFonts w:ascii="Times New Roman" w:hAnsi="Times New Roman"/>
                <w:sz w:val="20"/>
                <w:szCs w:val="20"/>
                <w:lang w:val="fr-FR" w:eastAsia="ru-RU"/>
              </w:rPr>
              <w:t xml:space="preserve"> în conformitate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tabelul</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corespondență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anexa</w:t>
            </w:r>
            <w:proofErr w:type="spellEnd"/>
            <w:r w:rsidRPr="00CB6B95">
              <w:rPr>
                <w:rFonts w:ascii="Times New Roman" w:hAnsi="Times New Roman"/>
                <w:sz w:val="20"/>
                <w:szCs w:val="20"/>
                <w:lang w:val="fr-FR" w:eastAsia="ru-RU"/>
              </w:rPr>
              <w:t xml:space="preserve"> XIII.</w:t>
            </w:r>
          </w:p>
        </w:tc>
        <w:tc>
          <w:tcPr>
            <w:tcW w:w="4440" w:type="dxa"/>
          </w:tcPr>
          <w:p w14:paraId="1C252913" w14:textId="77777777" w:rsidR="008F5636" w:rsidRPr="00745D9A" w:rsidRDefault="008F5636" w:rsidP="008F5636">
            <w:pPr>
              <w:pStyle w:val="ColorfulList-Accent11"/>
              <w:spacing w:after="0" w:line="240" w:lineRule="auto"/>
              <w:ind w:left="0"/>
              <w:jc w:val="both"/>
              <w:rPr>
                <w:lang w:val="fr-FR"/>
              </w:rPr>
            </w:pPr>
          </w:p>
        </w:tc>
        <w:tc>
          <w:tcPr>
            <w:tcW w:w="1276" w:type="dxa"/>
          </w:tcPr>
          <w:p w14:paraId="58A58DED" w14:textId="04CD4639" w:rsidR="008F5636" w:rsidRPr="00745D9A" w:rsidRDefault="008F5636" w:rsidP="008F5636">
            <w:pPr>
              <w:pStyle w:val="ColorfulList-Accent11"/>
              <w:spacing w:after="0" w:line="240" w:lineRule="auto"/>
              <w:ind w:left="0"/>
              <w:jc w:val="both"/>
              <w:rPr>
                <w:lang w:val="fr-FR"/>
              </w:rPr>
            </w:pPr>
            <w:r w:rsidRPr="00C951E7">
              <w:rPr>
                <w:rFonts w:ascii="Times New Roman" w:hAnsi="Times New Roman"/>
                <w:sz w:val="20"/>
                <w:szCs w:val="20"/>
                <w:lang w:val="ro-RO"/>
              </w:rPr>
              <w:t>Prevederi UE neaplicabile</w:t>
            </w:r>
          </w:p>
        </w:tc>
        <w:tc>
          <w:tcPr>
            <w:tcW w:w="1276" w:type="dxa"/>
          </w:tcPr>
          <w:p w14:paraId="624296A3" w14:textId="77777777" w:rsidR="008F5636" w:rsidRPr="00745D9A" w:rsidRDefault="008F5636" w:rsidP="008F5636">
            <w:pPr>
              <w:pStyle w:val="ColorfulList-Accent11"/>
              <w:spacing w:after="0" w:line="240" w:lineRule="auto"/>
              <w:ind w:left="0"/>
              <w:jc w:val="both"/>
              <w:rPr>
                <w:lang w:val="fr-FR"/>
              </w:rPr>
            </w:pPr>
          </w:p>
        </w:tc>
        <w:tc>
          <w:tcPr>
            <w:tcW w:w="1701" w:type="dxa"/>
          </w:tcPr>
          <w:p w14:paraId="2F99C761" w14:textId="58FA0A66" w:rsidR="008F5636" w:rsidRPr="00745D9A" w:rsidRDefault="008F5636" w:rsidP="008F5636">
            <w:pPr>
              <w:pStyle w:val="ColorfulList-Accent11"/>
              <w:spacing w:after="0" w:line="240" w:lineRule="auto"/>
              <w:ind w:left="0"/>
              <w:jc w:val="both"/>
              <w:rPr>
                <w:lang w:val="fr-FR"/>
              </w:rPr>
            </w:pPr>
            <w:r w:rsidRPr="00C951E7">
              <w:rPr>
                <w:rFonts w:ascii="Times New Roman" w:hAnsi="Times New Roman"/>
                <w:sz w:val="20"/>
                <w:szCs w:val="20"/>
                <w:lang w:val="ro-RO"/>
              </w:rPr>
              <w:t>Transpunerea nu este necesară, deoarece se referă la tehnica legislativă UE.</w:t>
            </w:r>
          </w:p>
        </w:tc>
        <w:tc>
          <w:tcPr>
            <w:tcW w:w="1460" w:type="dxa"/>
          </w:tcPr>
          <w:p w14:paraId="398297C0" w14:textId="77777777" w:rsidR="008F5636" w:rsidRPr="00745D9A" w:rsidRDefault="008F5636" w:rsidP="008F5636">
            <w:pPr>
              <w:pStyle w:val="ColorfulList-Accent11"/>
              <w:spacing w:after="0" w:line="240" w:lineRule="auto"/>
              <w:ind w:left="0"/>
              <w:jc w:val="both"/>
              <w:rPr>
                <w:lang w:val="fr-FR"/>
              </w:rPr>
            </w:pPr>
          </w:p>
        </w:tc>
      </w:tr>
      <w:tr w:rsidR="008F5636" w14:paraId="70EB9F3F" w14:textId="77777777" w:rsidTr="00A90105">
        <w:tc>
          <w:tcPr>
            <w:tcW w:w="4945" w:type="dxa"/>
          </w:tcPr>
          <w:p w14:paraId="5590BC63" w14:textId="77777777" w:rsidR="008F5636" w:rsidRPr="00CB6B95" w:rsidRDefault="008F5636" w:rsidP="008F5636">
            <w:pPr>
              <w:spacing w:after="0" w:line="240" w:lineRule="auto"/>
              <w:jc w:val="center"/>
              <w:rPr>
                <w:rFonts w:ascii="Times New Roman" w:hAnsi="Times New Roman"/>
                <w:sz w:val="20"/>
                <w:szCs w:val="20"/>
                <w:lang w:eastAsia="ru-RU"/>
              </w:rPr>
            </w:pPr>
            <w:proofErr w:type="spellStart"/>
            <w:r w:rsidRPr="00CB6B95">
              <w:rPr>
                <w:rFonts w:ascii="Times New Roman" w:hAnsi="Times New Roman"/>
                <w:sz w:val="20"/>
                <w:szCs w:val="20"/>
                <w:lang w:eastAsia="ru-RU"/>
              </w:rPr>
              <w:t>Articolul</w:t>
            </w:r>
            <w:proofErr w:type="spellEnd"/>
            <w:r w:rsidRPr="00CB6B95">
              <w:rPr>
                <w:rFonts w:ascii="Times New Roman" w:hAnsi="Times New Roman"/>
                <w:sz w:val="20"/>
                <w:szCs w:val="20"/>
                <w:lang w:eastAsia="ru-RU"/>
              </w:rPr>
              <w:t xml:space="preserve"> 58</w:t>
            </w:r>
          </w:p>
          <w:p w14:paraId="2C97FE6E" w14:textId="77777777" w:rsidR="008F5636" w:rsidRPr="00CB6B95" w:rsidRDefault="008F5636" w:rsidP="008F5636">
            <w:pPr>
              <w:spacing w:after="0" w:line="240" w:lineRule="auto"/>
              <w:jc w:val="center"/>
              <w:rPr>
                <w:rFonts w:ascii="Times New Roman" w:hAnsi="Times New Roman"/>
                <w:b/>
                <w:bCs/>
                <w:sz w:val="20"/>
                <w:szCs w:val="20"/>
                <w:lang w:eastAsia="ru-RU"/>
              </w:rPr>
            </w:pPr>
            <w:proofErr w:type="spellStart"/>
            <w:r w:rsidRPr="00CB6B95">
              <w:rPr>
                <w:rFonts w:ascii="Times New Roman" w:hAnsi="Times New Roman"/>
                <w:b/>
                <w:bCs/>
                <w:sz w:val="20"/>
                <w:szCs w:val="20"/>
                <w:lang w:eastAsia="ru-RU"/>
              </w:rPr>
              <w:t>Dispoziții</w:t>
            </w:r>
            <w:proofErr w:type="spellEnd"/>
            <w:r w:rsidRPr="00CB6B95">
              <w:rPr>
                <w:rFonts w:ascii="Times New Roman" w:hAnsi="Times New Roman"/>
                <w:b/>
                <w:bCs/>
                <w:sz w:val="20"/>
                <w:szCs w:val="20"/>
                <w:lang w:eastAsia="ru-RU"/>
              </w:rPr>
              <w:t xml:space="preserve"> </w:t>
            </w:r>
            <w:proofErr w:type="spellStart"/>
            <w:r w:rsidRPr="00CB6B95">
              <w:rPr>
                <w:rFonts w:ascii="Times New Roman" w:hAnsi="Times New Roman"/>
                <w:b/>
                <w:bCs/>
                <w:sz w:val="20"/>
                <w:szCs w:val="20"/>
                <w:lang w:eastAsia="ru-RU"/>
              </w:rPr>
              <w:t>tranzitorii</w:t>
            </w:r>
            <w:proofErr w:type="spellEnd"/>
          </w:p>
          <w:p w14:paraId="5E087AFB" w14:textId="79812168" w:rsidR="008F5636" w:rsidRPr="00CB6B95" w:rsidRDefault="008F5636" w:rsidP="008F5636">
            <w:pPr>
              <w:spacing w:after="0"/>
              <w:jc w:val="both"/>
              <w:rPr>
                <w:rFonts w:ascii="Times New Roman" w:hAnsi="Times New Roman"/>
                <w:sz w:val="20"/>
                <w:szCs w:val="20"/>
                <w:lang w:eastAsia="ru-RU"/>
              </w:rPr>
            </w:pPr>
            <w:proofErr w:type="spellStart"/>
            <w:r w:rsidRPr="00CB6B95">
              <w:rPr>
                <w:rFonts w:ascii="Times New Roman" w:hAnsi="Times New Roman"/>
                <w:sz w:val="20"/>
                <w:szCs w:val="20"/>
                <w:lang w:eastAsia="ru-RU"/>
              </w:rPr>
              <w:t>Prin</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derogare</w:t>
            </w:r>
            <w:proofErr w:type="spellEnd"/>
            <w:r w:rsidRPr="00CB6B95">
              <w:rPr>
                <w:rFonts w:ascii="Times New Roman" w:hAnsi="Times New Roman"/>
                <w:sz w:val="20"/>
                <w:szCs w:val="20"/>
                <w:lang w:eastAsia="ru-RU"/>
              </w:rPr>
              <w:t xml:space="preserve"> de la </w:t>
            </w:r>
            <w:proofErr w:type="spellStart"/>
            <w:r w:rsidRPr="00CB6B95">
              <w:rPr>
                <w:rFonts w:ascii="Times New Roman" w:hAnsi="Times New Roman"/>
                <w:sz w:val="20"/>
                <w:szCs w:val="20"/>
                <w:lang w:eastAsia="ru-RU"/>
              </w:rPr>
              <w:t>articolul</w:t>
            </w:r>
            <w:proofErr w:type="spellEnd"/>
            <w:r w:rsidRPr="00CB6B95">
              <w:rPr>
                <w:rFonts w:ascii="Times New Roman" w:hAnsi="Times New Roman"/>
                <w:sz w:val="20"/>
                <w:szCs w:val="20"/>
                <w:lang w:eastAsia="ru-RU"/>
              </w:rPr>
              <w:t xml:space="preserve"> 57 din </w:t>
            </w:r>
            <w:proofErr w:type="spellStart"/>
            <w:r w:rsidRPr="00CB6B95">
              <w:rPr>
                <w:rFonts w:ascii="Times New Roman" w:hAnsi="Times New Roman"/>
                <w:sz w:val="20"/>
                <w:szCs w:val="20"/>
                <w:lang w:eastAsia="ru-RU"/>
              </w:rPr>
              <w:t>prezentul</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regulament</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articolul</w:t>
            </w:r>
            <w:proofErr w:type="spellEnd"/>
            <w:r w:rsidRPr="00CB6B95">
              <w:rPr>
                <w:rFonts w:ascii="Times New Roman" w:hAnsi="Times New Roman"/>
                <w:sz w:val="20"/>
                <w:szCs w:val="20"/>
                <w:lang w:eastAsia="ru-RU"/>
              </w:rPr>
              <w:t xml:space="preserve"> 7 și </w:t>
            </w:r>
            <w:proofErr w:type="spellStart"/>
            <w:r w:rsidRPr="00CB6B95">
              <w:rPr>
                <w:rFonts w:ascii="Times New Roman" w:hAnsi="Times New Roman"/>
                <w:sz w:val="20"/>
                <w:szCs w:val="20"/>
                <w:lang w:eastAsia="ru-RU"/>
              </w:rPr>
              <w:t>articolul</w:t>
            </w:r>
            <w:proofErr w:type="spellEnd"/>
            <w:r w:rsidRPr="00CB6B95">
              <w:rPr>
                <w:rFonts w:ascii="Times New Roman" w:hAnsi="Times New Roman"/>
                <w:sz w:val="20"/>
                <w:szCs w:val="20"/>
                <w:lang w:eastAsia="ru-RU"/>
              </w:rPr>
              <w:t xml:space="preserve"> 17 </w:t>
            </w:r>
            <w:proofErr w:type="spellStart"/>
            <w:r w:rsidRPr="00CB6B95">
              <w:rPr>
                <w:rFonts w:ascii="Times New Roman" w:hAnsi="Times New Roman"/>
                <w:sz w:val="20"/>
                <w:szCs w:val="20"/>
                <w:lang w:eastAsia="ru-RU"/>
              </w:rPr>
              <w:t>alineatul</w:t>
            </w:r>
            <w:proofErr w:type="spellEnd"/>
            <w:r w:rsidRPr="00CB6B95">
              <w:rPr>
                <w:rFonts w:ascii="Times New Roman" w:hAnsi="Times New Roman"/>
                <w:sz w:val="20"/>
                <w:szCs w:val="20"/>
                <w:lang w:eastAsia="ru-RU"/>
              </w:rPr>
              <w:t xml:space="preserve"> (1) </w:t>
            </w:r>
            <w:proofErr w:type="spellStart"/>
            <w:r w:rsidRPr="00CB6B95">
              <w:rPr>
                <w:rFonts w:ascii="Times New Roman" w:hAnsi="Times New Roman"/>
                <w:sz w:val="20"/>
                <w:szCs w:val="20"/>
                <w:lang w:eastAsia="ru-RU"/>
              </w:rPr>
              <w:t>literele</w:t>
            </w:r>
            <w:proofErr w:type="spellEnd"/>
            <w:r w:rsidRPr="00CB6B95">
              <w:rPr>
                <w:rFonts w:ascii="Times New Roman" w:hAnsi="Times New Roman"/>
                <w:sz w:val="20"/>
                <w:szCs w:val="20"/>
                <w:lang w:eastAsia="ru-RU"/>
              </w:rPr>
              <w:t xml:space="preserve"> (a) și (d) din </w:t>
            </w:r>
            <w:proofErr w:type="spellStart"/>
            <w:r w:rsidRPr="00CB6B95">
              <w:rPr>
                <w:rFonts w:ascii="Times New Roman" w:hAnsi="Times New Roman"/>
                <w:sz w:val="20"/>
                <w:szCs w:val="20"/>
                <w:lang w:eastAsia="ru-RU"/>
              </w:rPr>
              <w:t>Regulamentul</w:t>
            </w:r>
            <w:proofErr w:type="spellEnd"/>
            <w:r w:rsidRPr="00CB6B95">
              <w:rPr>
                <w:rFonts w:ascii="Times New Roman" w:hAnsi="Times New Roman"/>
                <w:sz w:val="20"/>
                <w:szCs w:val="20"/>
                <w:lang w:eastAsia="ru-RU"/>
              </w:rPr>
              <w:t xml:space="preserve"> (UE) nr. 525/2013 se </w:t>
            </w:r>
            <w:proofErr w:type="spellStart"/>
            <w:r w:rsidRPr="00CB6B95">
              <w:rPr>
                <w:rFonts w:ascii="Times New Roman" w:hAnsi="Times New Roman"/>
                <w:sz w:val="20"/>
                <w:szCs w:val="20"/>
                <w:lang w:eastAsia="ru-RU"/>
              </w:rPr>
              <w:t>aplică</w:t>
            </w:r>
            <w:proofErr w:type="spellEnd"/>
            <w:r w:rsidRPr="00CB6B95">
              <w:rPr>
                <w:rFonts w:ascii="Times New Roman" w:hAnsi="Times New Roman"/>
                <w:sz w:val="20"/>
                <w:szCs w:val="20"/>
                <w:lang w:eastAsia="ru-RU"/>
              </w:rPr>
              <w:t xml:space="preserve"> în </w:t>
            </w:r>
            <w:proofErr w:type="spellStart"/>
            <w:r w:rsidRPr="00CB6B95">
              <w:rPr>
                <w:rFonts w:ascii="Times New Roman" w:hAnsi="Times New Roman"/>
                <w:sz w:val="20"/>
                <w:szCs w:val="20"/>
                <w:lang w:eastAsia="ru-RU"/>
              </w:rPr>
              <w:t>continuare</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rapoartelor</w:t>
            </w:r>
            <w:proofErr w:type="spellEnd"/>
            <w:r w:rsidRPr="00CB6B95">
              <w:rPr>
                <w:rFonts w:ascii="Times New Roman" w:hAnsi="Times New Roman"/>
                <w:sz w:val="20"/>
                <w:szCs w:val="20"/>
                <w:lang w:eastAsia="ru-RU"/>
              </w:rPr>
              <w:t xml:space="preserve"> care </w:t>
            </w:r>
            <w:proofErr w:type="spellStart"/>
            <w:r w:rsidRPr="00CB6B95">
              <w:rPr>
                <w:rFonts w:ascii="Times New Roman" w:hAnsi="Times New Roman"/>
                <w:sz w:val="20"/>
                <w:szCs w:val="20"/>
                <w:lang w:eastAsia="ru-RU"/>
              </w:rPr>
              <w:t>conțin</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datele</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necesare</w:t>
            </w:r>
            <w:proofErr w:type="spellEnd"/>
            <w:r w:rsidRPr="00CB6B95">
              <w:rPr>
                <w:rFonts w:ascii="Times New Roman" w:hAnsi="Times New Roman"/>
                <w:sz w:val="20"/>
                <w:szCs w:val="20"/>
                <w:lang w:eastAsia="ru-RU"/>
              </w:rPr>
              <w:t xml:space="preserve"> în </w:t>
            </w:r>
            <w:proofErr w:type="spellStart"/>
            <w:r w:rsidRPr="00CB6B95">
              <w:rPr>
                <w:rFonts w:ascii="Times New Roman" w:hAnsi="Times New Roman"/>
                <w:sz w:val="20"/>
                <w:szCs w:val="20"/>
                <w:lang w:eastAsia="ru-RU"/>
              </w:rPr>
              <w:t>temeiul</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respectivelor</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articole</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pentru</w:t>
            </w:r>
            <w:proofErr w:type="spellEnd"/>
            <w:r w:rsidRPr="00CB6B95">
              <w:rPr>
                <w:rFonts w:ascii="Times New Roman" w:hAnsi="Times New Roman"/>
                <w:sz w:val="20"/>
                <w:szCs w:val="20"/>
                <w:lang w:eastAsia="ru-RU"/>
              </w:rPr>
              <w:t xml:space="preserve"> </w:t>
            </w:r>
            <w:proofErr w:type="spellStart"/>
            <w:r w:rsidRPr="00CB6B95">
              <w:rPr>
                <w:rFonts w:ascii="Times New Roman" w:hAnsi="Times New Roman"/>
                <w:sz w:val="20"/>
                <w:szCs w:val="20"/>
                <w:lang w:eastAsia="ru-RU"/>
              </w:rPr>
              <w:t>anii</w:t>
            </w:r>
            <w:proofErr w:type="spellEnd"/>
            <w:r w:rsidRPr="00CB6B95">
              <w:rPr>
                <w:rFonts w:ascii="Times New Roman" w:hAnsi="Times New Roman"/>
                <w:sz w:val="20"/>
                <w:szCs w:val="20"/>
                <w:lang w:eastAsia="ru-RU"/>
              </w:rPr>
              <w:t xml:space="preserve"> 2018, 2019 și 2020.</w:t>
            </w:r>
          </w:p>
          <w:p w14:paraId="0662D1CB" w14:textId="2C8F3528" w:rsidR="008F5636" w:rsidRPr="00CB6B95" w:rsidRDefault="008F5636" w:rsidP="008F5636">
            <w:pPr>
              <w:spacing w:after="0"/>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11 </w:t>
            </w:r>
            <w:proofErr w:type="spellStart"/>
            <w:r w:rsidRPr="00CB6B95">
              <w:rPr>
                <w:rFonts w:ascii="Times New Roman" w:hAnsi="Times New Roman"/>
                <w:sz w:val="20"/>
                <w:szCs w:val="20"/>
                <w:lang w:val="fr-FR" w:eastAsia="ru-RU"/>
              </w:rPr>
              <w:t>alineatul</w:t>
            </w:r>
            <w:proofErr w:type="spellEnd"/>
            <w:r w:rsidRPr="00CB6B95">
              <w:rPr>
                <w:rFonts w:ascii="Times New Roman" w:hAnsi="Times New Roman"/>
                <w:sz w:val="20"/>
                <w:szCs w:val="20"/>
                <w:lang w:val="fr-FR" w:eastAsia="ru-RU"/>
              </w:rPr>
              <w:t xml:space="preserve"> (3)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Regulamentul</w:t>
            </w:r>
            <w:proofErr w:type="spellEnd"/>
            <w:r w:rsidRPr="00CB6B95">
              <w:rPr>
                <w:rFonts w:ascii="Times New Roman" w:hAnsi="Times New Roman"/>
                <w:sz w:val="20"/>
                <w:szCs w:val="20"/>
                <w:lang w:val="fr-FR" w:eastAsia="ru-RU"/>
              </w:rPr>
              <w:t xml:space="preserve"> (UE) nr. 525/2013 se </w:t>
            </w:r>
            <w:proofErr w:type="spellStart"/>
            <w:r w:rsidRPr="00CB6B95">
              <w:rPr>
                <w:rFonts w:ascii="Times New Roman" w:hAnsi="Times New Roman"/>
                <w:sz w:val="20"/>
                <w:szCs w:val="20"/>
                <w:lang w:val="fr-FR" w:eastAsia="ru-RU"/>
              </w:rPr>
              <w:t>aplică</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continuare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ceea</w:t>
            </w:r>
            <w:proofErr w:type="spellEnd"/>
            <w:r w:rsidRPr="00CB6B95">
              <w:rPr>
                <w:rFonts w:ascii="Times New Roman" w:hAnsi="Times New Roman"/>
                <w:sz w:val="20"/>
                <w:szCs w:val="20"/>
                <w:lang w:val="fr-FR" w:eastAsia="ru-RU"/>
              </w:rPr>
              <w:t xml:space="preserve"> ce </w:t>
            </w:r>
            <w:proofErr w:type="spellStart"/>
            <w:r w:rsidRPr="00CB6B95">
              <w:rPr>
                <w:rFonts w:ascii="Times New Roman" w:hAnsi="Times New Roman"/>
                <w:sz w:val="20"/>
                <w:szCs w:val="20"/>
                <w:lang w:val="fr-FR" w:eastAsia="ru-RU"/>
              </w:rPr>
              <w:t>privește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doua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perioadă</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angajament</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temeiul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protocolului</w:t>
            </w:r>
            <w:proofErr w:type="spellEnd"/>
            <w:r w:rsidRPr="00CB6B95">
              <w:rPr>
                <w:rFonts w:ascii="Times New Roman" w:hAnsi="Times New Roman"/>
                <w:sz w:val="20"/>
                <w:szCs w:val="20"/>
                <w:lang w:val="fr-FR" w:eastAsia="ru-RU"/>
              </w:rPr>
              <w:t xml:space="preserve"> de la Kyoto.</w:t>
            </w:r>
          </w:p>
          <w:p w14:paraId="18170DB9" w14:textId="6CFA5B1C" w:rsidR="008F5636" w:rsidRPr="00CB6B95" w:rsidRDefault="008F5636" w:rsidP="008F5636">
            <w:pPr>
              <w:spacing w:after="0"/>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19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Regulamentul</w:t>
            </w:r>
            <w:proofErr w:type="spellEnd"/>
            <w:r w:rsidRPr="00CB6B95">
              <w:rPr>
                <w:rFonts w:ascii="Times New Roman" w:hAnsi="Times New Roman"/>
                <w:sz w:val="20"/>
                <w:szCs w:val="20"/>
                <w:lang w:val="fr-FR" w:eastAsia="ru-RU"/>
              </w:rPr>
              <w:t xml:space="preserve"> (UE) nr. 525/2013 se </w:t>
            </w:r>
            <w:proofErr w:type="spellStart"/>
            <w:r w:rsidRPr="00CB6B95">
              <w:rPr>
                <w:rFonts w:ascii="Times New Roman" w:hAnsi="Times New Roman"/>
                <w:sz w:val="20"/>
                <w:szCs w:val="20"/>
                <w:lang w:val="fr-FR" w:eastAsia="ru-RU"/>
              </w:rPr>
              <w:t>aplică</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continuare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revizuirii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datelor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inventarelor</w:t>
            </w:r>
            <w:proofErr w:type="spellEnd"/>
            <w:r w:rsidRPr="00CB6B95">
              <w:rPr>
                <w:rFonts w:ascii="Times New Roman" w:hAnsi="Times New Roman"/>
                <w:sz w:val="20"/>
                <w:szCs w:val="20"/>
                <w:lang w:val="fr-FR" w:eastAsia="ru-RU"/>
              </w:rPr>
              <w:t xml:space="preserve"> de gaze </w:t>
            </w:r>
            <w:proofErr w:type="spellStart"/>
            <w:r w:rsidRPr="00CB6B95">
              <w:rPr>
                <w:rFonts w:ascii="Times New Roman" w:hAnsi="Times New Roman"/>
                <w:sz w:val="20"/>
                <w:szCs w:val="20"/>
                <w:lang w:val="fr-FR" w:eastAsia="ru-RU"/>
              </w:rPr>
              <w:t>cu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efect</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seră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anii 2018, 2019 și 2020.</w:t>
            </w:r>
          </w:p>
          <w:p w14:paraId="477635CB" w14:textId="07F95DD6" w:rsidR="008F5636" w:rsidRPr="00CB6B95" w:rsidRDefault="008F5636" w:rsidP="008F5636">
            <w:pPr>
              <w:spacing w:after="0"/>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Articolul</w:t>
            </w:r>
            <w:proofErr w:type="spellEnd"/>
            <w:r w:rsidRPr="00CB6B95">
              <w:rPr>
                <w:rFonts w:ascii="Times New Roman" w:hAnsi="Times New Roman"/>
                <w:sz w:val="20"/>
                <w:szCs w:val="20"/>
                <w:lang w:val="fr-FR" w:eastAsia="ru-RU"/>
              </w:rPr>
              <w:t xml:space="preserve"> 22 </w:t>
            </w:r>
            <w:proofErr w:type="spellStart"/>
            <w:r w:rsidRPr="00CB6B95">
              <w:rPr>
                <w:rFonts w:ascii="Times New Roman" w:hAnsi="Times New Roman"/>
                <w:sz w:val="20"/>
                <w:szCs w:val="20"/>
                <w:lang w:val="fr-FR" w:eastAsia="ru-RU"/>
              </w:rPr>
              <w:t>din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Regulamentul</w:t>
            </w:r>
            <w:proofErr w:type="spellEnd"/>
            <w:r w:rsidRPr="00CB6B95">
              <w:rPr>
                <w:rFonts w:ascii="Times New Roman" w:hAnsi="Times New Roman"/>
                <w:sz w:val="20"/>
                <w:szCs w:val="20"/>
                <w:lang w:val="fr-FR" w:eastAsia="ru-RU"/>
              </w:rPr>
              <w:t xml:space="preserve"> (UE) nr. 525/2013 se </w:t>
            </w:r>
            <w:proofErr w:type="spellStart"/>
            <w:r w:rsidRPr="00CB6B95">
              <w:rPr>
                <w:rFonts w:ascii="Times New Roman" w:hAnsi="Times New Roman"/>
                <w:sz w:val="20"/>
                <w:szCs w:val="20"/>
                <w:lang w:val="fr-FR" w:eastAsia="ru-RU"/>
              </w:rPr>
              <w:t>aplică</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continuare</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prezentării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raportului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necesar</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temeiul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articolului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respectiv</w:t>
            </w:r>
            <w:proofErr w:type="spellEnd"/>
            <w:r w:rsidRPr="00CB6B95">
              <w:rPr>
                <w:rFonts w:ascii="Times New Roman" w:hAnsi="Times New Roman"/>
                <w:sz w:val="20"/>
                <w:szCs w:val="20"/>
                <w:lang w:val="fr-FR" w:eastAsia="ru-RU"/>
              </w:rPr>
              <w:t>.</w:t>
            </w:r>
          </w:p>
          <w:p w14:paraId="5EE8BB28" w14:textId="266E7775" w:rsidR="008F5636" w:rsidRPr="00CB6B95" w:rsidRDefault="008F5636" w:rsidP="008F5636">
            <w:pPr>
              <w:spacing w:after="0"/>
              <w:jc w:val="both"/>
              <w:rPr>
                <w:lang w:val="fr-FR" w:eastAsia="ru-RU"/>
              </w:rPr>
            </w:pP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asigura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coerența</w:t>
            </w:r>
            <w:proofErr w:type="spellEnd"/>
            <w:r w:rsidRPr="00CB6B95">
              <w:rPr>
                <w:rFonts w:ascii="Times New Roman" w:hAnsi="Times New Roman"/>
                <w:sz w:val="20"/>
                <w:szCs w:val="20"/>
                <w:lang w:val="fr-FR" w:eastAsia="ru-RU"/>
              </w:rPr>
              <w:t xml:space="preserve"> și </w:t>
            </w:r>
            <w:proofErr w:type="spellStart"/>
            <w:r w:rsidRPr="00CB6B95">
              <w:rPr>
                <w:rFonts w:ascii="Times New Roman" w:hAnsi="Times New Roman"/>
                <w:sz w:val="20"/>
                <w:szCs w:val="20"/>
                <w:lang w:val="fr-FR" w:eastAsia="ru-RU"/>
              </w:rPr>
              <w:t>certitudinea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juridică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niciun</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element</w:t>
            </w:r>
            <w:proofErr w:type="spellEnd"/>
            <w:r w:rsidRPr="00CB6B95">
              <w:rPr>
                <w:rFonts w:ascii="Times New Roman" w:hAnsi="Times New Roman"/>
                <w:sz w:val="20"/>
                <w:szCs w:val="20"/>
                <w:lang w:val="fr-FR" w:eastAsia="ru-RU"/>
              </w:rPr>
              <w:t xml:space="preserve"> al </w:t>
            </w:r>
            <w:proofErr w:type="spellStart"/>
            <w:r w:rsidRPr="00CB6B95">
              <w:rPr>
                <w:rFonts w:ascii="Times New Roman" w:hAnsi="Times New Roman"/>
                <w:sz w:val="20"/>
                <w:szCs w:val="20"/>
                <w:lang w:val="fr-FR" w:eastAsia="ru-RU"/>
              </w:rPr>
              <w:t>prezentului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regulament</w:t>
            </w:r>
            <w:proofErr w:type="spellEnd"/>
            <w:r w:rsidRPr="00CB6B95">
              <w:rPr>
                <w:rFonts w:ascii="Times New Roman" w:hAnsi="Times New Roman"/>
                <w:sz w:val="20"/>
                <w:szCs w:val="20"/>
                <w:lang w:val="fr-FR" w:eastAsia="ru-RU"/>
              </w:rPr>
              <w:t xml:space="preserve"> nu </w:t>
            </w:r>
            <w:proofErr w:type="spellStart"/>
            <w:r w:rsidRPr="00CB6B95">
              <w:rPr>
                <w:rFonts w:ascii="Times New Roman" w:hAnsi="Times New Roman"/>
                <w:sz w:val="20"/>
                <w:szCs w:val="20"/>
                <w:lang w:val="fr-FR" w:eastAsia="ru-RU"/>
              </w:rPr>
              <w:t>împiedică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aplicarea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derogărilor</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prevăzute</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legislația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sectorială</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corespunzătoare</w:t>
            </w:r>
            <w:proofErr w:type="spellEnd"/>
            <w:r w:rsidRPr="00CB6B95">
              <w:rPr>
                <w:rFonts w:ascii="Times New Roman" w:hAnsi="Times New Roman"/>
                <w:sz w:val="20"/>
                <w:szCs w:val="20"/>
                <w:lang w:val="fr-FR" w:eastAsia="ru-RU"/>
              </w:rPr>
              <w:t xml:space="preserve"> a </w:t>
            </w:r>
            <w:proofErr w:type="spellStart"/>
            <w:r w:rsidRPr="00CB6B95">
              <w:rPr>
                <w:rFonts w:ascii="Times New Roman" w:hAnsi="Times New Roman"/>
                <w:sz w:val="20"/>
                <w:szCs w:val="20"/>
                <w:lang w:val="fr-FR" w:eastAsia="ru-RU"/>
              </w:rPr>
              <w:t>Uniunii</w:t>
            </w:r>
            <w:proofErr w:type="spellEnd"/>
            <w:r w:rsidRPr="00CB6B95">
              <w:rPr>
                <w:rFonts w:ascii="Times New Roman" w:hAnsi="Times New Roman"/>
                <w:sz w:val="20"/>
                <w:szCs w:val="20"/>
                <w:lang w:val="fr-FR" w:eastAsia="ru-RU"/>
              </w:rPr>
              <w:t xml:space="preserve"> în </w:t>
            </w:r>
            <w:proofErr w:type="spellStart"/>
            <w:r w:rsidRPr="00CB6B95">
              <w:rPr>
                <w:rFonts w:ascii="Times New Roman" w:hAnsi="Times New Roman"/>
                <w:sz w:val="20"/>
                <w:szCs w:val="20"/>
                <w:lang w:val="fr-FR" w:eastAsia="ru-RU"/>
              </w:rPr>
              <w:t>domeniul</w:t>
            </w:r>
            <w:proofErr w:type="spellEnd"/>
            <w:r w:rsidRPr="00CB6B95">
              <w:rPr>
                <w:rFonts w:ascii="Times New Roman" w:hAnsi="Times New Roman"/>
                <w:sz w:val="20"/>
                <w:szCs w:val="20"/>
                <w:lang w:val="fr-FR" w:eastAsia="ru-RU"/>
              </w:rPr>
              <w:t xml:space="preserve"> energiei </w:t>
            </w:r>
            <w:proofErr w:type="spellStart"/>
            <w:r w:rsidRPr="00CB6B95">
              <w:rPr>
                <w:rFonts w:ascii="Times New Roman" w:hAnsi="Times New Roman"/>
                <w:sz w:val="20"/>
                <w:szCs w:val="20"/>
                <w:lang w:val="fr-FR" w:eastAsia="ru-RU"/>
              </w:rPr>
              <w:t>electrice</w:t>
            </w:r>
            <w:proofErr w:type="spellEnd"/>
            <w:r w:rsidRPr="00CB6B95">
              <w:rPr>
                <w:rFonts w:ascii="Times New Roman" w:hAnsi="Times New Roman"/>
                <w:sz w:val="20"/>
                <w:szCs w:val="20"/>
                <w:lang w:val="fr-FR" w:eastAsia="ru-RU"/>
              </w:rPr>
              <w:t xml:space="preserve"> și al </w:t>
            </w:r>
            <w:proofErr w:type="spellStart"/>
            <w:r w:rsidRPr="00CB6B95">
              <w:rPr>
                <w:rFonts w:ascii="Times New Roman" w:hAnsi="Times New Roman"/>
                <w:sz w:val="20"/>
                <w:szCs w:val="20"/>
                <w:lang w:val="fr-FR" w:eastAsia="ru-RU"/>
              </w:rPr>
              <w:t>pregătirii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riscuri</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legate</w:t>
            </w:r>
            <w:proofErr w:type="spellEnd"/>
            <w:r w:rsidRPr="00CB6B95">
              <w:rPr>
                <w:rFonts w:ascii="Times New Roman" w:hAnsi="Times New Roman"/>
                <w:sz w:val="20"/>
                <w:szCs w:val="20"/>
                <w:lang w:val="fr-FR" w:eastAsia="ru-RU"/>
              </w:rPr>
              <w:t xml:space="preserve"> de </w:t>
            </w:r>
            <w:proofErr w:type="spellStart"/>
            <w:r w:rsidRPr="00CB6B95">
              <w:rPr>
                <w:rFonts w:ascii="Times New Roman" w:hAnsi="Times New Roman"/>
                <w:sz w:val="20"/>
                <w:szCs w:val="20"/>
                <w:lang w:val="fr-FR" w:eastAsia="ru-RU"/>
              </w:rPr>
              <w:t>energia</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electrică</w:t>
            </w:r>
            <w:proofErr w:type="spellEnd"/>
            <w:r w:rsidRPr="00CB6B95">
              <w:rPr>
                <w:rFonts w:ascii="Times New Roman" w:hAnsi="Times New Roman"/>
                <w:sz w:val="20"/>
                <w:szCs w:val="20"/>
                <w:lang w:val="fr-FR" w:eastAsia="ru-RU"/>
              </w:rPr>
              <w:t>.</w:t>
            </w:r>
          </w:p>
        </w:tc>
        <w:tc>
          <w:tcPr>
            <w:tcW w:w="4440" w:type="dxa"/>
          </w:tcPr>
          <w:p w14:paraId="2160E592" w14:textId="77777777" w:rsidR="008F5636" w:rsidRPr="00F13819" w:rsidRDefault="008F5636" w:rsidP="008F5636">
            <w:pPr>
              <w:pStyle w:val="ColorfulList-Accent11"/>
              <w:spacing w:after="0" w:line="240" w:lineRule="auto"/>
              <w:ind w:left="0"/>
              <w:jc w:val="both"/>
              <w:rPr>
                <w:lang w:val="fr-FR"/>
              </w:rPr>
            </w:pPr>
          </w:p>
        </w:tc>
        <w:tc>
          <w:tcPr>
            <w:tcW w:w="1276" w:type="dxa"/>
          </w:tcPr>
          <w:p w14:paraId="1D53C511" w14:textId="6CEDB4C3" w:rsidR="008F5636" w:rsidRDefault="008F5636" w:rsidP="008F5636">
            <w:pPr>
              <w:pStyle w:val="ColorfulList-Accent11"/>
              <w:spacing w:after="0" w:line="240" w:lineRule="auto"/>
              <w:ind w:left="0"/>
              <w:jc w:val="both"/>
              <w:rPr>
                <w:lang w:val="en-US"/>
              </w:rPr>
            </w:pPr>
            <w:r w:rsidRPr="00C951E7">
              <w:rPr>
                <w:rFonts w:ascii="Times New Roman" w:hAnsi="Times New Roman"/>
                <w:sz w:val="20"/>
                <w:szCs w:val="20"/>
                <w:lang w:val="ro-RO"/>
              </w:rPr>
              <w:t>Prevederi UE neaplicabile</w:t>
            </w:r>
          </w:p>
        </w:tc>
        <w:tc>
          <w:tcPr>
            <w:tcW w:w="1276" w:type="dxa"/>
          </w:tcPr>
          <w:p w14:paraId="31BBEB67" w14:textId="77777777" w:rsidR="008F5636" w:rsidRDefault="008F5636" w:rsidP="008F5636">
            <w:pPr>
              <w:pStyle w:val="ColorfulList-Accent11"/>
              <w:spacing w:after="0" w:line="240" w:lineRule="auto"/>
              <w:ind w:left="0"/>
              <w:jc w:val="both"/>
              <w:rPr>
                <w:lang w:val="en-US"/>
              </w:rPr>
            </w:pPr>
          </w:p>
        </w:tc>
        <w:tc>
          <w:tcPr>
            <w:tcW w:w="1701" w:type="dxa"/>
          </w:tcPr>
          <w:p w14:paraId="11429A2C" w14:textId="096C50F7" w:rsidR="008F5636" w:rsidRDefault="008F5636" w:rsidP="008F5636">
            <w:pPr>
              <w:pStyle w:val="ColorfulList-Accent11"/>
              <w:spacing w:after="0" w:line="240" w:lineRule="auto"/>
              <w:ind w:left="0"/>
              <w:jc w:val="both"/>
              <w:rPr>
                <w:lang w:val="en-US"/>
              </w:rPr>
            </w:pPr>
            <w:r w:rsidRPr="00C951E7">
              <w:rPr>
                <w:rFonts w:ascii="Times New Roman" w:hAnsi="Times New Roman"/>
                <w:sz w:val="20"/>
                <w:szCs w:val="20"/>
                <w:lang w:val="ro-RO"/>
              </w:rPr>
              <w:t>Transpunerea nu este necesară, deoarece se referă la tehnica legislativă UE.</w:t>
            </w:r>
          </w:p>
        </w:tc>
        <w:tc>
          <w:tcPr>
            <w:tcW w:w="1460" w:type="dxa"/>
          </w:tcPr>
          <w:p w14:paraId="432155F6" w14:textId="77777777" w:rsidR="008F5636" w:rsidRDefault="008F5636" w:rsidP="008F5636">
            <w:pPr>
              <w:pStyle w:val="ColorfulList-Accent11"/>
              <w:spacing w:after="0" w:line="240" w:lineRule="auto"/>
              <w:ind w:left="0"/>
              <w:jc w:val="both"/>
              <w:rPr>
                <w:lang w:val="en-US"/>
              </w:rPr>
            </w:pPr>
          </w:p>
        </w:tc>
      </w:tr>
      <w:tr w:rsidR="008F5636" w14:paraId="787D8386" w14:textId="77777777" w:rsidTr="00A90105">
        <w:tc>
          <w:tcPr>
            <w:tcW w:w="4945" w:type="dxa"/>
          </w:tcPr>
          <w:p w14:paraId="4ED51516" w14:textId="77777777" w:rsidR="008F5636" w:rsidRPr="00CB6B95" w:rsidRDefault="008F5636" w:rsidP="008F5636">
            <w:pPr>
              <w:spacing w:after="0" w:line="240" w:lineRule="auto"/>
              <w:jc w:val="center"/>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59</w:t>
            </w:r>
          </w:p>
          <w:p w14:paraId="5F96CA5A" w14:textId="77777777" w:rsidR="008F5636" w:rsidRPr="00CB6B95" w:rsidRDefault="008F5636" w:rsidP="008F5636">
            <w:pPr>
              <w:spacing w:after="0" w:line="240" w:lineRule="auto"/>
              <w:jc w:val="center"/>
              <w:rPr>
                <w:rFonts w:ascii="Times New Roman" w:hAnsi="Times New Roman"/>
                <w:b/>
                <w:bCs/>
                <w:sz w:val="20"/>
                <w:szCs w:val="20"/>
                <w:lang w:val="en-US" w:eastAsia="ru-RU"/>
              </w:rPr>
            </w:pPr>
            <w:proofErr w:type="spellStart"/>
            <w:r w:rsidRPr="00CB6B95">
              <w:rPr>
                <w:rFonts w:ascii="Times New Roman" w:hAnsi="Times New Roman"/>
                <w:b/>
                <w:bCs/>
                <w:sz w:val="20"/>
                <w:szCs w:val="20"/>
                <w:lang w:val="en-US" w:eastAsia="ru-RU"/>
              </w:rPr>
              <w:t>Intrarea</w:t>
            </w:r>
            <w:proofErr w:type="spellEnd"/>
            <w:r w:rsidRPr="00CB6B95">
              <w:rPr>
                <w:rFonts w:ascii="Times New Roman" w:hAnsi="Times New Roman"/>
                <w:b/>
                <w:bCs/>
                <w:sz w:val="20"/>
                <w:szCs w:val="20"/>
                <w:lang w:val="en-US" w:eastAsia="ru-RU"/>
              </w:rPr>
              <w:t xml:space="preserve"> în </w:t>
            </w:r>
            <w:proofErr w:type="spellStart"/>
            <w:r w:rsidRPr="00CB6B95">
              <w:rPr>
                <w:rFonts w:ascii="Times New Roman" w:hAnsi="Times New Roman"/>
                <w:b/>
                <w:bCs/>
                <w:sz w:val="20"/>
                <w:szCs w:val="20"/>
                <w:lang w:val="en-US" w:eastAsia="ru-RU"/>
              </w:rPr>
              <w:t>vigoare</w:t>
            </w:r>
            <w:proofErr w:type="spellEnd"/>
          </w:p>
          <w:p w14:paraId="36DDC4F9" w14:textId="31AA5C5D" w:rsidR="008F5636" w:rsidRPr="00CB6B95" w:rsidRDefault="008F5636" w:rsidP="008F5636">
            <w:pPr>
              <w:spacing w:after="0" w:line="240" w:lineRule="auto"/>
              <w:jc w:val="both"/>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Prezentul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regulament</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intră</w:t>
            </w:r>
            <w:proofErr w:type="spellEnd"/>
            <w:r w:rsidRPr="00CB6B95">
              <w:rPr>
                <w:rFonts w:ascii="Times New Roman" w:hAnsi="Times New Roman"/>
                <w:sz w:val="20"/>
                <w:szCs w:val="20"/>
                <w:lang w:val="en-US" w:eastAsia="ru-RU"/>
              </w:rPr>
              <w:t xml:space="preserve"> în </w:t>
            </w:r>
            <w:proofErr w:type="spellStart"/>
            <w:r w:rsidRPr="00CB6B95">
              <w:rPr>
                <w:rFonts w:ascii="Times New Roman" w:hAnsi="Times New Roman"/>
                <w:sz w:val="20"/>
                <w:szCs w:val="20"/>
                <w:lang w:val="en-US" w:eastAsia="ru-RU"/>
              </w:rPr>
              <w:t>vigoare</w:t>
            </w:r>
            <w:proofErr w:type="spellEnd"/>
            <w:r w:rsidRPr="00CB6B95">
              <w:rPr>
                <w:rFonts w:ascii="Times New Roman" w:hAnsi="Times New Roman"/>
                <w:sz w:val="20"/>
                <w:szCs w:val="20"/>
                <w:lang w:val="en-US" w:eastAsia="ru-RU"/>
              </w:rPr>
              <w:t xml:space="preserve"> în a </w:t>
            </w:r>
            <w:proofErr w:type="spellStart"/>
            <w:r w:rsidRPr="00CB6B95">
              <w:rPr>
                <w:rFonts w:ascii="Times New Roman" w:hAnsi="Times New Roman"/>
                <w:sz w:val="20"/>
                <w:szCs w:val="20"/>
                <w:lang w:val="en-US" w:eastAsia="ru-RU"/>
              </w:rPr>
              <w:t>treia</w:t>
            </w:r>
            <w:proofErr w:type="spellEnd"/>
            <w:r w:rsidRPr="00CB6B95">
              <w:rPr>
                <w:rFonts w:ascii="Times New Roman" w:hAnsi="Times New Roman"/>
                <w:sz w:val="20"/>
                <w:szCs w:val="20"/>
                <w:lang w:val="en-US" w:eastAsia="ru-RU"/>
              </w:rPr>
              <w:t xml:space="preserve"> zi de la data </w:t>
            </w:r>
            <w:proofErr w:type="spellStart"/>
            <w:r w:rsidRPr="00CB6B95">
              <w:rPr>
                <w:rFonts w:ascii="Times New Roman" w:hAnsi="Times New Roman"/>
                <w:sz w:val="20"/>
                <w:szCs w:val="20"/>
                <w:lang w:val="en-US" w:eastAsia="ru-RU"/>
              </w:rPr>
              <w:t>publicării</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înJurnalul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Oficial</w:t>
            </w:r>
            <w:proofErr w:type="spellEnd"/>
            <w:r w:rsidRPr="00CB6B95">
              <w:rPr>
                <w:rFonts w:ascii="Times New Roman" w:hAnsi="Times New Roman"/>
                <w:sz w:val="20"/>
                <w:szCs w:val="20"/>
                <w:lang w:val="en-US" w:eastAsia="ru-RU"/>
              </w:rPr>
              <w:t xml:space="preserve"> al </w:t>
            </w:r>
            <w:proofErr w:type="spellStart"/>
            <w:r w:rsidRPr="00CB6B95">
              <w:rPr>
                <w:rFonts w:ascii="Times New Roman" w:hAnsi="Times New Roman"/>
                <w:sz w:val="20"/>
                <w:szCs w:val="20"/>
                <w:lang w:val="en-US" w:eastAsia="ru-RU"/>
              </w:rPr>
              <w:t>Uniunii</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Europene</w:t>
            </w:r>
            <w:proofErr w:type="spellEnd"/>
            <w:r w:rsidRPr="00CB6B95">
              <w:rPr>
                <w:rFonts w:ascii="Times New Roman" w:hAnsi="Times New Roman"/>
                <w:sz w:val="20"/>
                <w:szCs w:val="20"/>
                <w:lang w:val="en-US" w:eastAsia="ru-RU"/>
              </w:rPr>
              <w:t>.</w:t>
            </w:r>
          </w:p>
          <w:p w14:paraId="74DA5BF8" w14:textId="59A54C0A" w:rsidR="008F5636" w:rsidRPr="00CB6B95" w:rsidRDefault="008F5636" w:rsidP="008F5636">
            <w:pPr>
              <w:spacing w:after="0" w:line="240" w:lineRule="auto"/>
              <w:jc w:val="both"/>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lastRenderedPageBreak/>
              <w:t>Articolul</w:t>
            </w:r>
            <w:proofErr w:type="spellEnd"/>
            <w:r w:rsidRPr="00CB6B95">
              <w:rPr>
                <w:rFonts w:ascii="Times New Roman" w:hAnsi="Times New Roman"/>
                <w:sz w:val="20"/>
                <w:szCs w:val="20"/>
                <w:lang w:val="en-US" w:eastAsia="ru-RU"/>
              </w:rPr>
              <w:t xml:space="preserve"> 40,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53 </w:t>
            </w:r>
            <w:proofErr w:type="spellStart"/>
            <w:r w:rsidRPr="00CB6B95">
              <w:rPr>
                <w:rFonts w:ascii="Times New Roman" w:hAnsi="Times New Roman"/>
                <w:sz w:val="20"/>
                <w:szCs w:val="20"/>
                <w:lang w:val="en-US" w:eastAsia="ru-RU"/>
              </w:rPr>
              <w:t>alineatele</w:t>
            </w:r>
            <w:proofErr w:type="spellEnd"/>
            <w:r w:rsidRPr="00CB6B95">
              <w:rPr>
                <w:rFonts w:ascii="Times New Roman" w:hAnsi="Times New Roman"/>
                <w:sz w:val="20"/>
                <w:szCs w:val="20"/>
                <w:lang w:val="en-US" w:eastAsia="ru-RU"/>
              </w:rPr>
              <w:t xml:space="preserve"> (2), (3) și (4),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54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(3) </w:t>
            </w:r>
            <w:proofErr w:type="spellStart"/>
            <w:r w:rsidRPr="00CB6B95">
              <w:rPr>
                <w:rFonts w:ascii="Times New Roman" w:hAnsi="Times New Roman"/>
                <w:sz w:val="20"/>
                <w:szCs w:val="20"/>
                <w:lang w:val="en-US" w:eastAsia="ru-RU"/>
              </w:rPr>
              <w:t>litera</w:t>
            </w:r>
            <w:proofErr w:type="spellEnd"/>
            <w:r w:rsidRPr="00CB6B95">
              <w:rPr>
                <w:rFonts w:ascii="Times New Roman" w:hAnsi="Times New Roman"/>
                <w:sz w:val="20"/>
                <w:szCs w:val="20"/>
                <w:lang w:val="en-US" w:eastAsia="ru-RU"/>
              </w:rPr>
              <w:t xml:space="preserve"> (a),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54 </w:t>
            </w:r>
            <w:proofErr w:type="spellStart"/>
            <w:r w:rsidRPr="00CB6B95">
              <w:rPr>
                <w:rFonts w:ascii="Times New Roman" w:hAnsi="Times New Roman"/>
                <w:sz w:val="20"/>
                <w:szCs w:val="20"/>
                <w:lang w:val="en-US" w:eastAsia="ru-RU"/>
              </w:rPr>
              <w:t>alineatul</w:t>
            </w:r>
            <w:proofErr w:type="spellEnd"/>
            <w:r w:rsidRPr="00CB6B95">
              <w:rPr>
                <w:rFonts w:ascii="Times New Roman" w:hAnsi="Times New Roman"/>
                <w:sz w:val="20"/>
                <w:szCs w:val="20"/>
                <w:lang w:val="en-US" w:eastAsia="ru-RU"/>
              </w:rPr>
              <w:t xml:space="preserve"> (4) și </w:t>
            </w:r>
            <w:proofErr w:type="spellStart"/>
            <w:r w:rsidRPr="00CB6B95">
              <w:rPr>
                <w:rFonts w:ascii="Times New Roman" w:hAnsi="Times New Roman"/>
                <w:sz w:val="20"/>
                <w:szCs w:val="20"/>
                <w:lang w:val="en-US" w:eastAsia="ru-RU"/>
              </w:rPr>
              <w:t>articolul</w:t>
            </w:r>
            <w:proofErr w:type="spellEnd"/>
            <w:r w:rsidRPr="00CB6B95">
              <w:rPr>
                <w:rFonts w:ascii="Times New Roman" w:hAnsi="Times New Roman"/>
                <w:sz w:val="20"/>
                <w:szCs w:val="20"/>
                <w:lang w:val="en-US" w:eastAsia="ru-RU"/>
              </w:rPr>
              <w:t xml:space="preserve"> 55 se </w:t>
            </w:r>
            <w:proofErr w:type="spellStart"/>
            <w:r w:rsidRPr="00CB6B95">
              <w:rPr>
                <w:rFonts w:ascii="Times New Roman" w:hAnsi="Times New Roman"/>
                <w:sz w:val="20"/>
                <w:szCs w:val="20"/>
                <w:lang w:val="en-US" w:eastAsia="ru-RU"/>
              </w:rPr>
              <w:t>aplică</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începând</w:t>
            </w:r>
            <w:proofErr w:type="spellEnd"/>
            <w:r w:rsidRPr="00CB6B95">
              <w:rPr>
                <w:rFonts w:ascii="Times New Roman" w:hAnsi="Times New Roman"/>
                <w:sz w:val="20"/>
                <w:szCs w:val="20"/>
                <w:lang w:val="en-US" w:eastAsia="ru-RU"/>
              </w:rPr>
              <w:t xml:space="preserve"> cu 1 </w:t>
            </w:r>
            <w:proofErr w:type="spellStart"/>
            <w:r w:rsidRPr="00CB6B95">
              <w:rPr>
                <w:rFonts w:ascii="Times New Roman" w:hAnsi="Times New Roman"/>
                <w:sz w:val="20"/>
                <w:szCs w:val="20"/>
                <w:lang w:val="en-US" w:eastAsia="ru-RU"/>
              </w:rPr>
              <w:t>ianuarie</w:t>
            </w:r>
            <w:proofErr w:type="spellEnd"/>
            <w:r w:rsidRPr="00CB6B95">
              <w:rPr>
                <w:rFonts w:ascii="Times New Roman" w:hAnsi="Times New Roman"/>
                <w:sz w:val="20"/>
                <w:szCs w:val="20"/>
                <w:lang w:val="en-US" w:eastAsia="ru-RU"/>
              </w:rPr>
              <w:t xml:space="preserve"> 2021.</w:t>
            </w:r>
          </w:p>
          <w:p w14:paraId="78073F4A" w14:textId="3F0811A2" w:rsidR="008F5636" w:rsidRPr="00CB6B95" w:rsidRDefault="008F5636" w:rsidP="008F5636">
            <w:pPr>
              <w:spacing w:after="0" w:line="240" w:lineRule="auto"/>
              <w:jc w:val="both"/>
              <w:rPr>
                <w:rFonts w:ascii="Times New Roman" w:hAnsi="Times New Roman"/>
                <w:sz w:val="20"/>
                <w:szCs w:val="20"/>
                <w:lang w:val="en-US" w:eastAsia="ru-RU"/>
              </w:rPr>
            </w:pPr>
            <w:proofErr w:type="spellStart"/>
            <w:r w:rsidRPr="00CB6B95">
              <w:rPr>
                <w:rFonts w:ascii="Times New Roman" w:hAnsi="Times New Roman"/>
                <w:sz w:val="20"/>
                <w:szCs w:val="20"/>
                <w:lang w:val="en-US" w:eastAsia="ru-RU"/>
              </w:rPr>
              <w:t>Prezentul</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regulament</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este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obligatoriu</w:t>
            </w:r>
            <w:proofErr w:type="spellEnd"/>
            <w:r w:rsidRPr="00CB6B95">
              <w:rPr>
                <w:rFonts w:ascii="Times New Roman" w:hAnsi="Times New Roman"/>
                <w:sz w:val="20"/>
                <w:szCs w:val="20"/>
                <w:lang w:val="en-US" w:eastAsia="ru-RU"/>
              </w:rPr>
              <w:t xml:space="preserve"> în </w:t>
            </w:r>
            <w:proofErr w:type="spellStart"/>
            <w:r w:rsidRPr="00CB6B95">
              <w:rPr>
                <w:rFonts w:ascii="Times New Roman" w:hAnsi="Times New Roman"/>
                <w:sz w:val="20"/>
                <w:szCs w:val="20"/>
                <w:lang w:val="en-US" w:eastAsia="ru-RU"/>
              </w:rPr>
              <w:t>toate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elementele</w:t>
            </w:r>
            <w:proofErr w:type="spellEnd"/>
            <w:r w:rsidRPr="00CB6B95">
              <w:rPr>
                <w:rFonts w:ascii="Times New Roman" w:hAnsi="Times New Roman"/>
                <w:sz w:val="20"/>
                <w:szCs w:val="20"/>
                <w:lang w:val="en-US" w:eastAsia="ru-RU"/>
              </w:rPr>
              <w:t xml:space="preserve"> sale și se </w:t>
            </w:r>
            <w:proofErr w:type="spellStart"/>
            <w:r w:rsidRPr="00CB6B95">
              <w:rPr>
                <w:rFonts w:ascii="Times New Roman" w:hAnsi="Times New Roman"/>
                <w:sz w:val="20"/>
                <w:szCs w:val="20"/>
                <w:lang w:val="en-US" w:eastAsia="ru-RU"/>
              </w:rPr>
              <w:t>aplică</w:t>
            </w:r>
            <w:proofErr w:type="spellEnd"/>
            <w:r w:rsidRPr="00CB6B95">
              <w:rPr>
                <w:rFonts w:ascii="Times New Roman" w:hAnsi="Times New Roman"/>
                <w:sz w:val="20"/>
                <w:szCs w:val="20"/>
                <w:lang w:val="en-US" w:eastAsia="ru-RU"/>
              </w:rPr>
              <w:t xml:space="preserve"> direct în </w:t>
            </w:r>
            <w:proofErr w:type="spellStart"/>
            <w:r w:rsidRPr="00CB6B95">
              <w:rPr>
                <w:rFonts w:ascii="Times New Roman" w:hAnsi="Times New Roman"/>
                <w:sz w:val="20"/>
                <w:szCs w:val="20"/>
                <w:lang w:val="en-US" w:eastAsia="ru-RU"/>
              </w:rPr>
              <w:t>toate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statele</w:t>
            </w:r>
            <w:proofErr w:type="spellEnd"/>
            <w:r w:rsidRPr="00CB6B95">
              <w:rPr>
                <w:rFonts w:ascii="Times New Roman" w:hAnsi="Times New Roman"/>
                <w:sz w:val="20"/>
                <w:szCs w:val="20"/>
                <w:lang w:val="en-US" w:eastAsia="ru-RU"/>
              </w:rPr>
              <w:t xml:space="preserve"> </w:t>
            </w:r>
            <w:proofErr w:type="spellStart"/>
            <w:r w:rsidRPr="00CB6B95">
              <w:rPr>
                <w:rFonts w:ascii="Times New Roman" w:hAnsi="Times New Roman"/>
                <w:sz w:val="20"/>
                <w:szCs w:val="20"/>
                <w:lang w:val="en-US" w:eastAsia="ru-RU"/>
              </w:rPr>
              <w:t>membre</w:t>
            </w:r>
            <w:proofErr w:type="spellEnd"/>
            <w:r w:rsidRPr="00CB6B95">
              <w:rPr>
                <w:rFonts w:ascii="Times New Roman" w:hAnsi="Times New Roman"/>
                <w:sz w:val="20"/>
                <w:szCs w:val="20"/>
                <w:lang w:val="en-US" w:eastAsia="ru-RU"/>
              </w:rPr>
              <w:t>.</w:t>
            </w:r>
          </w:p>
          <w:p w14:paraId="4913E003" w14:textId="167AD825" w:rsidR="008F5636" w:rsidRPr="00CB6B95" w:rsidRDefault="008F5636" w:rsidP="008F5636">
            <w:pPr>
              <w:spacing w:after="0" w:line="240" w:lineRule="auto"/>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Adoptat</w:t>
            </w:r>
            <w:proofErr w:type="spellEnd"/>
            <w:r w:rsidRPr="00CB6B95">
              <w:rPr>
                <w:rFonts w:ascii="Times New Roman" w:hAnsi="Times New Roman"/>
                <w:sz w:val="20"/>
                <w:szCs w:val="20"/>
                <w:lang w:val="fr-FR" w:eastAsia="ru-RU"/>
              </w:rPr>
              <w:t xml:space="preserve"> la Strasbourg, 11decembrie 2018.</w:t>
            </w:r>
          </w:p>
          <w:p w14:paraId="1A859CBF" w14:textId="77777777" w:rsidR="008F5636" w:rsidRPr="00CB6B95" w:rsidRDefault="008F5636" w:rsidP="008F5636">
            <w:pPr>
              <w:spacing w:after="0" w:line="240" w:lineRule="auto"/>
              <w:jc w:val="both"/>
              <w:rPr>
                <w:rFonts w:ascii="Times New Roman" w:hAnsi="Times New Roman"/>
                <w:sz w:val="20"/>
                <w:szCs w:val="20"/>
                <w:lang w:val="fr-FR" w:eastAsia="ru-RU"/>
              </w:rPr>
            </w:pPr>
            <w:proofErr w:type="spellStart"/>
            <w:r w:rsidRPr="00CB6B95">
              <w:rPr>
                <w:rFonts w:ascii="Times New Roman" w:hAnsi="Times New Roman"/>
                <w:sz w:val="20"/>
                <w:szCs w:val="20"/>
                <w:lang w:val="fr-FR" w:eastAsia="ru-RU"/>
              </w:rPr>
              <w:t>Pentru</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Parlamentul</w:t>
            </w:r>
            <w:proofErr w:type="spellEnd"/>
            <w:r w:rsidRPr="00CB6B95">
              <w:rPr>
                <w:rFonts w:ascii="Times New Roman" w:hAnsi="Times New Roman"/>
                <w:sz w:val="20"/>
                <w:szCs w:val="20"/>
                <w:lang w:val="fr-FR" w:eastAsia="ru-RU"/>
              </w:rPr>
              <w:t xml:space="preserve"> </w:t>
            </w:r>
            <w:proofErr w:type="spellStart"/>
            <w:r w:rsidRPr="00CB6B95">
              <w:rPr>
                <w:rFonts w:ascii="Times New Roman" w:hAnsi="Times New Roman"/>
                <w:sz w:val="20"/>
                <w:szCs w:val="20"/>
                <w:lang w:val="fr-FR" w:eastAsia="ru-RU"/>
              </w:rPr>
              <w:t>European</w:t>
            </w:r>
            <w:proofErr w:type="spellEnd"/>
          </w:p>
          <w:p w14:paraId="1A492EC6" w14:textId="4563F302" w:rsidR="008F5636" w:rsidRPr="00CB6B95" w:rsidRDefault="008F5636" w:rsidP="008F5636">
            <w:pPr>
              <w:spacing w:after="0" w:line="240" w:lineRule="auto"/>
              <w:jc w:val="both"/>
              <w:rPr>
                <w:lang w:val="en-US" w:eastAsia="ru-RU"/>
              </w:rPr>
            </w:pPr>
            <w:proofErr w:type="spellStart"/>
            <w:r w:rsidRPr="00CB6B95">
              <w:rPr>
                <w:rFonts w:ascii="Times New Roman" w:hAnsi="Times New Roman"/>
                <w:sz w:val="20"/>
                <w:szCs w:val="20"/>
                <w:lang w:val="en-US" w:eastAsia="ru-RU"/>
              </w:rPr>
              <w:t>Președintele</w:t>
            </w:r>
            <w:proofErr w:type="spellEnd"/>
          </w:p>
        </w:tc>
        <w:tc>
          <w:tcPr>
            <w:tcW w:w="4440" w:type="dxa"/>
          </w:tcPr>
          <w:p w14:paraId="04941137" w14:textId="7DF882E4" w:rsidR="008F5636" w:rsidRDefault="008F5636" w:rsidP="008F5636">
            <w:pPr>
              <w:pStyle w:val="ColorfulList-Accent11"/>
              <w:spacing w:after="0" w:line="240" w:lineRule="auto"/>
              <w:ind w:left="0"/>
              <w:jc w:val="both"/>
              <w:rPr>
                <w:lang w:val="en-US"/>
              </w:rPr>
            </w:pPr>
          </w:p>
        </w:tc>
        <w:tc>
          <w:tcPr>
            <w:tcW w:w="1276" w:type="dxa"/>
          </w:tcPr>
          <w:p w14:paraId="3F650FB2" w14:textId="41C25F1C" w:rsidR="008F5636" w:rsidRDefault="008F5636" w:rsidP="008F5636">
            <w:pPr>
              <w:pStyle w:val="ColorfulList-Accent11"/>
              <w:spacing w:after="0" w:line="240" w:lineRule="auto"/>
              <w:ind w:left="0"/>
              <w:jc w:val="both"/>
              <w:rPr>
                <w:lang w:val="en-US"/>
              </w:rPr>
            </w:pPr>
            <w:r w:rsidRPr="00C951E7">
              <w:rPr>
                <w:rFonts w:ascii="Times New Roman" w:hAnsi="Times New Roman"/>
                <w:sz w:val="20"/>
                <w:szCs w:val="20"/>
                <w:lang w:val="ro-RO"/>
              </w:rPr>
              <w:t>Prevederi UE neaplicabile</w:t>
            </w:r>
          </w:p>
        </w:tc>
        <w:tc>
          <w:tcPr>
            <w:tcW w:w="1276" w:type="dxa"/>
          </w:tcPr>
          <w:p w14:paraId="2317F9A8" w14:textId="77777777" w:rsidR="008F5636" w:rsidRDefault="008F5636" w:rsidP="008F5636">
            <w:pPr>
              <w:pStyle w:val="ColorfulList-Accent11"/>
              <w:spacing w:after="0" w:line="240" w:lineRule="auto"/>
              <w:ind w:left="0"/>
              <w:jc w:val="both"/>
              <w:rPr>
                <w:lang w:val="en-US"/>
              </w:rPr>
            </w:pPr>
          </w:p>
        </w:tc>
        <w:tc>
          <w:tcPr>
            <w:tcW w:w="1701" w:type="dxa"/>
          </w:tcPr>
          <w:p w14:paraId="69D15B46" w14:textId="01C2CC80" w:rsidR="008F5636" w:rsidRDefault="008F5636" w:rsidP="008F5636">
            <w:pPr>
              <w:pStyle w:val="ColorfulList-Accent11"/>
              <w:spacing w:after="0" w:line="240" w:lineRule="auto"/>
              <w:ind w:left="0"/>
              <w:jc w:val="both"/>
              <w:rPr>
                <w:lang w:val="en-US"/>
              </w:rPr>
            </w:pPr>
            <w:r w:rsidRPr="00C951E7">
              <w:rPr>
                <w:rFonts w:ascii="Times New Roman" w:hAnsi="Times New Roman"/>
                <w:sz w:val="20"/>
                <w:szCs w:val="20"/>
                <w:lang w:val="ro-RO"/>
              </w:rPr>
              <w:t>Transpunerea nu este necesară, deoarece se referă la tehnica legislativă UE.</w:t>
            </w:r>
          </w:p>
        </w:tc>
        <w:tc>
          <w:tcPr>
            <w:tcW w:w="1460" w:type="dxa"/>
          </w:tcPr>
          <w:p w14:paraId="1FA783F1" w14:textId="77777777" w:rsidR="008F5636" w:rsidRDefault="008F5636" w:rsidP="008F5636">
            <w:pPr>
              <w:pStyle w:val="ColorfulList-Accent11"/>
              <w:spacing w:after="0" w:line="240" w:lineRule="auto"/>
              <w:ind w:left="0"/>
              <w:jc w:val="both"/>
              <w:rPr>
                <w:lang w:val="en-US"/>
              </w:rPr>
            </w:pPr>
          </w:p>
        </w:tc>
      </w:tr>
      <w:tr w:rsidR="008F5636" w:rsidRPr="00AE5D67" w14:paraId="46C40AB2" w14:textId="77777777" w:rsidTr="00A90105">
        <w:tc>
          <w:tcPr>
            <w:tcW w:w="4945" w:type="dxa"/>
          </w:tcPr>
          <w:p w14:paraId="17657837" w14:textId="77777777" w:rsidR="008F5636" w:rsidRPr="00074769" w:rsidRDefault="008F5636" w:rsidP="008F5636">
            <w:pPr>
              <w:pStyle w:val="ColorfulList-Accent11"/>
              <w:spacing w:after="0" w:line="240" w:lineRule="auto"/>
              <w:ind w:left="0"/>
              <w:jc w:val="center"/>
              <w:rPr>
                <w:rFonts w:ascii="Times New Roman" w:hAnsi="Times New Roman"/>
                <w:b/>
                <w:bCs/>
                <w:color w:val="333333"/>
                <w:sz w:val="20"/>
                <w:szCs w:val="20"/>
                <w:shd w:val="clear" w:color="auto" w:fill="FFFFFF"/>
              </w:rPr>
            </w:pPr>
            <w:r w:rsidRPr="00074769">
              <w:rPr>
                <w:rFonts w:ascii="Times New Roman" w:hAnsi="Times New Roman"/>
                <w:b/>
                <w:bCs/>
                <w:color w:val="333333"/>
                <w:sz w:val="20"/>
                <w:szCs w:val="20"/>
                <w:shd w:val="clear" w:color="auto" w:fill="FFFFFF"/>
              </w:rPr>
              <w:t>ANEXA I</w:t>
            </w:r>
          </w:p>
          <w:p w14:paraId="1714D90A" w14:textId="77777777" w:rsidR="008F5636" w:rsidRPr="00074769" w:rsidRDefault="008F5636" w:rsidP="008F5636">
            <w:pPr>
              <w:pStyle w:val="ti-grseq-1"/>
              <w:shd w:val="clear" w:color="auto" w:fill="FFFFFF"/>
              <w:spacing w:before="0" w:beforeAutospacing="0" w:after="0" w:afterAutospacing="0"/>
              <w:jc w:val="both"/>
              <w:rPr>
                <w:b/>
                <w:bCs/>
                <w:sz w:val="20"/>
                <w:szCs w:val="20"/>
                <w:lang w:val="ro-MD"/>
              </w:rPr>
            </w:pPr>
            <w:r w:rsidRPr="00074769">
              <w:rPr>
                <w:rStyle w:val="bold"/>
                <w:b/>
                <w:bCs/>
                <w:sz w:val="20"/>
                <w:szCs w:val="20"/>
              </w:rPr>
              <w:t>CADRUL GENERAL PENTRU PLANURILE NAȚIONALE INTEGRATE PRIVIND ENERGIA ȘI CLIMA</w:t>
            </w:r>
          </w:p>
          <w:p w14:paraId="15D7045D" w14:textId="77777777" w:rsidR="008F5636" w:rsidRPr="00074769" w:rsidRDefault="008F5636" w:rsidP="008F5636">
            <w:pPr>
              <w:pStyle w:val="ti-grseq-1"/>
              <w:shd w:val="clear" w:color="auto" w:fill="FFFFFF"/>
              <w:spacing w:before="0" w:beforeAutospacing="0" w:after="0" w:afterAutospacing="0"/>
              <w:jc w:val="both"/>
              <w:rPr>
                <w:b/>
                <w:bCs/>
                <w:sz w:val="20"/>
                <w:szCs w:val="20"/>
              </w:rPr>
            </w:pPr>
            <w:proofErr w:type="spellStart"/>
            <w:r w:rsidRPr="00074769">
              <w:rPr>
                <w:rStyle w:val="bold"/>
                <w:b/>
                <w:bCs/>
                <w:sz w:val="20"/>
                <w:szCs w:val="20"/>
              </w:rPr>
              <w:t>Partea</w:t>
            </w:r>
            <w:proofErr w:type="spellEnd"/>
            <w:r w:rsidRPr="00074769">
              <w:rPr>
                <w:rStyle w:val="bold"/>
                <w:b/>
                <w:bCs/>
                <w:sz w:val="20"/>
                <w:szCs w:val="20"/>
              </w:rPr>
              <w:t xml:space="preserve"> 1</w:t>
            </w:r>
          </w:p>
          <w:p w14:paraId="74CF324F" w14:textId="77777777" w:rsidR="008F5636" w:rsidRPr="00074769" w:rsidRDefault="008F5636" w:rsidP="008F5636">
            <w:pPr>
              <w:pStyle w:val="ti-grseq-1"/>
              <w:shd w:val="clear" w:color="auto" w:fill="FFFFFF"/>
              <w:spacing w:before="0" w:beforeAutospacing="0" w:after="0" w:afterAutospacing="0"/>
              <w:jc w:val="both"/>
              <w:rPr>
                <w:b/>
                <w:bCs/>
                <w:sz w:val="20"/>
                <w:szCs w:val="20"/>
              </w:rPr>
            </w:pPr>
            <w:proofErr w:type="spellStart"/>
            <w:r w:rsidRPr="00074769">
              <w:rPr>
                <w:b/>
                <w:bCs/>
                <w:sz w:val="20"/>
                <w:szCs w:val="20"/>
              </w:rPr>
              <w:t>Cadrul</w:t>
            </w:r>
            <w:proofErr w:type="spellEnd"/>
            <w:r w:rsidRPr="00074769">
              <w:rPr>
                <w:b/>
                <w:bCs/>
                <w:sz w:val="20"/>
                <w:szCs w:val="20"/>
              </w:rPr>
              <w:t xml:space="preserve"> general</w:t>
            </w:r>
          </w:p>
          <w:p w14:paraId="4BC9E853" w14:textId="77777777" w:rsidR="008F5636" w:rsidRPr="00074769" w:rsidRDefault="008F5636" w:rsidP="008F5636">
            <w:pPr>
              <w:pStyle w:val="ti-grseq-1"/>
              <w:shd w:val="clear" w:color="auto" w:fill="FFFFFF"/>
              <w:spacing w:before="0" w:beforeAutospacing="0" w:after="0" w:afterAutospacing="0"/>
              <w:jc w:val="both"/>
              <w:rPr>
                <w:b/>
                <w:bCs/>
                <w:sz w:val="20"/>
                <w:szCs w:val="20"/>
              </w:rPr>
            </w:pPr>
            <w:r w:rsidRPr="00074769">
              <w:rPr>
                <w:b/>
                <w:bCs/>
                <w:sz w:val="20"/>
                <w:szCs w:val="20"/>
              </w:rPr>
              <w:t>SECȚIUNEA A: PLANUL NAȚIONAL</w:t>
            </w:r>
          </w:p>
          <w:p w14:paraId="24975971" w14:textId="0E008F8C" w:rsidR="008F5636" w:rsidRPr="00074769" w:rsidRDefault="008F5636" w:rsidP="008F5636">
            <w:pPr>
              <w:pStyle w:val="ti-grseq-1"/>
              <w:shd w:val="clear" w:color="auto" w:fill="FFFFFF"/>
              <w:spacing w:before="0" w:beforeAutospacing="0" w:after="0" w:afterAutospacing="0"/>
              <w:jc w:val="both"/>
              <w:rPr>
                <w:b/>
                <w:bCs/>
                <w:sz w:val="20"/>
                <w:szCs w:val="20"/>
                <w:lang w:val="ro-MD"/>
              </w:rPr>
            </w:pPr>
            <w:r w:rsidRPr="00074769">
              <w:rPr>
                <w:b/>
                <w:bCs/>
                <w:sz w:val="20"/>
                <w:szCs w:val="20"/>
                <w:lang w:val="fr-FR"/>
              </w:rPr>
              <w:t>1.PREZENTARE GENERALĂ ȘI PROCESUL DE STABILIRE A PLANULUI</w:t>
            </w:r>
          </w:p>
          <w:p w14:paraId="5D4F035D" w14:textId="5A593029" w:rsidR="008F5636" w:rsidRPr="00074769" w:rsidRDefault="008F5636" w:rsidP="008F5636">
            <w:pPr>
              <w:pStyle w:val="ti-grseq-1"/>
              <w:shd w:val="clear" w:color="auto" w:fill="FFFFFF"/>
              <w:spacing w:before="0" w:beforeAutospacing="0" w:after="0" w:afterAutospacing="0"/>
              <w:jc w:val="both"/>
              <w:rPr>
                <w:b/>
                <w:bCs/>
                <w:sz w:val="20"/>
                <w:szCs w:val="20"/>
              </w:rPr>
            </w:pPr>
            <w:r w:rsidRPr="00074769">
              <w:rPr>
                <w:b/>
                <w:bCs/>
                <w:sz w:val="20"/>
                <w:szCs w:val="20"/>
              </w:rPr>
              <w:t>1.</w:t>
            </w:r>
            <w:proofErr w:type="gramStart"/>
            <w:r w:rsidRPr="00074769">
              <w:rPr>
                <w:b/>
                <w:bCs/>
                <w:sz w:val="20"/>
                <w:szCs w:val="20"/>
              </w:rPr>
              <w:t>1.Rezumat</w:t>
            </w:r>
            <w:proofErr w:type="gramEnd"/>
          </w:p>
          <w:p w14:paraId="2A996BAA" w14:textId="0A1FD19D" w:rsidR="008F5636" w:rsidRPr="00074769" w:rsidRDefault="008F5636" w:rsidP="000C5A3B">
            <w:pPr>
              <w:pStyle w:val="ti-grseq-1"/>
              <w:numPr>
                <w:ilvl w:val="0"/>
                <w:numId w:val="4"/>
              </w:numPr>
              <w:shd w:val="clear" w:color="auto" w:fill="FFFFFF"/>
              <w:spacing w:before="0" w:beforeAutospacing="0" w:after="0" w:afterAutospacing="0"/>
              <w:ind w:left="397"/>
              <w:jc w:val="both"/>
              <w:rPr>
                <w:b/>
                <w:bCs/>
                <w:sz w:val="20"/>
                <w:szCs w:val="20"/>
                <w:lang w:val="fr-FR"/>
              </w:rPr>
            </w:pPr>
            <w:proofErr w:type="spellStart"/>
            <w:r w:rsidRPr="00074769">
              <w:rPr>
                <w:sz w:val="20"/>
                <w:szCs w:val="20"/>
                <w:shd w:val="clear" w:color="auto" w:fill="FFFFFF"/>
                <w:lang w:val="fr-FR"/>
              </w:rPr>
              <w:t>Contextul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politic</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economic</w:t>
            </w:r>
            <w:proofErr w:type="spellEnd"/>
            <w:r w:rsidRPr="00074769">
              <w:rPr>
                <w:sz w:val="20"/>
                <w:szCs w:val="20"/>
                <w:shd w:val="clear" w:color="auto" w:fill="FFFFFF"/>
                <w:lang w:val="fr-FR"/>
              </w:rPr>
              <w:t xml:space="preserve">, social și de </w:t>
            </w:r>
            <w:proofErr w:type="spellStart"/>
            <w:r w:rsidRPr="00074769">
              <w:rPr>
                <w:sz w:val="20"/>
                <w:szCs w:val="20"/>
                <w:shd w:val="clear" w:color="auto" w:fill="FFFFFF"/>
                <w:lang w:val="fr-FR"/>
              </w:rPr>
              <w:t>mediu</w:t>
            </w:r>
            <w:proofErr w:type="spellEnd"/>
            <w:r w:rsidRPr="00074769">
              <w:rPr>
                <w:sz w:val="20"/>
                <w:szCs w:val="20"/>
                <w:shd w:val="clear" w:color="auto" w:fill="FFFFFF"/>
                <w:lang w:val="fr-FR"/>
              </w:rPr>
              <w:t xml:space="preserve"> al </w:t>
            </w:r>
            <w:proofErr w:type="spellStart"/>
            <w:r w:rsidRPr="00074769">
              <w:rPr>
                <w:sz w:val="20"/>
                <w:szCs w:val="20"/>
                <w:shd w:val="clear" w:color="auto" w:fill="FFFFFF"/>
                <w:lang w:val="fr-FR"/>
              </w:rPr>
              <w:t>planului</w:t>
            </w:r>
            <w:proofErr w:type="spellEnd"/>
          </w:p>
          <w:p w14:paraId="457713BA" w14:textId="77777777" w:rsidR="008F5636" w:rsidRPr="00074769" w:rsidRDefault="008F5636" w:rsidP="000C5A3B">
            <w:pPr>
              <w:pStyle w:val="ti-grseq-1"/>
              <w:numPr>
                <w:ilvl w:val="0"/>
                <w:numId w:val="4"/>
              </w:numPr>
              <w:shd w:val="clear" w:color="auto" w:fill="FFFFFF"/>
              <w:spacing w:before="0" w:beforeAutospacing="0" w:after="0" w:afterAutospacing="0"/>
              <w:ind w:left="397"/>
              <w:jc w:val="both"/>
              <w:rPr>
                <w:b/>
                <w:bCs/>
                <w:sz w:val="20"/>
                <w:szCs w:val="20"/>
                <w:lang w:val="fr-FR"/>
              </w:rPr>
            </w:pPr>
            <w:proofErr w:type="spellStart"/>
            <w:r w:rsidRPr="00074769">
              <w:rPr>
                <w:sz w:val="20"/>
                <w:szCs w:val="20"/>
                <w:shd w:val="clear" w:color="auto" w:fill="FFFFFF"/>
              </w:rPr>
              <w:t>Strategia</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cele</w:t>
            </w:r>
            <w:proofErr w:type="spellEnd"/>
            <w:r w:rsidRPr="00074769">
              <w:rPr>
                <w:sz w:val="20"/>
                <w:szCs w:val="20"/>
                <w:shd w:val="clear" w:color="auto" w:fill="FFFFFF"/>
              </w:rPr>
              <w:t xml:space="preserve"> </w:t>
            </w:r>
            <w:proofErr w:type="spellStart"/>
            <w:r w:rsidRPr="00074769">
              <w:rPr>
                <w:sz w:val="20"/>
                <w:szCs w:val="20"/>
                <w:shd w:val="clear" w:color="auto" w:fill="FFFFFF"/>
              </w:rPr>
              <w:t>cinci</w:t>
            </w:r>
            <w:proofErr w:type="spellEnd"/>
            <w:r w:rsidRPr="00074769">
              <w:rPr>
                <w:sz w:val="20"/>
                <w:szCs w:val="20"/>
                <w:shd w:val="clear" w:color="auto" w:fill="FFFFFF"/>
              </w:rPr>
              <w:t xml:space="preserve"> </w:t>
            </w:r>
            <w:proofErr w:type="spellStart"/>
            <w:r w:rsidRPr="00074769">
              <w:rPr>
                <w:sz w:val="20"/>
                <w:szCs w:val="20"/>
                <w:shd w:val="clear" w:color="auto" w:fill="FFFFFF"/>
              </w:rPr>
              <w:t>dimensiuni</w:t>
            </w:r>
            <w:proofErr w:type="spellEnd"/>
            <w:r w:rsidRPr="00074769">
              <w:rPr>
                <w:sz w:val="20"/>
                <w:szCs w:val="20"/>
                <w:shd w:val="clear" w:color="auto" w:fill="FFFFFF"/>
              </w:rPr>
              <w:t xml:space="preserve"> ale </w:t>
            </w:r>
            <w:proofErr w:type="spellStart"/>
            <w:r w:rsidRPr="00074769">
              <w:rPr>
                <w:sz w:val="20"/>
                <w:szCs w:val="20"/>
                <w:shd w:val="clear" w:color="auto" w:fill="FFFFFF"/>
              </w:rPr>
              <w:t>uniunii</w:t>
            </w:r>
            <w:proofErr w:type="spellEnd"/>
            <w:r w:rsidRPr="00074769">
              <w:rPr>
                <w:sz w:val="20"/>
                <w:szCs w:val="20"/>
                <w:shd w:val="clear" w:color="auto" w:fill="FFFFFF"/>
              </w:rPr>
              <w:t xml:space="preserve"> </w:t>
            </w:r>
            <w:proofErr w:type="spellStart"/>
            <w:r w:rsidRPr="00074769">
              <w:rPr>
                <w:sz w:val="20"/>
                <w:szCs w:val="20"/>
                <w:shd w:val="clear" w:color="auto" w:fill="FFFFFF"/>
              </w:rPr>
              <w:t>energetice</w:t>
            </w:r>
            <w:proofErr w:type="spellEnd"/>
          </w:p>
          <w:p w14:paraId="1E408ACA" w14:textId="77777777" w:rsidR="008F5636" w:rsidRPr="00074769" w:rsidRDefault="008F5636" w:rsidP="000C5A3B">
            <w:pPr>
              <w:pStyle w:val="ti-grseq-1"/>
              <w:numPr>
                <w:ilvl w:val="0"/>
                <w:numId w:val="4"/>
              </w:numPr>
              <w:shd w:val="clear" w:color="auto" w:fill="FFFFFF"/>
              <w:spacing w:before="0" w:beforeAutospacing="0" w:after="0" w:afterAutospacing="0"/>
              <w:ind w:left="397"/>
              <w:jc w:val="both"/>
              <w:rPr>
                <w:b/>
                <w:bCs/>
                <w:sz w:val="20"/>
                <w:szCs w:val="20"/>
                <w:lang w:val="fr-FR"/>
              </w:rPr>
            </w:pPr>
            <w:proofErr w:type="spellStart"/>
            <w:r w:rsidRPr="00074769">
              <w:rPr>
                <w:sz w:val="20"/>
                <w:szCs w:val="20"/>
                <w:shd w:val="clear" w:color="auto" w:fill="FFFFFF"/>
                <w:lang w:val="fr-FR"/>
              </w:rPr>
              <w:t>Tabel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recapitulativ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principalele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politici</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w:t>
            </w:r>
            <w:proofErr w:type="spellEnd"/>
            <w:r w:rsidRPr="00074769">
              <w:rPr>
                <w:sz w:val="20"/>
                <w:szCs w:val="20"/>
                <w:shd w:val="clear" w:color="auto" w:fill="FFFFFF"/>
                <w:lang w:val="fr-FR"/>
              </w:rPr>
              <w:t xml:space="preserve"> ale </w:t>
            </w:r>
            <w:proofErr w:type="spellStart"/>
            <w:r w:rsidRPr="00074769">
              <w:rPr>
                <w:sz w:val="20"/>
                <w:szCs w:val="20"/>
                <w:shd w:val="clear" w:color="auto" w:fill="FFFFFF"/>
                <w:lang w:val="fr-FR"/>
              </w:rPr>
              <w:t>planului</w:t>
            </w:r>
            <w:proofErr w:type="spellEnd"/>
          </w:p>
          <w:p w14:paraId="0C87AD33" w14:textId="77777777" w:rsidR="008F5636" w:rsidRPr="00074769" w:rsidRDefault="008F5636" w:rsidP="008F5636">
            <w:pPr>
              <w:pStyle w:val="ti-grseq-1"/>
              <w:shd w:val="clear" w:color="auto" w:fill="FFFFFF"/>
              <w:spacing w:before="0" w:beforeAutospacing="0" w:after="0" w:afterAutospacing="0"/>
              <w:ind w:left="397"/>
              <w:jc w:val="both"/>
              <w:rPr>
                <w:b/>
                <w:bCs/>
                <w:sz w:val="20"/>
                <w:szCs w:val="20"/>
                <w:shd w:val="clear" w:color="auto" w:fill="FFFFFF"/>
              </w:rPr>
            </w:pPr>
            <w:r w:rsidRPr="00074769">
              <w:rPr>
                <w:b/>
                <w:bCs/>
                <w:sz w:val="20"/>
                <w:szCs w:val="20"/>
                <w:shd w:val="clear" w:color="auto" w:fill="FFFFFF"/>
              </w:rPr>
              <w:t>1.</w:t>
            </w:r>
            <w:proofErr w:type="gramStart"/>
            <w:r w:rsidRPr="00074769">
              <w:rPr>
                <w:b/>
                <w:bCs/>
                <w:sz w:val="20"/>
                <w:szCs w:val="20"/>
                <w:shd w:val="clear" w:color="auto" w:fill="FFFFFF"/>
              </w:rPr>
              <w:t>2.Prezentare</w:t>
            </w:r>
            <w:proofErr w:type="gramEnd"/>
            <w:r w:rsidRPr="00074769">
              <w:rPr>
                <w:b/>
                <w:bCs/>
                <w:sz w:val="20"/>
                <w:szCs w:val="20"/>
                <w:shd w:val="clear" w:color="auto" w:fill="FFFFFF"/>
              </w:rPr>
              <w:t xml:space="preserve"> </w:t>
            </w:r>
            <w:proofErr w:type="spellStart"/>
            <w:r w:rsidRPr="00074769">
              <w:rPr>
                <w:b/>
                <w:bCs/>
                <w:sz w:val="20"/>
                <w:szCs w:val="20"/>
                <w:shd w:val="clear" w:color="auto" w:fill="FFFFFF"/>
              </w:rPr>
              <w:t>generală</w:t>
            </w:r>
            <w:proofErr w:type="spellEnd"/>
            <w:r w:rsidRPr="00074769">
              <w:rPr>
                <w:b/>
                <w:bCs/>
                <w:sz w:val="20"/>
                <w:szCs w:val="20"/>
                <w:shd w:val="clear" w:color="auto" w:fill="FFFFFF"/>
              </w:rPr>
              <w:t xml:space="preserve"> a </w:t>
            </w:r>
            <w:proofErr w:type="spellStart"/>
            <w:r w:rsidRPr="00074769">
              <w:rPr>
                <w:b/>
                <w:bCs/>
                <w:sz w:val="20"/>
                <w:szCs w:val="20"/>
                <w:shd w:val="clear" w:color="auto" w:fill="FFFFFF"/>
              </w:rPr>
              <w:t>situației</w:t>
            </w:r>
            <w:proofErr w:type="spellEnd"/>
            <w:r w:rsidRPr="00074769">
              <w:rPr>
                <w:b/>
                <w:bCs/>
                <w:sz w:val="20"/>
                <w:szCs w:val="20"/>
                <w:shd w:val="clear" w:color="auto" w:fill="FFFFFF"/>
              </w:rPr>
              <w:t xml:space="preserve"> </w:t>
            </w:r>
            <w:proofErr w:type="spellStart"/>
            <w:r w:rsidRPr="00074769">
              <w:rPr>
                <w:b/>
                <w:bCs/>
                <w:sz w:val="20"/>
                <w:szCs w:val="20"/>
                <w:shd w:val="clear" w:color="auto" w:fill="FFFFFF"/>
              </w:rPr>
              <w:t>actuale</w:t>
            </w:r>
            <w:proofErr w:type="spellEnd"/>
            <w:r w:rsidRPr="00074769">
              <w:rPr>
                <w:b/>
                <w:bCs/>
                <w:sz w:val="20"/>
                <w:szCs w:val="20"/>
                <w:shd w:val="clear" w:color="auto" w:fill="FFFFFF"/>
              </w:rPr>
              <w:t xml:space="preserve"> a </w:t>
            </w:r>
            <w:proofErr w:type="spellStart"/>
            <w:r w:rsidRPr="00074769">
              <w:rPr>
                <w:b/>
                <w:bCs/>
                <w:sz w:val="20"/>
                <w:szCs w:val="20"/>
                <w:shd w:val="clear" w:color="auto" w:fill="FFFFFF"/>
              </w:rPr>
              <w:t>politicii</w:t>
            </w:r>
            <w:proofErr w:type="spellEnd"/>
          </w:p>
          <w:p w14:paraId="6691D9A7" w14:textId="3872B901" w:rsidR="008F5636" w:rsidRPr="00074769" w:rsidRDefault="008F5636" w:rsidP="000C5A3B">
            <w:pPr>
              <w:pStyle w:val="ti-grseq-1"/>
              <w:numPr>
                <w:ilvl w:val="0"/>
                <w:numId w:val="8"/>
              </w:numPr>
              <w:shd w:val="clear" w:color="auto" w:fill="FFFFFF"/>
              <w:spacing w:before="0" w:beforeAutospacing="0" w:after="0" w:afterAutospacing="0"/>
              <w:ind w:left="397"/>
              <w:jc w:val="both"/>
              <w:rPr>
                <w:sz w:val="20"/>
                <w:szCs w:val="20"/>
                <w:shd w:val="clear" w:color="auto" w:fill="FFFFFF"/>
                <w:lang w:val="fr-FR"/>
              </w:rPr>
            </w:pPr>
            <w:proofErr w:type="spellStart"/>
            <w:r w:rsidRPr="00074769">
              <w:rPr>
                <w:sz w:val="20"/>
                <w:szCs w:val="20"/>
                <w:shd w:val="clear" w:color="auto" w:fill="FFFFFF"/>
                <w:lang w:val="fr-FR"/>
              </w:rPr>
              <w:t>Sistemul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w:t>
            </w:r>
            <w:proofErr w:type="spellEnd"/>
            <w:r w:rsidRPr="00074769">
              <w:rPr>
                <w:sz w:val="20"/>
                <w:szCs w:val="20"/>
                <w:shd w:val="clear" w:color="auto" w:fill="FFFFFF"/>
                <w:lang w:val="fr-FR"/>
              </w:rPr>
              <w:t xml:space="preserve"> al </w:t>
            </w:r>
            <w:proofErr w:type="spellStart"/>
            <w:r w:rsidRPr="00074769">
              <w:rPr>
                <w:sz w:val="20"/>
                <w:szCs w:val="20"/>
                <w:shd w:val="clear" w:color="auto" w:fill="FFFFFF"/>
                <w:lang w:val="fr-FR"/>
              </w:rPr>
              <w:t>Uniunii</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cel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contextul</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politică</w:t>
            </w:r>
            <w:proofErr w:type="spellEnd"/>
            <w:r w:rsidRPr="00074769">
              <w:rPr>
                <w:sz w:val="20"/>
                <w:szCs w:val="20"/>
                <w:shd w:val="clear" w:color="auto" w:fill="FFFFFF"/>
                <w:lang w:val="fr-FR"/>
              </w:rPr>
              <w:t xml:space="preserve"> al </w:t>
            </w:r>
            <w:proofErr w:type="spellStart"/>
            <w:r w:rsidRPr="00074769">
              <w:rPr>
                <w:sz w:val="20"/>
                <w:szCs w:val="20"/>
                <w:shd w:val="clear" w:color="auto" w:fill="FFFFFF"/>
                <w:lang w:val="fr-FR"/>
              </w:rPr>
              <w:t>planului</w:t>
            </w:r>
            <w:proofErr w:type="spellEnd"/>
            <w:r w:rsidRPr="00074769">
              <w:rPr>
                <w:sz w:val="20"/>
                <w:szCs w:val="20"/>
                <w:shd w:val="clear" w:color="auto" w:fill="FFFFFF"/>
                <w:lang w:val="fr-FR"/>
              </w:rPr>
              <w:t xml:space="preserve"> national</w:t>
            </w:r>
          </w:p>
          <w:p w14:paraId="106AA06F" w14:textId="77777777" w:rsidR="008F5636" w:rsidRPr="00074769" w:rsidRDefault="008F5636" w:rsidP="000C5A3B">
            <w:pPr>
              <w:pStyle w:val="ti-grseq-1"/>
              <w:numPr>
                <w:ilvl w:val="0"/>
                <w:numId w:val="8"/>
              </w:numPr>
              <w:shd w:val="clear" w:color="auto" w:fill="FFFFFF"/>
              <w:spacing w:before="0" w:beforeAutospacing="0" w:after="0" w:afterAutospacing="0"/>
              <w:ind w:left="397"/>
              <w:jc w:val="both"/>
              <w:rPr>
                <w:sz w:val="20"/>
                <w:szCs w:val="20"/>
                <w:shd w:val="clear" w:color="auto" w:fill="FFFFFF"/>
              </w:rPr>
            </w:pPr>
            <w:proofErr w:type="spellStart"/>
            <w:r w:rsidRPr="00074769">
              <w:rPr>
                <w:sz w:val="20"/>
                <w:szCs w:val="20"/>
                <w:shd w:val="clear" w:color="auto" w:fill="FFFFFF"/>
              </w:rPr>
              <w:t>Politicile</w:t>
            </w:r>
            <w:proofErr w:type="spellEnd"/>
            <w:r w:rsidRPr="00074769">
              <w:rPr>
                <w:sz w:val="20"/>
                <w:szCs w:val="20"/>
                <w:shd w:val="clear" w:color="auto" w:fill="FFFFFF"/>
              </w:rPr>
              <w:t xml:space="preserve"> </w:t>
            </w:r>
            <w:proofErr w:type="spellStart"/>
            <w:r w:rsidRPr="00074769">
              <w:rPr>
                <w:sz w:val="20"/>
                <w:szCs w:val="20"/>
                <w:shd w:val="clear" w:color="auto" w:fill="FFFFFF"/>
              </w:rPr>
              <w:t>actuale</w:t>
            </w:r>
            <w:proofErr w:type="spellEnd"/>
            <w:r w:rsidRPr="00074769">
              <w:rPr>
                <w:sz w:val="20"/>
                <w:szCs w:val="20"/>
                <w:shd w:val="clear" w:color="auto" w:fill="FFFFFF"/>
              </w:rPr>
              <w:t xml:space="preserve"> </w:t>
            </w:r>
            <w:proofErr w:type="spellStart"/>
            <w:r w:rsidRPr="00074769">
              <w:rPr>
                <w:sz w:val="20"/>
                <w:szCs w:val="20"/>
                <w:shd w:val="clear" w:color="auto" w:fill="FFFFFF"/>
              </w:rPr>
              <w:t>privind</w:t>
            </w:r>
            <w:proofErr w:type="spellEnd"/>
            <w:r w:rsidRPr="00074769">
              <w:rPr>
                <w:sz w:val="20"/>
                <w:szCs w:val="20"/>
                <w:shd w:val="clear" w:color="auto" w:fill="FFFFFF"/>
              </w:rPr>
              <w:t xml:space="preserve"> </w:t>
            </w:r>
            <w:proofErr w:type="spellStart"/>
            <w:r w:rsidRPr="00074769">
              <w:rPr>
                <w:sz w:val="20"/>
                <w:szCs w:val="20"/>
                <w:shd w:val="clear" w:color="auto" w:fill="FFFFFF"/>
              </w:rPr>
              <w:t>energia</w:t>
            </w:r>
            <w:proofErr w:type="spellEnd"/>
            <w:r w:rsidRPr="00074769">
              <w:rPr>
                <w:sz w:val="20"/>
                <w:szCs w:val="20"/>
                <w:shd w:val="clear" w:color="auto" w:fill="FFFFFF"/>
              </w:rPr>
              <w:t xml:space="preserve"> și </w:t>
            </w:r>
            <w:proofErr w:type="spellStart"/>
            <w:r w:rsidRPr="00074769">
              <w:rPr>
                <w:sz w:val="20"/>
                <w:szCs w:val="20"/>
                <w:shd w:val="clear" w:color="auto" w:fill="FFFFFF"/>
              </w:rPr>
              <w:t>clima</w:t>
            </w:r>
            <w:proofErr w:type="spellEnd"/>
            <w:r w:rsidRPr="00074769">
              <w:rPr>
                <w:sz w:val="20"/>
                <w:szCs w:val="20"/>
                <w:shd w:val="clear" w:color="auto" w:fill="FFFFFF"/>
              </w:rPr>
              <w:t xml:space="preserve"> și </w:t>
            </w:r>
            <w:proofErr w:type="spellStart"/>
            <w:r w:rsidRPr="00074769">
              <w:rPr>
                <w:sz w:val="20"/>
                <w:szCs w:val="20"/>
                <w:shd w:val="clear" w:color="auto" w:fill="FFFFFF"/>
              </w:rPr>
              <w:t>măsuri</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cele</w:t>
            </w:r>
            <w:proofErr w:type="spellEnd"/>
            <w:r w:rsidRPr="00074769">
              <w:rPr>
                <w:sz w:val="20"/>
                <w:szCs w:val="20"/>
                <w:shd w:val="clear" w:color="auto" w:fill="FFFFFF"/>
              </w:rPr>
              <w:t xml:space="preserve"> </w:t>
            </w:r>
            <w:proofErr w:type="spellStart"/>
            <w:r w:rsidRPr="00074769">
              <w:rPr>
                <w:sz w:val="20"/>
                <w:szCs w:val="20"/>
                <w:shd w:val="clear" w:color="auto" w:fill="FFFFFF"/>
              </w:rPr>
              <w:t>cinci</w:t>
            </w:r>
            <w:proofErr w:type="spellEnd"/>
            <w:r w:rsidRPr="00074769">
              <w:rPr>
                <w:sz w:val="20"/>
                <w:szCs w:val="20"/>
                <w:shd w:val="clear" w:color="auto" w:fill="FFFFFF"/>
              </w:rPr>
              <w:t xml:space="preserve"> </w:t>
            </w:r>
            <w:proofErr w:type="spellStart"/>
            <w:r w:rsidRPr="00074769">
              <w:rPr>
                <w:sz w:val="20"/>
                <w:szCs w:val="20"/>
                <w:shd w:val="clear" w:color="auto" w:fill="FFFFFF"/>
              </w:rPr>
              <w:t>dimensiuni</w:t>
            </w:r>
            <w:proofErr w:type="spellEnd"/>
            <w:r w:rsidRPr="00074769">
              <w:rPr>
                <w:sz w:val="20"/>
                <w:szCs w:val="20"/>
                <w:shd w:val="clear" w:color="auto" w:fill="FFFFFF"/>
              </w:rPr>
              <w:t xml:space="preserve"> ale </w:t>
            </w:r>
            <w:proofErr w:type="spellStart"/>
            <w:r w:rsidRPr="00074769">
              <w:rPr>
                <w:sz w:val="20"/>
                <w:szCs w:val="20"/>
                <w:shd w:val="clear" w:color="auto" w:fill="FFFFFF"/>
              </w:rPr>
              <w:t>uniunii</w:t>
            </w:r>
            <w:proofErr w:type="spellEnd"/>
            <w:r w:rsidRPr="00074769">
              <w:rPr>
                <w:sz w:val="20"/>
                <w:szCs w:val="20"/>
                <w:shd w:val="clear" w:color="auto" w:fill="FFFFFF"/>
              </w:rPr>
              <w:t xml:space="preserve"> </w:t>
            </w:r>
            <w:proofErr w:type="spellStart"/>
            <w:r w:rsidRPr="00074769">
              <w:rPr>
                <w:sz w:val="20"/>
                <w:szCs w:val="20"/>
                <w:shd w:val="clear" w:color="auto" w:fill="FFFFFF"/>
              </w:rPr>
              <w:t>energetice</w:t>
            </w:r>
            <w:proofErr w:type="spellEnd"/>
          </w:p>
          <w:p w14:paraId="570E0A24" w14:textId="77777777" w:rsidR="008F5636" w:rsidRPr="00074769" w:rsidRDefault="008F5636" w:rsidP="000C5A3B">
            <w:pPr>
              <w:pStyle w:val="ti-grseq-1"/>
              <w:numPr>
                <w:ilvl w:val="0"/>
                <w:numId w:val="8"/>
              </w:numPr>
              <w:shd w:val="clear" w:color="auto" w:fill="FFFFFF"/>
              <w:spacing w:before="0" w:beforeAutospacing="0" w:after="0" w:afterAutospacing="0"/>
              <w:ind w:left="397"/>
              <w:jc w:val="both"/>
              <w:rPr>
                <w:sz w:val="20"/>
                <w:szCs w:val="20"/>
                <w:shd w:val="clear" w:color="auto" w:fill="FFFFFF"/>
                <w:lang w:val="fr-FR"/>
              </w:rPr>
            </w:pPr>
            <w:r w:rsidRPr="00074769">
              <w:rPr>
                <w:sz w:val="20"/>
                <w:szCs w:val="20"/>
                <w:shd w:val="clear" w:color="auto" w:fill="FFFFFF"/>
                <w:lang w:val="fr-FR"/>
              </w:rPr>
              <w:t>Aspecte-</w:t>
            </w:r>
            <w:proofErr w:type="spellStart"/>
            <w:r w:rsidRPr="00074769">
              <w:rPr>
                <w:sz w:val="20"/>
                <w:szCs w:val="20"/>
                <w:shd w:val="clear" w:color="auto" w:fill="FFFFFF"/>
                <w:lang w:val="fr-FR"/>
              </w:rPr>
              <w:t>cheie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importanță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transfrontalieră</w:t>
            </w:r>
            <w:proofErr w:type="spellEnd"/>
          </w:p>
          <w:p w14:paraId="3B1295DD" w14:textId="77777777" w:rsidR="008F5636" w:rsidRPr="00074769" w:rsidRDefault="008F5636" w:rsidP="000C5A3B">
            <w:pPr>
              <w:pStyle w:val="ti-grseq-1"/>
              <w:numPr>
                <w:ilvl w:val="0"/>
                <w:numId w:val="8"/>
              </w:numPr>
              <w:shd w:val="clear" w:color="auto" w:fill="FFFFFF"/>
              <w:spacing w:before="0" w:beforeAutospacing="0" w:after="0" w:afterAutospacing="0"/>
              <w:ind w:left="397"/>
              <w:jc w:val="both"/>
              <w:rPr>
                <w:b/>
                <w:bCs/>
                <w:sz w:val="20"/>
                <w:szCs w:val="20"/>
                <w:lang w:val="fr-FR"/>
              </w:rPr>
            </w:pPr>
            <w:proofErr w:type="spellStart"/>
            <w:r w:rsidRPr="00074769">
              <w:rPr>
                <w:sz w:val="20"/>
                <w:szCs w:val="20"/>
                <w:shd w:val="clear" w:color="auto" w:fill="FFFFFF"/>
              </w:rPr>
              <w:t>Structura</w:t>
            </w:r>
            <w:proofErr w:type="spellEnd"/>
            <w:r w:rsidRPr="00074769">
              <w:rPr>
                <w:sz w:val="20"/>
                <w:szCs w:val="20"/>
                <w:shd w:val="clear" w:color="auto" w:fill="FFFFFF"/>
              </w:rPr>
              <w:t xml:space="preserve"> </w:t>
            </w:r>
            <w:proofErr w:type="spellStart"/>
            <w:r w:rsidRPr="00074769">
              <w:rPr>
                <w:sz w:val="20"/>
                <w:szCs w:val="20"/>
                <w:shd w:val="clear" w:color="auto" w:fill="FFFFFF"/>
              </w:rPr>
              <w:t>administrativă</w:t>
            </w:r>
            <w:proofErr w:type="spellEnd"/>
            <w:r w:rsidRPr="00074769">
              <w:rPr>
                <w:sz w:val="20"/>
                <w:szCs w:val="20"/>
                <w:shd w:val="clear" w:color="auto" w:fill="FFFFFF"/>
              </w:rPr>
              <w:t xml:space="preserve"> de </w:t>
            </w:r>
            <w:proofErr w:type="spellStart"/>
            <w:r w:rsidRPr="00074769">
              <w:rPr>
                <w:sz w:val="20"/>
                <w:szCs w:val="20"/>
                <w:shd w:val="clear" w:color="auto" w:fill="FFFFFF"/>
              </w:rPr>
              <w:t>punere</w:t>
            </w:r>
            <w:proofErr w:type="spellEnd"/>
            <w:r w:rsidRPr="00074769">
              <w:rPr>
                <w:sz w:val="20"/>
                <w:szCs w:val="20"/>
                <w:shd w:val="clear" w:color="auto" w:fill="FFFFFF"/>
              </w:rPr>
              <w:t xml:space="preserve"> în </w:t>
            </w:r>
            <w:proofErr w:type="spellStart"/>
            <w:r w:rsidRPr="00074769">
              <w:rPr>
                <w:sz w:val="20"/>
                <w:szCs w:val="20"/>
                <w:shd w:val="clear" w:color="auto" w:fill="FFFFFF"/>
              </w:rPr>
              <w:t>aplicare</w:t>
            </w:r>
            <w:proofErr w:type="spellEnd"/>
            <w:r w:rsidRPr="00074769">
              <w:rPr>
                <w:sz w:val="20"/>
                <w:szCs w:val="20"/>
                <w:shd w:val="clear" w:color="auto" w:fill="FFFFFF"/>
              </w:rPr>
              <w:t xml:space="preserve"> a </w:t>
            </w:r>
            <w:proofErr w:type="spellStart"/>
            <w:r w:rsidRPr="00074769">
              <w:rPr>
                <w:sz w:val="20"/>
                <w:szCs w:val="20"/>
                <w:shd w:val="clear" w:color="auto" w:fill="FFFFFF"/>
              </w:rPr>
              <w:t>politicilor</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w:t>
            </w:r>
            <w:proofErr w:type="spellStart"/>
            <w:r w:rsidRPr="00074769">
              <w:rPr>
                <w:sz w:val="20"/>
                <w:szCs w:val="20"/>
                <w:shd w:val="clear" w:color="auto" w:fill="FFFFFF"/>
              </w:rPr>
              <w:t>privind</w:t>
            </w:r>
            <w:proofErr w:type="spellEnd"/>
            <w:r w:rsidRPr="00074769">
              <w:rPr>
                <w:sz w:val="20"/>
                <w:szCs w:val="20"/>
                <w:shd w:val="clear" w:color="auto" w:fill="FFFFFF"/>
              </w:rPr>
              <w:t xml:space="preserve"> </w:t>
            </w:r>
            <w:proofErr w:type="spellStart"/>
            <w:r w:rsidRPr="00074769">
              <w:rPr>
                <w:sz w:val="20"/>
                <w:szCs w:val="20"/>
                <w:shd w:val="clear" w:color="auto" w:fill="FFFFFF"/>
              </w:rPr>
              <w:t>energia</w:t>
            </w:r>
            <w:proofErr w:type="spellEnd"/>
            <w:r w:rsidRPr="00074769">
              <w:rPr>
                <w:sz w:val="20"/>
                <w:szCs w:val="20"/>
                <w:shd w:val="clear" w:color="auto" w:fill="FFFFFF"/>
              </w:rPr>
              <w:t xml:space="preserve"> și </w:t>
            </w:r>
            <w:proofErr w:type="spellStart"/>
            <w:r w:rsidRPr="00074769">
              <w:rPr>
                <w:sz w:val="20"/>
                <w:szCs w:val="20"/>
                <w:shd w:val="clear" w:color="auto" w:fill="FFFFFF"/>
              </w:rPr>
              <w:t>clima</w:t>
            </w:r>
            <w:proofErr w:type="spellEnd"/>
          </w:p>
          <w:p w14:paraId="01AD3BF0" w14:textId="77777777" w:rsidR="008F5636" w:rsidRPr="00074769" w:rsidRDefault="008F5636" w:rsidP="008F5636">
            <w:pPr>
              <w:pStyle w:val="ti-grseq-1"/>
              <w:shd w:val="clear" w:color="auto" w:fill="FFFFFF"/>
              <w:spacing w:before="0" w:beforeAutospacing="0" w:after="0" w:afterAutospacing="0"/>
              <w:ind w:left="397"/>
              <w:jc w:val="both"/>
              <w:rPr>
                <w:b/>
                <w:bCs/>
                <w:sz w:val="20"/>
                <w:szCs w:val="20"/>
                <w:shd w:val="clear" w:color="auto" w:fill="FFFFFF"/>
                <w:lang w:val="fr-FR"/>
              </w:rPr>
            </w:pPr>
            <w:r w:rsidRPr="00074769">
              <w:rPr>
                <w:b/>
                <w:bCs/>
                <w:sz w:val="20"/>
                <w:szCs w:val="20"/>
                <w:shd w:val="clear" w:color="auto" w:fill="FFFFFF"/>
                <w:lang w:val="fr-FR"/>
              </w:rPr>
              <w:t>1.</w:t>
            </w:r>
            <w:proofErr w:type="gramStart"/>
            <w:r w:rsidRPr="00074769">
              <w:rPr>
                <w:b/>
                <w:bCs/>
                <w:sz w:val="20"/>
                <w:szCs w:val="20"/>
                <w:shd w:val="clear" w:color="auto" w:fill="FFFFFF"/>
                <w:lang w:val="fr-FR"/>
              </w:rPr>
              <w:t>3.Consultări</w:t>
            </w:r>
            <w:proofErr w:type="gramEnd"/>
            <w:r w:rsidRPr="00074769">
              <w:rPr>
                <w:b/>
                <w:bCs/>
                <w:sz w:val="20"/>
                <w:szCs w:val="20"/>
                <w:shd w:val="clear" w:color="auto" w:fill="FFFFFF"/>
                <w:lang w:val="fr-FR"/>
              </w:rPr>
              <w:t xml:space="preserve"> și </w:t>
            </w:r>
            <w:proofErr w:type="spellStart"/>
            <w:r w:rsidRPr="00074769">
              <w:rPr>
                <w:b/>
                <w:bCs/>
                <w:sz w:val="20"/>
                <w:szCs w:val="20"/>
                <w:shd w:val="clear" w:color="auto" w:fill="FFFFFF"/>
                <w:lang w:val="fr-FR"/>
              </w:rPr>
              <w:t>implicarea</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entităților</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naționale</w:t>
            </w:r>
            <w:proofErr w:type="spellEnd"/>
            <w:r w:rsidRPr="00074769">
              <w:rPr>
                <w:b/>
                <w:bCs/>
                <w:sz w:val="20"/>
                <w:szCs w:val="20"/>
                <w:shd w:val="clear" w:color="auto" w:fill="FFFFFF"/>
                <w:lang w:val="fr-FR"/>
              </w:rPr>
              <w:t xml:space="preserve"> și de la </w:t>
            </w:r>
            <w:proofErr w:type="spellStart"/>
            <w:r w:rsidRPr="00074769">
              <w:rPr>
                <w:b/>
                <w:bCs/>
                <w:sz w:val="20"/>
                <w:szCs w:val="20"/>
                <w:shd w:val="clear" w:color="auto" w:fill="FFFFFF"/>
                <w:lang w:val="fr-FR"/>
              </w:rPr>
              <w:t>nivelul</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Uniunii</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precum</w:t>
            </w:r>
            <w:proofErr w:type="spellEnd"/>
            <w:r w:rsidRPr="00074769">
              <w:rPr>
                <w:b/>
                <w:bCs/>
                <w:sz w:val="20"/>
                <w:szCs w:val="20"/>
                <w:shd w:val="clear" w:color="auto" w:fill="FFFFFF"/>
                <w:lang w:val="fr-FR"/>
              </w:rPr>
              <w:t xml:space="preserve"> și </w:t>
            </w:r>
            <w:proofErr w:type="spellStart"/>
            <w:r w:rsidRPr="00074769">
              <w:rPr>
                <w:b/>
                <w:bCs/>
                <w:sz w:val="20"/>
                <w:szCs w:val="20"/>
                <w:shd w:val="clear" w:color="auto" w:fill="FFFFFF"/>
                <w:lang w:val="fr-FR"/>
              </w:rPr>
              <w:t>rezultatul</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acestora</w:t>
            </w:r>
            <w:proofErr w:type="spellEnd"/>
          </w:p>
          <w:p w14:paraId="37DAF05B" w14:textId="716F1829" w:rsidR="008F5636" w:rsidRPr="00074769" w:rsidRDefault="008F5636" w:rsidP="000C5A3B">
            <w:pPr>
              <w:pStyle w:val="ti-grseq-1"/>
              <w:numPr>
                <w:ilvl w:val="0"/>
                <w:numId w:val="9"/>
              </w:numPr>
              <w:shd w:val="clear" w:color="auto" w:fill="FFFFFF"/>
              <w:spacing w:before="0" w:beforeAutospacing="0" w:after="0" w:afterAutospacing="0"/>
              <w:ind w:left="397"/>
              <w:jc w:val="both"/>
              <w:rPr>
                <w:sz w:val="20"/>
                <w:szCs w:val="20"/>
                <w:shd w:val="clear" w:color="auto" w:fill="FFFFFF"/>
                <w:lang w:val="fr-FR"/>
              </w:rPr>
            </w:pPr>
            <w:proofErr w:type="spellStart"/>
            <w:r w:rsidRPr="00074769">
              <w:rPr>
                <w:sz w:val="20"/>
                <w:szCs w:val="20"/>
                <w:shd w:val="clear" w:color="auto" w:fill="FFFFFF"/>
                <w:lang w:val="fr-FR"/>
              </w:rPr>
              <w:t>Implicarea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Parlamentului</w:t>
            </w:r>
            <w:proofErr w:type="spellEnd"/>
            <w:r w:rsidRPr="00074769">
              <w:rPr>
                <w:sz w:val="20"/>
                <w:szCs w:val="20"/>
                <w:shd w:val="clear" w:color="auto" w:fill="FFFFFF"/>
                <w:lang w:val="fr-FR"/>
              </w:rPr>
              <w:t xml:space="preserve"> national</w:t>
            </w:r>
          </w:p>
          <w:p w14:paraId="3E172A00" w14:textId="77777777" w:rsidR="008F5636" w:rsidRPr="00074769" w:rsidRDefault="008F5636" w:rsidP="000C5A3B">
            <w:pPr>
              <w:pStyle w:val="ti-grseq-1"/>
              <w:numPr>
                <w:ilvl w:val="0"/>
                <w:numId w:val="9"/>
              </w:numPr>
              <w:shd w:val="clear" w:color="auto" w:fill="FFFFFF"/>
              <w:spacing w:before="0" w:beforeAutospacing="0" w:after="0" w:afterAutospacing="0"/>
              <w:ind w:left="397"/>
              <w:jc w:val="both"/>
              <w:rPr>
                <w:sz w:val="20"/>
                <w:szCs w:val="20"/>
                <w:shd w:val="clear" w:color="auto" w:fill="FFFFFF"/>
                <w:lang w:val="fr-FR"/>
              </w:rPr>
            </w:pPr>
            <w:proofErr w:type="spellStart"/>
            <w:r w:rsidRPr="00074769">
              <w:rPr>
                <w:sz w:val="20"/>
                <w:szCs w:val="20"/>
                <w:shd w:val="clear" w:color="auto" w:fill="FFFFFF"/>
                <w:lang w:val="fr-FR"/>
              </w:rPr>
              <w:t>Implicarea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autorităților</w:t>
            </w:r>
            <w:proofErr w:type="spellEnd"/>
            <w:r w:rsidRPr="00074769">
              <w:rPr>
                <w:sz w:val="20"/>
                <w:szCs w:val="20"/>
                <w:shd w:val="clear" w:color="auto" w:fill="FFFFFF"/>
                <w:lang w:val="fr-FR"/>
              </w:rPr>
              <w:t xml:space="preserve"> locale și </w:t>
            </w:r>
            <w:proofErr w:type="spellStart"/>
            <w:r w:rsidRPr="00074769">
              <w:rPr>
                <w:sz w:val="20"/>
                <w:szCs w:val="20"/>
                <w:shd w:val="clear" w:color="auto" w:fill="FFFFFF"/>
                <w:lang w:val="fr-FR"/>
              </w:rPr>
              <w:t>regionale</w:t>
            </w:r>
            <w:proofErr w:type="spellEnd"/>
          </w:p>
          <w:p w14:paraId="45EDCA44" w14:textId="77777777" w:rsidR="008F5636" w:rsidRPr="00074769" w:rsidRDefault="008F5636" w:rsidP="000C5A3B">
            <w:pPr>
              <w:pStyle w:val="ti-grseq-1"/>
              <w:numPr>
                <w:ilvl w:val="0"/>
                <w:numId w:val="9"/>
              </w:numPr>
              <w:shd w:val="clear" w:color="auto" w:fill="FFFFFF"/>
              <w:spacing w:before="0" w:beforeAutospacing="0" w:after="0" w:afterAutospacing="0"/>
              <w:ind w:left="397"/>
              <w:jc w:val="both"/>
              <w:rPr>
                <w:sz w:val="20"/>
                <w:szCs w:val="20"/>
                <w:shd w:val="clear" w:color="auto" w:fill="FFFFFF"/>
                <w:lang w:val="fr-FR"/>
              </w:rPr>
            </w:pPr>
            <w:proofErr w:type="spellStart"/>
            <w:r w:rsidRPr="00074769">
              <w:rPr>
                <w:sz w:val="20"/>
                <w:szCs w:val="20"/>
                <w:shd w:val="clear" w:color="auto" w:fill="FFFFFF"/>
                <w:lang w:val="fr-FR"/>
              </w:rPr>
              <w:t>Consultări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părțile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interesate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partenerii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sociali</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angajarea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societății</w:t>
            </w:r>
            <w:proofErr w:type="spellEnd"/>
            <w:r w:rsidRPr="00074769">
              <w:rPr>
                <w:sz w:val="20"/>
                <w:szCs w:val="20"/>
                <w:shd w:val="clear" w:color="auto" w:fill="FFFFFF"/>
                <w:lang w:val="fr-FR"/>
              </w:rPr>
              <w:t xml:space="preserve"> civile și a </w:t>
            </w:r>
            <w:proofErr w:type="spellStart"/>
            <w:r w:rsidRPr="00074769">
              <w:rPr>
                <w:sz w:val="20"/>
                <w:szCs w:val="20"/>
                <w:shd w:val="clear" w:color="auto" w:fill="FFFFFF"/>
                <w:lang w:val="fr-FR"/>
              </w:rPr>
              <w:t>publicului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larg</w:t>
            </w:r>
            <w:proofErr w:type="spellEnd"/>
          </w:p>
          <w:p w14:paraId="44236C97" w14:textId="75707F4F" w:rsidR="008F5636" w:rsidRPr="00074769" w:rsidRDefault="008F5636" w:rsidP="000C5A3B">
            <w:pPr>
              <w:pStyle w:val="ti-grseq-1"/>
              <w:numPr>
                <w:ilvl w:val="0"/>
                <w:numId w:val="9"/>
              </w:numPr>
              <w:shd w:val="clear" w:color="auto" w:fill="FFFFFF"/>
              <w:spacing w:before="0" w:beforeAutospacing="0" w:after="0" w:afterAutospacing="0"/>
              <w:ind w:left="397"/>
              <w:jc w:val="both"/>
              <w:rPr>
                <w:sz w:val="20"/>
                <w:szCs w:val="20"/>
                <w:shd w:val="clear" w:color="auto" w:fill="FFFFFF"/>
              </w:rPr>
            </w:pPr>
            <w:proofErr w:type="spellStart"/>
            <w:r w:rsidRPr="00074769">
              <w:rPr>
                <w:sz w:val="20"/>
                <w:szCs w:val="20"/>
                <w:shd w:val="clear" w:color="auto" w:fill="FFFFFF"/>
              </w:rPr>
              <w:t>Consultări</w:t>
            </w:r>
            <w:proofErr w:type="spellEnd"/>
            <w:r w:rsidRPr="00074769">
              <w:rPr>
                <w:sz w:val="20"/>
                <w:szCs w:val="20"/>
                <w:shd w:val="clear" w:color="auto" w:fill="FFFFFF"/>
              </w:rPr>
              <w:t xml:space="preserve"> cu </w:t>
            </w:r>
            <w:proofErr w:type="spellStart"/>
            <w:r w:rsidRPr="00074769">
              <w:rPr>
                <w:sz w:val="20"/>
                <w:szCs w:val="20"/>
                <w:shd w:val="clear" w:color="auto" w:fill="FFFFFF"/>
              </w:rPr>
              <w:t>alte</w:t>
            </w:r>
            <w:proofErr w:type="spellEnd"/>
            <w:r w:rsidRPr="00074769">
              <w:rPr>
                <w:sz w:val="20"/>
                <w:szCs w:val="20"/>
                <w:shd w:val="clear" w:color="auto" w:fill="FFFFFF"/>
              </w:rPr>
              <w:t xml:space="preserve"> state member</w:t>
            </w:r>
          </w:p>
          <w:p w14:paraId="777BFEBE" w14:textId="77777777" w:rsidR="008F5636" w:rsidRPr="00074769" w:rsidRDefault="008F5636" w:rsidP="000C5A3B">
            <w:pPr>
              <w:pStyle w:val="ti-grseq-1"/>
              <w:numPr>
                <w:ilvl w:val="0"/>
                <w:numId w:val="9"/>
              </w:numPr>
              <w:shd w:val="clear" w:color="auto" w:fill="FFFFFF"/>
              <w:spacing w:before="0" w:beforeAutospacing="0" w:after="0" w:afterAutospacing="0"/>
              <w:ind w:left="397"/>
              <w:jc w:val="both"/>
              <w:rPr>
                <w:b/>
                <w:bCs/>
                <w:sz w:val="20"/>
                <w:szCs w:val="20"/>
              </w:rPr>
            </w:pPr>
            <w:proofErr w:type="spellStart"/>
            <w:r w:rsidRPr="00074769">
              <w:rPr>
                <w:sz w:val="20"/>
                <w:szCs w:val="20"/>
                <w:shd w:val="clear" w:color="auto" w:fill="FFFFFF"/>
              </w:rPr>
              <w:t>Procesul</w:t>
            </w:r>
            <w:proofErr w:type="spellEnd"/>
            <w:r w:rsidRPr="00074769">
              <w:rPr>
                <w:sz w:val="20"/>
                <w:szCs w:val="20"/>
                <w:shd w:val="clear" w:color="auto" w:fill="FFFFFF"/>
              </w:rPr>
              <w:t xml:space="preserve"> </w:t>
            </w:r>
            <w:proofErr w:type="spellStart"/>
            <w:r w:rsidRPr="00074769">
              <w:rPr>
                <w:sz w:val="20"/>
                <w:szCs w:val="20"/>
                <w:shd w:val="clear" w:color="auto" w:fill="FFFFFF"/>
              </w:rPr>
              <w:t>iterativ</w:t>
            </w:r>
            <w:proofErr w:type="spellEnd"/>
            <w:r w:rsidRPr="00074769">
              <w:rPr>
                <w:sz w:val="20"/>
                <w:szCs w:val="20"/>
                <w:shd w:val="clear" w:color="auto" w:fill="FFFFFF"/>
              </w:rPr>
              <w:t xml:space="preserve"> cu </w:t>
            </w:r>
            <w:proofErr w:type="spellStart"/>
            <w:r w:rsidRPr="00074769">
              <w:rPr>
                <w:sz w:val="20"/>
                <w:szCs w:val="20"/>
                <w:shd w:val="clear" w:color="auto" w:fill="FFFFFF"/>
              </w:rPr>
              <w:t>Comisia</w:t>
            </w:r>
            <w:proofErr w:type="spellEnd"/>
          </w:p>
          <w:p w14:paraId="6F1B5B67" w14:textId="77777777" w:rsidR="008F5636" w:rsidRPr="00074769" w:rsidRDefault="008F5636" w:rsidP="008F5636">
            <w:pPr>
              <w:pStyle w:val="ti-grseq-1"/>
              <w:shd w:val="clear" w:color="auto" w:fill="FFFFFF"/>
              <w:spacing w:before="0" w:beforeAutospacing="0" w:after="0" w:afterAutospacing="0"/>
              <w:ind w:left="397"/>
              <w:jc w:val="both"/>
              <w:rPr>
                <w:b/>
                <w:bCs/>
                <w:sz w:val="20"/>
                <w:szCs w:val="20"/>
                <w:shd w:val="clear" w:color="auto" w:fill="FFFFFF"/>
              </w:rPr>
            </w:pPr>
            <w:r w:rsidRPr="00074769">
              <w:rPr>
                <w:b/>
                <w:bCs/>
                <w:sz w:val="20"/>
                <w:szCs w:val="20"/>
                <w:shd w:val="clear" w:color="auto" w:fill="FFFFFF"/>
              </w:rPr>
              <w:t>1.</w:t>
            </w:r>
            <w:proofErr w:type="gramStart"/>
            <w:r w:rsidRPr="00074769">
              <w:rPr>
                <w:b/>
                <w:bCs/>
                <w:sz w:val="20"/>
                <w:szCs w:val="20"/>
                <w:shd w:val="clear" w:color="auto" w:fill="FFFFFF"/>
              </w:rPr>
              <w:t>4.Cooperarea</w:t>
            </w:r>
            <w:proofErr w:type="gramEnd"/>
            <w:r w:rsidRPr="00074769">
              <w:rPr>
                <w:b/>
                <w:bCs/>
                <w:sz w:val="20"/>
                <w:szCs w:val="20"/>
                <w:shd w:val="clear" w:color="auto" w:fill="FFFFFF"/>
              </w:rPr>
              <w:t xml:space="preserve"> </w:t>
            </w:r>
            <w:proofErr w:type="spellStart"/>
            <w:r w:rsidRPr="00074769">
              <w:rPr>
                <w:b/>
                <w:bCs/>
                <w:sz w:val="20"/>
                <w:szCs w:val="20"/>
                <w:shd w:val="clear" w:color="auto" w:fill="FFFFFF"/>
              </w:rPr>
              <w:t>regională</w:t>
            </w:r>
            <w:proofErr w:type="spellEnd"/>
            <w:r w:rsidRPr="00074769">
              <w:rPr>
                <w:b/>
                <w:bCs/>
                <w:sz w:val="20"/>
                <w:szCs w:val="20"/>
                <w:shd w:val="clear" w:color="auto" w:fill="FFFFFF"/>
              </w:rPr>
              <w:t xml:space="preserve"> în </w:t>
            </w:r>
            <w:proofErr w:type="spellStart"/>
            <w:r w:rsidRPr="00074769">
              <w:rPr>
                <w:b/>
                <w:bCs/>
                <w:sz w:val="20"/>
                <w:szCs w:val="20"/>
                <w:shd w:val="clear" w:color="auto" w:fill="FFFFFF"/>
              </w:rPr>
              <w:t>decursul</w:t>
            </w:r>
            <w:proofErr w:type="spellEnd"/>
            <w:r w:rsidRPr="00074769">
              <w:rPr>
                <w:b/>
                <w:bCs/>
                <w:sz w:val="20"/>
                <w:szCs w:val="20"/>
                <w:shd w:val="clear" w:color="auto" w:fill="FFFFFF"/>
              </w:rPr>
              <w:t xml:space="preserve"> </w:t>
            </w:r>
            <w:proofErr w:type="spellStart"/>
            <w:r w:rsidRPr="00074769">
              <w:rPr>
                <w:b/>
                <w:bCs/>
                <w:sz w:val="20"/>
                <w:szCs w:val="20"/>
                <w:shd w:val="clear" w:color="auto" w:fill="FFFFFF"/>
              </w:rPr>
              <w:t>elaborării</w:t>
            </w:r>
            <w:proofErr w:type="spellEnd"/>
            <w:r w:rsidRPr="00074769">
              <w:rPr>
                <w:b/>
                <w:bCs/>
                <w:sz w:val="20"/>
                <w:szCs w:val="20"/>
                <w:shd w:val="clear" w:color="auto" w:fill="FFFFFF"/>
              </w:rPr>
              <w:t xml:space="preserve"> </w:t>
            </w:r>
            <w:proofErr w:type="spellStart"/>
            <w:r w:rsidRPr="00074769">
              <w:rPr>
                <w:b/>
                <w:bCs/>
                <w:sz w:val="20"/>
                <w:szCs w:val="20"/>
                <w:shd w:val="clear" w:color="auto" w:fill="FFFFFF"/>
              </w:rPr>
              <w:t>planului</w:t>
            </w:r>
            <w:proofErr w:type="spellEnd"/>
          </w:p>
          <w:p w14:paraId="4BC4EF52" w14:textId="5FDF036E" w:rsidR="008F5636" w:rsidRPr="00074769" w:rsidRDefault="008F5636" w:rsidP="000C5A3B">
            <w:pPr>
              <w:pStyle w:val="ti-grseq-1"/>
              <w:numPr>
                <w:ilvl w:val="0"/>
                <w:numId w:val="10"/>
              </w:numPr>
              <w:shd w:val="clear" w:color="auto" w:fill="FFFFFF"/>
              <w:spacing w:before="0" w:beforeAutospacing="0" w:after="0" w:afterAutospacing="0"/>
              <w:ind w:left="397"/>
              <w:jc w:val="both"/>
              <w:rPr>
                <w:sz w:val="20"/>
                <w:szCs w:val="20"/>
                <w:shd w:val="clear" w:color="auto" w:fill="FFFFFF"/>
              </w:rPr>
            </w:pPr>
            <w:proofErr w:type="spellStart"/>
            <w:r w:rsidRPr="00074769">
              <w:rPr>
                <w:sz w:val="20"/>
                <w:szCs w:val="20"/>
                <w:shd w:val="clear" w:color="auto" w:fill="FFFFFF"/>
              </w:rPr>
              <w:t>Elementele</w:t>
            </w:r>
            <w:proofErr w:type="spellEnd"/>
            <w:r w:rsidRPr="00074769">
              <w:rPr>
                <w:sz w:val="20"/>
                <w:szCs w:val="20"/>
                <w:shd w:val="clear" w:color="auto" w:fill="FFFFFF"/>
              </w:rPr>
              <w:t xml:space="preserve"> care fac </w:t>
            </w:r>
            <w:proofErr w:type="spellStart"/>
            <w:r w:rsidRPr="00074769">
              <w:rPr>
                <w:sz w:val="20"/>
                <w:szCs w:val="20"/>
                <w:shd w:val="clear" w:color="auto" w:fill="FFFFFF"/>
              </w:rPr>
              <w:t>obiectul</w:t>
            </w:r>
            <w:proofErr w:type="spellEnd"/>
            <w:r w:rsidRPr="00074769">
              <w:rPr>
                <w:sz w:val="20"/>
                <w:szCs w:val="20"/>
                <w:shd w:val="clear" w:color="auto" w:fill="FFFFFF"/>
              </w:rPr>
              <w:t xml:space="preserve"> </w:t>
            </w:r>
            <w:proofErr w:type="spellStart"/>
            <w:r w:rsidRPr="00074769">
              <w:rPr>
                <w:sz w:val="20"/>
                <w:szCs w:val="20"/>
                <w:shd w:val="clear" w:color="auto" w:fill="FFFFFF"/>
              </w:rPr>
              <w:t>unor</w:t>
            </w:r>
            <w:proofErr w:type="spellEnd"/>
            <w:r w:rsidRPr="00074769">
              <w:rPr>
                <w:sz w:val="20"/>
                <w:szCs w:val="20"/>
                <w:shd w:val="clear" w:color="auto" w:fill="FFFFFF"/>
              </w:rPr>
              <w:t xml:space="preserve"> </w:t>
            </w:r>
            <w:proofErr w:type="spellStart"/>
            <w:r w:rsidRPr="00074769">
              <w:rPr>
                <w:sz w:val="20"/>
                <w:szCs w:val="20"/>
                <w:shd w:val="clear" w:color="auto" w:fill="FFFFFF"/>
              </w:rPr>
              <w:t>planificări</w:t>
            </w:r>
            <w:proofErr w:type="spellEnd"/>
            <w:r w:rsidRPr="00074769">
              <w:rPr>
                <w:sz w:val="20"/>
                <w:szCs w:val="20"/>
                <w:shd w:val="clear" w:color="auto" w:fill="FFFFFF"/>
              </w:rPr>
              <w:t xml:space="preserve"> </w:t>
            </w:r>
            <w:proofErr w:type="spellStart"/>
            <w:r w:rsidRPr="00074769">
              <w:rPr>
                <w:sz w:val="20"/>
                <w:szCs w:val="20"/>
                <w:shd w:val="clear" w:color="auto" w:fill="FFFFFF"/>
              </w:rPr>
              <w:t>comune</w:t>
            </w:r>
            <w:proofErr w:type="spellEnd"/>
            <w:r w:rsidRPr="00074769">
              <w:rPr>
                <w:sz w:val="20"/>
                <w:szCs w:val="20"/>
                <w:shd w:val="clear" w:color="auto" w:fill="FFFFFF"/>
              </w:rPr>
              <w:t xml:space="preserve"> </w:t>
            </w:r>
            <w:proofErr w:type="spellStart"/>
            <w:r w:rsidRPr="00074769">
              <w:rPr>
                <w:sz w:val="20"/>
                <w:szCs w:val="20"/>
                <w:shd w:val="clear" w:color="auto" w:fill="FFFFFF"/>
              </w:rPr>
              <w:t>sau</w:t>
            </w:r>
            <w:proofErr w:type="spellEnd"/>
            <w:r w:rsidRPr="00074769">
              <w:rPr>
                <w:sz w:val="20"/>
                <w:szCs w:val="20"/>
                <w:shd w:val="clear" w:color="auto" w:fill="FFFFFF"/>
              </w:rPr>
              <w:t xml:space="preserve"> </w:t>
            </w:r>
            <w:proofErr w:type="spellStart"/>
            <w:r w:rsidRPr="00074769">
              <w:rPr>
                <w:sz w:val="20"/>
                <w:szCs w:val="20"/>
                <w:shd w:val="clear" w:color="auto" w:fill="FFFFFF"/>
              </w:rPr>
              <w:t>coordonate</w:t>
            </w:r>
            <w:proofErr w:type="spellEnd"/>
            <w:r w:rsidRPr="00074769">
              <w:rPr>
                <w:sz w:val="20"/>
                <w:szCs w:val="20"/>
                <w:shd w:val="clear" w:color="auto" w:fill="FFFFFF"/>
              </w:rPr>
              <w:t xml:space="preserve"> cu </w:t>
            </w:r>
            <w:proofErr w:type="spellStart"/>
            <w:r w:rsidRPr="00074769">
              <w:rPr>
                <w:sz w:val="20"/>
                <w:szCs w:val="20"/>
                <w:shd w:val="clear" w:color="auto" w:fill="FFFFFF"/>
              </w:rPr>
              <w:t>alte</w:t>
            </w:r>
            <w:proofErr w:type="spellEnd"/>
            <w:r w:rsidRPr="00074769">
              <w:rPr>
                <w:sz w:val="20"/>
                <w:szCs w:val="20"/>
                <w:shd w:val="clear" w:color="auto" w:fill="FFFFFF"/>
              </w:rPr>
              <w:t xml:space="preserve"> state member</w:t>
            </w:r>
          </w:p>
          <w:p w14:paraId="3FAFAEA4" w14:textId="0A54E80D" w:rsidR="008F5636" w:rsidRPr="00074769" w:rsidRDefault="008F5636" w:rsidP="000C5A3B">
            <w:pPr>
              <w:pStyle w:val="ti-grseq-1"/>
              <w:numPr>
                <w:ilvl w:val="0"/>
                <w:numId w:val="10"/>
              </w:numPr>
              <w:shd w:val="clear" w:color="auto" w:fill="FFFFFF"/>
              <w:spacing w:before="0" w:beforeAutospacing="0" w:after="0" w:afterAutospacing="0"/>
              <w:ind w:left="397"/>
              <w:jc w:val="both"/>
              <w:rPr>
                <w:b/>
                <w:bCs/>
                <w:sz w:val="20"/>
                <w:szCs w:val="20"/>
              </w:rPr>
            </w:pPr>
            <w:proofErr w:type="spellStart"/>
            <w:r w:rsidRPr="00074769">
              <w:rPr>
                <w:sz w:val="20"/>
                <w:szCs w:val="20"/>
                <w:shd w:val="clear" w:color="auto" w:fill="FFFFFF"/>
              </w:rPr>
              <w:t>Explicarea</w:t>
            </w:r>
            <w:proofErr w:type="spellEnd"/>
            <w:r w:rsidRPr="00074769">
              <w:rPr>
                <w:sz w:val="20"/>
                <w:szCs w:val="20"/>
                <w:shd w:val="clear" w:color="auto" w:fill="FFFFFF"/>
              </w:rPr>
              <w:t xml:space="preserve"> </w:t>
            </w:r>
            <w:proofErr w:type="spellStart"/>
            <w:r w:rsidRPr="00074769">
              <w:rPr>
                <w:sz w:val="20"/>
                <w:szCs w:val="20"/>
                <w:shd w:val="clear" w:color="auto" w:fill="FFFFFF"/>
              </w:rPr>
              <w:t>modului</w:t>
            </w:r>
            <w:proofErr w:type="spellEnd"/>
            <w:r w:rsidRPr="00074769">
              <w:rPr>
                <w:sz w:val="20"/>
                <w:szCs w:val="20"/>
                <w:shd w:val="clear" w:color="auto" w:fill="FFFFFF"/>
              </w:rPr>
              <w:t xml:space="preserve"> în care </w:t>
            </w:r>
            <w:proofErr w:type="spellStart"/>
            <w:r w:rsidRPr="00074769">
              <w:rPr>
                <w:sz w:val="20"/>
                <w:szCs w:val="20"/>
                <w:shd w:val="clear" w:color="auto" w:fill="FFFFFF"/>
              </w:rPr>
              <w:t>planul</w:t>
            </w:r>
            <w:proofErr w:type="spellEnd"/>
            <w:r w:rsidRPr="00074769">
              <w:rPr>
                <w:sz w:val="20"/>
                <w:szCs w:val="20"/>
                <w:shd w:val="clear" w:color="auto" w:fill="FFFFFF"/>
              </w:rPr>
              <w:t xml:space="preserve"> </w:t>
            </w:r>
            <w:proofErr w:type="spellStart"/>
            <w:r w:rsidRPr="00074769">
              <w:rPr>
                <w:sz w:val="20"/>
                <w:szCs w:val="20"/>
                <w:shd w:val="clear" w:color="auto" w:fill="FFFFFF"/>
              </w:rPr>
              <w:t>ia</w:t>
            </w:r>
            <w:proofErr w:type="spellEnd"/>
            <w:r w:rsidRPr="00074769">
              <w:rPr>
                <w:sz w:val="20"/>
                <w:szCs w:val="20"/>
                <w:shd w:val="clear" w:color="auto" w:fill="FFFFFF"/>
              </w:rPr>
              <w:t xml:space="preserve"> în </w:t>
            </w:r>
            <w:proofErr w:type="spellStart"/>
            <w:r w:rsidRPr="00074769">
              <w:rPr>
                <w:sz w:val="20"/>
                <w:szCs w:val="20"/>
                <w:shd w:val="clear" w:color="auto" w:fill="FFFFFF"/>
              </w:rPr>
              <w:t>considerare</w:t>
            </w:r>
            <w:proofErr w:type="spellEnd"/>
            <w:r w:rsidRPr="00074769">
              <w:rPr>
                <w:sz w:val="20"/>
                <w:szCs w:val="20"/>
                <w:shd w:val="clear" w:color="auto" w:fill="FFFFFF"/>
              </w:rPr>
              <w:t xml:space="preserve"> </w:t>
            </w:r>
            <w:proofErr w:type="spellStart"/>
            <w:r w:rsidRPr="00074769">
              <w:rPr>
                <w:sz w:val="20"/>
                <w:szCs w:val="20"/>
                <w:shd w:val="clear" w:color="auto" w:fill="FFFFFF"/>
              </w:rPr>
              <w:t>cooperarea</w:t>
            </w:r>
            <w:proofErr w:type="spellEnd"/>
            <w:r w:rsidRPr="00074769">
              <w:rPr>
                <w:sz w:val="20"/>
                <w:szCs w:val="20"/>
                <w:shd w:val="clear" w:color="auto" w:fill="FFFFFF"/>
              </w:rPr>
              <w:t xml:space="preserve"> regional</w:t>
            </w:r>
          </w:p>
          <w:p w14:paraId="6A79EAF1" w14:textId="77777777" w:rsidR="008F5636" w:rsidRPr="00074769" w:rsidRDefault="008F5636" w:rsidP="008F5636">
            <w:pPr>
              <w:pStyle w:val="ti-grseq-1"/>
              <w:shd w:val="clear" w:color="auto" w:fill="FFFFFF"/>
              <w:spacing w:before="0" w:beforeAutospacing="0" w:after="0" w:afterAutospacing="0"/>
              <w:ind w:left="397"/>
              <w:jc w:val="both"/>
              <w:rPr>
                <w:b/>
                <w:bCs/>
                <w:sz w:val="20"/>
                <w:szCs w:val="20"/>
                <w:shd w:val="clear" w:color="auto" w:fill="FFFFFF"/>
                <w:lang w:val="fr-FR"/>
              </w:rPr>
            </w:pPr>
            <w:r w:rsidRPr="00074769">
              <w:rPr>
                <w:b/>
                <w:bCs/>
                <w:sz w:val="20"/>
                <w:szCs w:val="20"/>
                <w:shd w:val="clear" w:color="auto" w:fill="FFFFFF"/>
                <w:lang w:val="fr-FR"/>
              </w:rPr>
              <w:t>2.OBIECTIVE NAȚIONALE</w:t>
            </w:r>
          </w:p>
          <w:p w14:paraId="3542D931" w14:textId="77777777" w:rsidR="008F5636" w:rsidRPr="00074769" w:rsidRDefault="008F5636" w:rsidP="008F5636">
            <w:pPr>
              <w:pStyle w:val="ti-grseq-1"/>
              <w:shd w:val="clear" w:color="auto" w:fill="FFFFFF"/>
              <w:spacing w:before="0" w:beforeAutospacing="0" w:after="0" w:afterAutospacing="0"/>
              <w:ind w:left="397"/>
              <w:jc w:val="both"/>
              <w:rPr>
                <w:b/>
                <w:bCs/>
                <w:sz w:val="20"/>
                <w:szCs w:val="20"/>
                <w:shd w:val="clear" w:color="auto" w:fill="FFFFFF"/>
                <w:lang w:val="fr-FR"/>
              </w:rPr>
            </w:pPr>
            <w:r w:rsidRPr="00074769">
              <w:rPr>
                <w:b/>
                <w:bCs/>
                <w:sz w:val="20"/>
                <w:szCs w:val="20"/>
                <w:shd w:val="clear" w:color="auto" w:fill="FFFFFF"/>
                <w:lang w:val="fr-FR"/>
              </w:rPr>
              <w:t>2.</w:t>
            </w:r>
            <w:proofErr w:type="gramStart"/>
            <w:r w:rsidRPr="00074769">
              <w:rPr>
                <w:b/>
                <w:bCs/>
                <w:sz w:val="20"/>
                <w:szCs w:val="20"/>
                <w:shd w:val="clear" w:color="auto" w:fill="FFFFFF"/>
                <w:lang w:val="fr-FR"/>
              </w:rPr>
              <w:t>1.Dimensiunea</w:t>
            </w:r>
            <w:proofErr w:type="gram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decarbonizare</w:t>
            </w:r>
            <w:proofErr w:type="spellEnd"/>
            <w:r w:rsidRPr="00074769">
              <w:rPr>
                <w:b/>
                <w:bCs/>
                <w:sz w:val="20"/>
                <w:szCs w:val="20"/>
                <w:shd w:val="clear" w:color="auto" w:fill="FFFFFF"/>
                <w:lang w:val="fr-FR"/>
              </w:rPr>
              <w:t>”</w:t>
            </w:r>
          </w:p>
          <w:p w14:paraId="075E663A" w14:textId="77777777" w:rsidR="008F5636" w:rsidRPr="00074769" w:rsidRDefault="008F5636" w:rsidP="008F5636">
            <w:pPr>
              <w:pStyle w:val="ti-grseq-1"/>
              <w:shd w:val="clear" w:color="auto" w:fill="FFFFFF"/>
              <w:spacing w:before="0" w:beforeAutospacing="0" w:after="0" w:afterAutospacing="0"/>
              <w:ind w:left="397"/>
              <w:jc w:val="both"/>
              <w:rPr>
                <w:sz w:val="20"/>
                <w:szCs w:val="20"/>
                <w:lang w:val="fr-FR"/>
              </w:rPr>
            </w:pPr>
            <w:r w:rsidRPr="00074769">
              <w:rPr>
                <w:b/>
                <w:bCs/>
                <w:sz w:val="20"/>
                <w:szCs w:val="20"/>
                <w:shd w:val="clear" w:color="auto" w:fill="FFFFFF"/>
                <w:lang w:val="fr-FR"/>
              </w:rPr>
              <w:lastRenderedPageBreak/>
              <w:t>2.1.</w:t>
            </w:r>
            <w:proofErr w:type="gramStart"/>
            <w:r w:rsidRPr="00074769">
              <w:rPr>
                <w:b/>
                <w:bCs/>
                <w:sz w:val="20"/>
                <w:szCs w:val="20"/>
                <w:shd w:val="clear" w:color="auto" w:fill="FFFFFF"/>
                <w:lang w:val="fr-FR"/>
              </w:rPr>
              <w:t>1.Emisiile</w:t>
            </w:r>
            <w:proofErr w:type="gramEnd"/>
            <w:r w:rsidRPr="00074769">
              <w:rPr>
                <w:b/>
                <w:bCs/>
                <w:sz w:val="20"/>
                <w:szCs w:val="20"/>
                <w:shd w:val="clear" w:color="auto" w:fill="FFFFFF"/>
                <w:lang w:val="fr-FR"/>
              </w:rPr>
              <w:t xml:space="preserve"> și </w:t>
            </w:r>
            <w:proofErr w:type="spellStart"/>
            <w:r w:rsidRPr="00074769">
              <w:rPr>
                <w:b/>
                <w:bCs/>
                <w:sz w:val="20"/>
                <w:szCs w:val="20"/>
                <w:shd w:val="clear" w:color="auto" w:fill="FFFFFF"/>
                <w:lang w:val="fr-FR"/>
              </w:rPr>
              <w:t>absorbțiile</w:t>
            </w:r>
            <w:proofErr w:type="spellEnd"/>
            <w:r w:rsidRPr="00074769">
              <w:rPr>
                <w:b/>
                <w:bCs/>
                <w:sz w:val="20"/>
                <w:szCs w:val="20"/>
                <w:shd w:val="clear" w:color="auto" w:fill="FFFFFF"/>
                <w:lang w:val="fr-FR"/>
              </w:rPr>
              <w:t xml:space="preserve"> de GES</w:t>
            </w:r>
            <w:hyperlink r:id="rId55" w:anchor="ntr1-L_2018328RO.01004701-E0001" w:history="1">
              <w:r w:rsidRPr="00074769">
                <w:rPr>
                  <w:rStyle w:val="af6"/>
                  <w:b/>
                  <w:bCs/>
                  <w:color w:val="auto"/>
                  <w:sz w:val="20"/>
                  <w:szCs w:val="20"/>
                  <w:shd w:val="clear" w:color="auto" w:fill="FFFFFF"/>
                  <w:lang w:val="fr-FR"/>
                </w:rPr>
                <w:t>(</w:t>
              </w:r>
              <w:r w:rsidRPr="00074769">
                <w:rPr>
                  <w:rStyle w:val="super"/>
                  <w:b/>
                  <w:bCs/>
                  <w:sz w:val="20"/>
                  <w:szCs w:val="20"/>
                  <w:shd w:val="clear" w:color="auto" w:fill="FFFFFF"/>
                  <w:vertAlign w:val="superscript"/>
                  <w:lang w:val="fr-FR"/>
                </w:rPr>
                <w:t>1</w:t>
              </w:r>
              <w:r w:rsidRPr="00074769">
                <w:rPr>
                  <w:rStyle w:val="af6"/>
                  <w:b/>
                  <w:bCs/>
                  <w:color w:val="auto"/>
                  <w:sz w:val="20"/>
                  <w:szCs w:val="20"/>
                  <w:shd w:val="clear" w:color="auto" w:fill="FFFFFF"/>
                  <w:lang w:val="fr-FR"/>
                </w:rPr>
                <w:t>)</w:t>
              </w:r>
            </w:hyperlink>
          </w:p>
          <w:p w14:paraId="0CC15FB1" w14:textId="77777777" w:rsidR="008F5636" w:rsidRPr="00074769" w:rsidRDefault="008F5636" w:rsidP="000C5A3B">
            <w:pPr>
              <w:pStyle w:val="ti-grseq-1"/>
              <w:numPr>
                <w:ilvl w:val="0"/>
                <w:numId w:val="11"/>
              </w:numPr>
              <w:shd w:val="clear" w:color="auto" w:fill="FFFFFF"/>
              <w:spacing w:before="0" w:beforeAutospacing="0" w:after="0" w:afterAutospacing="0"/>
              <w:ind w:left="397"/>
              <w:jc w:val="both"/>
              <w:rPr>
                <w:sz w:val="20"/>
                <w:szCs w:val="20"/>
                <w:shd w:val="clear" w:color="auto" w:fill="FFFFFF"/>
                <w:lang w:val="fr-FR"/>
              </w:rPr>
            </w:pPr>
            <w:proofErr w:type="spellStart"/>
            <w:r w:rsidRPr="00074769">
              <w:rPr>
                <w:sz w:val="20"/>
                <w:szCs w:val="20"/>
                <w:shd w:val="clear" w:color="auto" w:fill="FFFFFF"/>
                <w:lang w:val="fr-FR"/>
              </w:rPr>
              <w:t>Elementele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prevăzute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articolul</w:t>
            </w:r>
            <w:proofErr w:type="spellEnd"/>
            <w:r w:rsidRPr="00074769">
              <w:rPr>
                <w:sz w:val="20"/>
                <w:szCs w:val="20"/>
                <w:shd w:val="clear" w:color="auto" w:fill="FFFFFF"/>
                <w:lang w:val="fr-FR"/>
              </w:rPr>
              <w:t xml:space="preserve"> 4 litera (a)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1</w:t>
            </w:r>
          </w:p>
          <w:p w14:paraId="50A2927A" w14:textId="77777777" w:rsidR="008F5636" w:rsidRPr="00074769" w:rsidRDefault="008F5636" w:rsidP="000C5A3B">
            <w:pPr>
              <w:pStyle w:val="ti-grseq-1"/>
              <w:numPr>
                <w:ilvl w:val="0"/>
                <w:numId w:val="11"/>
              </w:numPr>
              <w:shd w:val="clear" w:color="auto" w:fill="FFFFFF"/>
              <w:spacing w:before="0" w:beforeAutospacing="0" w:after="0" w:afterAutospacing="0"/>
              <w:ind w:left="397"/>
              <w:jc w:val="both"/>
              <w:rPr>
                <w:b/>
                <w:bCs/>
                <w:sz w:val="20"/>
                <w:szCs w:val="20"/>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alte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care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consecvente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Acordul</w:t>
            </w:r>
            <w:proofErr w:type="spellEnd"/>
            <w:r w:rsidRPr="00074769">
              <w:rPr>
                <w:sz w:val="20"/>
                <w:szCs w:val="20"/>
                <w:shd w:val="clear" w:color="auto" w:fill="FFFFFF"/>
                <w:lang w:val="fr-FR"/>
              </w:rPr>
              <w:t xml:space="preserve"> de la Paris și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strategiile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termen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lung</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existente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contribuția</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îndeplinirea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angajamentului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general</w:t>
            </w:r>
            <w:proofErr w:type="spellEnd"/>
            <w:r w:rsidRPr="00074769">
              <w:rPr>
                <w:sz w:val="20"/>
                <w:szCs w:val="20"/>
                <w:shd w:val="clear" w:color="auto" w:fill="FFFFFF"/>
                <w:lang w:val="fr-FR"/>
              </w:rPr>
              <w:t xml:space="preserve"> al </w:t>
            </w:r>
            <w:proofErr w:type="spellStart"/>
            <w:r w:rsidRPr="00074769">
              <w:rPr>
                <w:sz w:val="20"/>
                <w:szCs w:val="20"/>
                <w:shd w:val="clear" w:color="auto" w:fill="FFFFFF"/>
                <w:lang w:val="fr-FR"/>
              </w:rPr>
              <w:t>Uniunii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reducere</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emisiilor</w:t>
            </w:r>
            <w:proofErr w:type="spellEnd"/>
            <w:r w:rsidRPr="00074769">
              <w:rPr>
                <w:sz w:val="20"/>
                <w:szCs w:val="20"/>
                <w:shd w:val="clear" w:color="auto" w:fill="FFFFFF"/>
                <w:lang w:val="fr-FR"/>
              </w:rPr>
              <w:t xml:space="preserve"> de GES, </w:t>
            </w:r>
            <w:proofErr w:type="spellStart"/>
            <w:r w:rsidRPr="00074769">
              <w:rPr>
                <w:sz w:val="20"/>
                <w:szCs w:val="20"/>
                <w:shd w:val="clear" w:color="auto" w:fill="FFFFFF"/>
                <w:lang w:val="fr-FR"/>
              </w:rPr>
              <w:t>alte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sectoriale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adaptare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disponibile</w:t>
            </w:r>
            <w:proofErr w:type="spellEnd"/>
          </w:p>
          <w:p w14:paraId="233C9FBF" w14:textId="77777777" w:rsidR="008F5636" w:rsidRPr="00074769" w:rsidRDefault="008F5636" w:rsidP="008F5636">
            <w:pPr>
              <w:pStyle w:val="ti-grseq-1"/>
              <w:shd w:val="clear" w:color="auto" w:fill="FFFFFF"/>
              <w:spacing w:before="0" w:beforeAutospacing="0" w:after="0" w:afterAutospacing="0"/>
              <w:ind w:left="397"/>
              <w:jc w:val="both"/>
              <w:rPr>
                <w:b/>
                <w:bCs/>
                <w:color w:val="333333"/>
                <w:sz w:val="20"/>
                <w:szCs w:val="20"/>
                <w:shd w:val="clear" w:color="auto" w:fill="FFFFFF"/>
              </w:rPr>
            </w:pPr>
            <w:r w:rsidRPr="00074769">
              <w:rPr>
                <w:b/>
                <w:bCs/>
                <w:color w:val="333333"/>
                <w:sz w:val="20"/>
                <w:szCs w:val="20"/>
                <w:shd w:val="clear" w:color="auto" w:fill="FFFFFF"/>
              </w:rPr>
              <w:t>2.1.</w:t>
            </w:r>
            <w:proofErr w:type="gramStart"/>
            <w:r w:rsidRPr="00074769">
              <w:rPr>
                <w:b/>
                <w:bCs/>
                <w:color w:val="333333"/>
                <w:sz w:val="20"/>
                <w:szCs w:val="20"/>
                <w:shd w:val="clear" w:color="auto" w:fill="FFFFFF"/>
              </w:rPr>
              <w:t>2.Energia</w:t>
            </w:r>
            <w:proofErr w:type="gramEnd"/>
            <w:r w:rsidRPr="00074769">
              <w:rPr>
                <w:b/>
                <w:bCs/>
                <w:color w:val="333333"/>
                <w:sz w:val="20"/>
                <w:szCs w:val="20"/>
                <w:shd w:val="clear" w:color="auto" w:fill="FFFFFF"/>
              </w:rPr>
              <w:t xml:space="preserve"> din surse </w:t>
            </w:r>
            <w:proofErr w:type="spellStart"/>
            <w:r w:rsidRPr="00074769">
              <w:rPr>
                <w:b/>
                <w:bCs/>
                <w:color w:val="333333"/>
                <w:sz w:val="20"/>
                <w:szCs w:val="20"/>
                <w:shd w:val="clear" w:color="auto" w:fill="FFFFFF"/>
              </w:rPr>
              <w:t>regenerabile</w:t>
            </w:r>
            <w:proofErr w:type="spellEnd"/>
          </w:p>
          <w:p w14:paraId="2D74761D" w14:textId="471A3D3B" w:rsidR="008F5636" w:rsidRPr="00074769" w:rsidRDefault="008F5636" w:rsidP="000C5A3B">
            <w:pPr>
              <w:pStyle w:val="ti-grseq-1"/>
              <w:numPr>
                <w:ilvl w:val="0"/>
                <w:numId w:val="12"/>
              </w:numPr>
              <w:shd w:val="clear" w:color="auto" w:fill="FFFFFF"/>
              <w:spacing w:before="0" w:beforeAutospacing="0" w:after="0" w:afterAutospacing="0"/>
              <w:ind w:left="397"/>
              <w:jc w:val="both"/>
              <w:rPr>
                <w:color w:val="333333"/>
                <w:sz w:val="20"/>
                <w:szCs w:val="20"/>
                <w:shd w:val="clear" w:color="auto" w:fill="FFFFFF"/>
              </w:rPr>
            </w:pPr>
            <w:proofErr w:type="spellStart"/>
            <w:r w:rsidRPr="00074769">
              <w:rPr>
                <w:color w:val="333333"/>
                <w:sz w:val="20"/>
                <w:szCs w:val="20"/>
                <w:shd w:val="clear" w:color="auto" w:fill="FFFFFF"/>
              </w:rPr>
              <w:t>Elementele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prevăzute</w:t>
            </w:r>
            <w:proofErr w:type="spellEnd"/>
            <w:r w:rsidRPr="00074769">
              <w:rPr>
                <w:color w:val="333333"/>
                <w:sz w:val="20"/>
                <w:szCs w:val="20"/>
                <w:shd w:val="clear" w:color="auto" w:fill="FFFFFF"/>
              </w:rPr>
              <w:t xml:space="preserve"> la </w:t>
            </w:r>
            <w:proofErr w:type="spellStart"/>
            <w:r w:rsidRPr="00074769">
              <w:rPr>
                <w:color w:val="333333"/>
                <w:sz w:val="20"/>
                <w:szCs w:val="20"/>
                <w:shd w:val="clear" w:color="auto" w:fill="FFFFFF"/>
              </w:rPr>
              <w:t>articolul</w:t>
            </w:r>
            <w:proofErr w:type="spellEnd"/>
            <w:r w:rsidRPr="00074769">
              <w:rPr>
                <w:color w:val="333333"/>
                <w:sz w:val="20"/>
                <w:szCs w:val="20"/>
                <w:shd w:val="clear" w:color="auto" w:fill="FFFFFF"/>
              </w:rPr>
              <w:t xml:space="preserve"> 4 </w:t>
            </w:r>
            <w:proofErr w:type="spellStart"/>
            <w:r w:rsidRPr="00074769">
              <w:rPr>
                <w:color w:val="333333"/>
                <w:sz w:val="20"/>
                <w:szCs w:val="20"/>
                <w:shd w:val="clear" w:color="auto" w:fill="FFFFFF"/>
              </w:rPr>
              <w:t>litera</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punctul</w:t>
            </w:r>
            <w:proofErr w:type="spellEnd"/>
            <w:r w:rsidRPr="00074769">
              <w:rPr>
                <w:color w:val="333333"/>
                <w:sz w:val="20"/>
                <w:szCs w:val="20"/>
                <w:shd w:val="clear" w:color="auto" w:fill="FFFFFF"/>
              </w:rPr>
              <w:t xml:space="preserve"> 2</w:t>
            </w:r>
          </w:p>
          <w:p w14:paraId="54ABCEBC" w14:textId="536AF248" w:rsidR="008F5636" w:rsidRPr="00074769" w:rsidRDefault="008F5636" w:rsidP="000C5A3B">
            <w:pPr>
              <w:pStyle w:val="ti-grseq-1"/>
              <w:numPr>
                <w:ilvl w:val="0"/>
                <w:numId w:val="12"/>
              </w:numPr>
              <w:shd w:val="clear" w:color="auto" w:fill="FFFFFF"/>
              <w:spacing w:before="0" w:beforeAutospacing="0" w:after="0" w:afterAutospacing="0"/>
              <w:ind w:left="397"/>
              <w:jc w:val="both"/>
              <w:rPr>
                <w:b/>
                <w:bCs/>
                <w:color w:val="333333"/>
                <w:sz w:val="20"/>
                <w:szCs w:val="20"/>
                <w:shd w:val="clear" w:color="auto" w:fill="FFFFFF"/>
              </w:rPr>
            </w:pPr>
            <w:proofErr w:type="spellStart"/>
            <w:r w:rsidRPr="00074769">
              <w:rPr>
                <w:color w:val="333333"/>
                <w:sz w:val="20"/>
                <w:szCs w:val="20"/>
                <w:shd w:val="clear" w:color="auto" w:fill="FFFFFF"/>
              </w:rPr>
              <w:t>Traiectoriile</w:t>
            </w:r>
            <w:proofErr w:type="spellEnd"/>
            <w:r w:rsidRPr="00074769">
              <w:rPr>
                <w:color w:val="333333"/>
                <w:sz w:val="20"/>
                <w:szCs w:val="20"/>
                <w:shd w:val="clear" w:color="auto" w:fill="FFFFFF"/>
              </w:rPr>
              <w:t xml:space="preserve"> estimate </w:t>
            </w:r>
            <w:proofErr w:type="spellStart"/>
            <w:r w:rsidRPr="00074769">
              <w:rPr>
                <w:color w:val="333333"/>
                <w:sz w:val="20"/>
                <w:szCs w:val="20"/>
                <w:shd w:val="clear" w:color="auto" w:fill="FFFFFF"/>
              </w:rPr>
              <w:t>privind</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ponderea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sectorială</w:t>
            </w:r>
            <w:proofErr w:type="spellEnd"/>
            <w:r w:rsidRPr="00074769">
              <w:rPr>
                <w:color w:val="333333"/>
                <w:sz w:val="20"/>
                <w:szCs w:val="20"/>
                <w:shd w:val="clear" w:color="auto" w:fill="FFFFFF"/>
              </w:rPr>
              <w:t xml:space="preserve"> </w:t>
            </w:r>
            <w:proofErr w:type="gramStart"/>
            <w:r w:rsidRPr="00074769">
              <w:rPr>
                <w:color w:val="333333"/>
                <w:sz w:val="20"/>
                <w:szCs w:val="20"/>
                <w:shd w:val="clear" w:color="auto" w:fill="FFFFFF"/>
              </w:rPr>
              <w:t>a</w:t>
            </w:r>
            <w:proofErr w:type="gramEnd"/>
            <w:r w:rsidRPr="00074769">
              <w:rPr>
                <w:color w:val="333333"/>
                <w:sz w:val="20"/>
                <w:szCs w:val="20"/>
                <w:shd w:val="clear" w:color="auto" w:fill="FFFFFF"/>
              </w:rPr>
              <w:t xml:space="preserve"> energiei din surse </w:t>
            </w:r>
            <w:proofErr w:type="spellStart"/>
            <w:r w:rsidRPr="00074769">
              <w:rPr>
                <w:color w:val="333333"/>
                <w:sz w:val="20"/>
                <w:szCs w:val="20"/>
                <w:shd w:val="clear" w:color="auto" w:fill="FFFFFF"/>
              </w:rPr>
              <w:t>regenerabile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consumul</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finală</w:t>
            </w:r>
            <w:proofErr w:type="spellEnd"/>
            <w:r w:rsidRPr="00074769">
              <w:rPr>
                <w:color w:val="333333"/>
                <w:sz w:val="20"/>
                <w:szCs w:val="20"/>
                <w:shd w:val="clear" w:color="auto" w:fill="FFFFFF"/>
              </w:rPr>
              <w:t xml:space="preserve"> în perioada 2021-2030 în </w:t>
            </w:r>
            <w:proofErr w:type="spellStart"/>
            <w:r w:rsidRPr="00074769">
              <w:rPr>
                <w:color w:val="333333"/>
                <w:sz w:val="20"/>
                <w:szCs w:val="20"/>
                <w:shd w:val="clear" w:color="auto" w:fill="FFFFFF"/>
              </w:rPr>
              <w:t>sectorul</w:t>
            </w:r>
            <w:proofErr w:type="spellEnd"/>
            <w:r w:rsidRPr="00074769">
              <w:rPr>
                <w:color w:val="333333"/>
                <w:sz w:val="20"/>
                <w:szCs w:val="20"/>
                <w:shd w:val="clear" w:color="auto" w:fill="FFFFFF"/>
              </w:rPr>
              <w:t xml:space="preserve"> energiei </w:t>
            </w:r>
            <w:proofErr w:type="spellStart"/>
            <w:r w:rsidRPr="00074769">
              <w:rPr>
                <w:color w:val="333333"/>
                <w:sz w:val="20"/>
                <w:szCs w:val="20"/>
                <w:shd w:val="clear" w:color="auto" w:fill="FFFFFF"/>
              </w:rPr>
              <w:t>electrice</w:t>
            </w:r>
            <w:proofErr w:type="spellEnd"/>
            <w:r w:rsidRPr="00074769">
              <w:rPr>
                <w:color w:val="333333"/>
                <w:sz w:val="20"/>
                <w:szCs w:val="20"/>
                <w:shd w:val="clear" w:color="auto" w:fill="FFFFFF"/>
              </w:rPr>
              <w:t xml:space="preserve">, al </w:t>
            </w:r>
            <w:proofErr w:type="spellStart"/>
            <w:r w:rsidRPr="00074769">
              <w:rPr>
                <w:color w:val="333333"/>
                <w:sz w:val="20"/>
                <w:szCs w:val="20"/>
                <w:shd w:val="clear" w:color="auto" w:fill="FFFFFF"/>
              </w:rPr>
              <w:t>încălzirii</w:t>
            </w:r>
            <w:proofErr w:type="spellEnd"/>
            <w:r w:rsidRPr="00074769">
              <w:rPr>
                <w:color w:val="333333"/>
                <w:sz w:val="20"/>
                <w:szCs w:val="20"/>
                <w:shd w:val="clear" w:color="auto" w:fill="FFFFFF"/>
              </w:rPr>
              <w:t xml:space="preserve"> și al </w:t>
            </w:r>
            <w:proofErr w:type="spellStart"/>
            <w:r w:rsidRPr="00074769">
              <w:rPr>
                <w:color w:val="333333"/>
                <w:sz w:val="20"/>
                <w:szCs w:val="20"/>
                <w:shd w:val="clear" w:color="auto" w:fill="FFFFFF"/>
              </w:rPr>
              <w:t>răcirii</w:t>
            </w:r>
            <w:proofErr w:type="spellEnd"/>
            <w:r w:rsidRPr="00074769">
              <w:rPr>
                <w:color w:val="333333"/>
                <w:sz w:val="20"/>
                <w:szCs w:val="20"/>
                <w:shd w:val="clear" w:color="auto" w:fill="FFFFFF"/>
              </w:rPr>
              <w:t xml:space="preserve"> și în </w:t>
            </w:r>
            <w:proofErr w:type="spellStart"/>
            <w:r w:rsidRPr="00074769">
              <w:rPr>
                <w:color w:val="333333"/>
                <w:sz w:val="20"/>
                <w:szCs w:val="20"/>
                <w:shd w:val="clear" w:color="auto" w:fill="FFFFFF"/>
              </w:rPr>
              <w:t>sectorul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transporturilor</w:t>
            </w:r>
            <w:proofErr w:type="spellEnd"/>
          </w:p>
          <w:p w14:paraId="33F8DD2D" w14:textId="61BB19F4" w:rsidR="008F5636" w:rsidRPr="00074769" w:rsidRDefault="008F5636" w:rsidP="000C5A3B">
            <w:pPr>
              <w:pStyle w:val="ti-grseq-1"/>
              <w:numPr>
                <w:ilvl w:val="0"/>
                <w:numId w:val="12"/>
              </w:numPr>
              <w:shd w:val="clear" w:color="auto" w:fill="FFFFFF"/>
              <w:spacing w:before="0" w:beforeAutospacing="0" w:after="0" w:afterAutospacing="0"/>
              <w:ind w:left="397"/>
              <w:jc w:val="both"/>
              <w:rPr>
                <w:b/>
                <w:bCs/>
                <w:color w:val="333333"/>
                <w:sz w:val="20"/>
                <w:szCs w:val="20"/>
                <w:shd w:val="clear" w:color="auto" w:fill="FFFFFF"/>
              </w:rPr>
            </w:pPr>
            <w:proofErr w:type="spellStart"/>
            <w:r w:rsidRPr="00074769">
              <w:rPr>
                <w:color w:val="333333"/>
                <w:sz w:val="20"/>
                <w:szCs w:val="20"/>
                <w:shd w:val="clear" w:color="auto" w:fill="FFFFFF"/>
              </w:rPr>
              <w:t>Traiectoriile</w:t>
            </w:r>
            <w:proofErr w:type="spellEnd"/>
            <w:r w:rsidRPr="00074769">
              <w:rPr>
                <w:color w:val="333333"/>
                <w:sz w:val="20"/>
                <w:szCs w:val="20"/>
                <w:shd w:val="clear" w:color="auto" w:fill="FFFFFF"/>
              </w:rPr>
              <w:t xml:space="preserve"> estimate, defalcate per </w:t>
            </w:r>
            <w:proofErr w:type="spellStart"/>
            <w:r w:rsidRPr="00074769">
              <w:rPr>
                <w:color w:val="333333"/>
                <w:sz w:val="20"/>
                <w:szCs w:val="20"/>
                <w:shd w:val="clear" w:color="auto" w:fill="FFFFFF"/>
              </w:rPr>
              <w:t>tehnologie</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din surse </w:t>
            </w:r>
            <w:proofErr w:type="spellStart"/>
            <w:r w:rsidRPr="00074769">
              <w:rPr>
                <w:color w:val="333333"/>
                <w:sz w:val="20"/>
                <w:szCs w:val="20"/>
                <w:shd w:val="clear" w:color="auto" w:fill="FFFFFF"/>
              </w:rPr>
              <w:t>regenerabile</w:t>
            </w:r>
            <w:proofErr w:type="spellEnd"/>
            <w:r w:rsidRPr="00074769">
              <w:rPr>
                <w:color w:val="333333"/>
                <w:sz w:val="20"/>
                <w:szCs w:val="20"/>
                <w:shd w:val="clear" w:color="auto" w:fill="FFFFFF"/>
              </w:rPr>
              <w:t xml:space="preserve"> pe care </w:t>
            </w:r>
            <w:proofErr w:type="spellStart"/>
            <w:r w:rsidRPr="00074769">
              <w:rPr>
                <w:color w:val="333333"/>
                <w:sz w:val="20"/>
                <w:szCs w:val="20"/>
                <w:shd w:val="clear" w:color="auto" w:fill="FFFFFF"/>
              </w:rPr>
              <w:t>statul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membru</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intenționează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să</w:t>
            </w:r>
            <w:proofErr w:type="spellEnd"/>
            <w:r w:rsidRPr="00074769">
              <w:rPr>
                <w:color w:val="333333"/>
                <w:sz w:val="20"/>
                <w:szCs w:val="20"/>
                <w:shd w:val="clear" w:color="auto" w:fill="FFFFFF"/>
              </w:rPr>
              <w:t xml:space="preserve"> le </w:t>
            </w:r>
            <w:proofErr w:type="spellStart"/>
            <w:r w:rsidRPr="00074769">
              <w:rPr>
                <w:color w:val="333333"/>
                <w:sz w:val="20"/>
                <w:szCs w:val="20"/>
                <w:shd w:val="clear" w:color="auto" w:fill="FFFFFF"/>
              </w:rPr>
              <w:t>folosească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pentru</w:t>
            </w:r>
            <w:proofErr w:type="spellEnd"/>
            <w:r w:rsidRPr="00074769">
              <w:rPr>
                <w:color w:val="333333"/>
                <w:sz w:val="20"/>
                <w:szCs w:val="20"/>
                <w:shd w:val="clear" w:color="auto" w:fill="FFFFFF"/>
              </w:rPr>
              <w:t xml:space="preserve"> </w:t>
            </w:r>
            <w:proofErr w:type="gramStart"/>
            <w:r w:rsidRPr="00074769">
              <w:rPr>
                <w:color w:val="333333"/>
                <w:sz w:val="20"/>
                <w:szCs w:val="20"/>
                <w:shd w:val="clear" w:color="auto" w:fill="FFFFFF"/>
              </w:rPr>
              <w:t>a</w:t>
            </w:r>
            <w:proofErr w:type="gramEnd"/>
            <w:r w:rsidRPr="00074769">
              <w:rPr>
                <w:color w:val="333333"/>
                <w:sz w:val="20"/>
                <w:szCs w:val="20"/>
                <w:shd w:val="clear" w:color="auto" w:fill="FFFFFF"/>
              </w:rPr>
              <w:t xml:space="preserve"> </w:t>
            </w:r>
            <w:proofErr w:type="spellStart"/>
            <w:r w:rsidRPr="00074769">
              <w:rPr>
                <w:color w:val="333333"/>
                <w:sz w:val="20"/>
                <w:szCs w:val="20"/>
                <w:shd w:val="clear" w:color="auto" w:fill="FFFFFF"/>
              </w:rPr>
              <w:t>obține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traiectoriile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sectoriale</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traiectoria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globală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pentru</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energia</w:t>
            </w:r>
            <w:proofErr w:type="spellEnd"/>
            <w:r w:rsidRPr="00074769">
              <w:rPr>
                <w:color w:val="333333"/>
                <w:sz w:val="20"/>
                <w:szCs w:val="20"/>
                <w:shd w:val="clear" w:color="auto" w:fill="FFFFFF"/>
              </w:rPr>
              <w:t xml:space="preserve"> din surse </w:t>
            </w:r>
            <w:proofErr w:type="spellStart"/>
            <w:r w:rsidRPr="00074769">
              <w:rPr>
                <w:color w:val="333333"/>
                <w:sz w:val="20"/>
                <w:szCs w:val="20"/>
                <w:shd w:val="clear" w:color="auto" w:fill="FFFFFF"/>
              </w:rPr>
              <w:t>regenerabile</w:t>
            </w:r>
            <w:proofErr w:type="spellEnd"/>
            <w:r w:rsidRPr="00074769">
              <w:rPr>
                <w:color w:val="333333"/>
                <w:sz w:val="20"/>
                <w:szCs w:val="20"/>
                <w:shd w:val="clear" w:color="auto" w:fill="FFFFFF"/>
              </w:rPr>
              <w:t xml:space="preserve"> în perioada 2021-2030, </w:t>
            </w:r>
            <w:proofErr w:type="spellStart"/>
            <w:r w:rsidRPr="00074769">
              <w:rPr>
                <w:color w:val="333333"/>
                <w:sz w:val="20"/>
                <w:szCs w:val="20"/>
                <w:shd w:val="clear" w:color="auto" w:fill="FFFFFF"/>
              </w:rPr>
              <w:t>inclusiv</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consumul</w:t>
            </w:r>
            <w:proofErr w:type="spellEnd"/>
            <w:r w:rsidRPr="00074769">
              <w:rPr>
                <w:color w:val="333333"/>
                <w:sz w:val="20"/>
                <w:szCs w:val="20"/>
                <w:shd w:val="clear" w:color="auto" w:fill="FFFFFF"/>
              </w:rPr>
              <w:t xml:space="preserve"> final brut total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preconizat</w:t>
            </w:r>
            <w:proofErr w:type="spellEnd"/>
            <w:r w:rsidRPr="00074769">
              <w:rPr>
                <w:color w:val="333333"/>
                <w:sz w:val="20"/>
                <w:szCs w:val="20"/>
                <w:shd w:val="clear" w:color="auto" w:fill="FFFFFF"/>
              </w:rPr>
              <w:t xml:space="preserve"> per </w:t>
            </w:r>
            <w:proofErr w:type="spellStart"/>
            <w:r w:rsidRPr="00074769">
              <w:rPr>
                <w:color w:val="333333"/>
                <w:sz w:val="20"/>
                <w:szCs w:val="20"/>
                <w:shd w:val="clear" w:color="auto" w:fill="FFFFFF"/>
              </w:rPr>
              <w:t>tehnologie</w:t>
            </w:r>
            <w:proofErr w:type="spellEnd"/>
            <w:r w:rsidRPr="00074769">
              <w:rPr>
                <w:color w:val="333333"/>
                <w:sz w:val="20"/>
                <w:szCs w:val="20"/>
                <w:shd w:val="clear" w:color="auto" w:fill="FFFFFF"/>
              </w:rPr>
              <w:t xml:space="preserve"> și per sector, în </w:t>
            </w:r>
            <w:proofErr w:type="spellStart"/>
            <w:r w:rsidRPr="00074769">
              <w:rPr>
                <w:color w:val="333333"/>
                <w:sz w:val="20"/>
                <w:szCs w:val="20"/>
                <w:shd w:val="clear" w:color="auto" w:fill="FFFFFF"/>
              </w:rPr>
              <w:t>Mtep</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puterea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totală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instalată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planificată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împărțită</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putere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nouă</w:t>
            </w:r>
            <w:proofErr w:type="spellEnd"/>
            <w:r w:rsidRPr="00074769">
              <w:rPr>
                <w:color w:val="333333"/>
                <w:sz w:val="20"/>
                <w:szCs w:val="20"/>
                <w:shd w:val="clear" w:color="auto" w:fill="FFFFFF"/>
              </w:rPr>
              <w:t xml:space="preserve"> și repowering) per </w:t>
            </w:r>
            <w:proofErr w:type="spellStart"/>
            <w:r w:rsidRPr="00074769">
              <w:rPr>
                <w:color w:val="333333"/>
                <w:sz w:val="20"/>
                <w:szCs w:val="20"/>
                <w:shd w:val="clear" w:color="auto" w:fill="FFFFFF"/>
              </w:rPr>
              <w:t>tehnologie</w:t>
            </w:r>
            <w:proofErr w:type="spellEnd"/>
            <w:r w:rsidRPr="00074769">
              <w:rPr>
                <w:color w:val="333333"/>
                <w:sz w:val="20"/>
                <w:szCs w:val="20"/>
                <w:shd w:val="clear" w:color="auto" w:fill="FFFFFF"/>
              </w:rPr>
              <w:t xml:space="preserve"> și per sector, în MW</w:t>
            </w:r>
          </w:p>
          <w:p w14:paraId="48A73B92" w14:textId="77777777" w:rsidR="008F5636" w:rsidRPr="00074769" w:rsidRDefault="008F5636" w:rsidP="000C5A3B">
            <w:pPr>
              <w:pStyle w:val="ti-grseq-1"/>
              <w:numPr>
                <w:ilvl w:val="0"/>
                <w:numId w:val="12"/>
              </w:numPr>
              <w:shd w:val="clear" w:color="auto" w:fill="FFFFFF"/>
              <w:spacing w:before="0" w:beforeAutospacing="0" w:after="0" w:afterAutospacing="0"/>
              <w:ind w:left="397"/>
              <w:jc w:val="both"/>
              <w:rPr>
                <w:color w:val="333333"/>
                <w:sz w:val="20"/>
                <w:szCs w:val="20"/>
                <w:shd w:val="clear" w:color="auto" w:fill="FFFFFF"/>
                <w:lang w:val="fr-FR"/>
              </w:rPr>
            </w:pPr>
            <w:proofErr w:type="spellStart"/>
            <w:r w:rsidRPr="00074769">
              <w:rPr>
                <w:color w:val="333333"/>
                <w:sz w:val="20"/>
                <w:szCs w:val="20"/>
                <w:shd w:val="clear" w:color="auto" w:fill="FFFFFF"/>
              </w:rPr>
              <w:t>Traiectoriile</w:t>
            </w:r>
            <w:proofErr w:type="spellEnd"/>
            <w:r w:rsidRPr="00074769">
              <w:rPr>
                <w:color w:val="333333"/>
                <w:sz w:val="20"/>
                <w:szCs w:val="20"/>
                <w:shd w:val="clear" w:color="auto" w:fill="FFFFFF"/>
              </w:rPr>
              <w:t xml:space="preserve"> estimate </w:t>
            </w:r>
            <w:proofErr w:type="spellStart"/>
            <w:r w:rsidRPr="00074769">
              <w:rPr>
                <w:color w:val="333333"/>
                <w:sz w:val="20"/>
                <w:szCs w:val="20"/>
                <w:shd w:val="clear" w:color="auto" w:fill="FFFFFF"/>
              </w:rPr>
              <w:t>privind</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cererea</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bioenergie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defalcată</w:t>
            </w:r>
            <w:proofErr w:type="spellEnd"/>
            <w:r w:rsidRPr="00074769">
              <w:rPr>
                <w:color w:val="333333"/>
                <w:sz w:val="20"/>
                <w:szCs w:val="20"/>
                <w:shd w:val="clear" w:color="auto" w:fill="FFFFFF"/>
              </w:rPr>
              <w:t xml:space="preserve"> pe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termică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electrică</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transporturi</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privind</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oferta</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biomasă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defalcată</w:t>
            </w:r>
            <w:proofErr w:type="spellEnd"/>
            <w:r w:rsidRPr="00074769">
              <w:rPr>
                <w:color w:val="333333"/>
                <w:sz w:val="20"/>
                <w:szCs w:val="20"/>
                <w:shd w:val="clear" w:color="auto" w:fill="FFFFFF"/>
              </w:rPr>
              <w:t xml:space="preserve"> pe </w:t>
            </w:r>
            <w:proofErr w:type="spellStart"/>
            <w:r w:rsidRPr="00074769">
              <w:rPr>
                <w:color w:val="333333"/>
                <w:sz w:val="20"/>
                <w:szCs w:val="20"/>
                <w:shd w:val="clear" w:color="auto" w:fill="FFFFFF"/>
              </w:rPr>
              <w:t>materii</w:t>
            </w:r>
            <w:proofErr w:type="spellEnd"/>
            <w:r w:rsidRPr="00074769">
              <w:rPr>
                <w:color w:val="333333"/>
                <w:sz w:val="20"/>
                <w:szCs w:val="20"/>
                <w:shd w:val="clear" w:color="auto" w:fill="FFFFFF"/>
              </w:rPr>
              <w:t xml:space="preserve"> prime și pe </w:t>
            </w:r>
            <w:proofErr w:type="spellStart"/>
            <w:r w:rsidRPr="00074769">
              <w:rPr>
                <w:color w:val="333333"/>
                <w:sz w:val="20"/>
                <w:szCs w:val="20"/>
                <w:shd w:val="clear" w:color="auto" w:fill="FFFFFF"/>
              </w:rPr>
              <w:t>proveniență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făcând</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distincție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între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producția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internă</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importuri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biomasa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forestieră</w:t>
            </w:r>
            <w:proofErr w:type="spellEnd"/>
            <w:r w:rsidRPr="00074769">
              <w:rPr>
                <w:color w:val="333333"/>
                <w:sz w:val="20"/>
                <w:szCs w:val="20"/>
                <w:shd w:val="clear" w:color="auto" w:fill="FFFFFF"/>
                <w:lang w:val="fr-FR"/>
              </w:rPr>
              <w:t xml:space="preserve">, o </w:t>
            </w:r>
            <w:proofErr w:type="spellStart"/>
            <w:r w:rsidRPr="00074769">
              <w:rPr>
                <w:color w:val="333333"/>
                <w:sz w:val="20"/>
                <w:szCs w:val="20"/>
                <w:shd w:val="clear" w:color="auto" w:fill="FFFFFF"/>
                <w:lang w:val="fr-FR"/>
              </w:rPr>
              <w:t>evaluare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sursei</w:t>
            </w:r>
            <w:proofErr w:type="spellEnd"/>
            <w:r w:rsidRPr="00074769">
              <w:rPr>
                <w:color w:val="333333"/>
                <w:sz w:val="20"/>
                <w:szCs w:val="20"/>
                <w:shd w:val="clear" w:color="auto" w:fill="FFFFFF"/>
                <w:lang w:val="fr-FR"/>
              </w:rPr>
              <w:t xml:space="preserve"> sale și </w:t>
            </w:r>
            <w:proofErr w:type="spellStart"/>
            <w:r w:rsidRPr="00074769">
              <w:rPr>
                <w:color w:val="333333"/>
                <w:sz w:val="20"/>
                <w:szCs w:val="20"/>
                <w:shd w:val="clear" w:color="auto" w:fill="FFFFFF"/>
                <w:lang w:val="fr-FR"/>
              </w:rPr>
              <w:t>impactul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asupra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absorbantului</w:t>
            </w:r>
            <w:proofErr w:type="spellEnd"/>
            <w:r w:rsidRPr="00074769">
              <w:rPr>
                <w:color w:val="333333"/>
                <w:sz w:val="20"/>
                <w:szCs w:val="20"/>
                <w:shd w:val="clear" w:color="auto" w:fill="FFFFFF"/>
                <w:lang w:val="fr-FR"/>
              </w:rPr>
              <w:t xml:space="preserve"> LULUCF.</w:t>
            </w:r>
          </w:p>
          <w:p w14:paraId="72AFDD4B" w14:textId="021E283C" w:rsidR="008F5636" w:rsidRPr="00074769" w:rsidRDefault="008F5636" w:rsidP="000C5A3B">
            <w:pPr>
              <w:pStyle w:val="ti-grseq-1"/>
              <w:numPr>
                <w:ilvl w:val="0"/>
                <w:numId w:val="12"/>
              </w:numPr>
              <w:shd w:val="clear" w:color="auto" w:fill="FFFFFF"/>
              <w:spacing w:before="0" w:beforeAutospacing="0" w:after="0" w:afterAutospacing="0"/>
              <w:ind w:left="397"/>
              <w:jc w:val="both"/>
              <w:rPr>
                <w:b/>
                <w:bCs/>
                <w:color w:val="333333"/>
                <w:sz w:val="20"/>
                <w:szCs w:val="20"/>
                <w:shd w:val="clear" w:color="auto" w:fill="FFFFFF"/>
                <w:lang w:val="fr-FR"/>
              </w:rPr>
            </w:pPr>
            <w:proofErr w:type="spellStart"/>
            <w:r w:rsidRPr="00074769">
              <w:rPr>
                <w:color w:val="333333"/>
                <w:sz w:val="20"/>
                <w:szCs w:val="20"/>
                <w:lang w:val="fr-FR"/>
              </w:rPr>
              <w:t>Dacă</w:t>
            </w:r>
            <w:proofErr w:type="spellEnd"/>
            <w:r w:rsidRPr="00074769">
              <w:rPr>
                <w:color w:val="333333"/>
                <w:sz w:val="20"/>
                <w:szCs w:val="20"/>
                <w:lang w:val="fr-FR"/>
              </w:rPr>
              <w:t xml:space="preserve"> este </w:t>
            </w:r>
            <w:proofErr w:type="spellStart"/>
            <w:r w:rsidRPr="00074769">
              <w:rPr>
                <w:color w:val="333333"/>
                <w:sz w:val="20"/>
                <w:szCs w:val="20"/>
                <w:lang w:val="fr-FR"/>
              </w:rPr>
              <w:t>cazul</w:t>
            </w:r>
            <w:proofErr w:type="spellEnd"/>
            <w:r w:rsidRPr="00074769">
              <w:rPr>
                <w:color w:val="333333"/>
                <w:sz w:val="20"/>
                <w:szCs w:val="20"/>
                <w:lang w:val="fr-FR"/>
              </w:rPr>
              <w:t xml:space="preserve">, </w:t>
            </w:r>
            <w:proofErr w:type="spellStart"/>
            <w:r w:rsidRPr="00074769">
              <w:rPr>
                <w:color w:val="333333"/>
                <w:sz w:val="20"/>
                <w:szCs w:val="20"/>
                <w:lang w:val="fr-FR"/>
              </w:rPr>
              <w:t>alte</w:t>
            </w:r>
            <w:proofErr w:type="spellEnd"/>
            <w:r w:rsidRPr="00074769">
              <w:rPr>
                <w:color w:val="333333"/>
                <w:sz w:val="20"/>
                <w:szCs w:val="20"/>
                <w:lang w:val="fr-FR"/>
              </w:rPr>
              <w:t xml:space="preserve"> </w:t>
            </w:r>
            <w:proofErr w:type="spellStart"/>
            <w:r w:rsidRPr="00074769">
              <w:rPr>
                <w:color w:val="333333"/>
                <w:sz w:val="20"/>
                <w:szCs w:val="20"/>
                <w:lang w:val="fr-FR"/>
              </w:rPr>
              <w:t>traiectorii</w:t>
            </w:r>
            <w:proofErr w:type="spellEnd"/>
            <w:r w:rsidRPr="00074769">
              <w:rPr>
                <w:color w:val="333333"/>
                <w:sz w:val="20"/>
                <w:szCs w:val="20"/>
                <w:lang w:val="fr-FR"/>
              </w:rPr>
              <w:t xml:space="preserve"> și </w:t>
            </w:r>
            <w:proofErr w:type="spellStart"/>
            <w:r w:rsidRPr="00074769">
              <w:rPr>
                <w:color w:val="333333"/>
                <w:sz w:val="20"/>
                <w:szCs w:val="20"/>
                <w:lang w:val="fr-FR"/>
              </w:rPr>
              <w:t>obiective</w:t>
            </w:r>
            <w:proofErr w:type="spellEnd"/>
            <w:r w:rsidRPr="00074769">
              <w:rPr>
                <w:color w:val="333333"/>
                <w:sz w:val="20"/>
                <w:szCs w:val="20"/>
                <w:lang w:val="fr-FR"/>
              </w:rPr>
              <w:t xml:space="preserve"> </w:t>
            </w:r>
            <w:proofErr w:type="spellStart"/>
            <w:r w:rsidRPr="00074769">
              <w:rPr>
                <w:color w:val="333333"/>
                <w:sz w:val="20"/>
                <w:szCs w:val="20"/>
                <w:lang w:val="fr-FR"/>
              </w:rPr>
              <w:t>naționale</w:t>
            </w:r>
            <w:proofErr w:type="spellEnd"/>
            <w:r w:rsidRPr="00074769">
              <w:rPr>
                <w:color w:val="333333"/>
                <w:sz w:val="20"/>
                <w:szCs w:val="20"/>
                <w:lang w:val="fr-FR"/>
              </w:rPr>
              <w:t xml:space="preserve">, </w:t>
            </w:r>
            <w:proofErr w:type="spellStart"/>
            <w:r w:rsidRPr="00074769">
              <w:rPr>
                <w:color w:val="333333"/>
                <w:sz w:val="20"/>
                <w:szCs w:val="20"/>
                <w:lang w:val="fr-FR"/>
              </w:rPr>
              <w:t>inclusiv</w:t>
            </w:r>
            <w:proofErr w:type="spellEnd"/>
            <w:r w:rsidRPr="00074769">
              <w:rPr>
                <w:color w:val="333333"/>
                <w:sz w:val="20"/>
                <w:szCs w:val="20"/>
                <w:lang w:val="fr-FR"/>
              </w:rPr>
              <w:t xml:space="preserve"> </w:t>
            </w:r>
            <w:proofErr w:type="spellStart"/>
            <w:r w:rsidRPr="00074769">
              <w:rPr>
                <w:color w:val="333333"/>
                <w:sz w:val="20"/>
                <w:szCs w:val="20"/>
                <w:lang w:val="fr-FR"/>
              </w:rPr>
              <w:t>pe</w:t>
            </w:r>
            <w:proofErr w:type="spellEnd"/>
            <w:r w:rsidRPr="00074769">
              <w:rPr>
                <w:color w:val="333333"/>
                <w:sz w:val="20"/>
                <w:szCs w:val="20"/>
                <w:lang w:val="fr-FR"/>
              </w:rPr>
              <w:t xml:space="preserve"> </w:t>
            </w:r>
            <w:proofErr w:type="spellStart"/>
            <w:r w:rsidRPr="00074769">
              <w:rPr>
                <w:color w:val="333333"/>
                <w:sz w:val="20"/>
                <w:szCs w:val="20"/>
                <w:lang w:val="fr-FR"/>
              </w:rPr>
              <w:t>termen</w:t>
            </w:r>
            <w:proofErr w:type="spellEnd"/>
            <w:r w:rsidRPr="00074769">
              <w:rPr>
                <w:color w:val="333333"/>
                <w:sz w:val="20"/>
                <w:szCs w:val="20"/>
                <w:lang w:val="fr-FR"/>
              </w:rPr>
              <w:t xml:space="preserve"> </w:t>
            </w:r>
            <w:proofErr w:type="spellStart"/>
            <w:r w:rsidRPr="00074769">
              <w:rPr>
                <w:color w:val="333333"/>
                <w:sz w:val="20"/>
                <w:szCs w:val="20"/>
                <w:lang w:val="fr-FR"/>
              </w:rPr>
              <w:t>lung</w:t>
            </w:r>
            <w:proofErr w:type="spellEnd"/>
            <w:r w:rsidRPr="00074769">
              <w:rPr>
                <w:color w:val="333333"/>
                <w:sz w:val="20"/>
                <w:szCs w:val="20"/>
                <w:lang w:val="fr-FR"/>
              </w:rPr>
              <w:t xml:space="preserve"> </w:t>
            </w:r>
            <w:proofErr w:type="spellStart"/>
            <w:r w:rsidRPr="00074769">
              <w:rPr>
                <w:color w:val="333333"/>
                <w:sz w:val="20"/>
                <w:szCs w:val="20"/>
                <w:lang w:val="fr-FR"/>
              </w:rPr>
              <w:t>sau</w:t>
            </w:r>
            <w:proofErr w:type="spellEnd"/>
            <w:r w:rsidRPr="00074769">
              <w:rPr>
                <w:color w:val="333333"/>
                <w:sz w:val="20"/>
                <w:szCs w:val="20"/>
                <w:lang w:val="fr-FR"/>
              </w:rPr>
              <w:t xml:space="preserve"> </w:t>
            </w:r>
            <w:proofErr w:type="spellStart"/>
            <w:r w:rsidRPr="00074769">
              <w:rPr>
                <w:color w:val="333333"/>
                <w:sz w:val="20"/>
                <w:szCs w:val="20"/>
                <w:lang w:val="fr-FR"/>
              </w:rPr>
              <w:t>sectoriale</w:t>
            </w:r>
            <w:proofErr w:type="spellEnd"/>
            <w:r w:rsidRPr="00074769">
              <w:rPr>
                <w:color w:val="333333"/>
                <w:sz w:val="20"/>
                <w:szCs w:val="20"/>
                <w:lang w:val="fr-FR"/>
              </w:rPr>
              <w:t xml:space="preserve"> (de </w:t>
            </w:r>
            <w:proofErr w:type="spellStart"/>
            <w:r w:rsidRPr="00074769">
              <w:rPr>
                <w:color w:val="333333"/>
                <w:sz w:val="20"/>
                <w:szCs w:val="20"/>
                <w:lang w:val="fr-FR"/>
              </w:rPr>
              <w:t>exemplu</w:t>
            </w:r>
            <w:proofErr w:type="spellEnd"/>
            <w:r w:rsidRPr="00074769">
              <w:rPr>
                <w:color w:val="333333"/>
                <w:sz w:val="20"/>
                <w:szCs w:val="20"/>
                <w:lang w:val="fr-FR"/>
              </w:rPr>
              <w:t xml:space="preserve">, </w:t>
            </w:r>
            <w:proofErr w:type="spellStart"/>
            <w:r w:rsidRPr="00074769">
              <w:rPr>
                <w:color w:val="333333"/>
                <w:sz w:val="20"/>
                <w:szCs w:val="20"/>
                <w:lang w:val="fr-FR"/>
              </w:rPr>
              <w:t>ponderea</w:t>
            </w:r>
            <w:proofErr w:type="spellEnd"/>
            <w:r w:rsidRPr="00074769">
              <w:rPr>
                <w:color w:val="333333"/>
                <w:sz w:val="20"/>
                <w:szCs w:val="20"/>
                <w:lang w:val="fr-FR"/>
              </w:rPr>
              <w:t xml:space="preserve"> energiei </w:t>
            </w:r>
            <w:proofErr w:type="spellStart"/>
            <w:r w:rsidRPr="00074769">
              <w:rPr>
                <w:color w:val="333333"/>
                <w:sz w:val="20"/>
                <w:szCs w:val="20"/>
                <w:lang w:val="fr-FR"/>
              </w:rPr>
              <w:t>din</w:t>
            </w:r>
            <w:proofErr w:type="spellEnd"/>
            <w:r w:rsidRPr="00074769">
              <w:rPr>
                <w:color w:val="333333"/>
                <w:sz w:val="20"/>
                <w:szCs w:val="20"/>
                <w:lang w:val="fr-FR"/>
              </w:rPr>
              <w:t xml:space="preserve"> surse </w:t>
            </w:r>
            <w:proofErr w:type="spellStart"/>
            <w:r w:rsidRPr="00074769">
              <w:rPr>
                <w:color w:val="333333"/>
                <w:sz w:val="20"/>
                <w:szCs w:val="20"/>
                <w:lang w:val="fr-FR"/>
              </w:rPr>
              <w:t>regenerabile</w:t>
            </w:r>
            <w:proofErr w:type="spellEnd"/>
            <w:r w:rsidRPr="00074769">
              <w:rPr>
                <w:color w:val="333333"/>
                <w:sz w:val="20"/>
                <w:szCs w:val="20"/>
                <w:lang w:val="fr-FR"/>
              </w:rPr>
              <w:t xml:space="preserve"> în </w:t>
            </w:r>
            <w:proofErr w:type="spellStart"/>
            <w:r w:rsidRPr="00074769">
              <w:rPr>
                <w:color w:val="333333"/>
                <w:sz w:val="20"/>
                <w:szCs w:val="20"/>
                <w:lang w:val="fr-FR"/>
              </w:rPr>
              <w:t>încălzirea</w:t>
            </w:r>
            <w:proofErr w:type="spellEnd"/>
            <w:r w:rsidRPr="00074769">
              <w:rPr>
                <w:color w:val="333333"/>
                <w:sz w:val="20"/>
                <w:szCs w:val="20"/>
                <w:lang w:val="fr-FR"/>
              </w:rPr>
              <w:t xml:space="preserve"> </w:t>
            </w:r>
            <w:proofErr w:type="spellStart"/>
            <w:r w:rsidRPr="00074769">
              <w:rPr>
                <w:color w:val="333333"/>
                <w:sz w:val="20"/>
                <w:szCs w:val="20"/>
                <w:lang w:val="fr-FR"/>
              </w:rPr>
              <w:t>centralizată</w:t>
            </w:r>
            <w:proofErr w:type="spellEnd"/>
            <w:r w:rsidRPr="00074769">
              <w:rPr>
                <w:color w:val="333333"/>
                <w:sz w:val="20"/>
                <w:szCs w:val="20"/>
                <w:lang w:val="fr-FR"/>
              </w:rPr>
              <w:t xml:space="preserve">, </w:t>
            </w:r>
            <w:proofErr w:type="spellStart"/>
            <w:r w:rsidRPr="00074769">
              <w:rPr>
                <w:color w:val="333333"/>
                <w:sz w:val="20"/>
                <w:szCs w:val="20"/>
                <w:lang w:val="fr-FR"/>
              </w:rPr>
              <w:t>utilizarea</w:t>
            </w:r>
            <w:proofErr w:type="spellEnd"/>
            <w:r w:rsidRPr="00074769">
              <w:rPr>
                <w:color w:val="333333"/>
                <w:sz w:val="20"/>
                <w:szCs w:val="20"/>
                <w:lang w:val="fr-FR"/>
              </w:rPr>
              <w:t xml:space="preserve"> energiei </w:t>
            </w:r>
            <w:proofErr w:type="spellStart"/>
            <w:r w:rsidRPr="00074769">
              <w:rPr>
                <w:color w:val="333333"/>
                <w:sz w:val="20"/>
                <w:szCs w:val="20"/>
                <w:lang w:val="fr-FR"/>
              </w:rPr>
              <w:t>din</w:t>
            </w:r>
            <w:proofErr w:type="spellEnd"/>
            <w:r w:rsidRPr="00074769">
              <w:rPr>
                <w:color w:val="333333"/>
                <w:sz w:val="20"/>
                <w:szCs w:val="20"/>
                <w:lang w:val="fr-FR"/>
              </w:rPr>
              <w:t xml:space="preserve"> surse </w:t>
            </w:r>
            <w:proofErr w:type="spellStart"/>
            <w:r w:rsidRPr="00074769">
              <w:rPr>
                <w:color w:val="333333"/>
                <w:sz w:val="20"/>
                <w:szCs w:val="20"/>
                <w:lang w:val="fr-FR"/>
              </w:rPr>
              <w:t>regenerabile</w:t>
            </w:r>
            <w:proofErr w:type="spellEnd"/>
            <w:r w:rsidRPr="00074769">
              <w:rPr>
                <w:color w:val="333333"/>
                <w:sz w:val="20"/>
                <w:szCs w:val="20"/>
                <w:lang w:val="fr-FR"/>
              </w:rPr>
              <w:t xml:space="preserve"> în </w:t>
            </w:r>
            <w:proofErr w:type="spellStart"/>
            <w:r w:rsidRPr="00074769">
              <w:rPr>
                <w:color w:val="333333"/>
                <w:sz w:val="20"/>
                <w:szCs w:val="20"/>
                <w:lang w:val="fr-FR"/>
              </w:rPr>
              <w:t>clădiri</w:t>
            </w:r>
            <w:proofErr w:type="spellEnd"/>
            <w:r w:rsidRPr="00074769">
              <w:rPr>
                <w:color w:val="333333"/>
                <w:sz w:val="20"/>
                <w:szCs w:val="20"/>
                <w:lang w:val="fr-FR"/>
              </w:rPr>
              <w:t xml:space="preserve">, </w:t>
            </w:r>
            <w:proofErr w:type="spellStart"/>
            <w:r w:rsidRPr="00074769">
              <w:rPr>
                <w:color w:val="333333"/>
                <w:sz w:val="20"/>
                <w:szCs w:val="20"/>
                <w:lang w:val="fr-FR"/>
              </w:rPr>
              <w:t>energia</w:t>
            </w:r>
            <w:proofErr w:type="spellEnd"/>
            <w:r w:rsidRPr="00074769">
              <w:rPr>
                <w:color w:val="333333"/>
                <w:sz w:val="20"/>
                <w:szCs w:val="20"/>
                <w:lang w:val="fr-FR"/>
              </w:rPr>
              <w:t xml:space="preserve"> </w:t>
            </w:r>
            <w:proofErr w:type="spellStart"/>
            <w:r w:rsidRPr="00074769">
              <w:rPr>
                <w:color w:val="333333"/>
                <w:sz w:val="20"/>
                <w:szCs w:val="20"/>
                <w:lang w:val="fr-FR"/>
              </w:rPr>
              <w:t>din</w:t>
            </w:r>
            <w:proofErr w:type="spellEnd"/>
            <w:r w:rsidRPr="00074769">
              <w:rPr>
                <w:color w:val="333333"/>
                <w:sz w:val="20"/>
                <w:szCs w:val="20"/>
                <w:lang w:val="fr-FR"/>
              </w:rPr>
              <w:t xml:space="preserve"> surse </w:t>
            </w:r>
            <w:proofErr w:type="spellStart"/>
            <w:r w:rsidRPr="00074769">
              <w:rPr>
                <w:color w:val="333333"/>
                <w:sz w:val="20"/>
                <w:szCs w:val="20"/>
                <w:lang w:val="fr-FR"/>
              </w:rPr>
              <w:t>regenerabile</w:t>
            </w:r>
            <w:proofErr w:type="spellEnd"/>
            <w:r w:rsidRPr="00074769">
              <w:rPr>
                <w:color w:val="333333"/>
                <w:sz w:val="20"/>
                <w:szCs w:val="20"/>
                <w:lang w:val="fr-FR"/>
              </w:rPr>
              <w:t xml:space="preserve"> </w:t>
            </w:r>
            <w:proofErr w:type="spellStart"/>
            <w:r w:rsidRPr="00074769">
              <w:rPr>
                <w:color w:val="333333"/>
                <w:sz w:val="20"/>
                <w:szCs w:val="20"/>
                <w:lang w:val="fr-FR"/>
              </w:rPr>
              <w:t>produsă</w:t>
            </w:r>
            <w:proofErr w:type="spellEnd"/>
            <w:r w:rsidRPr="00074769">
              <w:rPr>
                <w:color w:val="333333"/>
                <w:sz w:val="20"/>
                <w:szCs w:val="20"/>
                <w:lang w:val="fr-FR"/>
              </w:rPr>
              <w:t xml:space="preserve"> de </w:t>
            </w:r>
            <w:proofErr w:type="spellStart"/>
            <w:r w:rsidRPr="00074769">
              <w:rPr>
                <w:color w:val="333333"/>
                <w:sz w:val="20"/>
                <w:szCs w:val="20"/>
                <w:lang w:val="fr-FR"/>
              </w:rPr>
              <w:t>orașe</w:t>
            </w:r>
            <w:proofErr w:type="spellEnd"/>
            <w:r w:rsidRPr="00074769">
              <w:rPr>
                <w:color w:val="333333"/>
                <w:sz w:val="20"/>
                <w:szCs w:val="20"/>
                <w:lang w:val="fr-FR"/>
              </w:rPr>
              <w:t xml:space="preserve">, de </w:t>
            </w:r>
            <w:proofErr w:type="spellStart"/>
            <w:r w:rsidRPr="00074769">
              <w:rPr>
                <w:color w:val="333333"/>
                <w:sz w:val="20"/>
                <w:szCs w:val="20"/>
                <w:lang w:val="fr-FR"/>
              </w:rPr>
              <w:t>comunități</w:t>
            </w:r>
            <w:proofErr w:type="spellEnd"/>
            <w:r w:rsidRPr="00074769">
              <w:rPr>
                <w:color w:val="333333"/>
                <w:sz w:val="20"/>
                <w:szCs w:val="20"/>
                <w:lang w:val="fr-FR"/>
              </w:rPr>
              <w:t xml:space="preserve"> de </w:t>
            </w:r>
            <w:proofErr w:type="spellStart"/>
            <w:r w:rsidRPr="00074769">
              <w:rPr>
                <w:color w:val="333333"/>
                <w:sz w:val="20"/>
                <w:szCs w:val="20"/>
                <w:lang w:val="fr-FR"/>
              </w:rPr>
              <w:t>energie</w:t>
            </w:r>
            <w:proofErr w:type="spellEnd"/>
            <w:r w:rsidRPr="00074769">
              <w:rPr>
                <w:color w:val="333333"/>
                <w:sz w:val="20"/>
                <w:szCs w:val="20"/>
                <w:lang w:val="fr-FR"/>
              </w:rPr>
              <w:t xml:space="preserve"> </w:t>
            </w:r>
            <w:proofErr w:type="spellStart"/>
            <w:r w:rsidRPr="00074769">
              <w:rPr>
                <w:color w:val="333333"/>
                <w:sz w:val="20"/>
                <w:szCs w:val="20"/>
                <w:lang w:val="fr-FR"/>
              </w:rPr>
              <w:t>din</w:t>
            </w:r>
            <w:proofErr w:type="spellEnd"/>
            <w:r w:rsidRPr="00074769">
              <w:rPr>
                <w:color w:val="333333"/>
                <w:sz w:val="20"/>
                <w:szCs w:val="20"/>
                <w:lang w:val="fr-FR"/>
              </w:rPr>
              <w:t xml:space="preserve"> surse </w:t>
            </w:r>
            <w:proofErr w:type="spellStart"/>
            <w:r w:rsidRPr="00074769">
              <w:rPr>
                <w:color w:val="333333"/>
                <w:sz w:val="20"/>
                <w:szCs w:val="20"/>
                <w:lang w:val="fr-FR"/>
              </w:rPr>
              <w:t>regenerabile</w:t>
            </w:r>
            <w:proofErr w:type="spellEnd"/>
            <w:r w:rsidRPr="00074769">
              <w:rPr>
                <w:color w:val="333333"/>
                <w:sz w:val="20"/>
                <w:szCs w:val="20"/>
                <w:lang w:val="fr-FR"/>
              </w:rPr>
              <w:t xml:space="preserve"> și de </w:t>
            </w:r>
            <w:proofErr w:type="spellStart"/>
            <w:r w:rsidRPr="00074769">
              <w:rPr>
                <w:color w:val="333333"/>
                <w:sz w:val="20"/>
                <w:szCs w:val="20"/>
                <w:lang w:val="fr-FR"/>
              </w:rPr>
              <w:t>autoconsumatori</w:t>
            </w:r>
            <w:proofErr w:type="spellEnd"/>
            <w:r w:rsidRPr="00074769">
              <w:rPr>
                <w:color w:val="333333"/>
                <w:sz w:val="20"/>
                <w:szCs w:val="20"/>
                <w:lang w:val="fr-FR"/>
              </w:rPr>
              <w:t xml:space="preserve"> de </w:t>
            </w:r>
            <w:proofErr w:type="spellStart"/>
            <w:r w:rsidRPr="00074769">
              <w:rPr>
                <w:color w:val="333333"/>
                <w:sz w:val="20"/>
                <w:szCs w:val="20"/>
                <w:lang w:val="fr-FR"/>
              </w:rPr>
              <w:t>energie</w:t>
            </w:r>
            <w:proofErr w:type="spellEnd"/>
            <w:r w:rsidRPr="00074769">
              <w:rPr>
                <w:color w:val="333333"/>
                <w:sz w:val="20"/>
                <w:szCs w:val="20"/>
                <w:lang w:val="fr-FR"/>
              </w:rPr>
              <w:t xml:space="preserve"> </w:t>
            </w:r>
            <w:proofErr w:type="spellStart"/>
            <w:r w:rsidRPr="00074769">
              <w:rPr>
                <w:color w:val="333333"/>
                <w:sz w:val="20"/>
                <w:szCs w:val="20"/>
                <w:lang w:val="fr-FR"/>
              </w:rPr>
              <w:t>din</w:t>
            </w:r>
            <w:proofErr w:type="spellEnd"/>
            <w:r w:rsidRPr="00074769">
              <w:rPr>
                <w:color w:val="333333"/>
                <w:sz w:val="20"/>
                <w:szCs w:val="20"/>
                <w:lang w:val="fr-FR"/>
              </w:rPr>
              <w:t xml:space="preserve"> surse </w:t>
            </w:r>
            <w:proofErr w:type="spellStart"/>
            <w:r w:rsidRPr="00074769">
              <w:rPr>
                <w:color w:val="333333"/>
                <w:sz w:val="20"/>
                <w:szCs w:val="20"/>
                <w:lang w:val="fr-FR"/>
              </w:rPr>
              <w:t>regenerabile</w:t>
            </w:r>
            <w:proofErr w:type="spellEnd"/>
            <w:r w:rsidRPr="00074769">
              <w:rPr>
                <w:color w:val="333333"/>
                <w:sz w:val="20"/>
                <w:szCs w:val="20"/>
                <w:lang w:val="fr-FR"/>
              </w:rPr>
              <w:t xml:space="preserve">, </w:t>
            </w:r>
            <w:proofErr w:type="spellStart"/>
            <w:r w:rsidRPr="00074769">
              <w:rPr>
                <w:color w:val="333333"/>
                <w:sz w:val="20"/>
                <w:szCs w:val="20"/>
                <w:lang w:val="fr-FR"/>
              </w:rPr>
              <w:t>energia</w:t>
            </w:r>
            <w:proofErr w:type="spellEnd"/>
            <w:r w:rsidRPr="00074769">
              <w:rPr>
                <w:color w:val="333333"/>
                <w:sz w:val="20"/>
                <w:szCs w:val="20"/>
                <w:lang w:val="fr-FR"/>
              </w:rPr>
              <w:t xml:space="preserve"> </w:t>
            </w:r>
            <w:proofErr w:type="spellStart"/>
            <w:r w:rsidRPr="00074769">
              <w:rPr>
                <w:color w:val="333333"/>
                <w:sz w:val="20"/>
                <w:szCs w:val="20"/>
                <w:lang w:val="fr-FR"/>
              </w:rPr>
              <w:t>recuperată</w:t>
            </w:r>
            <w:proofErr w:type="spellEnd"/>
            <w:r w:rsidRPr="00074769">
              <w:rPr>
                <w:color w:val="333333"/>
                <w:sz w:val="20"/>
                <w:szCs w:val="20"/>
                <w:lang w:val="fr-FR"/>
              </w:rPr>
              <w:t xml:space="preserve"> </w:t>
            </w:r>
            <w:proofErr w:type="spellStart"/>
            <w:r w:rsidRPr="00074769">
              <w:rPr>
                <w:color w:val="333333"/>
                <w:sz w:val="20"/>
                <w:szCs w:val="20"/>
                <w:lang w:val="fr-FR"/>
              </w:rPr>
              <w:t>din</w:t>
            </w:r>
            <w:proofErr w:type="spellEnd"/>
            <w:r w:rsidRPr="00074769">
              <w:rPr>
                <w:color w:val="333333"/>
                <w:sz w:val="20"/>
                <w:szCs w:val="20"/>
                <w:lang w:val="fr-FR"/>
              </w:rPr>
              <w:t xml:space="preserve"> </w:t>
            </w:r>
            <w:proofErr w:type="spellStart"/>
            <w:r w:rsidRPr="00074769">
              <w:rPr>
                <w:color w:val="333333"/>
                <w:sz w:val="20"/>
                <w:szCs w:val="20"/>
                <w:lang w:val="fr-FR"/>
              </w:rPr>
              <w:t>nămolul</w:t>
            </w:r>
            <w:proofErr w:type="spellEnd"/>
            <w:r w:rsidRPr="00074769">
              <w:rPr>
                <w:color w:val="333333"/>
                <w:sz w:val="20"/>
                <w:szCs w:val="20"/>
                <w:lang w:val="fr-FR"/>
              </w:rPr>
              <w:t xml:space="preserve"> </w:t>
            </w:r>
            <w:proofErr w:type="spellStart"/>
            <w:r w:rsidRPr="00074769">
              <w:rPr>
                <w:color w:val="333333"/>
                <w:sz w:val="20"/>
                <w:szCs w:val="20"/>
                <w:lang w:val="fr-FR"/>
              </w:rPr>
              <w:t>obținut</w:t>
            </w:r>
            <w:proofErr w:type="spellEnd"/>
            <w:r w:rsidRPr="00074769">
              <w:rPr>
                <w:color w:val="333333"/>
                <w:sz w:val="20"/>
                <w:szCs w:val="20"/>
                <w:lang w:val="fr-FR"/>
              </w:rPr>
              <w:t xml:space="preserve"> în </w:t>
            </w:r>
            <w:proofErr w:type="spellStart"/>
            <w:r w:rsidRPr="00074769">
              <w:rPr>
                <w:color w:val="333333"/>
                <w:sz w:val="20"/>
                <w:szCs w:val="20"/>
                <w:lang w:val="fr-FR"/>
              </w:rPr>
              <w:t>urma</w:t>
            </w:r>
            <w:proofErr w:type="spellEnd"/>
            <w:r w:rsidRPr="00074769">
              <w:rPr>
                <w:color w:val="333333"/>
                <w:sz w:val="20"/>
                <w:szCs w:val="20"/>
                <w:lang w:val="fr-FR"/>
              </w:rPr>
              <w:t xml:space="preserve"> </w:t>
            </w:r>
            <w:proofErr w:type="spellStart"/>
            <w:r w:rsidRPr="00074769">
              <w:rPr>
                <w:color w:val="333333"/>
                <w:sz w:val="20"/>
                <w:szCs w:val="20"/>
                <w:lang w:val="fr-FR"/>
              </w:rPr>
              <w:t>epurării</w:t>
            </w:r>
            <w:proofErr w:type="spellEnd"/>
            <w:r w:rsidRPr="00074769">
              <w:rPr>
                <w:color w:val="333333"/>
                <w:sz w:val="20"/>
                <w:szCs w:val="20"/>
                <w:lang w:val="fr-FR"/>
              </w:rPr>
              <w:t xml:space="preserve"> </w:t>
            </w:r>
            <w:proofErr w:type="spellStart"/>
            <w:r w:rsidRPr="00074769">
              <w:rPr>
                <w:color w:val="333333"/>
                <w:sz w:val="20"/>
                <w:szCs w:val="20"/>
                <w:lang w:val="fr-FR"/>
              </w:rPr>
              <w:t>apelor</w:t>
            </w:r>
            <w:proofErr w:type="spellEnd"/>
            <w:r w:rsidRPr="00074769">
              <w:rPr>
                <w:color w:val="333333"/>
                <w:sz w:val="20"/>
                <w:szCs w:val="20"/>
                <w:lang w:val="fr-FR"/>
              </w:rPr>
              <w:t xml:space="preserve"> </w:t>
            </w:r>
            <w:proofErr w:type="spellStart"/>
            <w:r w:rsidRPr="00074769">
              <w:rPr>
                <w:color w:val="333333"/>
                <w:sz w:val="20"/>
                <w:szCs w:val="20"/>
                <w:lang w:val="fr-FR"/>
              </w:rPr>
              <w:t>uzate</w:t>
            </w:r>
            <w:proofErr w:type="spellEnd"/>
            <w:r w:rsidRPr="00074769">
              <w:rPr>
                <w:color w:val="333333"/>
                <w:sz w:val="20"/>
                <w:szCs w:val="20"/>
                <w:lang w:val="fr-FR"/>
              </w:rPr>
              <w:t>)</w:t>
            </w:r>
          </w:p>
          <w:p w14:paraId="125185FE" w14:textId="54373EF8" w:rsidR="008F5636" w:rsidRPr="00074769" w:rsidRDefault="008F5636" w:rsidP="008F5636">
            <w:pPr>
              <w:pStyle w:val="ti-grseq-1"/>
              <w:shd w:val="clear" w:color="auto" w:fill="FFFFFF"/>
              <w:spacing w:before="0" w:beforeAutospacing="0" w:after="0" w:afterAutospacing="0"/>
              <w:ind w:left="397"/>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2.Dimensiunea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eficiență</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r w:rsidRPr="00074769">
              <w:rPr>
                <w:b/>
                <w:bCs/>
                <w:color w:val="333333"/>
                <w:sz w:val="20"/>
                <w:szCs w:val="20"/>
                <w:shd w:val="clear" w:color="auto" w:fill="FFFFFF"/>
              </w:rPr>
              <w:t>”</w:t>
            </w:r>
          </w:p>
          <w:p w14:paraId="66779791" w14:textId="58E4D490" w:rsidR="008F5636" w:rsidRPr="00074769" w:rsidRDefault="008F5636" w:rsidP="000C5A3B">
            <w:pPr>
              <w:pStyle w:val="ti-grseq-1"/>
              <w:numPr>
                <w:ilvl w:val="0"/>
                <w:numId w:val="13"/>
              </w:numPr>
              <w:shd w:val="clear" w:color="auto" w:fill="FFFFFF"/>
              <w:spacing w:before="0" w:beforeAutospacing="0" w:after="0" w:afterAutospacing="0"/>
              <w:ind w:left="397"/>
              <w:jc w:val="both"/>
              <w:rPr>
                <w:sz w:val="20"/>
                <w:szCs w:val="20"/>
                <w:shd w:val="clear" w:color="auto" w:fill="FFFFFF"/>
              </w:rPr>
            </w:pPr>
            <w:proofErr w:type="spellStart"/>
            <w:r w:rsidRPr="00074769">
              <w:rPr>
                <w:sz w:val="20"/>
                <w:szCs w:val="20"/>
                <w:shd w:val="clear" w:color="auto" w:fill="FFFFFF"/>
              </w:rPr>
              <w:t>Elementele</w:t>
            </w:r>
            <w:proofErr w:type="spellEnd"/>
            <w:r w:rsidRPr="00074769">
              <w:rPr>
                <w:sz w:val="20"/>
                <w:szCs w:val="20"/>
                <w:shd w:val="clear" w:color="auto" w:fill="FFFFFF"/>
              </w:rPr>
              <w:t xml:space="preserve"> </w:t>
            </w:r>
            <w:proofErr w:type="spellStart"/>
            <w:r w:rsidRPr="00074769">
              <w:rPr>
                <w:sz w:val="20"/>
                <w:szCs w:val="20"/>
                <w:shd w:val="clear" w:color="auto" w:fill="FFFFFF"/>
              </w:rPr>
              <w:t>prevăzute</w:t>
            </w:r>
            <w:proofErr w:type="spellEnd"/>
            <w:r w:rsidRPr="00074769">
              <w:rPr>
                <w:sz w:val="20"/>
                <w:szCs w:val="20"/>
                <w:shd w:val="clear" w:color="auto" w:fill="FFFFFF"/>
              </w:rPr>
              <w:t xml:space="preserve"> la </w:t>
            </w:r>
            <w:proofErr w:type="spellStart"/>
            <w:r w:rsidRPr="00074769">
              <w:rPr>
                <w:sz w:val="20"/>
                <w:szCs w:val="20"/>
                <w:shd w:val="clear" w:color="auto" w:fill="FFFFFF"/>
              </w:rPr>
              <w:t>articolul</w:t>
            </w:r>
            <w:proofErr w:type="spellEnd"/>
            <w:r w:rsidRPr="00074769">
              <w:rPr>
                <w:sz w:val="20"/>
                <w:szCs w:val="20"/>
                <w:shd w:val="clear" w:color="auto" w:fill="FFFFFF"/>
              </w:rPr>
              <w:t xml:space="preserve"> 4 </w:t>
            </w:r>
            <w:proofErr w:type="spellStart"/>
            <w:r w:rsidRPr="00074769">
              <w:rPr>
                <w:sz w:val="20"/>
                <w:szCs w:val="20"/>
                <w:shd w:val="clear" w:color="auto" w:fill="FFFFFF"/>
              </w:rPr>
              <w:t>litera</w:t>
            </w:r>
            <w:proofErr w:type="spellEnd"/>
            <w:r w:rsidRPr="00074769">
              <w:rPr>
                <w:sz w:val="20"/>
                <w:szCs w:val="20"/>
                <w:shd w:val="clear" w:color="auto" w:fill="FFFFFF"/>
              </w:rPr>
              <w:t xml:space="preserve"> (b)</w:t>
            </w:r>
          </w:p>
          <w:p w14:paraId="5DBB70E0" w14:textId="637A0F8E" w:rsidR="008F5636" w:rsidRPr="00074769" w:rsidRDefault="008F5636" w:rsidP="000C5A3B">
            <w:pPr>
              <w:pStyle w:val="ti-grseq-1"/>
              <w:numPr>
                <w:ilvl w:val="0"/>
                <w:numId w:val="13"/>
              </w:numPr>
              <w:shd w:val="clear" w:color="auto" w:fill="FFFFFF"/>
              <w:spacing w:before="0" w:beforeAutospacing="0" w:after="0" w:afterAutospacing="0"/>
              <w:ind w:left="397"/>
              <w:jc w:val="both"/>
              <w:rPr>
                <w:b/>
                <w:bCs/>
                <w:sz w:val="20"/>
                <w:szCs w:val="20"/>
                <w:shd w:val="clear" w:color="auto" w:fill="FFFFFF"/>
              </w:rPr>
            </w:pPr>
            <w:proofErr w:type="spellStart"/>
            <w:r w:rsidRPr="00074769">
              <w:rPr>
                <w:sz w:val="20"/>
                <w:szCs w:val="20"/>
                <w:shd w:val="clear" w:color="auto" w:fill="FFFFFF"/>
              </w:rPr>
              <w:t>Etapele</w:t>
            </w:r>
            <w:proofErr w:type="spellEnd"/>
            <w:r w:rsidRPr="00074769">
              <w:rPr>
                <w:sz w:val="20"/>
                <w:szCs w:val="20"/>
                <w:shd w:val="clear" w:color="auto" w:fill="FFFFFF"/>
              </w:rPr>
              <w:t xml:space="preserve"> orientative </w:t>
            </w:r>
            <w:proofErr w:type="spellStart"/>
            <w:r w:rsidRPr="00074769">
              <w:rPr>
                <w:sz w:val="20"/>
                <w:szCs w:val="20"/>
                <w:shd w:val="clear" w:color="auto" w:fill="FFFFFF"/>
              </w:rPr>
              <w:t>pentru</w:t>
            </w:r>
            <w:proofErr w:type="spellEnd"/>
            <w:r w:rsidRPr="00074769">
              <w:rPr>
                <w:sz w:val="20"/>
                <w:szCs w:val="20"/>
                <w:shd w:val="clear" w:color="auto" w:fill="FFFFFF"/>
              </w:rPr>
              <w:t xml:space="preserve"> 2030, 2040 și 2050, </w:t>
            </w:r>
            <w:proofErr w:type="spellStart"/>
            <w:r w:rsidRPr="00074769">
              <w:rPr>
                <w:sz w:val="20"/>
                <w:szCs w:val="20"/>
                <w:shd w:val="clear" w:color="auto" w:fill="FFFFFF"/>
              </w:rPr>
              <w:t>indicatorii</w:t>
            </w:r>
            <w:proofErr w:type="spellEnd"/>
            <w:r w:rsidRPr="00074769">
              <w:rPr>
                <w:sz w:val="20"/>
                <w:szCs w:val="20"/>
                <w:shd w:val="clear" w:color="auto" w:fill="FFFFFF"/>
              </w:rPr>
              <w:t xml:space="preserve"> </w:t>
            </w:r>
            <w:proofErr w:type="spellStart"/>
            <w:r w:rsidRPr="00074769">
              <w:rPr>
                <w:sz w:val="20"/>
                <w:szCs w:val="20"/>
                <w:shd w:val="clear" w:color="auto" w:fill="FFFFFF"/>
              </w:rPr>
              <w:t>măsurabili</w:t>
            </w:r>
            <w:proofErr w:type="spellEnd"/>
            <w:r w:rsidRPr="00074769">
              <w:rPr>
                <w:sz w:val="20"/>
                <w:szCs w:val="20"/>
                <w:shd w:val="clear" w:color="auto" w:fill="FFFFFF"/>
              </w:rPr>
              <w:t xml:space="preserve"> ai </w:t>
            </w:r>
            <w:proofErr w:type="spellStart"/>
            <w:r w:rsidRPr="00074769">
              <w:rPr>
                <w:sz w:val="20"/>
                <w:szCs w:val="20"/>
                <w:shd w:val="clear" w:color="auto" w:fill="FFFFFF"/>
              </w:rPr>
              <w:t>progresului</w:t>
            </w:r>
            <w:proofErr w:type="spellEnd"/>
            <w:r w:rsidRPr="00074769">
              <w:rPr>
                <w:sz w:val="20"/>
                <w:szCs w:val="20"/>
                <w:shd w:val="clear" w:color="auto" w:fill="FFFFFF"/>
              </w:rPr>
              <w:t xml:space="preserve"> </w:t>
            </w:r>
            <w:proofErr w:type="spellStart"/>
            <w:r w:rsidRPr="00074769">
              <w:rPr>
                <w:sz w:val="20"/>
                <w:szCs w:val="20"/>
                <w:shd w:val="clear" w:color="auto" w:fill="FFFFFF"/>
              </w:rPr>
              <w:t>stabiliți</w:t>
            </w:r>
            <w:proofErr w:type="spellEnd"/>
            <w:r w:rsidRPr="00074769">
              <w:rPr>
                <w:sz w:val="20"/>
                <w:szCs w:val="20"/>
                <w:shd w:val="clear" w:color="auto" w:fill="FFFFFF"/>
              </w:rPr>
              <w:t xml:space="preserve"> la </w:t>
            </w:r>
            <w:proofErr w:type="spellStart"/>
            <w:r w:rsidRPr="00074769">
              <w:rPr>
                <w:sz w:val="20"/>
                <w:szCs w:val="20"/>
                <w:shd w:val="clear" w:color="auto" w:fill="FFFFFF"/>
              </w:rPr>
              <w:t>nivel</w:t>
            </w:r>
            <w:proofErr w:type="spellEnd"/>
            <w:r w:rsidRPr="00074769">
              <w:rPr>
                <w:sz w:val="20"/>
                <w:szCs w:val="20"/>
                <w:shd w:val="clear" w:color="auto" w:fill="FFFFFF"/>
              </w:rPr>
              <w:t xml:space="preserve"> intern, o </w:t>
            </w:r>
            <w:proofErr w:type="spellStart"/>
            <w:r w:rsidRPr="00074769">
              <w:rPr>
                <w:sz w:val="20"/>
                <w:szCs w:val="20"/>
                <w:shd w:val="clear" w:color="auto" w:fill="FFFFFF"/>
              </w:rPr>
              <w:t>estimare</w:t>
            </w:r>
            <w:proofErr w:type="spellEnd"/>
            <w:r w:rsidRPr="00074769">
              <w:rPr>
                <w:sz w:val="20"/>
                <w:szCs w:val="20"/>
                <w:shd w:val="clear" w:color="auto" w:fill="FFFFFF"/>
              </w:rPr>
              <w:t xml:space="preserve"> </w:t>
            </w:r>
            <w:proofErr w:type="spellStart"/>
            <w:r w:rsidRPr="00074769">
              <w:rPr>
                <w:sz w:val="20"/>
                <w:szCs w:val="20"/>
                <w:shd w:val="clear" w:color="auto" w:fill="FFFFFF"/>
              </w:rPr>
              <w:t>bazată</w:t>
            </w:r>
            <w:proofErr w:type="spellEnd"/>
            <w:r w:rsidRPr="00074769">
              <w:rPr>
                <w:sz w:val="20"/>
                <w:szCs w:val="20"/>
                <w:shd w:val="clear" w:color="auto" w:fill="FFFFFF"/>
              </w:rPr>
              <w:t xml:space="preserve"> pe </w:t>
            </w:r>
            <w:proofErr w:type="spellStart"/>
            <w:r w:rsidRPr="00074769">
              <w:rPr>
                <w:sz w:val="20"/>
                <w:szCs w:val="20"/>
                <w:shd w:val="clear" w:color="auto" w:fill="FFFFFF"/>
              </w:rPr>
              <w:t>dovezi</w:t>
            </w:r>
            <w:proofErr w:type="spellEnd"/>
            <w:r w:rsidRPr="00074769">
              <w:rPr>
                <w:sz w:val="20"/>
                <w:szCs w:val="20"/>
                <w:shd w:val="clear" w:color="auto" w:fill="FFFFFF"/>
              </w:rPr>
              <w:t xml:space="preserve"> a </w:t>
            </w:r>
            <w:proofErr w:type="spellStart"/>
            <w:r w:rsidRPr="00074769">
              <w:rPr>
                <w:sz w:val="20"/>
                <w:szCs w:val="20"/>
                <w:shd w:val="clear" w:color="auto" w:fill="FFFFFF"/>
              </w:rPr>
              <w:t>economiilor</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preconizate</w:t>
            </w:r>
            <w:proofErr w:type="spellEnd"/>
            <w:r w:rsidRPr="00074769">
              <w:rPr>
                <w:sz w:val="20"/>
                <w:szCs w:val="20"/>
                <w:shd w:val="clear" w:color="auto" w:fill="FFFFFF"/>
              </w:rPr>
              <w:t xml:space="preserve"> și a </w:t>
            </w:r>
            <w:proofErr w:type="spellStart"/>
            <w:r w:rsidRPr="00074769">
              <w:rPr>
                <w:sz w:val="20"/>
                <w:szCs w:val="20"/>
                <w:shd w:val="clear" w:color="auto" w:fill="FFFFFF"/>
              </w:rPr>
              <w:t>altor</w:t>
            </w:r>
            <w:proofErr w:type="spellEnd"/>
            <w:r w:rsidRPr="00074769">
              <w:rPr>
                <w:sz w:val="20"/>
                <w:szCs w:val="20"/>
                <w:shd w:val="clear" w:color="auto" w:fill="FFFFFF"/>
              </w:rPr>
              <w:t xml:space="preserve"> </w:t>
            </w:r>
            <w:proofErr w:type="spellStart"/>
            <w:r w:rsidRPr="00074769">
              <w:rPr>
                <w:sz w:val="20"/>
                <w:szCs w:val="20"/>
                <w:shd w:val="clear" w:color="auto" w:fill="FFFFFF"/>
              </w:rPr>
              <w:t>beneficii</w:t>
            </w:r>
            <w:proofErr w:type="spellEnd"/>
            <w:r w:rsidRPr="00074769">
              <w:rPr>
                <w:sz w:val="20"/>
                <w:szCs w:val="20"/>
                <w:shd w:val="clear" w:color="auto" w:fill="FFFFFF"/>
              </w:rPr>
              <w:t xml:space="preserve">, precum și </w:t>
            </w:r>
            <w:proofErr w:type="spellStart"/>
            <w:r w:rsidRPr="00074769">
              <w:rPr>
                <w:sz w:val="20"/>
                <w:szCs w:val="20"/>
                <w:shd w:val="clear" w:color="auto" w:fill="FFFFFF"/>
              </w:rPr>
              <w:t>contribuțiile</w:t>
            </w:r>
            <w:proofErr w:type="spellEnd"/>
            <w:r w:rsidRPr="00074769">
              <w:rPr>
                <w:sz w:val="20"/>
                <w:szCs w:val="20"/>
                <w:shd w:val="clear" w:color="auto" w:fill="FFFFFF"/>
              </w:rPr>
              <w:t xml:space="preserve"> </w:t>
            </w:r>
            <w:proofErr w:type="spellStart"/>
            <w:r w:rsidRPr="00074769">
              <w:rPr>
                <w:sz w:val="20"/>
                <w:szCs w:val="20"/>
                <w:shd w:val="clear" w:color="auto" w:fill="FFFFFF"/>
              </w:rPr>
              <w:t>acestora</w:t>
            </w:r>
            <w:proofErr w:type="spellEnd"/>
            <w:r w:rsidRPr="00074769">
              <w:rPr>
                <w:sz w:val="20"/>
                <w:szCs w:val="20"/>
                <w:shd w:val="clear" w:color="auto" w:fill="FFFFFF"/>
              </w:rPr>
              <w:t xml:space="preserve"> la </w:t>
            </w:r>
            <w:proofErr w:type="spellStart"/>
            <w:r w:rsidRPr="00074769">
              <w:rPr>
                <w:sz w:val="20"/>
                <w:szCs w:val="20"/>
                <w:shd w:val="clear" w:color="auto" w:fill="FFFFFF"/>
              </w:rPr>
              <w:t>obiectivele</w:t>
            </w:r>
            <w:proofErr w:type="spellEnd"/>
            <w:r w:rsidRPr="00074769">
              <w:rPr>
                <w:sz w:val="20"/>
                <w:szCs w:val="20"/>
                <w:shd w:val="clear" w:color="auto" w:fill="FFFFFF"/>
              </w:rPr>
              <w:t xml:space="preserve"> </w:t>
            </w:r>
            <w:proofErr w:type="spellStart"/>
            <w:r w:rsidRPr="00074769">
              <w:rPr>
                <w:sz w:val="20"/>
                <w:szCs w:val="20"/>
                <w:shd w:val="clear" w:color="auto" w:fill="FFFFFF"/>
              </w:rPr>
              <w:t>Uniunii</w:t>
            </w:r>
            <w:proofErr w:type="spellEnd"/>
            <w:r w:rsidRPr="00074769">
              <w:rPr>
                <w:sz w:val="20"/>
                <w:szCs w:val="20"/>
                <w:shd w:val="clear" w:color="auto" w:fill="FFFFFF"/>
              </w:rPr>
              <w:t xml:space="preserve"> în </w:t>
            </w:r>
            <w:proofErr w:type="spellStart"/>
            <w:r w:rsidRPr="00074769">
              <w:rPr>
                <w:sz w:val="20"/>
                <w:szCs w:val="20"/>
                <w:shd w:val="clear" w:color="auto" w:fill="FFFFFF"/>
              </w:rPr>
              <w:t>materie</w:t>
            </w:r>
            <w:proofErr w:type="spellEnd"/>
            <w:r w:rsidRPr="00074769">
              <w:rPr>
                <w:sz w:val="20"/>
                <w:szCs w:val="20"/>
                <w:shd w:val="clear" w:color="auto" w:fill="FFFFFF"/>
              </w:rPr>
              <w:t xml:space="preserve"> de </w:t>
            </w:r>
            <w:proofErr w:type="spellStart"/>
            <w:r w:rsidRPr="00074769">
              <w:rPr>
                <w:sz w:val="20"/>
                <w:szCs w:val="20"/>
                <w:shd w:val="clear" w:color="auto" w:fill="FFFFFF"/>
              </w:rPr>
              <w:t>eficiență</w:t>
            </w:r>
            <w:proofErr w:type="spellEnd"/>
            <w:r w:rsidRPr="00074769">
              <w:rPr>
                <w:sz w:val="20"/>
                <w:szCs w:val="20"/>
                <w:shd w:val="clear" w:color="auto" w:fill="FFFFFF"/>
              </w:rPr>
              <w:t xml:space="preserve"> </w:t>
            </w:r>
            <w:proofErr w:type="spellStart"/>
            <w:r w:rsidRPr="00074769">
              <w:rPr>
                <w:sz w:val="20"/>
                <w:szCs w:val="20"/>
                <w:shd w:val="clear" w:color="auto" w:fill="FFFFFF"/>
              </w:rPr>
              <w:lastRenderedPageBreak/>
              <w:t>energetică</w:t>
            </w:r>
            <w:proofErr w:type="spellEnd"/>
            <w:r w:rsidRPr="00074769">
              <w:rPr>
                <w:sz w:val="20"/>
                <w:szCs w:val="20"/>
                <w:shd w:val="clear" w:color="auto" w:fill="FFFFFF"/>
              </w:rPr>
              <w:t xml:space="preserve">, </w:t>
            </w:r>
            <w:proofErr w:type="spellStart"/>
            <w:r w:rsidRPr="00074769">
              <w:rPr>
                <w:sz w:val="20"/>
                <w:szCs w:val="20"/>
                <w:shd w:val="clear" w:color="auto" w:fill="FFFFFF"/>
              </w:rPr>
              <w:t>astfel</w:t>
            </w:r>
            <w:proofErr w:type="spellEnd"/>
            <w:r w:rsidRPr="00074769">
              <w:rPr>
                <w:sz w:val="20"/>
                <w:szCs w:val="20"/>
                <w:shd w:val="clear" w:color="auto" w:fill="FFFFFF"/>
              </w:rPr>
              <w:t xml:space="preserve"> cum sunt </w:t>
            </w:r>
            <w:proofErr w:type="spellStart"/>
            <w:r w:rsidRPr="00074769">
              <w:rPr>
                <w:sz w:val="20"/>
                <w:szCs w:val="20"/>
                <w:shd w:val="clear" w:color="auto" w:fill="FFFFFF"/>
              </w:rPr>
              <w:t>menționate</w:t>
            </w:r>
            <w:proofErr w:type="spellEnd"/>
            <w:r w:rsidRPr="00074769">
              <w:rPr>
                <w:sz w:val="20"/>
                <w:szCs w:val="20"/>
                <w:shd w:val="clear" w:color="auto" w:fill="FFFFFF"/>
              </w:rPr>
              <w:t xml:space="preserve"> în </w:t>
            </w:r>
            <w:proofErr w:type="spellStart"/>
            <w:r w:rsidRPr="00074769">
              <w:rPr>
                <w:sz w:val="20"/>
                <w:szCs w:val="20"/>
                <w:shd w:val="clear" w:color="auto" w:fill="FFFFFF"/>
              </w:rPr>
              <w:t>foile</w:t>
            </w:r>
            <w:proofErr w:type="spellEnd"/>
            <w:r w:rsidRPr="00074769">
              <w:rPr>
                <w:sz w:val="20"/>
                <w:szCs w:val="20"/>
                <w:shd w:val="clear" w:color="auto" w:fill="FFFFFF"/>
              </w:rPr>
              <w:t xml:space="preserve"> de </w:t>
            </w:r>
            <w:proofErr w:type="spellStart"/>
            <w:r w:rsidRPr="00074769">
              <w:rPr>
                <w:sz w:val="20"/>
                <w:szCs w:val="20"/>
                <w:shd w:val="clear" w:color="auto" w:fill="FFFFFF"/>
              </w:rPr>
              <w:t>parcurs</w:t>
            </w:r>
            <w:proofErr w:type="spellEnd"/>
            <w:r w:rsidRPr="00074769">
              <w:rPr>
                <w:sz w:val="20"/>
                <w:szCs w:val="20"/>
                <w:shd w:val="clear" w:color="auto" w:fill="FFFFFF"/>
              </w:rPr>
              <w:t xml:space="preserve"> </w:t>
            </w:r>
            <w:proofErr w:type="spellStart"/>
            <w:r w:rsidRPr="00074769">
              <w:rPr>
                <w:sz w:val="20"/>
                <w:szCs w:val="20"/>
                <w:shd w:val="clear" w:color="auto" w:fill="FFFFFF"/>
              </w:rPr>
              <w:t>stabilite</w:t>
            </w:r>
            <w:proofErr w:type="spellEnd"/>
            <w:r w:rsidRPr="00074769">
              <w:rPr>
                <w:sz w:val="20"/>
                <w:szCs w:val="20"/>
                <w:shd w:val="clear" w:color="auto" w:fill="FFFFFF"/>
              </w:rPr>
              <w:t xml:space="preserve"> în </w:t>
            </w:r>
            <w:proofErr w:type="spellStart"/>
            <w:r w:rsidRPr="00074769">
              <w:rPr>
                <w:sz w:val="20"/>
                <w:szCs w:val="20"/>
                <w:shd w:val="clear" w:color="auto" w:fill="FFFFFF"/>
              </w:rPr>
              <w:t>cadrul</w:t>
            </w:r>
            <w:proofErr w:type="spellEnd"/>
            <w:r w:rsidRPr="00074769">
              <w:rPr>
                <w:sz w:val="20"/>
                <w:szCs w:val="20"/>
                <w:shd w:val="clear" w:color="auto" w:fill="FFFFFF"/>
              </w:rPr>
              <w:t xml:space="preserve"> </w:t>
            </w:r>
            <w:proofErr w:type="spellStart"/>
            <w:r w:rsidRPr="00074769">
              <w:rPr>
                <w:sz w:val="20"/>
                <w:szCs w:val="20"/>
                <w:shd w:val="clear" w:color="auto" w:fill="FFFFFF"/>
              </w:rPr>
              <w:t>strategiilor</w:t>
            </w:r>
            <w:proofErr w:type="spellEnd"/>
            <w:r w:rsidRPr="00074769">
              <w:rPr>
                <w:sz w:val="20"/>
                <w:szCs w:val="20"/>
                <w:shd w:val="clear" w:color="auto" w:fill="FFFFFF"/>
              </w:rPr>
              <w:t xml:space="preserve"> de </w:t>
            </w:r>
            <w:proofErr w:type="spellStart"/>
            <w:r w:rsidRPr="00074769">
              <w:rPr>
                <w:sz w:val="20"/>
                <w:szCs w:val="20"/>
                <w:shd w:val="clear" w:color="auto" w:fill="FFFFFF"/>
              </w:rPr>
              <w:t>renovare</w:t>
            </w:r>
            <w:proofErr w:type="spellEnd"/>
            <w:r w:rsidRPr="00074769">
              <w:rPr>
                <w:sz w:val="20"/>
                <w:szCs w:val="20"/>
                <w:shd w:val="clear" w:color="auto" w:fill="FFFFFF"/>
              </w:rPr>
              <w:t xml:space="preserve"> pe termen lung </w:t>
            </w:r>
            <w:proofErr w:type="spellStart"/>
            <w:r w:rsidRPr="00074769">
              <w:rPr>
                <w:sz w:val="20"/>
                <w:szCs w:val="20"/>
                <w:shd w:val="clear" w:color="auto" w:fill="FFFFFF"/>
              </w:rPr>
              <w:t>pentru</w:t>
            </w:r>
            <w:proofErr w:type="spellEnd"/>
            <w:r w:rsidRPr="00074769">
              <w:rPr>
                <w:sz w:val="20"/>
                <w:szCs w:val="20"/>
                <w:shd w:val="clear" w:color="auto" w:fill="FFFFFF"/>
              </w:rPr>
              <w:t xml:space="preserve"> </w:t>
            </w:r>
            <w:proofErr w:type="spellStart"/>
            <w:r w:rsidRPr="00074769">
              <w:rPr>
                <w:sz w:val="20"/>
                <w:szCs w:val="20"/>
                <w:shd w:val="clear" w:color="auto" w:fill="FFFFFF"/>
              </w:rPr>
              <w:t>parcul</w:t>
            </w:r>
            <w:proofErr w:type="spellEnd"/>
            <w:r w:rsidRPr="00074769">
              <w:rPr>
                <w:sz w:val="20"/>
                <w:szCs w:val="20"/>
                <w:shd w:val="clear" w:color="auto" w:fill="FFFFFF"/>
              </w:rPr>
              <w:t xml:space="preserve"> </w:t>
            </w:r>
            <w:proofErr w:type="spellStart"/>
            <w:r w:rsidRPr="00074769">
              <w:rPr>
                <w:sz w:val="20"/>
                <w:szCs w:val="20"/>
                <w:shd w:val="clear" w:color="auto" w:fill="FFFFFF"/>
              </w:rPr>
              <w:t>național</w:t>
            </w:r>
            <w:proofErr w:type="spellEnd"/>
            <w:r w:rsidRPr="00074769">
              <w:rPr>
                <w:sz w:val="20"/>
                <w:szCs w:val="20"/>
                <w:shd w:val="clear" w:color="auto" w:fill="FFFFFF"/>
              </w:rPr>
              <w:t xml:space="preserve"> de </w:t>
            </w:r>
            <w:proofErr w:type="spellStart"/>
            <w:r w:rsidRPr="00074769">
              <w:rPr>
                <w:sz w:val="20"/>
                <w:szCs w:val="20"/>
                <w:shd w:val="clear" w:color="auto" w:fill="FFFFFF"/>
              </w:rPr>
              <w:t>clădiri</w:t>
            </w:r>
            <w:proofErr w:type="spellEnd"/>
            <w:r w:rsidRPr="00074769">
              <w:rPr>
                <w:sz w:val="20"/>
                <w:szCs w:val="20"/>
                <w:shd w:val="clear" w:color="auto" w:fill="FFFFFF"/>
              </w:rPr>
              <w:t xml:space="preserve"> </w:t>
            </w:r>
            <w:proofErr w:type="spellStart"/>
            <w:r w:rsidRPr="00074769">
              <w:rPr>
                <w:sz w:val="20"/>
                <w:szCs w:val="20"/>
                <w:shd w:val="clear" w:color="auto" w:fill="FFFFFF"/>
              </w:rPr>
              <w:t>rezidențiale</w:t>
            </w:r>
            <w:proofErr w:type="spellEnd"/>
            <w:r w:rsidRPr="00074769">
              <w:rPr>
                <w:sz w:val="20"/>
                <w:szCs w:val="20"/>
                <w:shd w:val="clear" w:color="auto" w:fill="FFFFFF"/>
              </w:rPr>
              <w:t xml:space="preserve"> și </w:t>
            </w:r>
            <w:proofErr w:type="spellStart"/>
            <w:r w:rsidRPr="00074769">
              <w:rPr>
                <w:sz w:val="20"/>
                <w:szCs w:val="20"/>
                <w:shd w:val="clear" w:color="auto" w:fill="FFFFFF"/>
              </w:rPr>
              <w:t>nerezidențiale</w:t>
            </w:r>
            <w:proofErr w:type="spellEnd"/>
            <w:r w:rsidRPr="00074769">
              <w:rPr>
                <w:sz w:val="20"/>
                <w:szCs w:val="20"/>
                <w:shd w:val="clear" w:color="auto" w:fill="FFFFFF"/>
              </w:rPr>
              <w:t xml:space="preserve">, </w:t>
            </w:r>
            <w:proofErr w:type="spellStart"/>
            <w:r w:rsidRPr="00074769">
              <w:rPr>
                <w:sz w:val="20"/>
                <w:szCs w:val="20"/>
                <w:shd w:val="clear" w:color="auto" w:fill="FFFFFF"/>
              </w:rPr>
              <w:t>atât</w:t>
            </w:r>
            <w:proofErr w:type="spellEnd"/>
            <w:r w:rsidRPr="00074769">
              <w:rPr>
                <w:sz w:val="20"/>
                <w:szCs w:val="20"/>
                <w:shd w:val="clear" w:color="auto" w:fill="FFFFFF"/>
              </w:rPr>
              <w:t xml:space="preserve"> </w:t>
            </w:r>
            <w:proofErr w:type="spellStart"/>
            <w:r w:rsidRPr="00074769">
              <w:rPr>
                <w:sz w:val="20"/>
                <w:szCs w:val="20"/>
                <w:shd w:val="clear" w:color="auto" w:fill="FFFFFF"/>
              </w:rPr>
              <w:t>publice</w:t>
            </w:r>
            <w:proofErr w:type="spellEnd"/>
            <w:r w:rsidRPr="00074769">
              <w:rPr>
                <w:sz w:val="20"/>
                <w:szCs w:val="20"/>
                <w:shd w:val="clear" w:color="auto" w:fill="FFFFFF"/>
              </w:rPr>
              <w:t xml:space="preserve">, </w:t>
            </w:r>
            <w:proofErr w:type="spellStart"/>
            <w:r w:rsidRPr="00074769">
              <w:rPr>
                <w:sz w:val="20"/>
                <w:szCs w:val="20"/>
                <w:shd w:val="clear" w:color="auto" w:fill="FFFFFF"/>
              </w:rPr>
              <w:t>cât</w:t>
            </w:r>
            <w:proofErr w:type="spellEnd"/>
            <w:r w:rsidRPr="00074769">
              <w:rPr>
                <w:sz w:val="20"/>
                <w:szCs w:val="20"/>
                <w:shd w:val="clear" w:color="auto" w:fill="FFFFFF"/>
              </w:rPr>
              <w:t xml:space="preserve"> și private, în conformitate cu </w:t>
            </w:r>
            <w:proofErr w:type="spellStart"/>
            <w:r w:rsidRPr="00074769">
              <w:rPr>
                <w:sz w:val="20"/>
                <w:szCs w:val="20"/>
                <w:shd w:val="clear" w:color="auto" w:fill="FFFFFF"/>
              </w:rPr>
              <w:t>articolul</w:t>
            </w:r>
            <w:proofErr w:type="spellEnd"/>
            <w:r w:rsidRPr="00074769">
              <w:rPr>
                <w:sz w:val="20"/>
                <w:szCs w:val="20"/>
                <w:shd w:val="clear" w:color="auto" w:fill="FFFFFF"/>
              </w:rPr>
              <w:t xml:space="preserve"> 2a din </w:t>
            </w:r>
            <w:proofErr w:type="spellStart"/>
            <w:r w:rsidRPr="00074769">
              <w:rPr>
                <w:sz w:val="20"/>
                <w:szCs w:val="20"/>
                <w:shd w:val="clear" w:color="auto" w:fill="FFFFFF"/>
              </w:rPr>
              <w:t>Directiva</w:t>
            </w:r>
            <w:proofErr w:type="spellEnd"/>
            <w:r w:rsidRPr="00074769">
              <w:rPr>
                <w:sz w:val="20"/>
                <w:szCs w:val="20"/>
                <w:shd w:val="clear" w:color="auto" w:fill="FFFFFF"/>
              </w:rPr>
              <w:t xml:space="preserve"> 2010/31/UE.</w:t>
            </w:r>
          </w:p>
          <w:p w14:paraId="5CB39972" w14:textId="5980FFB8" w:rsidR="008F5636" w:rsidRPr="00074769" w:rsidRDefault="008F5636" w:rsidP="000C5A3B">
            <w:pPr>
              <w:pStyle w:val="ti-grseq-1"/>
              <w:numPr>
                <w:ilvl w:val="0"/>
                <w:numId w:val="13"/>
              </w:numPr>
              <w:shd w:val="clear" w:color="auto" w:fill="FFFFFF"/>
              <w:spacing w:before="0" w:beforeAutospacing="0" w:after="0" w:afterAutospacing="0"/>
              <w:ind w:left="397"/>
              <w:jc w:val="both"/>
              <w:rPr>
                <w:b/>
                <w:bCs/>
                <w:sz w:val="20"/>
                <w:szCs w:val="20"/>
                <w:shd w:val="clear" w:color="auto" w:fill="FFFFFF"/>
              </w:rPr>
            </w:pPr>
            <w:proofErr w:type="spellStart"/>
            <w:r w:rsidRPr="00074769">
              <w:rPr>
                <w:sz w:val="20"/>
                <w:szCs w:val="20"/>
                <w:shd w:val="clear" w:color="auto" w:fill="FFFFFF"/>
              </w:rPr>
              <w:t>Dacă</w:t>
            </w:r>
            <w:proofErr w:type="spellEnd"/>
            <w:r w:rsidRPr="00074769">
              <w:rPr>
                <w:sz w:val="20"/>
                <w:szCs w:val="20"/>
                <w:shd w:val="clear" w:color="auto" w:fill="FFFFFF"/>
              </w:rPr>
              <w:t xml:space="preserve"> </w:t>
            </w:r>
            <w:proofErr w:type="spellStart"/>
            <w:r w:rsidRPr="00074769">
              <w:rPr>
                <w:sz w:val="20"/>
                <w:szCs w:val="20"/>
                <w:shd w:val="clear" w:color="auto" w:fill="FFFFFF"/>
              </w:rPr>
              <w:t>este</w:t>
            </w:r>
            <w:proofErr w:type="spellEnd"/>
            <w:r w:rsidRPr="00074769">
              <w:rPr>
                <w:sz w:val="20"/>
                <w:szCs w:val="20"/>
                <w:shd w:val="clear" w:color="auto" w:fill="FFFFFF"/>
              </w:rPr>
              <w:t xml:space="preserve"> </w:t>
            </w:r>
            <w:proofErr w:type="spellStart"/>
            <w:r w:rsidRPr="00074769">
              <w:rPr>
                <w:sz w:val="20"/>
                <w:szCs w:val="20"/>
                <w:shd w:val="clear" w:color="auto" w:fill="FFFFFF"/>
              </w:rPr>
              <w:t>cazul</w:t>
            </w:r>
            <w:proofErr w:type="spellEnd"/>
            <w:r w:rsidRPr="00074769">
              <w:rPr>
                <w:sz w:val="20"/>
                <w:szCs w:val="20"/>
                <w:shd w:val="clear" w:color="auto" w:fill="FFFFFF"/>
              </w:rPr>
              <w:t xml:space="preserve">, </w:t>
            </w:r>
            <w:proofErr w:type="spellStart"/>
            <w:r w:rsidRPr="00074769">
              <w:rPr>
                <w:sz w:val="20"/>
                <w:szCs w:val="20"/>
                <w:shd w:val="clear" w:color="auto" w:fill="FFFFFF"/>
              </w:rPr>
              <w:t>alte</w:t>
            </w:r>
            <w:proofErr w:type="spellEnd"/>
            <w:r w:rsidRPr="00074769">
              <w:rPr>
                <w:sz w:val="20"/>
                <w:szCs w:val="20"/>
                <w:shd w:val="clear" w:color="auto" w:fill="FFFFFF"/>
              </w:rPr>
              <w:t xml:space="preserve"> </w:t>
            </w:r>
            <w:proofErr w:type="spellStart"/>
            <w:r w:rsidRPr="00074769">
              <w:rPr>
                <w:sz w:val="20"/>
                <w:szCs w:val="20"/>
                <w:shd w:val="clear" w:color="auto" w:fill="FFFFFF"/>
              </w:rPr>
              <w:t>obiective</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obiective</w:t>
            </w:r>
            <w:proofErr w:type="spellEnd"/>
            <w:r w:rsidRPr="00074769">
              <w:rPr>
                <w:sz w:val="20"/>
                <w:szCs w:val="20"/>
                <w:shd w:val="clear" w:color="auto" w:fill="FFFFFF"/>
              </w:rPr>
              <w:t xml:space="preserve"> </w:t>
            </w:r>
            <w:proofErr w:type="spellStart"/>
            <w:r w:rsidRPr="00074769">
              <w:rPr>
                <w:sz w:val="20"/>
                <w:szCs w:val="20"/>
                <w:shd w:val="clear" w:color="auto" w:fill="FFFFFF"/>
              </w:rPr>
              <w:t>sau</w:t>
            </w:r>
            <w:proofErr w:type="spellEnd"/>
            <w:r w:rsidRPr="00074769">
              <w:rPr>
                <w:sz w:val="20"/>
                <w:szCs w:val="20"/>
                <w:shd w:val="clear" w:color="auto" w:fill="FFFFFF"/>
              </w:rPr>
              <w:t xml:space="preserve"> </w:t>
            </w:r>
            <w:proofErr w:type="spellStart"/>
            <w:r w:rsidRPr="00074769">
              <w:rPr>
                <w:sz w:val="20"/>
                <w:szCs w:val="20"/>
                <w:shd w:val="clear" w:color="auto" w:fill="FFFFFF"/>
              </w:rPr>
              <w:t>strategii</w:t>
            </w:r>
            <w:proofErr w:type="spellEnd"/>
            <w:r w:rsidRPr="00074769">
              <w:rPr>
                <w:sz w:val="20"/>
                <w:szCs w:val="20"/>
                <w:shd w:val="clear" w:color="auto" w:fill="FFFFFF"/>
              </w:rPr>
              <w:t xml:space="preserve"> pe termen lung și </w:t>
            </w:r>
            <w:proofErr w:type="spellStart"/>
            <w:r w:rsidRPr="00074769">
              <w:rPr>
                <w:sz w:val="20"/>
                <w:szCs w:val="20"/>
                <w:shd w:val="clear" w:color="auto" w:fill="FFFFFF"/>
              </w:rPr>
              <w:t>obiective</w:t>
            </w:r>
            <w:proofErr w:type="spellEnd"/>
            <w:r w:rsidRPr="00074769">
              <w:rPr>
                <w:sz w:val="20"/>
                <w:szCs w:val="20"/>
                <w:shd w:val="clear" w:color="auto" w:fill="FFFFFF"/>
              </w:rPr>
              <w:t xml:space="preserve"> </w:t>
            </w:r>
            <w:proofErr w:type="spellStart"/>
            <w:r w:rsidRPr="00074769">
              <w:rPr>
                <w:sz w:val="20"/>
                <w:szCs w:val="20"/>
                <w:shd w:val="clear" w:color="auto" w:fill="FFFFFF"/>
              </w:rPr>
              <w:t>sectoriale</w:t>
            </w:r>
            <w:proofErr w:type="spellEnd"/>
            <w:r w:rsidRPr="00074769">
              <w:rPr>
                <w:sz w:val="20"/>
                <w:szCs w:val="20"/>
                <w:shd w:val="clear" w:color="auto" w:fill="FFFFFF"/>
              </w:rPr>
              <w:t xml:space="preserve">, precum și </w:t>
            </w:r>
            <w:proofErr w:type="spellStart"/>
            <w:r w:rsidRPr="00074769">
              <w:rPr>
                <w:sz w:val="20"/>
                <w:szCs w:val="20"/>
                <w:shd w:val="clear" w:color="auto" w:fill="FFFFFF"/>
              </w:rPr>
              <w:t>obiectivele</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în </w:t>
            </w:r>
            <w:proofErr w:type="spellStart"/>
            <w:r w:rsidRPr="00074769">
              <w:rPr>
                <w:sz w:val="20"/>
                <w:szCs w:val="20"/>
                <w:shd w:val="clear" w:color="auto" w:fill="FFFFFF"/>
              </w:rPr>
              <w:t>domenii</w:t>
            </w:r>
            <w:proofErr w:type="spellEnd"/>
            <w:r w:rsidRPr="00074769">
              <w:rPr>
                <w:sz w:val="20"/>
                <w:szCs w:val="20"/>
                <w:shd w:val="clear" w:color="auto" w:fill="FFFFFF"/>
              </w:rPr>
              <w:t xml:space="preserve"> precum </w:t>
            </w:r>
            <w:proofErr w:type="spellStart"/>
            <w:r w:rsidRPr="00074769">
              <w:rPr>
                <w:sz w:val="20"/>
                <w:szCs w:val="20"/>
                <w:shd w:val="clear" w:color="auto" w:fill="FFFFFF"/>
              </w:rPr>
              <w:t>eficiența</w:t>
            </w:r>
            <w:proofErr w:type="spellEnd"/>
            <w:r w:rsidRPr="00074769">
              <w:rPr>
                <w:sz w:val="20"/>
                <w:szCs w:val="20"/>
                <w:shd w:val="clear" w:color="auto" w:fill="FFFFFF"/>
              </w:rPr>
              <w:t xml:space="preserve"> </w:t>
            </w:r>
            <w:proofErr w:type="spellStart"/>
            <w:r w:rsidRPr="00074769">
              <w:rPr>
                <w:sz w:val="20"/>
                <w:szCs w:val="20"/>
                <w:shd w:val="clear" w:color="auto" w:fill="FFFFFF"/>
              </w:rPr>
              <w:t>energetică</w:t>
            </w:r>
            <w:proofErr w:type="spellEnd"/>
            <w:r w:rsidRPr="00074769">
              <w:rPr>
                <w:sz w:val="20"/>
                <w:szCs w:val="20"/>
                <w:shd w:val="clear" w:color="auto" w:fill="FFFFFF"/>
              </w:rPr>
              <w:t xml:space="preserve"> în </w:t>
            </w:r>
            <w:proofErr w:type="spellStart"/>
            <w:r w:rsidRPr="00074769">
              <w:rPr>
                <w:sz w:val="20"/>
                <w:szCs w:val="20"/>
                <w:shd w:val="clear" w:color="auto" w:fill="FFFFFF"/>
              </w:rPr>
              <w:t>sectorul</w:t>
            </w:r>
            <w:proofErr w:type="spellEnd"/>
            <w:r w:rsidRPr="00074769">
              <w:rPr>
                <w:sz w:val="20"/>
                <w:szCs w:val="20"/>
                <w:shd w:val="clear" w:color="auto" w:fill="FFFFFF"/>
              </w:rPr>
              <w:t xml:space="preserve"> </w:t>
            </w:r>
            <w:proofErr w:type="spellStart"/>
            <w:r w:rsidRPr="00074769">
              <w:rPr>
                <w:sz w:val="20"/>
                <w:szCs w:val="20"/>
                <w:shd w:val="clear" w:color="auto" w:fill="FFFFFF"/>
              </w:rPr>
              <w:t>transporturilor</w:t>
            </w:r>
            <w:proofErr w:type="spellEnd"/>
            <w:r w:rsidRPr="00074769">
              <w:rPr>
                <w:sz w:val="20"/>
                <w:szCs w:val="20"/>
                <w:shd w:val="clear" w:color="auto" w:fill="FFFFFF"/>
              </w:rPr>
              <w:t xml:space="preserve"> și în </w:t>
            </w:r>
            <w:proofErr w:type="spellStart"/>
            <w:r w:rsidRPr="00074769">
              <w:rPr>
                <w:sz w:val="20"/>
                <w:szCs w:val="20"/>
                <w:shd w:val="clear" w:color="auto" w:fill="FFFFFF"/>
              </w:rPr>
              <w:t>ceea</w:t>
            </w:r>
            <w:proofErr w:type="spellEnd"/>
            <w:r w:rsidRPr="00074769">
              <w:rPr>
                <w:sz w:val="20"/>
                <w:szCs w:val="20"/>
                <w:shd w:val="clear" w:color="auto" w:fill="FFFFFF"/>
              </w:rPr>
              <w:t xml:space="preserve"> </w:t>
            </w:r>
            <w:proofErr w:type="spellStart"/>
            <w:r w:rsidRPr="00074769">
              <w:rPr>
                <w:sz w:val="20"/>
                <w:szCs w:val="20"/>
                <w:shd w:val="clear" w:color="auto" w:fill="FFFFFF"/>
              </w:rPr>
              <w:t>ce</w:t>
            </w:r>
            <w:proofErr w:type="spellEnd"/>
            <w:r w:rsidRPr="00074769">
              <w:rPr>
                <w:sz w:val="20"/>
                <w:szCs w:val="20"/>
                <w:shd w:val="clear" w:color="auto" w:fill="FFFFFF"/>
              </w:rPr>
              <w:t xml:space="preserve"> </w:t>
            </w:r>
            <w:proofErr w:type="spellStart"/>
            <w:r w:rsidRPr="00074769">
              <w:rPr>
                <w:sz w:val="20"/>
                <w:szCs w:val="20"/>
                <w:shd w:val="clear" w:color="auto" w:fill="FFFFFF"/>
              </w:rPr>
              <w:t>privește</w:t>
            </w:r>
            <w:proofErr w:type="spellEnd"/>
            <w:r w:rsidRPr="00074769">
              <w:rPr>
                <w:sz w:val="20"/>
                <w:szCs w:val="20"/>
                <w:shd w:val="clear" w:color="auto" w:fill="FFFFFF"/>
              </w:rPr>
              <w:t xml:space="preserve"> </w:t>
            </w:r>
            <w:proofErr w:type="spellStart"/>
            <w:r w:rsidRPr="00074769">
              <w:rPr>
                <w:sz w:val="20"/>
                <w:szCs w:val="20"/>
                <w:shd w:val="clear" w:color="auto" w:fill="FFFFFF"/>
              </w:rPr>
              <w:t>încălzirea</w:t>
            </w:r>
            <w:proofErr w:type="spellEnd"/>
            <w:r w:rsidRPr="00074769">
              <w:rPr>
                <w:sz w:val="20"/>
                <w:szCs w:val="20"/>
                <w:shd w:val="clear" w:color="auto" w:fill="FFFFFF"/>
              </w:rPr>
              <w:t xml:space="preserve"> și </w:t>
            </w:r>
            <w:proofErr w:type="spellStart"/>
            <w:r w:rsidRPr="00074769">
              <w:rPr>
                <w:sz w:val="20"/>
                <w:szCs w:val="20"/>
                <w:shd w:val="clear" w:color="auto" w:fill="FFFFFF"/>
              </w:rPr>
              <w:t>răcirea</w:t>
            </w:r>
            <w:proofErr w:type="spellEnd"/>
            <w:r w:rsidRPr="00074769">
              <w:rPr>
                <w:sz w:val="20"/>
                <w:szCs w:val="20"/>
                <w:shd w:val="clear" w:color="auto" w:fill="FFFFFF"/>
              </w:rPr>
              <w:t>.</w:t>
            </w:r>
          </w:p>
          <w:p w14:paraId="44DF21E4" w14:textId="54910AC9" w:rsidR="008F5636" w:rsidRPr="00074769" w:rsidRDefault="008F5636" w:rsidP="008F5636">
            <w:pPr>
              <w:pStyle w:val="ti-grseq-1"/>
              <w:shd w:val="clear" w:color="auto" w:fill="FFFFFF"/>
              <w:spacing w:before="0" w:beforeAutospacing="0" w:after="0" w:afterAutospacing="0"/>
              <w:ind w:left="397"/>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3.Dimensiunea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securitate</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r w:rsidRPr="00074769">
              <w:rPr>
                <w:b/>
                <w:bCs/>
                <w:color w:val="333333"/>
                <w:sz w:val="20"/>
                <w:szCs w:val="20"/>
                <w:shd w:val="clear" w:color="auto" w:fill="FFFFFF"/>
              </w:rPr>
              <w:t>”</w:t>
            </w:r>
          </w:p>
          <w:p w14:paraId="5B57A87F" w14:textId="68B6D134" w:rsidR="008F5636" w:rsidRPr="00074769" w:rsidRDefault="008F5636" w:rsidP="000C5A3B">
            <w:pPr>
              <w:pStyle w:val="ti-grseq-1"/>
              <w:numPr>
                <w:ilvl w:val="0"/>
                <w:numId w:val="14"/>
              </w:numPr>
              <w:shd w:val="clear" w:color="auto" w:fill="FFFFFF"/>
              <w:spacing w:before="0" w:beforeAutospacing="0" w:after="0" w:afterAutospacing="0"/>
              <w:ind w:left="397"/>
              <w:jc w:val="both"/>
              <w:rPr>
                <w:color w:val="333333"/>
                <w:sz w:val="20"/>
                <w:szCs w:val="20"/>
                <w:shd w:val="clear" w:color="auto" w:fill="FFFFFF"/>
              </w:rPr>
            </w:pPr>
            <w:proofErr w:type="spellStart"/>
            <w:r w:rsidRPr="00074769">
              <w:rPr>
                <w:color w:val="333333"/>
                <w:sz w:val="20"/>
                <w:szCs w:val="20"/>
                <w:shd w:val="clear" w:color="auto" w:fill="FFFFFF"/>
              </w:rPr>
              <w:t>Elementele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prevăzute</w:t>
            </w:r>
            <w:proofErr w:type="spellEnd"/>
            <w:r w:rsidRPr="00074769">
              <w:rPr>
                <w:color w:val="333333"/>
                <w:sz w:val="20"/>
                <w:szCs w:val="20"/>
                <w:shd w:val="clear" w:color="auto" w:fill="FFFFFF"/>
              </w:rPr>
              <w:t xml:space="preserve"> la </w:t>
            </w:r>
            <w:proofErr w:type="spellStart"/>
            <w:r w:rsidRPr="00074769">
              <w:rPr>
                <w:color w:val="333333"/>
                <w:sz w:val="20"/>
                <w:szCs w:val="20"/>
                <w:shd w:val="clear" w:color="auto" w:fill="FFFFFF"/>
              </w:rPr>
              <w:t>articolul</w:t>
            </w:r>
            <w:proofErr w:type="spellEnd"/>
            <w:r w:rsidRPr="00074769">
              <w:rPr>
                <w:color w:val="333333"/>
                <w:sz w:val="20"/>
                <w:szCs w:val="20"/>
                <w:shd w:val="clear" w:color="auto" w:fill="FFFFFF"/>
              </w:rPr>
              <w:t xml:space="preserve"> 4 </w:t>
            </w:r>
            <w:proofErr w:type="spellStart"/>
            <w:r w:rsidRPr="00074769">
              <w:rPr>
                <w:color w:val="333333"/>
                <w:sz w:val="20"/>
                <w:szCs w:val="20"/>
                <w:shd w:val="clear" w:color="auto" w:fill="FFFFFF"/>
              </w:rPr>
              <w:t>litera</w:t>
            </w:r>
            <w:proofErr w:type="spellEnd"/>
            <w:r w:rsidRPr="00074769">
              <w:rPr>
                <w:color w:val="333333"/>
                <w:sz w:val="20"/>
                <w:szCs w:val="20"/>
                <w:shd w:val="clear" w:color="auto" w:fill="FFFFFF"/>
              </w:rPr>
              <w:t xml:space="preserve"> (c)</w:t>
            </w:r>
          </w:p>
          <w:p w14:paraId="488493E7" w14:textId="0601D397" w:rsidR="008F5636" w:rsidRPr="00074769" w:rsidRDefault="008F5636" w:rsidP="000C5A3B">
            <w:pPr>
              <w:pStyle w:val="ti-grseq-1"/>
              <w:numPr>
                <w:ilvl w:val="0"/>
                <w:numId w:val="14"/>
              </w:numPr>
              <w:shd w:val="clear" w:color="auto" w:fill="FFFFFF"/>
              <w:spacing w:before="0" w:beforeAutospacing="0" w:after="0" w:afterAutospacing="0"/>
              <w:ind w:left="397"/>
              <w:jc w:val="both"/>
              <w:rPr>
                <w:color w:val="333333"/>
                <w:sz w:val="20"/>
                <w:szCs w:val="20"/>
                <w:shd w:val="clear" w:color="auto" w:fill="FFFFFF"/>
              </w:rPr>
            </w:pPr>
            <w:proofErr w:type="spellStart"/>
            <w:r w:rsidRPr="00074769">
              <w:rPr>
                <w:color w:val="333333"/>
                <w:sz w:val="20"/>
                <w:szCs w:val="20"/>
                <w:shd w:val="clear" w:color="auto" w:fill="FFFFFF"/>
              </w:rPr>
              <w:t>Obiectivele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naționale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ceea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privește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sporirea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gradului</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diversitate</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surselor</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și în </w:t>
            </w:r>
            <w:proofErr w:type="spellStart"/>
            <w:r w:rsidRPr="00074769">
              <w:rPr>
                <w:color w:val="333333"/>
                <w:sz w:val="20"/>
                <w:szCs w:val="20"/>
                <w:shd w:val="clear" w:color="auto" w:fill="FFFFFF"/>
              </w:rPr>
              <w:t>ceea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privește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aprovizionarea</w:t>
            </w:r>
            <w:proofErr w:type="spellEnd"/>
            <w:r w:rsidRPr="00074769">
              <w:rPr>
                <w:color w:val="333333"/>
                <w:sz w:val="20"/>
                <w:szCs w:val="20"/>
                <w:shd w:val="clear" w:color="auto" w:fill="FFFFFF"/>
              </w:rPr>
              <w:t xml:space="preserve"> cu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din </w:t>
            </w:r>
            <w:proofErr w:type="spellStart"/>
            <w:r w:rsidRPr="00074769">
              <w:rPr>
                <w:color w:val="333333"/>
                <w:sz w:val="20"/>
                <w:szCs w:val="20"/>
                <w:shd w:val="clear" w:color="auto" w:fill="FFFFFF"/>
              </w:rPr>
              <w:t>țări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terțe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pentru</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îmbunătăți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capacitatea</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rezistență</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sistemelor</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energetice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regionale</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naționale</w:t>
            </w:r>
            <w:proofErr w:type="spellEnd"/>
          </w:p>
          <w:p w14:paraId="0F1EFF15" w14:textId="3B477C90" w:rsidR="008F5636" w:rsidRPr="00074769" w:rsidRDefault="008F5636" w:rsidP="000C5A3B">
            <w:pPr>
              <w:pStyle w:val="ti-grseq-1"/>
              <w:numPr>
                <w:ilvl w:val="0"/>
                <w:numId w:val="14"/>
              </w:numPr>
              <w:shd w:val="clear" w:color="auto" w:fill="FFFFFF"/>
              <w:spacing w:before="0" w:beforeAutospacing="0" w:after="0" w:afterAutospacing="0"/>
              <w:ind w:left="397"/>
              <w:jc w:val="both"/>
              <w:rPr>
                <w:color w:val="333333"/>
                <w:sz w:val="20"/>
                <w:szCs w:val="20"/>
                <w:shd w:val="clear" w:color="auto" w:fill="FFFFFF"/>
              </w:rPr>
            </w:pPr>
            <w:proofErr w:type="spellStart"/>
            <w:r w:rsidRPr="00074769">
              <w:rPr>
                <w:color w:val="333333"/>
                <w:sz w:val="20"/>
                <w:szCs w:val="20"/>
                <w:shd w:val="clear" w:color="auto" w:fill="FFFFFF"/>
              </w:rPr>
              <w:t>Dacă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este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cazul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obiectivele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naționale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ceea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privește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reducerea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dependenței</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importurile</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din </w:t>
            </w:r>
            <w:proofErr w:type="spellStart"/>
            <w:r w:rsidRPr="00074769">
              <w:rPr>
                <w:color w:val="333333"/>
                <w:sz w:val="20"/>
                <w:szCs w:val="20"/>
                <w:shd w:val="clear" w:color="auto" w:fill="FFFFFF"/>
              </w:rPr>
              <w:t>țări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terțe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pentru</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îmbunătăți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capacitatea</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rezistență</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sistemelor</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energetice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regionale</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naționale</w:t>
            </w:r>
            <w:proofErr w:type="spellEnd"/>
          </w:p>
          <w:p w14:paraId="40827462" w14:textId="3B34B50A" w:rsidR="008F5636" w:rsidRPr="00074769" w:rsidRDefault="008F5636" w:rsidP="000C5A3B">
            <w:pPr>
              <w:pStyle w:val="ti-grseq-1"/>
              <w:numPr>
                <w:ilvl w:val="0"/>
                <w:numId w:val="14"/>
              </w:numPr>
              <w:shd w:val="clear" w:color="auto" w:fill="FFFFFF"/>
              <w:spacing w:before="0" w:beforeAutospacing="0" w:after="0" w:afterAutospacing="0"/>
              <w:ind w:left="397"/>
              <w:jc w:val="both"/>
              <w:rPr>
                <w:b/>
                <w:bCs/>
                <w:sz w:val="20"/>
                <w:szCs w:val="20"/>
                <w:shd w:val="clear" w:color="auto" w:fill="FFFFFF"/>
              </w:rPr>
            </w:pPr>
            <w:proofErr w:type="spellStart"/>
            <w:r w:rsidRPr="00074769">
              <w:rPr>
                <w:color w:val="333333"/>
                <w:sz w:val="20"/>
                <w:szCs w:val="20"/>
                <w:shd w:val="clear" w:color="auto" w:fill="FFFFFF"/>
              </w:rPr>
              <w:t>Obiectivele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naționale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ceea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privește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creșterea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flexibilității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sistemului</w:t>
            </w:r>
            <w:proofErr w:type="spellEnd"/>
            <w:r w:rsidRPr="00074769">
              <w:rPr>
                <w:color w:val="333333"/>
                <w:sz w:val="20"/>
                <w:szCs w:val="20"/>
                <w:shd w:val="clear" w:color="auto" w:fill="FFFFFF"/>
              </w:rPr>
              <w:t xml:space="preserve"> energetic </w:t>
            </w:r>
            <w:proofErr w:type="spellStart"/>
            <w:r w:rsidRPr="00074769">
              <w:rPr>
                <w:color w:val="333333"/>
                <w:sz w:val="20"/>
                <w:szCs w:val="20"/>
                <w:shd w:val="clear" w:color="auto" w:fill="FFFFFF"/>
              </w:rPr>
              <w:t>național</w:t>
            </w:r>
            <w:proofErr w:type="spellEnd"/>
            <w:r w:rsidRPr="00074769">
              <w:rPr>
                <w:color w:val="333333"/>
                <w:sz w:val="20"/>
                <w:szCs w:val="20"/>
                <w:shd w:val="clear" w:color="auto" w:fill="FFFFFF"/>
              </w:rPr>
              <w:t xml:space="preserve">, în special </w:t>
            </w:r>
            <w:proofErr w:type="spellStart"/>
            <w:r w:rsidRPr="00074769">
              <w:rPr>
                <w:color w:val="333333"/>
                <w:sz w:val="20"/>
                <w:szCs w:val="20"/>
                <w:shd w:val="clear" w:color="auto" w:fill="FFFFFF"/>
              </w:rPr>
              <w:t>prin</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utilizarea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surselor</w:t>
            </w:r>
            <w:proofErr w:type="spellEnd"/>
            <w:r w:rsidRPr="00074769">
              <w:rPr>
                <w:color w:val="333333"/>
                <w:sz w:val="20"/>
                <w:szCs w:val="20"/>
                <w:shd w:val="clear" w:color="auto" w:fill="FFFFFF"/>
              </w:rPr>
              <w:t xml:space="preserve"> interne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participarea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activă</w:t>
            </w:r>
            <w:proofErr w:type="spellEnd"/>
            <w:r w:rsidRPr="00074769">
              <w:rPr>
                <w:color w:val="333333"/>
                <w:sz w:val="20"/>
                <w:szCs w:val="20"/>
                <w:shd w:val="clear" w:color="auto" w:fill="FFFFFF"/>
              </w:rPr>
              <w:t xml:space="preserve"> a </w:t>
            </w:r>
            <w:proofErr w:type="spellStart"/>
            <w:r w:rsidRPr="00074769">
              <w:rPr>
                <w:color w:val="333333"/>
                <w:sz w:val="20"/>
                <w:szCs w:val="20"/>
                <w:shd w:val="clear" w:color="auto" w:fill="FFFFFF"/>
              </w:rPr>
              <w:t>cererii</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stocarea</w:t>
            </w:r>
            <w:proofErr w:type="spellEnd"/>
            <w:r w:rsidRPr="00074769">
              <w:rPr>
                <w:color w:val="333333"/>
                <w:sz w:val="20"/>
                <w:szCs w:val="20"/>
                <w:shd w:val="clear" w:color="auto" w:fill="FFFFFF"/>
              </w:rPr>
              <w:t xml:space="preserve"> energiei</w:t>
            </w:r>
          </w:p>
          <w:p w14:paraId="38C8DC23" w14:textId="239413FD" w:rsidR="008F5636" w:rsidRPr="00074769" w:rsidRDefault="008F5636" w:rsidP="008F5636">
            <w:pPr>
              <w:pStyle w:val="ti-grseq-1"/>
              <w:shd w:val="clear" w:color="auto" w:fill="FFFFFF"/>
              <w:spacing w:before="0" w:beforeAutospacing="0" w:after="0" w:afterAutospacing="0"/>
              <w:ind w:left="397"/>
              <w:jc w:val="both"/>
              <w:rPr>
                <w:b/>
                <w:bCs/>
                <w:color w:val="333333"/>
                <w:sz w:val="20"/>
                <w:szCs w:val="20"/>
                <w:lang w:val="ro-MD"/>
              </w:rPr>
            </w:pPr>
            <w:r w:rsidRPr="00074769">
              <w:rPr>
                <w:b/>
                <w:bCs/>
                <w:color w:val="333333"/>
                <w:sz w:val="20"/>
                <w:szCs w:val="20"/>
                <w:lang w:val="fr-FR"/>
              </w:rPr>
              <w:t>2.</w:t>
            </w:r>
            <w:proofErr w:type="gramStart"/>
            <w:r w:rsidRPr="00074769">
              <w:rPr>
                <w:b/>
                <w:bCs/>
                <w:color w:val="333333"/>
                <w:sz w:val="20"/>
                <w:szCs w:val="20"/>
                <w:lang w:val="fr-FR"/>
              </w:rPr>
              <w:t>4.Dimensiunea</w:t>
            </w:r>
            <w:proofErr w:type="gramEnd"/>
            <w:r w:rsidRPr="00074769">
              <w:rPr>
                <w:b/>
                <w:bCs/>
                <w:color w:val="333333"/>
                <w:sz w:val="20"/>
                <w:szCs w:val="20"/>
                <w:lang w:val="fr-FR"/>
              </w:rPr>
              <w:t xml:space="preserve"> „</w:t>
            </w:r>
            <w:proofErr w:type="spellStart"/>
            <w:r w:rsidRPr="00074769">
              <w:rPr>
                <w:b/>
                <w:bCs/>
                <w:color w:val="333333"/>
                <w:sz w:val="20"/>
                <w:szCs w:val="20"/>
                <w:lang w:val="fr-FR"/>
              </w:rPr>
              <w:t>piața</w:t>
            </w:r>
            <w:proofErr w:type="spellEnd"/>
            <w:r w:rsidRPr="00074769">
              <w:rPr>
                <w:b/>
                <w:bCs/>
                <w:color w:val="333333"/>
                <w:sz w:val="20"/>
                <w:szCs w:val="20"/>
                <w:lang w:val="fr-FR"/>
              </w:rPr>
              <w:t xml:space="preserve"> </w:t>
            </w:r>
            <w:proofErr w:type="spellStart"/>
            <w:r w:rsidRPr="00074769">
              <w:rPr>
                <w:b/>
                <w:bCs/>
                <w:color w:val="333333"/>
                <w:sz w:val="20"/>
                <w:szCs w:val="20"/>
                <w:lang w:val="fr-FR"/>
              </w:rPr>
              <w:t>internă</w:t>
            </w:r>
            <w:proofErr w:type="spellEnd"/>
            <w:r w:rsidRPr="00074769">
              <w:rPr>
                <w:b/>
                <w:bCs/>
                <w:color w:val="333333"/>
                <w:sz w:val="20"/>
                <w:szCs w:val="20"/>
                <w:lang w:val="fr-FR"/>
              </w:rPr>
              <w:t xml:space="preserve"> a energiei”</w:t>
            </w:r>
          </w:p>
          <w:p w14:paraId="0CB20588" w14:textId="44A74542" w:rsidR="008F5636" w:rsidRPr="00074769" w:rsidRDefault="008F5636" w:rsidP="008F5636">
            <w:pPr>
              <w:pStyle w:val="ti-grseq-1"/>
              <w:shd w:val="clear" w:color="auto" w:fill="FFFFFF"/>
              <w:spacing w:before="0" w:beforeAutospacing="0" w:after="0" w:afterAutospacing="0"/>
              <w:ind w:left="397"/>
              <w:jc w:val="both"/>
              <w:rPr>
                <w:b/>
                <w:bCs/>
                <w:color w:val="333333"/>
                <w:sz w:val="20"/>
                <w:szCs w:val="20"/>
                <w:lang w:val="ro-MD"/>
              </w:rPr>
            </w:pPr>
            <w:r w:rsidRPr="00074769">
              <w:rPr>
                <w:b/>
                <w:bCs/>
                <w:color w:val="333333"/>
                <w:sz w:val="20"/>
                <w:szCs w:val="20"/>
                <w:lang w:val="ro-MD"/>
              </w:rPr>
              <w:t>2.4.1.Interconectivitatea rețelelor electrice</w:t>
            </w:r>
          </w:p>
          <w:p w14:paraId="7012214A" w14:textId="523D49A2" w:rsidR="008F5636" w:rsidRPr="00074769" w:rsidRDefault="008F5636" w:rsidP="000C5A3B">
            <w:pPr>
              <w:pStyle w:val="ti-grseq-1"/>
              <w:numPr>
                <w:ilvl w:val="0"/>
                <w:numId w:val="15"/>
              </w:numPr>
              <w:shd w:val="clear" w:color="auto" w:fill="FFFFFF"/>
              <w:spacing w:before="0" w:beforeAutospacing="0" w:after="0" w:afterAutospacing="0"/>
              <w:ind w:left="397"/>
              <w:rPr>
                <w:b/>
                <w:bCs/>
                <w:sz w:val="20"/>
                <w:szCs w:val="20"/>
                <w:shd w:val="clear" w:color="auto" w:fill="FFFFFF"/>
                <w:lang w:val="ro-MD"/>
              </w:rPr>
            </w:pPr>
            <w:r w:rsidRPr="00074769">
              <w:rPr>
                <w:color w:val="333333"/>
                <w:sz w:val="20"/>
                <w:szCs w:val="20"/>
                <w:shd w:val="clear" w:color="auto" w:fill="FFFFFF"/>
                <w:lang w:val="ro-MD"/>
              </w:rPr>
              <w:t>Nivelul de interconectivitate a rețelelor electrice în 2030 spre care tinde statul membru, având în vedere obiectivul de interconectare a rețelelor electrice pentru 2030 de cel puțin 15 %, cu o strategie cu nivelul începând din 2021, definită în strânsă cooperare cu statele membre afectate, ținând seama de obiectivul de 10 % de interconectare prevăzut pentru 2020 și de următorii indicatori ai gradului de urgență a măsurilor:</w:t>
            </w:r>
          </w:p>
          <w:p w14:paraId="143EBC2C" w14:textId="21D0C73A" w:rsidR="008F5636" w:rsidRPr="00074769" w:rsidRDefault="008F5636" w:rsidP="000C5A3B">
            <w:pPr>
              <w:pStyle w:val="ti-grseq-1"/>
              <w:numPr>
                <w:ilvl w:val="0"/>
                <w:numId w:val="16"/>
              </w:numPr>
              <w:shd w:val="clear" w:color="auto" w:fill="FFFFFF"/>
              <w:spacing w:before="0" w:beforeAutospacing="0" w:after="0" w:afterAutospacing="0"/>
              <w:ind w:left="397"/>
              <w:rPr>
                <w:color w:val="333333"/>
                <w:sz w:val="20"/>
                <w:szCs w:val="20"/>
                <w:shd w:val="clear" w:color="auto" w:fill="FFFFFF"/>
                <w:lang w:val="fr-FR"/>
              </w:rPr>
            </w:pPr>
            <w:proofErr w:type="spellStart"/>
            <w:r w:rsidRPr="00074769">
              <w:rPr>
                <w:color w:val="333333"/>
                <w:sz w:val="20"/>
                <w:szCs w:val="20"/>
                <w:shd w:val="clear" w:color="auto" w:fill="FFFFFF"/>
                <w:lang w:val="fr-FR"/>
              </w:rPr>
              <w:t>Diferențele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preț</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piața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angro</w:t>
            </w:r>
            <w:proofErr w:type="spellEnd"/>
            <w:r w:rsidRPr="00074769">
              <w:rPr>
                <w:color w:val="333333"/>
                <w:sz w:val="20"/>
                <w:szCs w:val="20"/>
                <w:shd w:val="clear" w:color="auto" w:fill="FFFFFF"/>
                <w:lang w:val="fr-FR"/>
              </w:rPr>
              <w:t xml:space="preserve"> ce </w:t>
            </w:r>
            <w:proofErr w:type="spellStart"/>
            <w:r w:rsidRPr="00074769">
              <w:rPr>
                <w:color w:val="333333"/>
                <w:sz w:val="20"/>
                <w:szCs w:val="20"/>
                <w:shd w:val="clear" w:color="auto" w:fill="FFFFFF"/>
                <w:lang w:val="fr-FR"/>
              </w:rPr>
              <w:t>depășesc</w:t>
            </w:r>
            <w:proofErr w:type="spellEnd"/>
            <w:r w:rsidRPr="00074769">
              <w:rPr>
                <w:color w:val="333333"/>
                <w:sz w:val="20"/>
                <w:szCs w:val="20"/>
                <w:shd w:val="clear" w:color="auto" w:fill="FFFFFF"/>
                <w:lang w:val="fr-FR"/>
              </w:rPr>
              <w:t xml:space="preserve"> un </w:t>
            </w:r>
            <w:proofErr w:type="spellStart"/>
            <w:r w:rsidRPr="00074769">
              <w:rPr>
                <w:color w:val="333333"/>
                <w:sz w:val="20"/>
                <w:szCs w:val="20"/>
                <w:shd w:val="clear" w:color="auto" w:fill="FFFFFF"/>
                <w:lang w:val="fr-FR"/>
              </w:rPr>
              <w:t>prag</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orientativ</w:t>
            </w:r>
            <w:proofErr w:type="spellEnd"/>
            <w:r w:rsidRPr="00074769">
              <w:rPr>
                <w:color w:val="333333"/>
                <w:sz w:val="20"/>
                <w:szCs w:val="20"/>
                <w:shd w:val="clear" w:color="auto" w:fill="FFFFFF"/>
                <w:lang w:val="fr-FR"/>
              </w:rPr>
              <w:t xml:space="preserve"> de 2 EUR/MWh </w:t>
            </w:r>
            <w:proofErr w:type="spellStart"/>
            <w:r w:rsidRPr="00074769">
              <w:rPr>
                <w:color w:val="333333"/>
                <w:sz w:val="20"/>
                <w:szCs w:val="20"/>
                <w:shd w:val="clear" w:color="auto" w:fill="FFFFFF"/>
                <w:lang w:val="fr-FR"/>
              </w:rPr>
              <w:t>între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statele</w:t>
            </w:r>
            <w:proofErr w:type="spellEnd"/>
            <w:r w:rsidRPr="00074769">
              <w:rPr>
                <w:color w:val="333333"/>
                <w:sz w:val="20"/>
                <w:szCs w:val="20"/>
                <w:shd w:val="clear" w:color="auto" w:fill="FFFFFF"/>
                <w:lang w:val="fr-FR"/>
              </w:rPr>
              <w:t xml:space="preserve"> membre, </w:t>
            </w:r>
            <w:proofErr w:type="spellStart"/>
            <w:r w:rsidRPr="00074769">
              <w:rPr>
                <w:color w:val="333333"/>
                <w:sz w:val="20"/>
                <w:szCs w:val="20"/>
                <w:shd w:val="clear" w:color="auto" w:fill="FFFFFF"/>
                <w:lang w:val="fr-FR"/>
              </w:rPr>
              <w:t>regiuni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sau</w:t>
            </w:r>
            <w:proofErr w:type="spellEnd"/>
            <w:r w:rsidRPr="00074769">
              <w:rPr>
                <w:color w:val="333333"/>
                <w:sz w:val="20"/>
                <w:szCs w:val="20"/>
                <w:shd w:val="clear" w:color="auto" w:fill="FFFFFF"/>
                <w:lang w:val="fr-FR"/>
              </w:rPr>
              <w:t xml:space="preserve"> zone de </w:t>
            </w:r>
            <w:proofErr w:type="spellStart"/>
            <w:proofErr w:type="gramStart"/>
            <w:r w:rsidRPr="00074769">
              <w:rPr>
                <w:color w:val="333333"/>
                <w:sz w:val="20"/>
                <w:szCs w:val="20"/>
                <w:shd w:val="clear" w:color="auto" w:fill="FFFFFF"/>
                <w:lang w:val="fr-FR"/>
              </w:rPr>
              <w:t>ofertare</w:t>
            </w:r>
            <w:proofErr w:type="spellEnd"/>
            <w:r w:rsidRPr="00074769">
              <w:rPr>
                <w:color w:val="333333"/>
                <w:sz w:val="20"/>
                <w:szCs w:val="20"/>
                <w:shd w:val="clear" w:color="auto" w:fill="FFFFFF"/>
                <w:lang w:val="fr-FR"/>
              </w:rPr>
              <w:t>;</w:t>
            </w:r>
            <w:proofErr w:type="gramEnd"/>
          </w:p>
          <w:p w14:paraId="6177B9CF" w14:textId="4358D6BF" w:rsidR="008F5636" w:rsidRPr="00074769" w:rsidRDefault="008F5636" w:rsidP="000C5A3B">
            <w:pPr>
              <w:pStyle w:val="ti-grseq-1"/>
              <w:numPr>
                <w:ilvl w:val="0"/>
                <w:numId w:val="16"/>
              </w:numPr>
              <w:shd w:val="clear" w:color="auto" w:fill="FFFFFF"/>
              <w:spacing w:before="0" w:beforeAutospacing="0" w:after="0" w:afterAutospacing="0"/>
              <w:ind w:left="397"/>
              <w:rPr>
                <w:color w:val="333333"/>
                <w:sz w:val="20"/>
                <w:szCs w:val="20"/>
                <w:shd w:val="clear" w:color="auto" w:fill="FFFFFF"/>
                <w:lang w:val="fr-FR"/>
              </w:rPr>
            </w:pPr>
            <w:proofErr w:type="spellStart"/>
            <w:r w:rsidRPr="00074769">
              <w:rPr>
                <w:color w:val="333333"/>
                <w:sz w:val="20"/>
                <w:szCs w:val="20"/>
                <w:shd w:val="clear" w:color="auto" w:fill="FFFFFF"/>
                <w:lang w:val="fr-FR"/>
              </w:rPr>
              <w:t>Capacitate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nominală</w:t>
            </w:r>
            <w:proofErr w:type="spellEnd"/>
            <w:r w:rsidRPr="00074769">
              <w:rPr>
                <w:color w:val="333333"/>
                <w:sz w:val="20"/>
                <w:szCs w:val="20"/>
                <w:shd w:val="clear" w:color="auto" w:fill="FFFFFF"/>
                <w:lang w:val="fr-FR"/>
              </w:rPr>
              <w:t xml:space="preserve"> de transport a </w:t>
            </w:r>
            <w:proofErr w:type="spellStart"/>
            <w:r w:rsidRPr="00074769">
              <w:rPr>
                <w:color w:val="333333"/>
                <w:sz w:val="20"/>
                <w:szCs w:val="20"/>
                <w:shd w:val="clear" w:color="auto" w:fill="FFFFFF"/>
                <w:lang w:val="fr-FR"/>
              </w:rPr>
              <w:t>interconexiunilor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sub</w:t>
            </w:r>
            <w:proofErr w:type="spellEnd"/>
            <w:r w:rsidRPr="00074769">
              <w:rPr>
                <w:color w:val="333333"/>
                <w:sz w:val="20"/>
                <w:szCs w:val="20"/>
                <w:shd w:val="clear" w:color="auto" w:fill="FFFFFF"/>
                <w:lang w:val="fr-FR"/>
              </w:rPr>
              <w:t xml:space="preserve"> 30 %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vârful</w:t>
            </w:r>
            <w:proofErr w:type="spellEnd"/>
            <w:r w:rsidRPr="00074769">
              <w:rPr>
                <w:color w:val="333333"/>
                <w:sz w:val="20"/>
                <w:szCs w:val="20"/>
                <w:shd w:val="clear" w:color="auto" w:fill="FFFFFF"/>
                <w:lang w:val="fr-FR"/>
              </w:rPr>
              <w:t xml:space="preserve"> de </w:t>
            </w:r>
            <w:proofErr w:type="spellStart"/>
            <w:proofErr w:type="gramStart"/>
            <w:r w:rsidRPr="00074769">
              <w:rPr>
                <w:color w:val="333333"/>
                <w:sz w:val="20"/>
                <w:szCs w:val="20"/>
                <w:shd w:val="clear" w:color="auto" w:fill="FFFFFF"/>
                <w:lang w:val="fr-FR"/>
              </w:rPr>
              <w:t>sarcină</w:t>
            </w:r>
            <w:proofErr w:type="spellEnd"/>
            <w:r w:rsidRPr="00074769">
              <w:rPr>
                <w:color w:val="333333"/>
                <w:sz w:val="20"/>
                <w:szCs w:val="20"/>
                <w:shd w:val="clear" w:color="auto" w:fill="FFFFFF"/>
                <w:lang w:val="fr-FR"/>
              </w:rPr>
              <w:t>;</w:t>
            </w:r>
            <w:proofErr w:type="gramEnd"/>
          </w:p>
          <w:p w14:paraId="42332C96" w14:textId="373D1A4A" w:rsidR="008F5636" w:rsidRPr="00074769" w:rsidRDefault="008F5636" w:rsidP="000C5A3B">
            <w:pPr>
              <w:pStyle w:val="ti-grseq-1"/>
              <w:numPr>
                <w:ilvl w:val="0"/>
                <w:numId w:val="16"/>
              </w:numPr>
              <w:shd w:val="clear" w:color="auto" w:fill="FFFFFF"/>
              <w:spacing w:before="0" w:beforeAutospacing="0" w:after="0" w:afterAutospacing="0"/>
              <w:ind w:left="397"/>
              <w:rPr>
                <w:b/>
                <w:bCs/>
                <w:sz w:val="20"/>
                <w:szCs w:val="20"/>
                <w:shd w:val="clear" w:color="auto" w:fill="FFFFFF"/>
                <w:lang w:val="fr-FR"/>
              </w:rPr>
            </w:pPr>
            <w:r w:rsidRPr="00074769">
              <w:rPr>
                <w:color w:val="333333"/>
                <w:sz w:val="20"/>
                <w:szCs w:val="20"/>
                <w:shd w:val="clear" w:color="auto" w:fill="FFFFFF"/>
              </w:rPr>
              <w:t xml:space="preserve">Capacitate </w:t>
            </w:r>
            <w:proofErr w:type="spellStart"/>
            <w:r w:rsidRPr="00074769">
              <w:rPr>
                <w:color w:val="333333"/>
                <w:sz w:val="20"/>
                <w:szCs w:val="20"/>
                <w:shd w:val="clear" w:color="auto" w:fill="FFFFFF"/>
              </w:rPr>
              <w:t>nominală</w:t>
            </w:r>
            <w:proofErr w:type="spellEnd"/>
            <w:r w:rsidRPr="00074769">
              <w:rPr>
                <w:color w:val="333333"/>
                <w:sz w:val="20"/>
                <w:szCs w:val="20"/>
                <w:shd w:val="clear" w:color="auto" w:fill="FFFFFF"/>
              </w:rPr>
              <w:t xml:space="preserve"> de transport </w:t>
            </w:r>
            <w:proofErr w:type="gramStart"/>
            <w:r w:rsidRPr="00074769">
              <w:rPr>
                <w:color w:val="333333"/>
                <w:sz w:val="20"/>
                <w:szCs w:val="20"/>
                <w:shd w:val="clear" w:color="auto" w:fill="FFFFFF"/>
              </w:rPr>
              <w:t>a</w:t>
            </w:r>
            <w:proofErr w:type="gram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interconexiunilor</w:t>
            </w:r>
            <w:proofErr w:type="spellEnd"/>
            <w:r w:rsidRPr="00074769">
              <w:rPr>
                <w:color w:val="333333"/>
                <w:sz w:val="20"/>
                <w:szCs w:val="20"/>
                <w:shd w:val="clear" w:color="auto" w:fill="FFFFFF"/>
              </w:rPr>
              <w:t xml:space="preserve"> sub 30 % din </w:t>
            </w:r>
            <w:proofErr w:type="spellStart"/>
            <w:r w:rsidRPr="00074769">
              <w:rPr>
                <w:color w:val="333333"/>
                <w:sz w:val="20"/>
                <w:szCs w:val="20"/>
                <w:shd w:val="clear" w:color="auto" w:fill="FFFFFF"/>
              </w:rPr>
              <w:t>puterea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instalată</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producere</w:t>
            </w:r>
            <w:proofErr w:type="spellEnd"/>
            <w:r w:rsidRPr="00074769">
              <w:rPr>
                <w:color w:val="333333"/>
                <w:sz w:val="20"/>
                <w:szCs w:val="20"/>
                <w:shd w:val="clear" w:color="auto" w:fill="FFFFFF"/>
              </w:rPr>
              <w:t xml:space="preserve"> a energiei din surse </w:t>
            </w:r>
            <w:proofErr w:type="spellStart"/>
            <w:r w:rsidRPr="00074769">
              <w:rPr>
                <w:color w:val="333333"/>
                <w:sz w:val="20"/>
                <w:szCs w:val="20"/>
                <w:shd w:val="clear" w:color="auto" w:fill="FFFFFF"/>
              </w:rPr>
              <w:t>regenerabile</w:t>
            </w:r>
            <w:proofErr w:type="spellEnd"/>
            <w:r w:rsidRPr="00074769">
              <w:rPr>
                <w:color w:val="333333"/>
                <w:sz w:val="20"/>
                <w:szCs w:val="20"/>
                <w:shd w:val="clear" w:color="auto" w:fill="FFFFFF"/>
              </w:rPr>
              <w:t>.</w:t>
            </w:r>
          </w:p>
          <w:p w14:paraId="3E266D36" w14:textId="51948679" w:rsidR="008F5636" w:rsidRPr="00074769" w:rsidRDefault="008F5636" w:rsidP="008F5636">
            <w:pPr>
              <w:pStyle w:val="ti-grseq-1"/>
              <w:shd w:val="clear" w:color="auto" w:fill="FFFFFF"/>
              <w:spacing w:before="0" w:beforeAutospacing="0" w:after="0" w:afterAutospacing="0"/>
              <w:ind w:left="397"/>
              <w:rPr>
                <w:sz w:val="20"/>
                <w:szCs w:val="20"/>
                <w:shd w:val="clear" w:color="auto" w:fill="FFFFFF"/>
                <w:lang w:val="fr-FR"/>
              </w:rPr>
            </w:pPr>
            <w:proofErr w:type="spellStart"/>
            <w:r w:rsidRPr="00074769">
              <w:rPr>
                <w:sz w:val="20"/>
                <w:szCs w:val="20"/>
                <w:shd w:val="clear" w:color="auto" w:fill="FFFFFF"/>
                <w:lang w:val="fr-FR"/>
              </w:rPr>
              <w:t>Fiecare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interconexiune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nouă</w:t>
            </w:r>
            <w:proofErr w:type="spellEnd"/>
            <w:r w:rsidRPr="00074769">
              <w:rPr>
                <w:sz w:val="20"/>
                <w:szCs w:val="20"/>
                <w:shd w:val="clear" w:color="auto" w:fill="FFFFFF"/>
                <w:lang w:val="fr-FR"/>
              </w:rPr>
              <w:t xml:space="preserve"> face </w:t>
            </w:r>
            <w:proofErr w:type="spellStart"/>
            <w:r w:rsidRPr="00074769">
              <w:rPr>
                <w:sz w:val="20"/>
                <w:szCs w:val="20"/>
                <w:shd w:val="clear" w:color="auto" w:fill="FFFFFF"/>
                <w:lang w:val="fr-FR"/>
              </w:rPr>
              <w:t>obiectul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unei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analize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cost-beneficiu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punct</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vedere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socioeconomic</w:t>
            </w:r>
            <w:proofErr w:type="spellEnd"/>
            <w:r w:rsidRPr="00074769">
              <w:rPr>
                <w:sz w:val="20"/>
                <w:szCs w:val="20"/>
                <w:shd w:val="clear" w:color="auto" w:fill="FFFFFF"/>
                <w:lang w:val="fr-FR"/>
              </w:rPr>
              <w:t xml:space="preserve"> și de </w:t>
            </w:r>
            <w:proofErr w:type="spellStart"/>
            <w:r w:rsidRPr="00074769">
              <w:rPr>
                <w:sz w:val="20"/>
                <w:szCs w:val="20"/>
                <w:shd w:val="clear" w:color="auto" w:fill="FFFFFF"/>
                <w:lang w:val="fr-FR"/>
              </w:rPr>
              <w:t>mediu</w:t>
            </w:r>
            <w:proofErr w:type="spellEnd"/>
            <w:r w:rsidRPr="00074769">
              <w:rPr>
                <w:sz w:val="20"/>
                <w:szCs w:val="20"/>
                <w:shd w:val="clear" w:color="auto" w:fill="FFFFFF"/>
                <w:lang w:val="fr-FR"/>
              </w:rPr>
              <w:t xml:space="preserve"> și este </w:t>
            </w:r>
            <w:proofErr w:type="spellStart"/>
            <w:r w:rsidRPr="00074769">
              <w:rPr>
                <w:sz w:val="20"/>
                <w:szCs w:val="20"/>
                <w:shd w:val="clear" w:color="auto" w:fill="FFFFFF"/>
                <w:lang w:val="fr-FR"/>
              </w:rPr>
              <w:t>implementată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numai</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r w:rsidRPr="00074769">
              <w:rPr>
                <w:sz w:val="20"/>
                <w:szCs w:val="20"/>
                <w:shd w:val="clear" w:color="auto" w:fill="FFFFFF"/>
                <w:lang w:val="fr-FR"/>
              </w:rPr>
              <w:lastRenderedPageBreak/>
              <w:t xml:space="preserve">în care </w:t>
            </w:r>
            <w:proofErr w:type="spellStart"/>
            <w:r w:rsidRPr="00074769">
              <w:rPr>
                <w:sz w:val="20"/>
                <w:szCs w:val="20"/>
                <w:shd w:val="clear" w:color="auto" w:fill="FFFFFF"/>
                <w:lang w:val="fr-FR"/>
              </w:rPr>
              <w:t>beneficiile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potențiale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mai mari </w:t>
            </w:r>
            <w:proofErr w:type="spellStart"/>
            <w:r w:rsidRPr="00074769">
              <w:rPr>
                <w:sz w:val="20"/>
                <w:szCs w:val="20"/>
                <w:shd w:val="clear" w:color="auto" w:fill="FFFFFF"/>
                <w:lang w:val="fr-FR"/>
              </w:rPr>
              <w:t>decât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costurile</w:t>
            </w:r>
            <w:proofErr w:type="spellEnd"/>
          </w:p>
          <w:p w14:paraId="49F7A6B9" w14:textId="23A0A4A8" w:rsidR="008F5636" w:rsidRPr="00074769" w:rsidRDefault="008F5636" w:rsidP="008F5636">
            <w:pPr>
              <w:pStyle w:val="ti-grseq-1"/>
              <w:shd w:val="clear" w:color="auto" w:fill="FFFFFF"/>
              <w:spacing w:before="0" w:beforeAutospacing="0" w:after="0" w:afterAutospacing="0"/>
              <w:rPr>
                <w:b/>
                <w:bCs/>
                <w:color w:val="333333"/>
                <w:sz w:val="20"/>
                <w:szCs w:val="20"/>
                <w:shd w:val="clear" w:color="auto" w:fill="FFFFFF"/>
                <w:lang w:val="fr-FR"/>
              </w:rPr>
            </w:pPr>
            <w:r w:rsidRPr="00074769">
              <w:rPr>
                <w:b/>
                <w:bCs/>
                <w:color w:val="333333"/>
                <w:sz w:val="20"/>
                <w:szCs w:val="20"/>
                <w:shd w:val="clear" w:color="auto" w:fill="FFFFFF"/>
                <w:lang w:val="fr-FR"/>
              </w:rPr>
              <w:t>2.4.</w:t>
            </w:r>
            <w:proofErr w:type="gramStart"/>
            <w:r w:rsidRPr="00074769">
              <w:rPr>
                <w:b/>
                <w:bCs/>
                <w:color w:val="333333"/>
                <w:sz w:val="20"/>
                <w:szCs w:val="20"/>
                <w:shd w:val="clear" w:color="auto" w:fill="FFFFFF"/>
                <w:lang w:val="fr-FR"/>
              </w:rPr>
              <w:t>2.Infrastructura</w:t>
            </w:r>
            <w:proofErr w:type="gramEnd"/>
            <w:r w:rsidRPr="00074769">
              <w:rPr>
                <w:b/>
                <w:bCs/>
                <w:color w:val="333333"/>
                <w:sz w:val="20"/>
                <w:szCs w:val="20"/>
                <w:shd w:val="clear" w:color="auto" w:fill="FFFFFF"/>
                <w:lang w:val="fr-FR"/>
              </w:rPr>
              <w:t xml:space="preserve"> de transport al energiei</w:t>
            </w:r>
          </w:p>
          <w:p w14:paraId="64D987C3" w14:textId="01D6EDD0" w:rsidR="008F5636" w:rsidRPr="00074769" w:rsidRDefault="008F5636" w:rsidP="000C5A3B">
            <w:pPr>
              <w:pStyle w:val="ti-grseq-1"/>
              <w:numPr>
                <w:ilvl w:val="0"/>
                <w:numId w:val="17"/>
              </w:numPr>
              <w:shd w:val="clear" w:color="auto" w:fill="FFFFFF"/>
              <w:spacing w:before="0" w:beforeAutospacing="0" w:after="0" w:afterAutospacing="0"/>
              <w:rPr>
                <w:color w:val="333333"/>
                <w:sz w:val="20"/>
                <w:szCs w:val="20"/>
                <w:shd w:val="clear" w:color="auto" w:fill="FFFFFF"/>
                <w:lang w:val="fr-FR"/>
              </w:rPr>
            </w:pPr>
            <w:proofErr w:type="spellStart"/>
            <w:r w:rsidRPr="00074769">
              <w:rPr>
                <w:color w:val="333333"/>
                <w:sz w:val="20"/>
                <w:szCs w:val="20"/>
                <w:shd w:val="clear" w:color="auto" w:fill="FFFFFF"/>
                <w:lang w:val="fr-FR"/>
              </w:rPr>
              <w:t>Proiectele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esențiale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privind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infrastructura</w:t>
            </w:r>
            <w:proofErr w:type="spellEnd"/>
            <w:r w:rsidRPr="00074769">
              <w:rPr>
                <w:color w:val="333333"/>
                <w:sz w:val="20"/>
                <w:szCs w:val="20"/>
                <w:shd w:val="clear" w:color="auto" w:fill="FFFFFF"/>
                <w:lang w:val="fr-FR"/>
              </w:rPr>
              <w:t xml:space="preserve"> de transport al energiei </w:t>
            </w:r>
            <w:proofErr w:type="spellStart"/>
            <w:r w:rsidRPr="00074769">
              <w:rPr>
                <w:color w:val="333333"/>
                <w:sz w:val="20"/>
                <w:szCs w:val="20"/>
                <w:shd w:val="clear" w:color="auto" w:fill="FFFFFF"/>
                <w:lang w:val="fr-FR"/>
              </w:rPr>
              <w:t>electrice</w:t>
            </w:r>
            <w:proofErr w:type="spellEnd"/>
            <w:r w:rsidRPr="00074769">
              <w:rPr>
                <w:color w:val="333333"/>
                <w:sz w:val="20"/>
                <w:szCs w:val="20"/>
                <w:shd w:val="clear" w:color="auto" w:fill="FFFFFF"/>
                <w:lang w:val="fr-FR"/>
              </w:rPr>
              <w:t xml:space="preserve"> și al </w:t>
            </w:r>
            <w:proofErr w:type="spellStart"/>
            <w:r w:rsidRPr="00074769">
              <w:rPr>
                <w:color w:val="333333"/>
                <w:sz w:val="20"/>
                <w:szCs w:val="20"/>
                <w:shd w:val="clear" w:color="auto" w:fill="FFFFFF"/>
                <w:lang w:val="fr-FR"/>
              </w:rPr>
              <w:t>gazului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proiectele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modernizare</w:t>
            </w:r>
            <w:proofErr w:type="spellEnd"/>
            <w:r w:rsidRPr="00074769">
              <w:rPr>
                <w:color w:val="333333"/>
                <w:sz w:val="20"/>
                <w:szCs w:val="20"/>
                <w:shd w:val="clear" w:color="auto" w:fill="FFFFFF"/>
                <w:lang w:val="fr-FR"/>
              </w:rPr>
              <w:t xml:space="preserve">, care </w:t>
            </w:r>
            <w:proofErr w:type="spellStart"/>
            <w:r w:rsidRPr="00074769">
              <w:rPr>
                <w:color w:val="333333"/>
                <w:sz w:val="20"/>
                <w:szCs w:val="20"/>
                <w:shd w:val="clear" w:color="auto" w:fill="FFFFFF"/>
                <w:lang w:val="fr-FR"/>
              </w:rPr>
              <w:t>sunt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necesare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atingerea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cadrul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celor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cinci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dimensiuni</w:t>
            </w:r>
            <w:proofErr w:type="spellEnd"/>
            <w:r w:rsidRPr="00074769">
              <w:rPr>
                <w:color w:val="333333"/>
                <w:sz w:val="20"/>
                <w:szCs w:val="20"/>
                <w:shd w:val="clear" w:color="auto" w:fill="FFFFFF"/>
                <w:lang w:val="fr-FR"/>
              </w:rPr>
              <w:t xml:space="preserve"> ale </w:t>
            </w:r>
            <w:proofErr w:type="spellStart"/>
            <w:r w:rsidRPr="00074769">
              <w:rPr>
                <w:color w:val="333333"/>
                <w:sz w:val="20"/>
                <w:szCs w:val="20"/>
                <w:shd w:val="clear" w:color="auto" w:fill="FFFFFF"/>
                <w:lang w:val="fr-FR"/>
              </w:rPr>
              <w:t>strategiei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uniunea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p>
          <w:p w14:paraId="2D6E03F4" w14:textId="589B1972" w:rsidR="008F5636" w:rsidRPr="00074769" w:rsidRDefault="008F5636" w:rsidP="000C5A3B">
            <w:pPr>
              <w:pStyle w:val="ti-grseq-1"/>
              <w:numPr>
                <w:ilvl w:val="0"/>
                <w:numId w:val="17"/>
              </w:numPr>
              <w:shd w:val="clear" w:color="auto" w:fill="FFFFFF"/>
              <w:spacing w:before="0" w:beforeAutospacing="0" w:after="0" w:afterAutospacing="0"/>
              <w:rPr>
                <w:b/>
                <w:bCs/>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principalele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proiecte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infrastructură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preconizate</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afara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proiectelor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interes</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comun</w:t>
            </w:r>
            <w:proofErr w:type="spellEnd"/>
            <w:r w:rsidRPr="00074769">
              <w:rPr>
                <w:color w:val="333333"/>
                <w:sz w:val="20"/>
                <w:szCs w:val="20"/>
                <w:shd w:val="clear" w:color="auto" w:fill="FFFFFF"/>
                <w:lang w:val="fr-FR"/>
              </w:rPr>
              <w:t xml:space="preserve"> (PIC)</w:t>
            </w:r>
            <w:hyperlink r:id="rId56" w:anchor="ntr2-L_2018328RO.01004701-E0002"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2</w:t>
              </w:r>
              <w:r w:rsidRPr="00074769">
                <w:rPr>
                  <w:rStyle w:val="af6"/>
                  <w:color w:val="337AB7"/>
                  <w:sz w:val="20"/>
                  <w:szCs w:val="20"/>
                  <w:shd w:val="clear" w:color="auto" w:fill="FFFFFF"/>
                  <w:lang w:val="fr-FR"/>
                </w:rPr>
                <w:t>)</w:t>
              </w:r>
            </w:hyperlink>
          </w:p>
          <w:p w14:paraId="512C0B85" w14:textId="5C065835" w:rsidR="008F5636" w:rsidRPr="00074769" w:rsidRDefault="008F5636" w:rsidP="008F5636">
            <w:pPr>
              <w:pStyle w:val="ti-grseq-1"/>
              <w:shd w:val="clear" w:color="auto" w:fill="FFFFFF"/>
              <w:spacing w:before="0" w:beforeAutospacing="0" w:after="0" w:afterAutospacing="0"/>
              <w:rPr>
                <w:b/>
                <w:bCs/>
                <w:color w:val="333333"/>
                <w:sz w:val="20"/>
                <w:szCs w:val="20"/>
                <w:shd w:val="clear" w:color="auto" w:fill="FFFFFF"/>
                <w:lang w:val="fr-FR"/>
              </w:rPr>
            </w:pPr>
            <w:r w:rsidRPr="00074769">
              <w:rPr>
                <w:b/>
                <w:bCs/>
                <w:color w:val="333333"/>
                <w:sz w:val="20"/>
                <w:szCs w:val="20"/>
                <w:shd w:val="clear" w:color="auto" w:fill="FFFFFF"/>
                <w:lang w:val="fr-FR"/>
              </w:rPr>
              <w:t>2.4.</w:t>
            </w:r>
            <w:proofErr w:type="gramStart"/>
            <w:r w:rsidRPr="00074769">
              <w:rPr>
                <w:b/>
                <w:bCs/>
                <w:color w:val="333333"/>
                <w:sz w:val="20"/>
                <w:szCs w:val="20"/>
                <w:shd w:val="clear" w:color="auto" w:fill="FFFFFF"/>
                <w:lang w:val="fr-FR"/>
              </w:rPr>
              <w:t>3.Integrarea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piețelor</w:t>
            </w:r>
            <w:proofErr w:type="spellEnd"/>
          </w:p>
          <w:p w14:paraId="7A72C5A3" w14:textId="5B174A91" w:rsidR="008F5636" w:rsidRPr="00074769" w:rsidRDefault="008F5636" w:rsidP="000C5A3B">
            <w:pPr>
              <w:pStyle w:val="ti-grseq-1"/>
              <w:numPr>
                <w:ilvl w:val="0"/>
                <w:numId w:val="18"/>
              </w:numPr>
              <w:shd w:val="clear" w:color="auto" w:fill="FFFFFF"/>
              <w:spacing w:before="0" w:beforeAutospacing="0" w:after="0" w:afterAutospacing="0"/>
              <w:rPr>
                <w:color w:val="333333"/>
                <w:sz w:val="20"/>
                <w:szCs w:val="20"/>
                <w:shd w:val="clear" w:color="auto" w:fill="FFFFFF"/>
                <w:lang w:val="fr-FR"/>
              </w:rPr>
            </w:pPr>
            <w:proofErr w:type="spellStart"/>
            <w:r w:rsidRPr="00074769">
              <w:rPr>
                <w:color w:val="333333"/>
                <w:sz w:val="20"/>
                <w:szCs w:val="20"/>
                <w:shd w:val="clear" w:color="auto" w:fill="FFFFFF"/>
                <w:lang w:val="fr-FR"/>
              </w:rPr>
              <w:t>Obiectivele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referitoare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alte</w:t>
            </w:r>
            <w:proofErr w:type="spellEnd"/>
            <w:r w:rsidRPr="00074769">
              <w:rPr>
                <w:color w:val="333333"/>
                <w:sz w:val="20"/>
                <w:szCs w:val="20"/>
                <w:shd w:val="clear" w:color="auto" w:fill="FFFFFF"/>
                <w:lang w:val="fr-FR"/>
              </w:rPr>
              <w:t xml:space="preserve"> aspecte ale </w:t>
            </w:r>
            <w:proofErr w:type="spellStart"/>
            <w:r w:rsidRPr="00074769">
              <w:rPr>
                <w:color w:val="333333"/>
                <w:sz w:val="20"/>
                <w:szCs w:val="20"/>
                <w:shd w:val="clear" w:color="auto" w:fill="FFFFFF"/>
                <w:lang w:val="fr-FR"/>
              </w:rPr>
              <w:t>pieței</w:t>
            </w:r>
            <w:proofErr w:type="spellEnd"/>
            <w:r w:rsidRPr="00074769">
              <w:rPr>
                <w:color w:val="333333"/>
                <w:sz w:val="20"/>
                <w:szCs w:val="20"/>
                <w:shd w:val="clear" w:color="auto" w:fill="FFFFFF"/>
                <w:lang w:val="fr-FR"/>
              </w:rPr>
              <w:t xml:space="preserve"> interne a energiei,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creșterea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gradului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flexibilitate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sistemului</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special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referitoare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promovarea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unor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prețuri</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energia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electrică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stabilite</w:t>
            </w:r>
            <w:proofErr w:type="spellEnd"/>
            <w:r w:rsidRPr="00074769">
              <w:rPr>
                <w:color w:val="333333"/>
                <w:sz w:val="20"/>
                <w:szCs w:val="20"/>
                <w:shd w:val="clear" w:color="auto" w:fill="FFFFFF"/>
                <w:lang w:val="fr-FR"/>
              </w:rPr>
              <w:t xml:space="preserve"> în mod </w:t>
            </w:r>
            <w:proofErr w:type="spellStart"/>
            <w:r w:rsidRPr="00074769">
              <w:rPr>
                <w:color w:val="333333"/>
                <w:sz w:val="20"/>
                <w:szCs w:val="20"/>
                <w:shd w:val="clear" w:color="auto" w:fill="FFFFFF"/>
                <w:lang w:val="fr-FR"/>
              </w:rPr>
              <w:t>competitiv</w:t>
            </w:r>
            <w:proofErr w:type="spellEnd"/>
            <w:r w:rsidRPr="00074769">
              <w:rPr>
                <w:color w:val="333333"/>
                <w:sz w:val="20"/>
                <w:szCs w:val="20"/>
                <w:shd w:val="clear" w:color="auto" w:fill="FFFFFF"/>
                <w:lang w:val="fr-FR"/>
              </w:rPr>
              <w:t xml:space="preserve"> în conformitate </w:t>
            </w:r>
            <w:proofErr w:type="spellStart"/>
            <w:r w:rsidRPr="00074769">
              <w:rPr>
                <w:color w:val="333333"/>
                <w:sz w:val="20"/>
                <w:szCs w:val="20"/>
                <w:shd w:val="clear" w:color="auto" w:fill="FFFFFF"/>
                <w:lang w:val="fr-FR"/>
              </w:rPr>
              <w:t>cu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legislația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sectorială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relevantă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integrarea</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cuplarea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piețelor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având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drept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scop</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sporirea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capacității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comercializabile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interconexiunilor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existente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rețelele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inteligente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agregarea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participarea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activă</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cererii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stocarea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producerea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distribuită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mecanismele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dispecerizare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redispecerizare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limitare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semnalele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preț</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timp</w:t>
            </w:r>
            <w:proofErr w:type="spellEnd"/>
            <w:r w:rsidRPr="00074769">
              <w:rPr>
                <w:color w:val="333333"/>
                <w:sz w:val="20"/>
                <w:szCs w:val="20"/>
                <w:shd w:val="clear" w:color="auto" w:fill="FFFFFF"/>
                <w:lang w:val="fr-FR"/>
              </w:rPr>
              <w:t xml:space="preserve"> real,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un </w:t>
            </w:r>
            <w:proofErr w:type="spellStart"/>
            <w:r w:rsidRPr="00074769">
              <w:rPr>
                <w:color w:val="333333"/>
                <w:sz w:val="20"/>
                <w:szCs w:val="20"/>
                <w:shd w:val="clear" w:color="auto" w:fill="FFFFFF"/>
                <w:lang w:val="fr-FR"/>
              </w:rPr>
              <w:t>termen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până</w:t>
            </w:r>
            <w:proofErr w:type="spellEnd"/>
            <w:r w:rsidRPr="00074769">
              <w:rPr>
                <w:color w:val="333333"/>
                <w:sz w:val="20"/>
                <w:szCs w:val="20"/>
                <w:shd w:val="clear" w:color="auto" w:fill="FFFFFF"/>
                <w:lang w:val="fr-FR"/>
              </w:rPr>
              <w:t xml:space="preserve"> la care </w:t>
            </w:r>
            <w:proofErr w:type="spellStart"/>
            <w:r w:rsidRPr="00074769">
              <w:rPr>
                <w:color w:val="333333"/>
                <w:sz w:val="20"/>
                <w:szCs w:val="20"/>
                <w:shd w:val="clear" w:color="auto" w:fill="FFFFFF"/>
                <w:lang w:val="fr-FR"/>
              </w:rPr>
              <w:t>să</w:t>
            </w:r>
            <w:proofErr w:type="spellEnd"/>
            <w:r w:rsidRPr="00074769">
              <w:rPr>
                <w:color w:val="333333"/>
                <w:sz w:val="20"/>
                <w:szCs w:val="20"/>
                <w:shd w:val="clear" w:color="auto" w:fill="FFFFFF"/>
                <w:lang w:val="fr-FR"/>
              </w:rPr>
              <w:t xml:space="preserve"> fie </w:t>
            </w:r>
            <w:proofErr w:type="spellStart"/>
            <w:r w:rsidRPr="00074769">
              <w:rPr>
                <w:color w:val="333333"/>
                <w:sz w:val="20"/>
                <w:szCs w:val="20"/>
                <w:shd w:val="clear" w:color="auto" w:fill="FFFFFF"/>
                <w:lang w:val="fr-FR"/>
              </w:rPr>
              <w:t>îndeplinite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p>
          <w:p w14:paraId="27947697" w14:textId="09988034" w:rsidR="008F5636" w:rsidRPr="00074769" w:rsidRDefault="008F5636" w:rsidP="000C5A3B">
            <w:pPr>
              <w:pStyle w:val="ti-grseq-1"/>
              <w:numPr>
                <w:ilvl w:val="0"/>
                <w:numId w:val="18"/>
              </w:numPr>
              <w:shd w:val="clear" w:color="auto" w:fill="FFFFFF"/>
              <w:spacing w:before="0" w:beforeAutospacing="0" w:after="0" w:afterAutospacing="0"/>
              <w:rPr>
                <w:color w:val="333333"/>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referitoare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participarea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nediscriminatorie</w:t>
            </w:r>
            <w:proofErr w:type="spellEnd"/>
            <w:r w:rsidRPr="00074769">
              <w:rPr>
                <w:color w:val="333333"/>
                <w:sz w:val="20"/>
                <w:szCs w:val="20"/>
                <w:shd w:val="clear" w:color="auto" w:fill="FFFFFF"/>
                <w:lang w:val="fr-FR"/>
              </w:rPr>
              <w:t xml:space="preserve"> a energiei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regenerabile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participarea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activă</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cererii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stocarea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agregare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toate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piețele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un </w:t>
            </w:r>
            <w:proofErr w:type="spellStart"/>
            <w:r w:rsidRPr="00074769">
              <w:rPr>
                <w:color w:val="333333"/>
                <w:sz w:val="20"/>
                <w:szCs w:val="20"/>
                <w:shd w:val="clear" w:color="auto" w:fill="FFFFFF"/>
                <w:lang w:val="fr-FR"/>
              </w:rPr>
              <w:t>termen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până</w:t>
            </w:r>
            <w:proofErr w:type="spellEnd"/>
            <w:r w:rsidRPr="00074769">
              <w:rPr>
                <w:color w:val="333333"/>
                <w:sz w:val="20"/>
                <w:szCs w:val="20"/>
                <w:shd w:val="clear" w:color="auto" w:fill="FFFFFF"/>
                <w:lang w:val="fr-FR"/>
              </w:rPr>
              <w:t xml:space="preserve"> la care </w:t>
            </w:r>
            <w:proofErr w:type="spellStart"/>
            <w:r w:rsidRPr="00074769">
              <w:rPr>
                <w:color w:val="333333"/>
                <w:sz w:val="20"/>
                <w:szCs w:val="20"/>
                <w:shd w:val="clear" w:color="auto" w:fill="FFFFFF"/>
                <w:lang w:val="fr-FR"/>
              </w:rPr>
              <w:t>să</w:t>
            </w:r>
            <w:proofErr w:type="spellEnd"/>
            <w:r w:rsidRPr="00074769">
              <w:rPr>
                <w:color w:val="333333"/>
                <w:sz w:val="20"/>
                <w:szCs w:val="20"/>
                <w:shd w:val="clear" w:color="auto" w:fill="FFFFFF"/>
                <w:lang w:val="fr-FR"/>
              </w:rPr>
              <w:t xml:space="preserve"> fie </w:t>
            </w:r>
            <w:proofErr w:type="spellStart"/>
            <w:r w:rsidRPr="00074769">
              <w:rPr>
                <w:color w:val="333333"/>
                <w:sz w:val="20"/>
                <w:szCs w:val="20"/>
                <w:shd w:val="clear" w:color="auto" w:fill="FFFFFF"/>
                <w:lang w:val="fr-FR"/>
              </w:rPr>
              <w:t>îndeplinite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p>
          <w:p w14:paraId="3A7AEF62" w14:textId="0EA27E8C" w:rsidR="008F5636" w:rsidRPr="00074769" w:rsidRDefault="008F5636" w:rsidP="000C5A3B">
            <w:pPr>
              <w:pStyle w:val="ti-grseq-1"/>
              <w:numPr>
                <w:ilvl w:val="0"/>
                <w:numId w:val="18"/>
              </w:numPr>
              <w:shd w:val="clear" w:color="auto" w:fill="FFFFFF"/>
              <w:spacing w:before="0" w:beforeAutospacing="0" w:after="0" w:afterAutospacing="0"/>
              <w:rPr>
                <w:color w:val="333333"/>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privind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asigurarea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participării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consumatorilor</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sistemul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beneficiile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obținute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urma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autogenerării</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noilor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tehnologii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contoarelor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inteligente</w:t>
            </w:r>
            <w:proofErr w:type="spellEnd"/>
          </w:p>
          <w:p w14:paraId="0ADD8486" w14:textId="2A228207" w:rsidR="008F5636" w:rsidRPr="00074769" w:rsidRDefault="008F5636" w:rsidP="000C5A3B">
            <w:pPr>
              <w:pStyle w:val="ti-grseq-1"/>
              <w:numPr>
                <w:ilvl w:val="0"/>
                <w:numId w:val="18"/>
              </w:numPr>
              <w:shd w:val="clear" w:color="auto" w:fill="FFFFFF"/>
              <w:spacing w:before="0" w:beforeAutospacing="0" w:after="0" w:afterAutospacing="0"/>
              <w:rPr>
                <w:color w:val="333333"/>
                <w:sz w:val="20"/>
                <w:szCs w:val="20"/>
                <w:shd w:val="clear" w:color="auto" w:fill="FFFFFF"/>
                <w:lang w:val="fr-FR"/>
              </w:rPr>
            </w:pPr>
            <w:proofErr w:type="spellStart"/>
            <w:r w:rsidRPr="00074769">
              <w:rPr>
                <w:color w:val="333333"/>
                <w:sz w:val="20"/>
                <w:szCs w:val="20"/>
                <w:shd w:val="clear" w:color="auto" w:fill="FFFFFF"/>
                <w:lang w:val="fr-FR"/>
              </w:rPr>
              <w:t>Obiectivele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ceea</w:t>
            </w:r>
            <w:proofErr w:type="spellEnd"/>
            <w:r w:rsidRPr="00074769">
              <w:rPr>
                <w:color w:val="333333"/>
                <w:sz w:val="20"/>
                <w:szCs w:val="20"/>
                <w:shd w:val="clear" w:color="auto" w:fill="FFFFFF"/>
                <w:lang w:val="fr-FR"/>
              </w:rPr>
              <w:t xml:space="preserve"> ce </w:t>
            </w:r>
            <w:proofErr w:type="spellStart"/>
            <w:r w:rsidRPr="00074769">
              <w:rPr>
                <w:color w:val="333333"/>
                <w:sz w:val="20"/>
                <w:szCs w:val="20"/>
                <w:shd w:val="clear" w:color="auto" w:fill="FFFFFF"/>
                <w:lang w:val="fr-FR"/>
              </w:rPr>
              <w:t>privește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asigurarea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caracterului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adecvat</w:t>
            </w:r>
            <w:proofErr w:type="spellEnd"/>
            <w:r w:rsidRPr="00074769">
              <w:rPr>
                <w:color w:val="333333"/>
                <w:sz w:val="20"/>
                <w:szCs w:val="20"/>
                <w:shd w:val="clear" w:color="auto" w:fill="FFFFFF"/>
                <w:lang w:val="fr-FR"/>
              </w:rPr>
              <w:t xml:space="preserve"> al </w:t>
            </w:r>
            <w:proofErr w:type="spellStart"/>
            <w:r w:rsidRPr="00074769">
              <w:rPr>
                <w:color w:val="333333"/>
                <w:sz w:val="20"/>
                <w:szCs w:val="20"/>
                <w:shd w:val="clear" w:color="auto" w:fill="FFFFFF"/>
                <w:lang w:val="fr-FR"/>
              </w:rPr>
              <w:t>sistemului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referitoare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flexibilitatea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sistemului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ceea</w:t>
            </w:r>
            <w:proofErr w:type="spellEnd"/>
            <w:r w:rsidRPr="00074769">
              <w:rPr>
                <w:color w:val="333333"/>
                <w:sz w:val="20"/>
                <w:szCs w:val="20"/>
                <w:shd w:val="clear" w:color="auto" w:fill="FFFFFF"/>
                <w:lang w:val="fr-FR"/>
              </w:rPr>
              <w:t xml:space="preserve"> ce </w:t>
            </w:r>
            <w:proofErr w:type="spellStart"/>
            <w:r w:rsidRPr="00074769">
              <w:rPr>
                <w:color w:val="333333"/>
                <w:sz w:val="20"/>
                <w:szCs w:val="20"/>
                <w:shd w:val="clear" w:color="auto" w:fill="FFFFFF"/>
                <w:lang w:val="fr-FR"/>
              </w:rPr>
              <w:t>privește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producția</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regenerabile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un </w:t>
            </w:r>
            <w:proofErr w:type="spellStart"/>
            <w:r w:rsidRPr="00074769">
              <w:rPr>
                <w:color w:val="333333"/>
                <w:sz w:val="20"/>
                <w:szCs w:val="20"/>
                <w:shd w:val="clear" w:color="auto" w:fill="FFFFFF"/>
                <w:lang w:val="fr-FR"/>
              </w:rPr>
              <w:t>termen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până</w:t>
            </w:r>
            <w:proofErr w:type="spellEnd"/>
            <w:r w:rsidRPr="00074769">
              <w:rPr>
                <w:color w:val="333333"/>
                <w:sz w:val="20"/>
                <w:szCs w:val="20"/>
                <w:shd w:val="clear" w:color="auto" w:fill="FFFFFF"/>
                <w:lang w:val="fr-FR"/>
              </w:rPr>
              <w:t xml:space="preserve"> la care </w:t>
            </w:r>
            <w:proofErr w:type="spellStart"/>
            <w:r w:rsidRPr="00074769">
              <w:rPr>
                <w:color w:val="333333"/>
                <w:sz w:val="20"/>
                <w:szCs w:val="20"/>
                <w:shd w:val="clear" w:color="auto" w:fill="FFFFFF"/>
                <w:lang w:val="fr-FR"/>
              </w:rPr>
              <w:t>să</w:t>
            </w:r>
            <w:proofErr w:type="spellEnd"/>
            <w:r w:rsidRPr="00074769">
              <w:rPr>
                <w:color w:val="333333"/>
                <w:sz w:val="20"/>
                <w:szCs w:val="20"/>
                <w:shd w:val="clear" w:color="auto" w:fill="FFFFFF"/>
                <w:lang w:val="fr-FR"/>
              </w:rPr>
              <w:t xml:space="preserve"> fie </w:t>
            </w:r>
            <w:proofErr w:type="spellStart"/>
            <w:r w:rsidRPr="00074769">
              <w:rPr>
                <w:color w:val="333333"/>
                <w:sz w:val="20"/>
                <w:szCs w:val="20"/>
                <w:shd w:val="clear" w:color="auto" w:fill="FFFFFF"/>
                <w:lang w:val="fr-FR"/>
              </w:rPr>
              <w:t>îndeplinite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p>
          <w:p w14:paraId="08E3142C" w14:textId="2F022A81" w:rsidR="008F5636" w:rsidRPr="00074769" w:rsidRDefault="008F5636" w:rsidP="000C5A3B">
            <w:pPr>
              <w:pStyle w:val="ti-grseq-1"/>
              <w:numPr>
                <w:ilvl w:val="0"/>
                <w:numId w:val="18"/>
              </w:numPr>
              <w:shd w:val="clear" w:color="auto" w:fill="FFFFFF"/>
              <w:spacing w:before="0" w:beforeAutospacing="0" w:after="0" w:afterAutospacing="0"/>
              <w:rPr>
                <w:b/>
                <w:bCs/>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privind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protecția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consumatorilor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îmbunătățirea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competitivității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sectorului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amănuntul</w:t>
            </w:r>
            <w:proofErr w:type="spellEnd"/>
          </w:p>
          <w:p w14:paraId="01256937" w14:textId="0037BDE6" w:rsidR="008F5636" w:rsidRPr="00074769" w:rsidRDefault="008F5636" w:rsidP="008F5636">
            <w:pPr>
              <w:pStyle w:val="ti-grseq-1"/>
              <w:shd w:val="clear" w:color="auto" w:fill="FFFFFF"/>
              <w:spacing w:before="0" w:beforeAutospacing="0" w:after="0" w:afterAutospacing="0"/>
              <w:ind w:left="360"/>
              <w:rPr>
                <w:b/>
                <w:bCs/>
                <w:sz w:val="20"/>
                <w:szCs w:val="20"/>
                <w:shd w:val="clear" w:color="auto" w:fill="FFFFFF"/>
                <w:lang w:val="fr-FR"/>
              </w:rPr>
            </w:pPr>
            <w:r w:rsidRPr="00074769">
              <w:rPr>
                <w:b/>
                <w:bCs/>
                <w:sz w:val="20"/>
                <w:szCs w:val="20"/>
                <w:shd w:val="clear" w:color="auto" w:fill="FFFFFF"/>
                <w:lang w:val="fr-FR"/>
              </w:rPr>
              <w:lastRenderedPageBreak/>
              <w:t>2.4.</w:t>
            </w:r>
            <w:proofErr w:type="gramStart"/>
            <w:r w:rsidRPr="00074769">
              <w:rPr>
                <w:b/>
                <w:bCs/>
                <w:sz w:val="20"/>
                <w:szCs w:val="20"/>
                <w:shd w:val="clear" w:color="auto" w:fill="FFFFFF"/>
                <w:lang w:val="fr-FR"/>
              </w:rPr>
              <w:t>4.Sărăcia</w:t>
            </w:r>
            <w:proofErr w:type="gram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energetică</w:t>
            </w:r>
            <w:proofErr w:type="spellEnd"/>
          </w:p>
          <w:p w14:paraId="1A513A5F" w14:textId="5B1C77EF" w:rsidR="008F5636" w:rsidRPr="00074769" w:rsidRDefault="008F5636" w:rsidP="008F5636">
            <w:pPr>
              <w:pStyle w:val="ti-grseq-1"/>
              <w:shd w:val="clear" w:color="auto" w:fill="FFFFFF"/>
              <w:spacing w:before="0" w:beforeAutospacing="0" w:after="0" w:afterAutospacing="0"/>
              <w:rPr>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sărăcia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un </w:t>
            </w:r>
            <w:proofErr w:type="spellStart"/>
            <w:r w:rsidRPr="00074769">
              <w:rPr>
                <w:sz w:val="20"/>
                <w:szCs w:val="20"/>
                <w:shd w:val="clear" w:color="auto" w:fill="FFFFFF"/>
                <w:lang w:val="fr-FR"/>
              </w:rPr>
              <w:t>termen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până</w:t>
            </w:r>
            <w:proofErr w:type="spellEnd"/>
            <w:r w:rsidRPr="00074769">
              <w:rPr>
                <w:sz w:val="20"/>
                <w:szCs w:val="20"/>
                <w:shd w:val="clear" w:color="auto" w:fill="FFFFFF"/>
                <w:lang w:val="fr-FR"/>
              </w:rPr>
              <w:t xml:space="preserve"> la care </w:t>
            </w:r>
            <w:proofErr w:type="spellStart"/>
            <w:r w:rsidRPr="00074769">
              <w:rPr>
                <w:sz w:val="20"/>
                <w:szCs w:val="20"/>
                <w:shd w:val="clear" w:color="auto" w:fill="FFFFFF"/>
                <w:lang w:val="fr-FR"/>
              </w:rPr>
              <w:t>să</w:t>
            </w:r>
            <w:proofErr w:type="spellEnd"/>
            <w:r w:rsidRPr="00074769">
              <w:rPr>
                <w:sz w:val="20"/>
                <w:szCs w:val="20"/>
                <w:shd w:val="clear" w:color="auto" w:fill="FFFFFF"/>
                <w:lang w:val="fr-FR"/>
              </w:rPr>
              <w:t xml:space="preserve"> fie </w:t>
            </w:r>
            <w:proofErr w:type="spellStart"/>
            <w:r w:rsidRPr="00074769">
              <w:rPr>
                <w:sz w:val="20"/>
                <w:szCs w:val="20"/>
                <w:shd w:val="clear" w:color="auto" w:fill="FFFFFF"/>
                <w:lang w:val="fr-FR"/>
              </w:rPr>
              <w:t>îndeplinite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p>
          <w:p w14:paraId="6E31F6F8" w14:textId="51FADEE3" w:rsidR="008F5636" w:rsidRPr="00074769" w:rsidRDefault="008F5636" w:rsidP="008F5636">
            <w:pPr>
              <w:pStyle w:val="ti-grseq-1"/>
              <w:shd w:val="clear" w:color="auto" w:fill="FFFFFF"/>
              <w:spacing w:before="0" w:beforeAutospacing="0" w:after="0" w:afterAutospacing="0"/>
              <w:rPr>
                <w:b/>
                <w:bCs/>
                <w:color w:val="333333"/>
                <w:sz w:val="20"/>
                <w:szCs w:val="20"/>
                <w:shd w:val="clear" w:color="auto" w:fill="FFFFFF"/>
                <w:lang w:val="fr-FR"/>
              </w:rPr>
            </w:pPr>
            <w:r w:rsidRPr="00074769">
              <w:rPr>
                <w:b/>
                <w:bCs/>
                <w:color w:val="333333"/>
                <w:sz w:val="20"/>
                <w:szCs w:val="20"/>
                <w:shd w:val="clear" w:color="auto" w:fill="FFFFFF"/>
                <w:lang w:val="fr-FR"/>
              </w:rPr>
              <w:t>2.</w:t>
            </w:r>
            <w:proofErr w:type="gramStart"/>
            <w:r w:rsidRPr="00074769">
              <w:rPr>
                <w:b/>
                <w:bCs/>
                <w:color w:val="333333"/>
                <w:sz w:val="20"/>
                <w:szCs w:val="20"/>
                <w:shd w:val="clear" w:color="auto" w:fill="FFFFFF"/>
                <w:lang w:val="fr-FR"/>
              </w:rPr>
              <w:t>5.Dimensiunea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cercetare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inovare</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competitivitate</w:t>
            </w:r>
            <w:proofErr w:type="spellEnd"/>
            <w:r w:rsidRPr="00074769">
              <w:rPr>
                <w:b/>
                <w:bCs/>
                <w:color w:val="333333"/>
                <w:sz w:val="20"/>
                <w:szCs w:val="20"/>
                <w:shd w:val="clear" w:color="auto" w:fill="FFFFFF"/>
                <w:lang w:val="fr-FR"/>
              </w:rPr>
              <w:t>”</w:t>
            </w:r>
          </w:p>
          <w:p w14:paraId="204599BC" w14:textId="2D514FFF" w:rsidR="008F5636" w:rsidRPr="00074769" w:rsidRDefault="008F5636" w:rsidP="000C5A3B">
            <w:pPr>
              <w:pStyle w:val="ti-grseq-1"/>
              <w:numPr>
                <w:ilvl w:val="0"/>
                <w:numId w:val="19"/>
              </w:numPr>
              <w:shd w:val="clear" w:color="auto" w:fill="FFFFFF"/>
              <w:spacing w:before="0" w:beforeAutospacing="0" w:after="0" w:afterAutospacing="0"/>
              <w:rPr>
                <w:sz w:val="20"/>
                <w:szCs w:val="20"/>
                <w:shd w:val="clear" w:color="auto" w:fill="FFFFFF"/>
                <w:lang w:val="fr-FR"/>
              </w:rPr>
            </w:pP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finanțare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privind</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inovarea</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cercetarea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publică</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disponibile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privind</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inovarea</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cercetarea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privată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legată</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uniunea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un </w:t>
            </w:r>
            <w:proofErr w:type="spellStart"/>
            <w:r w:rsidRPr="00074769">
              <w:rPr>
                <w:sz w:val="20"/>
                <w:szCs w:val="20"/>
                <w:shd w:val="clear" w:color="auto" w:fill="FFFFFF"/>
                <w:lang w:val="fr-FR"/>
              </w:rPr>
              <w:t>termen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până</w:t>
            </w:r>
            <w:proofErr w:type="spellEnd"/>
            <w:r w:rsidRPr="00074769">
              <w:rPr>
                <w:sz w:val="20"/>
                <w:szCs w:val="20"/>
                <w:shd w:val="clear" w:color="auto" w:fill="FFFFFF"/>
                <w:lang w:val="fr-FR"/>
              </w:rPr>
              <w:t xml:space="preserve"> la care </w:t>
            </w:r>
            <w:proofErr w:type="spellStart"/>
            <w:r w:rsidRPr="00074769">
              <w:rPr>
                <w:sz w:val="20"/>
                <w:szCs w:val="20"/>
                <w:shd w:val="clear" w:color="auto" w:fill="FFFFFF"/>
                <w:lang w:val="fr-FR"/>
              </w:rPr>
              <w:t>să</w:t>
            </w:r>
            <w:proofErr w:type="spellEnd"/>
            <w:r w:rsidRPr="00074769">
              <w:rPr>
                <w:sz w:val="20"/>
                <w:szCs w:val="20"/>
                <w:shd w:val="clear" w:color="auto" w:fill="FFFFFF"/>
                <w:lang w:val="fr-FR"/>
              </w:rPr>
              <w:t xml:space="preserve"> fie </w:t>
            </w:r>
            <w:proofErr w:type="spellStart"/>
            <w:r w:rsidRPr="00074769">
              <w:rPr>
                <w:sz w:val="20"/>
                <w:szCs w:val="20"/>
                <w:shd w:val="clear" w:color="auto" w:fill="FFFFFF"/>
                <w:lang w:val="fr-FR"/>
              </w:rPr>
              <w:t>îndeplinite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p>
          <w:p w14:paraId="2376C5F3" w14:textId="65CE9C89" w:rsidR="008F5636" w:rsidRPr="00074769" w:rsidRDefault="008F5636" w:rsidP="000C5A3B">
            <w:pPr>
              <w:pStyle w:val="ti-grseq-1"/>
              <w:numPr>
                <w:ilvl w:val="0"/>
                <w:numId w:val="19"/>
              </w:numPr>
              <w:shd w:val="clear" w:color="auto" w:fill="FFFFFF"/>
              <w:spacing w:before="0" w:beforeAutospacing="0" w:after="0" w:afterAutospacing="0"/>
              <w:rPr>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disponibile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2050 </w:t>
            </w:r>
            <w:proofErr w:type="spellStart"/>
            <w:r w:rsidRPr="00074769">
              <w:rPr>
                <w:sz w:val="20"/>
                <w:szCs w:val="20"/>
                <w:shd w:val="clear" w:color="auto" w:fill="FFFFFF"/>
                <w:lang w:val="fr-FR"/>
              </w:rPr>
              <w:t>privind</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promovarea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tehnologiilor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nepoluantă</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termen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lung</w:t>
            </w:r>
            <w:proofErr w:type="spellEnd"/>
            <w:r w:rsidRPr="00074769">
              <w:rPr>
                <w:sz w:val="20"/>
                <w:szCs w:val="20"/>
                <w:shd w:val="clear" w:color="auto" w:fill="FFFFFF"/>
                <w:lang w:val="fr-FR"/>
              </w:rPr>
              <w:t xml:space="preserve"> (2050),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implementarea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tehnologiilor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emisii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reduse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dioxid</w:t>
            </w:r>
            <w:proofErr w:type="spellEnd"/>
            <w:r w:rsidRPr="00074769">
              <w:rPr>
                <w:sz w:val="20"/>
                <w:szCs w:val="20"/>
                <w:shd w:val="clear" w:color="auto" w:fill="FFFFFF"/>
                <w:lang w:val="fr-FR"/>
              </w:rPr>
              <w:t xml:space="preserve"> de carbon,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decarbonizarea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sectoarelor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industriale</w:t>
            </w:r>
            <w:proofErr w:type="spellEnd"/>
            <w:r w:rsidRPr="00074769">
              <w:rPr>
                <w:sz w:val="20"/>
                <w:szCs w:val="20"/>
                <w:shd w:val="clear" w:color="auto" w:fill="FFFFFF"/>
                <w:lang w:val="fr-FR"/>
              </w:rPr>
              <w:t xml:space="preserve"> mari </w:t>
            </w:r>
            <w:proofErr w:type="spellStart"/>
            <w:r w:rsidRPr="00074769">
              <w:rPr>
                <w:sz w:val="20"/>
                <w:szCs w:val="20"/>
                <w:shd w:val="clear" w:color="auto" w:fill="FFFFFF"/>
                <w:lang w:val="fr-FR"/>
              </w:rPr>
              <w:t>consumatoare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și mari </w:t>
            </w:r>
            <w:proofErr w:type="spellStart"/>
            <w:r w:rsidRPr="00074769">
              <w:rPr>
                <w:sz w:val="20"/>
                <w:szCs w:val="20"/>
                <w:shd w:val="clear" w:color="auto" w:fill="FFFFFF"/>
                <w:lang w:val="fr-FR"/>
              </w:rPr>
              <w:t>generatoare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emisii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dioxid</w:t>
            </w:r>
            <w:proofErr w:type="spellEnd"/>
            <w:r w:rsidRPr="00074769">
              <w:rPr>
                <w:sz w:val="20"/>
                <w:szCs w:val="20"/>
                <w:shd w:val="clear" w:color="auto" w:fill="FFFFFF"/>
                <w:lang w:val="fr-FR"/>
              </w:rPr>
              <w:t xml:space="preserve"> de carbon și,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infrastructura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aferentă</w:t>
            </w:r>
            <w:proofErr w:type="spellEnd"/>
            <w:r w:rsidRPr="00074769">
              <w:rPr>
                <w:sz w:val="20"/>
                <w:szCs w:val="20"/>
                <w:shd w:val="clear" w:color="auto" w:fill="FFFFFF"/>
                <w:lang w:val="fr-FR"/>
              </w:rPr>
              <w:t xml:space="preserve"> de transport și </w:t>
            </w:r>
            <w:proofErr w:type="spellStart"/>
            <w:r w:rsidRPr="00074769">
              <w:rPr>
                <w:sz w:val="20"/>
                <w:szCs w:val="20"/>
                <w:shd w:val="clear" w:color="auto" w:fill="FFFFFF"/>
                <w:lang w:val="fr-FR"/>
              </w:rPr>
              <w:t>stocare</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dioxidului</w:t>
            </w:r>
            <w:proofErr w:type="spellEnd"/>
            <w:r w:rsidRPr="00074769">
              <w:rPr>
                <w:sz w:val="20"/>
                <w:szCs w:val="20"/>
                <w:shd w:val="clear" w:color="auto" w:fill="FFFFFF"/>
                <w:lang w:val="fr-FR"/>
              </w:rPr>
              <w:t xml:space="preserve"> de carbon</w:t>
            </w:r>
          </w:p>
          <w:p w14:paraId="425810FB" w14:textId="0DFFF6B4" w:rsidR="008F5636" w:rsidRPr="00074769" w:rsidRDefault="008F5636" w:rsidP="000C5A3B">
            <w:pPr>
              <w:pStyle w:val="ti-grseq-1"/>
              <w:numPr>
                <w:ilvl w:val="0"/>
                <w:numId w:val="19"/>
              </w:numPr>
              <w:shd w:val="clear" w:color="auto" w:fill="FFFFFF"/>
              <w:spacing w:before="0" w:beforeAutospacing="0" w:after="0" w:afterAutospacing="0"/>
              <w:rPr>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competitivitatea</w:t>
            </w:r>
            <w:proofErr w:type="spellEnd"/>
          </w:p>
          <w:p w14:paraId="76116F5C" w14:textId="1DBA4B0B"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fr-FR"/>
              </w:rPr>
              <w:t>3.POLITICI ȘI MĂSURI</w:t>
            </w:r>
          </w:p>
          <w:p w14:paraId="15EA0912" w14:textId="2E8591DB" w:rsidR="008F5636" w:rsidRPr="00074769" w:rsidRDefault="008F5636" w:rsidP="008F5636">
            <w:pPr>
              <w:pStyle w:val="ti-grseq-1"/>
              <w:shd w:val="clear" w:color="auto" w:fill="FFFFFF"/>
              <w:spacing w:before="0" w:beforeAutospacing="0" w:after="0" w:afterAutospacing="0"/>
              <w:jc w:val="both"/>
              <w:rPr>
                <w:b/>
                <w:bCs/>
                <w:color w:val="333333"/>
                <w:sz w:val="20"/>
                <w:szCs w:val="20"/>
                <w:lang w:val="fr-FR"/>
              </w:rPr>
            </w:pPr>
            <w:r w:rsidRPr="00074769">
              <w:rPr>
                <w:b/>
                <w:bCs/>
                <w:color w:val="333333"/>
                <w:sz w:val="20"/>
                <w:szCs w:val="20"/>
                <w:lang w:val="fr-FR"/>
              </w:rPr>
              <w:t>3.</w:t>
            </w:r>
            <w:proofErr w:type="gramStart"/>
            <w:r w:rsidRPr="00074769">
              <w:rPr>
                <w:b/>
                <w:bCs/>
                <w:color w:val="333333"/>
                <w:sz w:val="20"/>
                <w:szCs w:val="20"/>
                <w:lang w:val="fr-FR"/>
              </w:rPr>
              <w:t>1.Dimensiunea</w:t>
            </w:r>
            <w:proofErr w:type="gramEnd"/>
            <w:r w:rsidRPr="00074769">
              <w:rPr>
                <w:b/>
                <w:bCs/>
                <w:color w:val="333333"/>
                <w:sz w:val="20"/>
                <w:szCs w:val="20"/>
                <w:lang w:val="fr-FR"/>
              </w:rPr>
              <w:t xml:space="preserve"> „</w:t>
            </w:r>
            <w:proofErr w:type="spellStart"/>
            <w:r w:rsidRPr="00074769">
              <w:rPr>
                <w:b/>
                <w:bCs/>
                <w:color w:val="333333"/>
                <w:sz w:val="20"/>
                <w:szCs w:val="20"/>
                <w:lang w:val="fr-FR"/>
              </w:rPr>
              <w:t>decarbonizare</w:t>
            </w:r>
            <w:proofErr w:type="spellEnd"/>
            <w:r w:rsidRPr="00074769">
              <w:rPr>
                <w:b/>
                <w:bCs/>
                <w:color w:val="333333"/>
                <w:sz w:val="20"/>
                <w:szCs w:val="20"/>
                <w:lang w:val="fr-FR"/>
              </w:rPr>
              <w:t>”</w:t>
            </w:r>
          </w:p>
          <w:p w14:paraId="4E6AB9B3" w14:textId="469CC552" w:rsidR="008F5636" w:rsidRDefault="008F5636" w:rsidP="008F5636">
            <w:pPr>
              <w:pStyle w:val="ti-grseq-1"/>
              <w:shd w:val="clear" w:color="auto" w:fill="FFFFFF"/>
              <w:spacing w:before="0" w:beforeAutospacing="0" w:after="0" w:afterAutospacing="0"/>
              <w:jc w:val="both"/>
              <w:rPr>
                <w:b/>
                <w:bCs/>
                <w:color w:val="333333"/>
                <w:sz w:val="20"/>
                <w:szCs w:val="20"/>
                <w:lang w:val="fr-FR"/>
              </w:rPr>
            </w:pPr>
            <w:r w:rsidRPr="00074769">
              <w:rPr>
                <w:b/>
                <w:bCs/>
                <w:color w:val="333333"/>
                <w:sz w:val="20"/>
                <w:szCs w:val="20"/>
                <w:lang w:val="fr-FR"/>
              </w:rPr>
              <w:t>3.1.1.</w:t>
            </w:r>
            <w:r w:rsidR="00DF34CE">
              <w:rPr>
                <w:b/>
                <w:bCs/>
                <w:color w:val="333333"/>
                <w:sz w:val="20"/>
                <w:szCs w:val="20"/>
                <w:lang w:val="fr-FR"/>
              </w:rPr>
              <w:t xml:space="preserve"> </w:t>
            </w:r>
            <w:proofErr w:type="spellStart"/>
            <w:r w:rsidRPr="00074769">
              <w:rPr>
                <w:b/>
                <w:bCs/>
                <w:color w:val="333333"/>
                <w:sz w:val="20"/>
                <w:szCs w:val="20"/>
                <w:lang w:val="fr-FR"/>
              </w:rPr>
              <w:t>Emisiile</w:t>
            </w:r>
            <w:proofErr w:type="spellEnd"/>
            <w:r w:rsidRPr="00074769">
              <w:rPr>
                <w:b/>
                <w:bCs/>
                <w:color w:val="333333"/>
                <w:sz w:val="20"/>
                <w:szCs w:val="20"/>
                <w:lang w:val="fr-FR"/>
              </w:rPr>
              <w:t xml:space="preserve"> și </w:t>
            </w:r>
            <w:proofErr w:type="spellStart"/>
            <w:r w:rsidRPr="00074769">
              <w:rPr>
                <w:b/>
                <w:bCs/>
                <w:color w:val="333333"/>
                <w:sz w:val="20"/>
                <w:szCs w:val="20"/>
                <w:lang w:val="fr-FR"/>
              </w:rPr>
              <w:t>absorbțiile</w:t>
            </w:r>
            <w:proofErr w:type="spellEnd"/>
            <w:r w:rsidRPr="00074769">
              <w:rPr>
                <w:b/>
                <w:bCs/>
                <w:color w:val="333333"/>
                <w:sz w:val="20"/>
                <w:szCs w:val="20"/>
                <w:lang w:val="fr-FR"/>
              </w:rPr>
              <w:t xml:space="preserve"> de GES</w:t>
            </w:r>
          </w:p>
          <w:p w14:paraId="2B50BAD2" w14:textId="2B215445" w:rsidR="00EA19BA" w:rsidRPr="00EA19BA" w:rsidRDefault="00000000" w:rsidP="008F5636">
            <w:pPr>
              <w:pStyle w:val="ti-grseq-1"/>
              <w:shd w:val="clear" w:color="auto" w:fill="FFFFFF"/>
              <w:spacing w:before="0" w:beforeAutospacing="0" w:after="0" w:afterAutospacing="0"/>
              <w:jc w:val="both"/>
              <w:rPr>
                <w:b/>
                <w:bCs/>
                <w:color w:val="333333"/>
                <w:sz w:val="20"/>
                <w:szCs w:val="20"/>
                <w:lang w:val="fr-FR"/>
              </w:rPr>
            </w:pPr>
            <w:hyperlink r:id="rId57" w:tooltip="32021R1119: REPLACED" w:history="1">
              <w:r w:rsidR="00EA19BA" w:rsidRPr="001A1E50">
                <w:rPr>
                  <w:rStyle w:val="af6"/>
                  <w:rFonts w:eastAsia="Arial Unicode MS"/>
                  <w:b/>
                  <w:bCs/>
                  <w:color w:val="23527C"/>
                  <w:sz w:val="20"/>
                  <w:szCs w:val="20"/>
                  <w:shd w:val="clear" w:color="auto" w:fill="FFFFFF"/>
                  <w:lang w:val="fr-FR"/>
                </w:rPr>
                <w:t>▼M2</w:t>
              </w:r>
            </w:hyperlink>
          </w:p>
          <w:p w14:paraId="15676960" w14:textId="48396DED" w:rsidR="008F5636" w:rsidRPr="00DF34CE" w:rsidRDefault="008F5636" w:rsidP="000C5A3B">
            <w:pPr>
              <w:pStyle w:val="Normal4"/>
              <w:numPr>
                <w:ilvl w:val="0"/>
                <w:numId w:val="20"/>
              </w:numPr>
              <w:spacing w:before="0" w:beforeAutospacing="0" w:after="0" w:afterAutospacing="0"/>
              <w:jc w:val="both"/>
              <w:rPr>
                <w:sz w:val="20"/>
                <w:szCs w:val="20"/>
              </w:rPr>
            </w:pPr>
            <w:r w:rsidRPr="00074769">
              <w:rPr>
                <w:sz w:val="20"/>
                <w:szCs w:val="20"/>
              </w:rPr>
              <w:t xml:space="preserve">Politicile și măsurile pentru atingerea obiectivului stabilit în temeiul Regulamentului (UE) 2018/842, menționat la punctul 2.1.1, și politicile și măsurile pentru respectarea Regulamentului (UE) 2018/841, acoperind toate sectoarele importante generatoare de emisii și sectoarele pentru sporirea absorbțiilor, </w:t>
            </w:r>
            <w:r w:rsidR="00EA19BA" w:rsidRPr="00EA19BA">
              <w:rPr>
                <w:rFonts w:eastAsia="Arial Unicode MS"/>
                <w:sz w:val="20"/>
                <w:szCs w:val="20"/>
                <w:shd w:val="clear" w:color="auto" w:fill="FFFFFF"/>
              </w:rPr>
              <w:t>în vederea îndeplinirii obiectivului Uniunii privind neutralitatea climatică prevăzut la articolul</w:t>
            </w:r>
            <w:r w:rsidR="00EA19BA">
              <w:rPr>
                <w:rFonts w:eastAsia="Arial Unicode MS"/>
                <w:sz w:val="20"/>
                <w:szCs w:val="20"/>
                <w:shd w:val="clear" w:color="auto" w:fill="FFFFFF"/>
              </w:rPr>
              <w:t xml:space="preserve"> </w:t>
            </w:r>
            <w:r w:rsidR="00EA19BA" w:rsidRPr="00EA19BA">
              <w:rPr>
                <w:rFonts w:eastAsia="Arial Unicode MS"/>
                <w:sz w:val="20"/>
                <w:szCs w:val="20"/>
                <w:shd w:val="clear" w:color="auto" w:fill="FFFFFF"/>
              </w:rPr>
              <w:t>2 alineatul (1) din Regulamentul (UE) 2021/1119.</w:t>
            </w:r>
          </w:p>
          <w:p w14:paraId="5FF54DDD" w14:textId="6C316E10" w:rsidR="00DF34CE" w:rsidRPr="00DF34CE" w:rsidRDefault="00000000" w:rsidP="00DF34CE">
            <w:pPr>
              <w:pStyle w:val="Normal4"/>
              <w:spacing w:before="0" w:beforeAutospacing="0" w:after="0" w:afterAutospacing="0"/>
              <w:rPr>
                <w:sz w:val="20"/>
                <w:szCs w:val="20"/>
              </w:rPr>
            </w:pPr>
            <w:hyperlink r:id="rId58" w:tooltip="32018R1999" w:history="1">
              <w:r w:rsidR="00DF34CE" w:rsidRPr="00DF34CE">
                <w:rPr>
                  <w:rStyle w:val="af6"/>
                  <w:rFonts w:eastAsia="Arial Unicode MS"/>
                  <w:b/>
                  <w:bCs/>
                  <w:color w:val="23527C"/>
                  <w:sz w:val="20"/>
                  <w:szCs w:val="20"/>
                  <w:shd w:val="clear" w:color="auto" w:fill="FFFFFF"/>
                </w:rPr>
                <w:t>▼B</w:t>
              </w:r>
            </w:hyperlink>
          </w:p>
          <w:p w14:paraId="2FA80E2A" w14:textId="5D9382B9" w:rsidR="008F5636" w:rsidRPr="00074769" w:rsidRDefault="008F5636" w:rsidP="000C5A3B">
            <w:pPr>
              <w:pStyle w:val="ti-grseq-1"/>
              <w:numPr>
                <w:ilvl w:val="0"/>
                <w:numId w:val="20"/>
              </w:numPr>
              <w:shd w:val="clear" w:color="auto" w:fill="FFFFFF"/>
              <w:spacing w:before="0" w:beforeAutospacing="0" w:after="0" w:afterAutospacing="0"/>
              <w:rPr>
                <w:sz w:val="20"/>
                <w:szCs w:val="20"/>
                <w:shd w:val="clear" w:color="auto" w:fill="FFFFFF"/>
              </w:rPr>
            </w:pPr>
            <w:proofErr w:type="spellStart"/>
            <w:r w:rsidRPr="00074769">
              <w:rPr>
                <w:sz w:val="20"/>
                <w:szCs w:val="20"/>
                <w:shd w:val="clear" w:color="auto" w:fill="FFFFFF"/>
              </w:rPr>
              <w:t>Dacă</w:t>
            </w:r>
            <w:proofErr w:type="spellEnd"/>
            <w:r w:rsidRPr="00074769">
              <w:rPr>
                <w:sz w:val="20"/>
                <w:szCs w:val="20"/>
                <w:shd w:val="clear" w:color="auto" w:fill="FFFFFF"/>
              </w:rPr>
              <w:t xml:space="preserve"> </w:t>
            </w:r>
            <w:proofErr w:type="spellStart"/>
            <w:r w:rsidRPr="00074769">
              <w:rPr>
                <w:sz w:val="20"/>
                <w:szCs w:val="20"/>
                <w:shd w:val="clear" w:color="auto" w:fill="FFFFFF"/>
              </w:rPr>
              <w:t>este</w:t>
            </w:r>
            <w:proofErr w:type="spellEnd"/>
            <w:r w:rsidRPr="00074769">
              <w:rPr>
                <w:sz w:val="20"/>
                <w:szCs w:val="20"/>
                <w:shd w:val="clear" w:color="auto" w:fill="FFFFFF"/>
              </w:rPr>
              <w:t xml:space="preserve"> </w:t>
            </w:r>
            <w:proofErr w:type="spellStart"/>
            <w:r w:rsidRPr="00074769">
              <w:rPr>
                <w:sz w:val="20"/>
                <w:szCs w:val="20"/>
                <w:shd w:val="clear" w:color="auto" w:fill="FFFFFF"/>
              </w:rPr>
              <w:t>cazul</w:t>
            </w:r>
            <w:proofErr w:type="spellEnd"/>
            <w:r w:rsidRPr="00074769">
              <w:rPr>
                <w:sz w:val="20"/>
                <w:szCs w:val="20"/>
                <w:shd w:val="clear" w:color="auto" w:fill="FFFFFF"/>
              </w:rPr>
              <w:t xml:space="preserve">, </w:t>
            </w:r>
            <w:proofErr w:type="spellStart"/>
            <w:r w:rsidRPr="00074769">
              <w:rPr>
                <w:sz w:val="20"/>
                <w:szCs w:val="20"/>
                <w:shd w:val="clear" w:color="auto" w:fill="FFFFFF"/>
              </w:rPr>
              <w:t>cooperarea</w:t>
            </w:r>
            <w:proofErr w:type="spellEnd"/>
            <w:r w:rsidRPr="00074769">
              <w:rPr>
                <w:sz w:val="20"/>
                <w:szCs w:val="20"/>
                <w:shd w:val="clear" w:color="auto" w:fill="FFFFFF"/>
              </w:rPr>
              <w:t xml:space="preserve"> </w:t>
            </w:r>
            <w:proofErr w:type="spellStart"/>
            <w:r w:rsidRPr="00074769">
              <w:rPr>
                <w:sz w:val="20"/>
                <w:szCs w:val="20"/>
                <w:shd w:val="clear" w:color="auto" w:fill="FFFFFF"/>
              </w:rPr>
              <w:t>regională</w:t>
            </w:r>
            <w:proofErr w:type="spellEnd"/>
            <w:r w:rsidRPr="00074769">
              <w:rPr>
                <w:sz w:val="20"/>
                <w:szCs w:val="20"/>
                <w:shd w:val="clear" w:color="auto" w:fill="FFFFFF"/>
              </w:rPr>
              <w:t xml:space="preserve"> în </w:t>
            </w:r>
            <w:proofErr w:type="spellStart"/>
            <w:r w:rsidRPr="00074769">
              <w:rPr>
                <w:sz w:val="20"/>
                <w:szCs w:val="20"/>
                <w:shd w:val="clear" w:color="auto" w:fill="FFFFFF"/>
              </w:rPr>
              <w:t>acest</w:t>
            </w:r>
            <w:proofErr w:type="spellEnd"/>
            <w:r w:rsidRPr="00074769">
              <w:rPr>
                <w:sz w:val="20"/>
                <w:szCs w:val="20"/>
                <w:shd w:val="clear" w:color="auto" w:fill="FFFFFF"/>
              </w:rPr>
              <w:t xml:space="preserve"> </w:t>
            </w:r>
            <w:proofErr w:type="spellStart"/>
            <w:r w:rsidRPr="00074769">
              <w:rPr>
                <w:sz w:val="20"/>
                <w:szCs w:val="20"/>
                <w:shd w:val="clear" w:color="auto" w:fill="FFFFFF"/>
              </w:rPr>
              <w:t>domeniu</w:t>
            </w:r>
            <w:proofErr w:type="spellEnd"/>
          </w:p>
          <w:p w14:paraId="7F0AEC36" w14:textId="10694646" w:rsidR="008F5636" w:rsidRPr="00074769" w:rsidRDefault="008F5636" w:rsidP="000C5A3B">
            <w:pPr>
              <w:pStyle w:val="ti-grseq-1"/>
              <w:numPr>
                <w:ilvl w:val="0"/>
                <w:numId w:val="20"/>
              </w:numPr>
              <w:shd w:val="clear" w:color="auto" w:fill="FFFFFF"/>
              <w:spacing w:before="0" w:beforeAutospacing="0" w:after="0" w:afterAutospacing="0"/>
              <w:rPr>
                <w:sz w:val="20"/>
                <w:szCs w:val="20"/>
                <w:shd w:val="clear" w:color="auto" w:fill="FFFFFF"/>
                <w:lang w:val="ro-MD"/>
              </w:rPr>
            </w:pPr>
            <w:proofErr w:type="spellStart"/>
            <w:r w:rsidRPr="00074769">
              <w:rPr>
                <w:sz w:val="20"/>
                <w:szCs w:val="20"/>
                <w:shd w:val="clear" w:color="auto" w:fill="FFFFFF"/>
              </w:rPr>
              <w:t>Fără</w:t>
            </w:r>
            <w:proofErr w:type="spellEnd"/>
            <w:r w:rsidRPr="00074769">
              <w:rPr>
                <w:sz w:val="20"/>
                <w:szCs w:val="20"/>
                <w:shd w:val="clear" w:color="auto" w:fill="FFFFFF"/>
              </w:rPr>
              <w:t xml:space="preserve"> </w:t>
            </w:r>
            <w:proofErr w:type="gramStart"/>
            <w:r w:rsidRPr="00074769">
              <w:rPr>
                <w:sz w:val="20"/>
                <w:szCs w:val="20"/>
                <w:shd w:val="clear" w:color="auto" w:fill="FFFFFF"/>
              </w:rPr>
              <w:t>a</w:t>
            </w:r>
            <w:proofErr w:type="gramEnd"/>
            <w:r w:rsidRPr="00074769">
              <w:rPr>
                <w:sz w:val="20"/>
                <w:szCs w:val="20"/>
                <w:shd w:val="clear" w:color="auto" w:fill="FFFFFF"/>
              </w:rPr>
              <w:t xml:space="preserve"> </w:t>
            </w:r>
            <w:proofErr w:type="spellStart"/>
            <w:r w:rsidRPr="00074769">
              <w:rPr>
                <w:sz w:val="20"/>
                <w:szCs w:val="20"/>
                <w:shd w:val="clear" w:color="auto" w:fill="FFFFFF"/>
              </w:rPr>
              <w:t>aduce</w:t>
            </w:r>
            <w:proofErr w:type="spellEnd"/>
            <w:r w:rsidRPr="00074769">
              <w:rPr>
                <w:sz w:val="20"/>
                <w:szCs w:val="20"/>
                <w:shd w:val="clear" w:color="auto" w:fill="FFFFFF"/>
              </w:rPr>
              <w:t xml:space="preserve"> </w:t>
            </w:r>
            <w:proofErr w:type="spellStart"/>
            <w:r w:rsidRPr="00074769">
              <w:rPr>
                <w:sz w:val="20"/>
                <w:szCs w:val="20"/>
                <w:shd w:val="clear" w:color="auto" w:fill="FFFFFF"/>
              </w:rPr>
              <w:t>atingere</w:t>
            </w:r>
            <w:proofErr w:type="spellEnd"/>
            <w:r w:rsidRPr="00074769">
              <w:rPr>
                <w:sz w:val="20"/>
                <w:szCs w:val="20"/>
                <w:shd w:val="clear" w:color="auto" w:fill="FFFFFF"/>
              </w:rPr>
              <w:t xml:space="preserve"> </w:t>
            </w:r>
            <w:proofErr w:type="spellStart"/>
            <w:r w:rsidRPr="00074769">
              <w:rPr>
                <w:sz w:val="20"/>
                <w:szCs w:val="20"/>
                <w:shd w:val="clear" w:color="auto" w:fill="FFFFFF"/>
              </w:rPr>
              <w:t>aplicabilității</w:t>
            </w:r>
            <w:proofErr w:type="spellEnd"/>
            <w:r w:rsidRPr="00074769">
              <w:rPr>
                <w:sz w:val="20"/>
                <w:szCs w:val="20"/>
                <w:shd w:val="clear" w:color="auto" w:fill="FFFFFF"/>
              </w:rPr>
              <w:t xml:space="preserve"> </w:t>
            </w:r>
            <w:proofErr w:type="spellStart"/>
            <w:r w:rsidRPr="00074769">
              <w:rPr>
                <w:sz w:val="20"/>
                <w:szCs w:val="20"/>
                <w:shd w:val="clear" w:color="auto" w:fill="FFFFFF"/>
              </w:rPr>
              <w:t>normelor</w:t>
            </w:r>
            <w:proofErr w:type="spellEnd"/>
            <w:r w:rsidRPr="00074769">
              <w:rPr>
                <w:sz w:val="20"/>
                <w:szCs w:val="20"/>
                <w:shd w:val="clear" w:color="auto" w:fill="FFFFFF"/>
              </w:rPr>
              <w:t xml:space="preserve"> </w:t>
            </w:r>
            <w:proofErr w:type="spellStart"/>
            <w:r w:rsidRPr="00074769">
              <w:rPr>
                <w:sz w:val="20"/>
                <w:szCs w:val="20"/>
                <w:shd w:val="clear" w:color="auto" w:fill="FFFFFF"/>
              </w:rPr>
              <w:t>privind</w:t>
            </w:r>
            <w:proofErr w:type="spellEnd"/>
            <w:r w:rsidRPr="00074769">
              <w:rPr>
                <w:sz w:val="20"/>
                <w:szCs w:val="20"/>
                <w:shd w:val="clear" w:color="auto" w:fill="FFFFFF"/>
              </w:rPr>
              <w:t xml:space="preserve"> </w:t>
            </w:r>
            <w:proofErr w:type="spellStart"/>
            <w:r w:rsidRPr="00074769">
              <w:rPr>
                <w:sz w:val="20"/>
                <w:szCs w:val="20"/>
                <w:shd w:val="clear" w:color="auto" w:fill="FFFFFF"/>
              </w:rPr>
              <w:t>ajutoarele</w:t>
            </w:r>
            <w:proofErr w:type="spellEnd"/>
            <w:r w:rsidRPr="00074769">
              <w:rPr>
                <w:sz w:val="20"/>
                <w:szCs w:val="20"/>
                <w:shd w:val="clear" w:color="auto" w:fill="FFFFFF"/>
              </w:rPr>
              <w:t xml:space="preserve"> de stat, </w:t>
            </w:r>
            <w:proofErr w:type="spellStart"/>
            <w:r w:rsidRPr="00074769">
              <w:rPr>
                <w:sz w:val="20"/>
                <w:szCs w:val="20"/>
                <w:shd w:val="clear" w:color="auto" w:fill="FFFFFF"/>
              </w:rPr>
              <w:t>măsurile</w:t>
            </w:r>
            <w:proofErr w:type="spellEnd"/>
            <w:r w:rsidRPr="00074769">
              <w:rPr>
                <w:sz w:val="20"/>
                <w:szCs w:val="20"/>
                <w:shd w:val="clear" w:color="auto" w:fill="FFFFFF"/>
              </w:rPr>
              <w:t xml:space="preserve"> de </w:t>
            </w:r>
            <w:proofErr w:type="spellStart"/>
            <w:r w:rsidRPr="00074769">
              <w:rPr>
                <w:sz w:val="20"/>
                <w:szCs w:val="20"/>
                <w:shd w:val="clear" w:color="auto" w:fill="FFFFFF"/>
              </w:rPr>
              <w:t>finanțare</w:t>
            </w:r>
            <w:proofErr w:type="spellEnd"/>
            <w:r w:rsidRPr="00074769">
              <w:rPr>
                <w:sz w:val="20"/>
                <w:szCs w:val="20"/>
                <w:shd w:val="clear" w:color="auto" w:fill="FFFFFF"/>
              </w:rPr>
              <w:t xml:space="preserve">,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sprijinul</w:t>
            </w:r>
            <w:proofErr w:type="spellEnd"/>
            <w:r w:rsidRPr="00074769">
              <w:rPr>
                <w:sz w:val="20"/>
                <w:szCs w:val="20"/>
                <w:shd w:val="clear" w:color="auto" w:fill="FFFFFF"/>
              </w:rPr>
              <w:t xml:space="preserve"> </w:t>
            </w:r>
            <w:proofErr w:type="spellStart"/>
            <w:r w:rsidRPr="00074769">
              <w:rPr>
                <w:sz w:val="20"/>
                <w:szCs w:val="20"/>
                <w:shd w:val="clear" w:color="auto" w:fill="FFFFFF"/>
              </w:rPr>
              <w:t>acordat</w:t>
            </w:r>
            <w:proofErr w:type="spellEnd"/>
            <w:r w:rsidRPr="00074769">
              <w:rPr>
                <w:sz w:val="20"/>
                <w:szCs w:val="20"/>
                <w:shd w:val="clear" w:color="auto" w:fill="FFFFFF"/>
              </w:rPr>
              <w:t xml:space="preserve"> de </w:t>
            </w:r>
            <w:proofErr w:type="spellStart"/>
            <w:r w:rsidRPr="00074769">
              <w:rPr>
                <w:sz w:val="20"/>
                <w:szCs w:val="20"/>
                <w:shd w:val="clear" w:color="auto" w:fill="FFFFFF"/>
              </w:rPr>
              <w:t>Uniune</w:t>
            </w:r>
            <w:proofErr w:type="spellEnd"/>
            <w:r w:rsidRPr="00074769">
              <w:rPr>
                <w:sz w:val="20"/>
                <w:szCs w:val="20"/>
                <w:shd w:val="clear" w:color="auto" w:fill="FFFFFF"/>
              </w:rPr>
              <w:t xml:space="preserve"> și </w:t>
            </w:r>
            <w:proofErr w:type="spellStart"/>
            <w:r w:rsidRPr="00074769">
              <w:rPr>
                <w:sz w:val="20"/>
                <w:szCs w:val="20"/>
                <w:shd w:val="clear" w:color="auto" w:fill="FFFFFF"/>
              </w:rPr>
              <w:t>utilizarea</w:t>
            </w:r>
            <w:proofErr w:type="spellEnd"/>
            <w:r w:rsidRPr="00074769">
              <w:rPr>
                <w:sz w:val="20"/>
                <w:szCs w:val="20"/>
                <w:shd w:val="clear" w:color="auto" w:fill="FFFFFF"/>
              </w:rPr>
              <w:t xml:space="preserve"> </w:t>
            </w:r>
            <w:proofErr w:type="spellStart"/>
            <w:r w:rsidRPr="00074769">
              <w:rPr>
                <w:sz w:val="20"/>
                <w:szCs w:val="20"/>
                <w:shd w:val="clear" w:color="auto" w:fill="FFFFFF"/>
              </w:rPr>
              <w:t>fondurilor</w:t>
            </w:r>
            <w:proofErr w:type="spellEnd"/>
            <w:r w:rsidRPr="00074769">
              <w:rPr>
                <w:sz w:val="20"/>
                <w:szCs w:val="20"/>
                <w:shd w:val="clear" w:color="auto" w:fill="FFFFFF"/>
              </w:rPr>
              <w:t xml:space="preserve"> </w:t>
            </w:r>
            <w:proofErr w:type="spellStart"/>
            <w:r w:rsidRPr="00074769">
              <w:rPr>
                <w:sz w:val="20"/>
                <w:szCs w:val="20"/>
                <w:shd w:val="clear" w:color="auto" w:fill="FFFFFF"/>
              </w:rPr>
              <w:t>Uniunii</w:t>
            </w:r>
            <w:proofErr w:type="spellEnd"/>
            <w:r w:rsidRPr="00074769">
              <w:rPr>
                <w:sz w:val="20"/>
                <w:szCs w:val="20"/>
                <w:shd w:val="clear" w:color="auto" w:fill="FFFFFF"/>
              </w:rPr>
              <w:t xml:space="preserve"> în </w:t>
            </w:r>
            <w:proofErr w:type="spellStart"/>
            <w:r w:rsidRPr="00074769">
              <w:rPr>
                <w:sz w:val="20"/>
                <w:szCs w:val="20"/>
                <w:shd w:val="clear" w:color="auto" w:fill="FFFFFF"/>
              </w:rPr>
              <w:t>acest</w:t>
            </w:r>
            <w:proofErr w:type="spellEnd"/>
            <w:r w:rsidRPr="00074769">
              <w:rPr>
                <w:sz w:val="20"/>
                <w:szCs w:val="20"/>
                <w:shd w:val="clear" w:color="auto" w:fill="FFFFFF"/>
              </w:rPr>
              <w:t xml:space="preserve"> </w:t>
            </w:r>
            <w:proofErr w:type="spellStart"/>
            <w:r w:rsidRPr="00074769">
              <w:rPr>
                <w:sz w:val="20"/>
                <w:szCs w:val="20"/>
                <w:shd w:val="clear" w:color="auto" w:fill="FFFFFF"/>
              </w:rPr>
              <w:t>domeniu</w:t>
            </w:r>
            <w:proofErr w:type="spellEnd"/>
            <w:r w:rsidRPr="00074769">
              <w:rPr>
                <w:sz w:val="20"/>
                <w:szCs w:val="20"/>
                <w:shd w:val="clear" w:color="auto" w:fill="FFFFFF"/>
              </w:rPr>
              <w:t xml:space="preserve"> la </w:t>
            </w:r>
            <w:proofErr w:type="spellStart"/>
            <w:r w:rsidRPr="00074769">
              <w:rPr>
                <w:sz w:val="20"/>
                <w:szCs w:val="20"/>
                <w:shd w:val="clear" w:color="auto" w:fill="FFFFFF"/>
              </w:rPr>
              <w:t>nivel</w:t>
            </w:r>
            <w:proofErr w:type="spellEnd"/>
            <w:r w:rsidRPr="00074769">
              <w:rPr>
                <w:sz w:val="20"/>
                <w:szCs w:val="20"/>
                <w:shd w:val="clear" w:color="auto" w:fill="FFFFFF"/>
              </w:rPr>
              <w:t xml:space="preserve"> </w:t>
            </w:r>
            <w:proofErr w:type="spellStart"/>
            <w:r w:rsidRPr="00074769">
              <w:rPr>
                <w:sz w:val="20"/>
                <w:szCs w:val="20"/>
                <w:shd w:val="clear" w:color="auto" w:fill="FFFFFF"/>
              </w:rPr>
              <w:t>național</w:t>
            </w:r>
            <w:proofErr w:type="spellEnd"/>
            <w:r w:rsidRPr="00074769">
              <w:rPr>
                <w:sz w:val="20"/>
                <w:szCs w:val="20"/>
                <w:shd w:val="clear" w:color="auto" w:fill="FFFFFF"/>
              </w:rPr>
              <w:t xml:space="preserve">, </w:t>
            </w:r>
            <w:proofErr w:type="spellStart"/>
            <w:r w:rsidRPr="00074769">
              <w:rPr>
                <w:sz w:val="20"/>
                <w:szCs w:val="20"/>
                <w:shd w:val="clear" w:color="auto" w:fill="FFFFFF"/>
              </w:rPr>
              <w:t>dacă</w:t>
            </w:r>
            <w:proofErr w:type="spellEnd"/>
            <w:r w:rsidRPr="00074769">
              <w:rPr>
                <w:sz w:val="20"/>
                <w:szCs w:val="20"/>
                <w:shd w:val="clear" w:color="auto" w:fill="FFFFFF"/>
              </w:rPr>
              <w:t xml:space="preserve"> </w:t>
            </w:r>
            <w:proofErr w:type="spellStart"/>
            <w:r w:rsidRPr="00074769">
              <w:rPr>
                <w:sz w:val="20"/>
                <w:szCs w:val="20"/>
                <w:shd w:val="clear" w:color="auto" w:fill="FFFFFF"/>
              </w:rPr>
              <w:t>este</w:t>
            </w:r>
            <w:proofErr w:type="spellEnd"/>
            <w:r w:rsidRPr="00074769">
              <w:rPr>
                <w:sz w:val="20"/>
                <w:szCs w:val="20"/>
                <w:shd w:val="clear" w:color="auto" w:fill="FFFFFF"/>
              </w:rPr>
              <w:t xml:space="preserve"> </w:t>
            </w:r>
            <w:proofErr w:type="spellStart"/>
            <w:r w:rsidRPr="00074769">
              <w:rPr>
                <w:sz w:val="20"/>
                <w:szCs w:val="20"/>
                <w:shd w:val="clear" w:color="auto" w:fill="FFFFFF"/>
              </w:rPr>
              <w:t>cazul</w:t>
            </w:r>
            <w:proofErr w:type="spellEnd"/>
          </w:p>
          <w:p w14:paraId="31B99BD6" w14:textId="4C4DBC0C" w:rsidR="008F5636" w:rsidRPr="00074769" w:rsidRDefault="008F5636" w:rsidP="008F5636">
            <w:pPr>
              <w:pStyle w:val="ti-grseq-1"/>
              <w:shd w:val="clear" w:color="auto" w:fill="FFFFFF"/>
              <w:spacing w:before="0" w:beforeAutospacing="0" w:after="0" w:afterAutospacing="0"/>
              <w:rPr>
                <w:b/>
                <w:bCs/>
                <w:color w:val="333333"/>
                <w:sz w:val="20"/>
                <w:szCs w:val="20"/>
                <w:shd w:val="clear" w:color="auto" w:fill="FFFFFF"/>
              </w:rPr>
            </w:pPr>
            <w:r w:rsidRPr="00074769">
              <w:rPr>
                <w:b/>
                <w:bCs/>
                <w:color w:val="333333"/>
                <w:sz w:val="20"/>
                <w:szCs w:val="20"/>
                <w:shd w:val="clear" w:color="auto" w:fill="FFFFFF"/>
              </w:rPr>
              <w:t>3.1.</w:t>
            </w:r>
            <w:proofErr w:type="gramStart"/>
            <w:r w:rsidRPr="00074769">
              <w:rPr>
                <w:b/>
                <w:bCs/>
                <w:color w:val="333333"/>
                <w:sz w:val="20"/>
                <w:szCs w:val="20"/>
                <w:shd w:val="clear" w:color="auto" w:fill="FFFFFF"/>
              </w:rPr>
              <w:t>2.Energia</w:t>
            </w:r>
            <w:proofErr w:type="gramEnd"/>
            <w:r w:rsidRPr="00074769">
              <w:rPr>
                <w:b/>
                <w:bCs/>
                <w:color w:val="333333"/>
                <w:sz w:val="20"/>
                <w:szCs w:val="20"/>
                <w:shd w:val="clear" w:color="auto" w:fill="FFFFFF"/>
              </w:rPr>
              <w:t xml:space="preserve"> din surse </w:t>
            </w:r>
            <w:proofErr w:type="spellStart"/>
            <w:r w:rsidRPr="00074769">
              <w:rPr>
                <w:b/>
                <w:bCs/>
                <w:color w:val="333333"/>
                <w:sz w:val="20"/>
                <w:szCs w:val="20"/>
                <w:shd w:val="clear" w:color="auto" w:fill="FFFFFF"/>
              </w:rPr>
              <w:t>regenerabile</w:t>
            </w:r>
            <w:proofErr w:type="spellEnd"/>
          </w:p>
          <w:p w14:paraId="15967993" w14:textId="754B603F" w:rsidR="008F5636" w:rsidRPr="00074769" w:rsidRDefault="008F5636" w:rsidP="000C5A3B">
            <w:pPr>
              <w:pStyle w:val="Normal4"/>
              <w:numPr>
                <w:ilvl w:val="0"/>
                <w:numId w:val="21"/>
              </w:numPr>
              <w:spacing w:before="0" w:beforeAutospacing="0" w:after="0" w:afterAutospacing="0"/>
              <w:jc w:val="both"/>
              <w:rPr>
                <w:color w:val="333333"/>
                <w:sz w:val="20"/>
                <w:szCs w:val="20"/>
              </w:rPr>
            </w:pPr>
            <w:r w:rsidRPr="00074769">
              <w:rPr>
                <w:color w:val="333333"/>
                <w:sz w:val="20"/>
                <w:szCs w:val="20"/>
              </w:rPr>
              <w:lastRenderedPageBreak/>
              <w:t xml:space="preserve">Politicile și măsurile pentru a realiza contribuția națională la obiectivul obligatoriu al Uniunii privind energia din surse regenerabile pentru 2030 și traiectoriile menționate la articolul 4 litera (a) punctul 2 și, dacă este cazul sau dacă sunt disponibile, elementele menționate la punctul 2.1.2 din prezenta anexă, inclusiv măsuri specifice sectoarelor și tehnologiilor </w:t>
            </w:r>
            <w:hyperlink r:id="rId59" w:anchor="ntr3-L_2018328RO.01004701-E0003" w:history="1">
              <w:r w:rsidRPr="00074769">
                <w:rPr>
                  <w:rStyle w:val="af6"/>
                  <w:color w:val="337AB7"/>
                  <w:sz w:val="20"/>
                  <w:szCs w:val="20"/>
                </w:rPr>
                <w:t>(</w:t>
              </w:r>
              <w:r w:rsidRPr="00074769">
                <w:rPr>
                  <w:rStyle w:val="super"/>
                  <w:color w:val="337AB7"/>
                  <w:sz w:val="20"/>
                  <w:szCs w:val="20"/>
                  <w:vertAlign w:val="superscript"/>
                </w:rPr>
                <w:t>3</w:t>
              </w:r>
              <w:r w:rsidRPr="00074769">
                <w:rPr>
                  <w:rStyle w:val="af6"/>
                  <w:color w:val="337AB7"/>
                  <w:sz w:val="20"/>
                  <w:szCs w:val="20"/>
                </w:rPr>
                <w:t>)</w:t>
              </w:r>
            </w:hyperlink>
          </w:p>
          <w:p w14:paraId="5D340860" w14:textId="6C0DBE8B" w:rsidR="008F5636" w:rsidRPr="00074769" w:rsidRDefault="008F5636" w:rsidP="000C5A3B">
            <w:pPr>
              <w:pStyle w:val="ti-grseq-1"/>
              <w:numPr>
                <w:ilvl w:val="0"/>
                <w:numId w:val="21"/>
              </w:numPr>
              <w:shd w:val="clear" w:color="auto" w:fill="FFFFFF"/>
              <w:spacing w:before="0" w:beforeAutospacing="0" w:after="0" w:afterAutospacing="0"/>
              <w:jc w:val="both"/>
              <w:rPr>
                <w:color w:val="333333"/>
                <w:sz w:val="20"/>
                <w:szCs w:val="20"/>
                <w:shd w:val="clear" w:color="auto" w:fill="FFFFFF"/>
                <w:lang w:val="ro-MD"/>
              </w:rPr>
            </w:pPr>
            <w:r w:rsidRPr="00074769">
              <w:rPr>
                <w:color w:val="333333"/>
                <w:sz w:val="20"/>
                <w:szCs w:val="20"/>
                <w:shd w:val="clear" w:color="auto" w:fill="FFFFFF"/>
                <w:lang w:val="ro-MD"/>
              </w:rPr>
              <w:t>Dacă sunt relevante, măsurile specifice pentru cooperarea regională, precum și, opțional, excedentul estimat de producție de energie din surse regenerabile care ar putea fi transferat către alte state membre pentru a realiza contribuția națională și traiectoriile menționate la punctul 2.1.2</w:t>
            </w:r>
          </w:p>
          <w:p w14:paraId="6653D334" w14:textId="4FA5CDEF" w:rsidR="008F5636" w:rsidRPr="00074769" w:rsidRDefault="008F5636" w:rsidP="000C5A3B">
            <w:pPr>
              <w:pStyle w:val="ti-grseq-1"/>
              <w:numPr>
                <w:ilvl w:val="0"/>
                <w:numId w:val="21"/>
              </w:numPr>
              <w:shd w:val="clear" w:color="auto" w:fill="FFFFFF"/>
              <w:spacing w:before="0" w:beforeAutospacing="0" w:after="0" w:afterAutospacing="0"/>
              <w:jc w:val="both"/>
              <w:rPr>
                <w:color w:val="333333"/>
                <w:sz w:val="20"/>
                <w:szCs w:val="20"/>
                <w:shd w:val="clear" w:color="auto" w:fill="FFFFFF"/>
                <w:lang w:val="ro-MD"/>
              </w:rPr>
            </w:pPr>
            <w:r w:rsidRPr="00074769">
              <w:rPr>
                <w:color w:val="333333"/>
                <w:sz w:val="20"/>
                <w:szCs w:val="20"/>
                <w:shd w:val="clear" w:color="auto" w:fill="FFFFFF"/>
                <w:lang w:val="ro-MD"/>
              </w:rPr>
              <w:t>Măsurile specifice privind sprijinul financiar, dacă este cazul, inclusiv sprijinul acordat de Uniune și utilizarea fondurilor Uniunii, pentru promovarea producției și utilizării de energie din surse regenerabile în sectorul energiei electrice, al încălzirii și răcirii și al transporturilor</w:t>
            </w:r>
          </w:p>
          <w:p w14:paraId="26DA2085" w14:textId="2CE4A08B" w:rsidR="008F5636" w:rsidRPr="00074769" w:rsidRDefault="008F5636" w:rsidP="000C5A3B">
            <w:pPr>
              <w:pStyle w:val="ti-grseq-1"/>
              <w:numPr>
                <w:ilvl w:val="0"/>
                <w:numId w:val="21"/>
              </w:numPr>
              <w:shd w:val="clear" w:color="auto" w:fill="FFFFFF"/>
              <w:spacing w:before="0" w:beforeAutospacing="0" w:after="0" w:afterAutospacing="0"/>
              <w:jc w:val="both"/>
              <w:rPr>
                <w:color w:val="333333"/>
                <w:sz w:val="20"/>
                <w:szCs w:val="20"/>
                <w:shd w:val="clear" w:color="auto" w:fill="FFFFFF"/>
                <w:lang w:val="ro-MD"/>
              </w:rPr>
            </w:pPr>
            <w:r w:rsidRPr="00074769">
              <w:rPr>
                <w:color w:val="333333"/>
                <w:sz w:val="20"/>
                <w:szCs w:val="20"/>
                <w:shd w:val="clear" w:color="auto" w:fill="FFFFFF"/>
                <w:lang w:val="ro-MD"/>
              </w:rPr>
              <w:t>Dacă este cazul, evaluarea sprijinului pentru energia electrică din surse regenerabile pe care statele membre trebuie să îl ofere în conformitate cu articolul 6 alineatul (4) din Directiva (UE) 2018/2001</w:t>
            </w:r>
          </w:p>
          <w:p w14:paraId="59EFBD53" w14:textId="08F40FC7" w:rsidR="008F5636" w:rsidRPr="00074769" w:rsidRDefault="008F5636" w:rsidP="000C5A3B">
            <w:pPr>
              <w:pStyle w:val="ti-grseq-1"/>
              <w:numPr>
                <w:ilvl w:val="0"/>
                <w:numId w:val="21"/>
              </w:numPr>
              <w:shd w:val="clear" w:color="auto" w:fill="FFFFFF"/>
              <w:spacing w:before="0" w:beforeAutospacing="0" w:after="0" w:afterAutospacing="0"/>
              <w:jc w:val="both"/>
              <w:rPr>
                <w:color w:val="333333"/>
                <w:sz w:val="20"/>
                <w:szCs w:val="20"/>
                <w:shd w:val="clear" w:color="auto" w:fill="FFFFFF"/>
                <w:lang w:val="ro-MD"/>
              </w:rPr>
            </w:pPr>
            <w:r w:rsidRPr="00074769">
              <w:rPr>
                <w:color w:val="333333"/>
                <w:sz w:val="20"/>
                <w:szCs w:val="20"/>
                <w:shd w:val="clear" w:color="auto" w:fill="FFFFFF"/>
                <w:lang w:val="ro-MD"/>
              </w:rPr>
              <w:t>Măsurile specifice pentru introducerea unuia sau mai multor puncte de contact, raționalizarea procedurilor administrative, furnizarea de informații și de formare și facilitarea utilizării contractelor de achiziție de energie electrică</w:t>
            </w:r>
          </w:p>
          <w:p w14:paraId="160E08A8" w14:textId="014356AB" w:rsidR="008F5636" w:rsidRPr="00074769" w:rsidRDefault="008F5636" w:rsidP="008F5636">
            <w:pPr>
              <w:pStyle w:val="ti-grseq-1"/>
              <w:shd w:val="clear" w:color="auto" w:fill="FFFFFF"/>
              <w:spacing w:before="0" w:beforeAutospacing="0" w:after="0" w:afterAutospacing="0"/>
              <w:ind w:left="720"/>
              <w:jc w:val="both"/>
              <w:rPr>
                <w:color w:val="333333"/>
                <w:sz w:val="20"/>
                <w:szCs w:val="20"/>
                <w:shd w:val="clear" w:color="auto" w:fill="FFFFFF"/>
                <w:lang w:val="fr-FR"/>
              </w:rPr>
            </w:pPr>
            <w:proofErr w:type="spellStart"/>
            <w:r w:rsidRPr="00074769">
              <w:rPr>
                <w:color w:val="333333"/>
                <w:sz w:val="20"/>
                <w:szCs w:val="20"/>
                <w:shd w:val="clear" w:color="auto" w:fill="FFFFFF"/>
                <w:lang w:val="fr-FR"/>
              </w:rPr>
              <w:t>Rezumatul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politicilor</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prevăzute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cadrul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favorabil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care </w:t>
            </w:r>
            <w:proofErr w:type="spellStart"/>
            <w:r w:rsidRPr="00074769">
              <w:rPr>
                <w:color w:val="333333"/>
                <w:sz w:val="20"/>
                <w:szCs w:val="20"/>
                <w:shd w:val="clear" w:color="auto" w:fill="FFFFFF"/>
                <w:lang w:val="fr-FR"/>
              </w:rPr>
              <w:t>statele</w:t>
            </w:r>
            <w:proofErr w:type="spellEnd"/>
            <w:r w:rsidRPr="00074769">
              <w:rPr>
                <w:color w:val="333333"/>
                <w:sz w:val="20"/>
                <w:szCs w:val="20"/>
                <w:shd w:val="clear" w:color="auto" w:fill="FFFFFF"/>
                <w:lang w:val="fr-FR"/>
              </w:rPr>
              <w:t xml:space="preserve"> membre le-au </w:t>
            </w:r>
            <w:proofErr w:type="spellStart"/>
            <w:r w:rsidRPr="00074769">
              <w:rPr>
                <w:color w:val="333333"/>
                <w:sz w:val="20"/>
                <w:szCs w:val="20"/>
                <w:shd w:val="clear" w:color="auto" w:fill="FFFFFF"/>
                <w:lang w:val="fr-FR"/>
              </w:rPr>
              <w:t>instituit</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temeiul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articolului</w:t>
            </w:r>
            <w:proofErr w:type="spellEnd"/>
            <w:r w:rsidRPr="00074769">
              <w:rPr>
                <w:color w:val="333333"/>
                <w:sz w:val="20"/>
                <w:szCs w:val="20"/>
                <w:shd w:val="clear" w:color="auto" w:fill="FFFFFF"/>
                <w:lang w:val="fr-FR"/>
              </w:rPr>
              <w:t xml:space="preserve"> 21 </w:t>
            </w:r>
            <w:proofErr w:type="spellStart"/>
            <w:r w:rsidRPr="00074769">
              <w:rPr>
                <w:color w:val="333333"/>
                <w:sz w:val="20"/>
                <w:szCs w:val="20"/>
                <w:shd w:val="clear" w:color="auto" w:fill="FFFFFF"/>
                <w:lang w:val="fr-FR"/>
              </w:rPr>
              <w:t>alineatul</w:t>
            </w:r>
            <w:proofErr w:type="spellEnd"/>
            <w:r w:rsidRPr="00074769">
              <w:rPr>
                <w:color w:val="333333"/>
                <w:sz w:val="20"/>
                <w:szCs w:val="20"/>
                <w:shd w:val="clear" w:color="auto" w:fill="FFFFFF"/>
                <w:lang w:val="fr-FR"/>
              </w:rPr>
              <w:t xml:space="preserve"> (6) și al </w:t>
            </w:r>
            <w:proofErr w:type="spellStart"/>
            <w:r w:rsidRPr="00074769">
              <w:rPr>
                <w:color w:val="333333"/>
                <w:sz w:val="20"/>
                <w:szCs w:val="20"/>
                <w:shd w:val="clear" w:color="auto" w:fill="FFFFFF"/>
                <w:lang w:val="fr-FR"/>
              </w:rPr>
              <w:t>articolului</w:t>
            </w:r>
            <w:proofErr w:type="spellEnd"/>
            <w:r w:rsidRPr="00074769">
              <w:rPr>
                <w:color w:val="333333"/>
                <w:sz w:val="20"/>
                <w:szCs w:val="20"/>
                <w:shd w:val="clear" w:color="auto" w:fill="FFFFFF"/>
                <w:lang w:val="fr-FR"/>
              </w:rPr>
              <w:t xml:space="preserve"> 22 </w:t>
            </w:r>
            <w:proofErr w:type="spellStart"/>
            <w:r w:rsidRPr="00074769">
              <w:rPr>
                <w:color w:val="333333"/>
                <w:sz w:val="20"/>
                <w:szCs w:val="20"/>
                <w:shd w:val="clear" w:color="auto" w:fill="FFFFFF"/>
                <w:lang w:val="fr-FR"/>
              </w:rPr>
              <w:t>alineatul</w:t>
            </w:r>
            <w:proofErr w:type="spellEnd"/>
            <w:r w:rsidRPr="00074769">
              <w:rPr>
                <w:color w:val="333333"/>
                <w:sz w:val="20"/>
                <w:szCs w:val="20"/>
                <w:shd w:val="clear" w:color="auto" w:fill="FFFFFF"/>
                <w:lang w:val="fr-FR"/>
              </w:rPr>
              <w:t xml:space="preserve"> (5)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Directiva</w:t>
            </w:r>
            <w:proofErr w:type="spellEnd"/>
            <w:r w:rsidRPr="00074769">
              <w:rPr>
                <w:color w:val="333333"/>
                <w:sz w:val="20"/>
                <w:szCs w:val="20"/>
                <w:shd w:val="clear" w:color="auto" w:fill="FFFFFF"/>
                <w:lang w:val="fr-FR"/>
              </w:rPr>
              <w:t xml:space="preserve"> (UE) 2018/2001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promova</w:t>
            </w:r>
            <w:proofErr w:type="spellEnd"/>
            <w:r w:rsidRPr="00074769">
              <w:rPr>
                <w:color w:val="333333"/>
                <w:sz w:val="20"/>
                <w:szCs w:val="20"/>
                <w:shd w:val="clear" w:color="auto" w:fill="FFFFFF"/>
                <w:lang w:val="fr-FR"/>
              </w:rPr>
              <w:t xml:space="preserve"> și a facilita </w:t>
            </w:r>
            <w:proofErr w:type="spellStart"/>
            <w:r w:rsidRPr="00074769">
              <w:rPr>
                <w:color w:val="333333"/>
                <w:sz w:val="20"/>
                <w:szCs w:val="20"/>
                <w:shd w:val="clear" w:color="auto" w:fill="FFFFFF"/>
                <w:lang w:val="fr-FR"/>
              </w:rPr>
              <w:t>dezvoltarea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autoconsumului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comunităților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regenerabile</w:t>
            </w:r>
            <w:proofErr w:type="spellEnd"/>
          </w:p>
          <w:p w14:paraId="3F29FC46" w14:textId="3CCAEF27" w:rsidR="008F5636" w:rsidRPr="00074769" w:rsidRDefault="008F5636" w:rsidP="000C5A3B">
            <w:pPr>
              <w:pStyle w:val="ti-grseq-1"/>
              <w:numPr>
                <w:ilvl w:val="0"/>
                <w:numId w:val="21"/>
              </w:numPr>
              <w:shd w:val="clear" w:color="auto" w:fill="FFFFFF"/>
              <w:spacing w:before="0" w:beforeAutospacing="0" w:after="0" w:afterAutospacing="0"/>
              <w:jc w:val="both"/>
              <w:rPr>
                <w:color w:val="333333"/>
                <w:sz w:val="20"/>
                <w:szCs w:val="20"/>
                <w:shd w:val="clear" w:color="auto" w:fill="FFFFFF"/>
                <w:lang w:val="fr-FR"/>
              </w:rPr>
            </w:pPr>
            <w:proofErr w:type="spellStart"/>
            <w:r w:rsidRPr="00074769">
              <w:rPr>
                <w:color w:val="333333"/>
                <w:sz w:val="20"/>
                <w:szCs w:val="20"/>
                <w:shd w:val="clear" w:color="auto" w:fill="FFFFFF"/>
                <w:lang w:val="fr-FR"/>
              </w:rPr>
              <w:t>Evaluarea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necesității</w:t>
            </w:r>
            <w:proofErr w:type="spellEnd"/>
            <w:r w:rsidRPr="00074769">
              <w:rPr>
                <w:color w:val="333333"/>
                <w:sz w:val="20"/>
                <w:szCs w:val="20"/>
                <w:shd w:val="clear" w:color="auto" w:fill="FFFFFF"/>
                <w:lang w:val="fr-FR"/>
              </w:rPr>
              <w:t xml:space="preserve"> </w:t>
            </w:r>
            <w:proofErr w:type="gramStart"/>
            <w:r w:rsidRPr="00074769">
              <w:rPr>
                <w:color w:val="333333"/>
                <w:sz w:val="20"/>
                <w:szCs w:val="20"/>
                <w:shd w:val="clear" w:color="auto" w:fill="FFFFFF"/>
                <w:lang w:val="fr-FR"/>
              </w:rPr>
              <w:t>de a</w:t>
            </w:r>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construi</w:t>
            </w:r>
            <w:proofErr w:type="spellEnd"/>
            <w:r w:rsidRPr="00074769">
              <w:rPr>
                <w:color w:val="333333"/>
                <w:sz w:val="20"/>
                <w:szCs w:val="20"/>
                <w:shd w:val="clear" w:color="auto" w:fill="FFFFFF"/>
                <w:lang w:val="fr-FR"/>
              </w:rPr>
              <w:t xml:space="preserve"> o </w:t>
            </w:r>
            <w:proofErr w:type="spellStart"/>
            <w:r w:rsidRPr="00074769">
              <w:rPr>
                <w:color w:val="333333"/>
                <w:sz w:val="20"/>
                <w:szCs w:val="20"/>
                <w:shd w:val="clear" w:color="auto" w:fill="FFFFFF"/>
                <w:lang w:val="fr-FR"/>
              </w:rPr>
              <w:t>nouă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infrastructură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încălzirea</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răcirea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centralizată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produse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regenerabile</w:t>
            </w:r>
            <w:proofErr w:type="spellEnd"/>
          </w:p>
          <w:p w14:paraId="504588E7" w14:textId="4AF57654" w:rsidR="008F5636" w:rsidRPr="00074769" w:rsidRDefault="008F5636" w:rsidP="000C5A3B">
            <w:pPr>
              <w:pStyle w:val="ti-grseq-1"/>
              <w:numPr>
                <w:ilvl w:val="0"/>
                <w:numId w:val="21"/>
              </w:numPr>
              <w:shd w:val="clear" w:color="auto" w:fill="FFFFFF"/>
              <w:spacing w:before="0" w:beforeAutospacing="0" w:after="0" w:afterAutospacing="0"/>
              <w:jc w:val="both"/>
              <w:rPr>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specifice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promovarea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utilizării</w:t>
            </w:r>
            <w:proofErr w:type="spellEnd"/>
            <w:r w:rsidRPr="00074769">
              <w:rPr>
                <w:color w:val="333333"/>
                <w:sz w:val="20"/>
                <w:szCs w:val="20"/>
                <w:shd w:val="clear" w:color="auto" w:fill="FFFFFF"/>
                <w:lang w:val="fr-FR"/>
              </w:rPr>
              <w:t xml:space="preserve"> energiei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biomasă</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special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mobilizarea</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noi</w:t>
            </w:r>
            <w:proofErr w:type="spellEnd"/>
            <w:r w:rsidRPr="00074769">
              <w:rPr>
                <w:color w:val="333333"/>
                <w:sz w:val="20"/>
                <w:szCs w:val="20"/>
                <w:shd w:val="clear" w:color="auto" w:fill="FFFFFF"/>
                <w:lang w:val="fr-FR"/>
              </w:rPr>
              <w:t xml:space="preserve"> surse de </w:t>
            </w:r>
            <w:proofErr w:type="spellStart"/>
            <w:r w:rsidRPr="00074769">
              <w:rPr>
                <w:color w:val="333333"/>
                <w:sz w:val="20"/>
                <w:szCs w:val="20"/>
                <w:shd w:val="clear" w:color="auto" w:fill="FFFFFF"/>
                <w:lang w:val="fr-FR"/>
              </w:rPr>
              <w:t>biomasă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ținând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seama</w:t>
            </w:r>
            <w:proofErr w:type="spellEnd"/>
            <w:r w:rsidRPr="00074769">
              <w:rPr>
                <w:color w:val="333333"/>
                <w:sz w:val="20"/>
                <w:szCs w:val="20"/>
                <w:shd w:val="clear" w:color="auto" w:fill="FFFFFF"/>
                <w:lang w:val="fr-FR"/>
              </w:rPr>
              <w:t xml:space="preserve"> </w:t>
            </w:r>
            <w:proofErr w:type="gramStart"/>
            <w:r w:rsidRPr="00074769">
              <w:rPr>
                <w:color w:val="333333"/>
                <w:sz w:val="20"/>
                <w:szCs w:val="20"/>
                <w:shd w:val="clear" w:color="auto" w:fill="FFFFFF"/>
                <w:lang w:val="fr-FR"/>
              </w:rPr>
              <w:t>de:</w:t>
            </w:r>
            <w:proofErr w:type="gramEnd"/>
          </w:p>
          <w:p w14:paraId="45C93EEB" w14:textId="44B6D85B" w:rsidR="008F5636" w:rsidRPr="00074769" w:rsidRDefault="008F5636" w:rsidP="000C5A3B">
            <w:pPr>
              <w:pStyle w:val="ti-grseq-1"/>
              <w:numPr>
                <w:ilvl w:val="0"/>
                <w:numId w:val="7"/>
              </w:numPr>
              <w:shd w:val="clear" w:color="auto" w:fill="FFFFFF"/>
              <w:spacing w:before="0" w:beforeAutospacing="0" w:after="0" w:afterAutospacing="0"/>
              <w:jc w:val="both"/>
              <w:rPr>
                <w:sz w:val="20"/>
                <w:szCs w:val="20"/>
                <w:shd w:val="clear" w:color="auto" w:fill="FFFFFF"/>
                <w:lang w:val="fr-FR"/>
              </w:rPr>
            </w:pPr>
            <w:proofErr w:type="spellStart"/>
            <w:proofErr w:type="gramStart"/>
            <w:r w:rsidRPr="00074769">
              <w:rPr>
                <w:color w:val="333333"/>
                <w:sz w:val="20"/>
                <w:szCs w:val="20"/>
                <w:shd w:val="clear" w:color="auto" w:fill="FFFFFF"/>
                <w:lang w:val="fr-FR"/>
              </w:rPr>
              <w:t>disponibilitatea</w:t>
            </w:r>
            <w:proofErr w:type="spellEnd"/>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biomasei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biomasei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durabile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atât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potențialul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intern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cât</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importurile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țări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terțe</w:t>
            </w:r>
            <w:proofErr w:type="spellEnd"/>
          </w:p>
          <w:p w14:paraId="3596F2BA" w14:textId="6E60312D" w:rsidR="008F5636" w:rsidRPr="00074769" w:rsidRDefault="008F5636" w:rsidP="000C5A3B">
            <w:pPr>
              <w:pStyle w:val="ti-grseq-1"/>
              <w:numPr>
                <w:ilvl w:val="0"/>
                <w:numId w:val="7"/>
              </w:numPr>
              <w:shd w:val="clear" w:color="auto" w:fill="FFFFFF"/>
              <w:spacing w:before="0" w:beforeAutospacing="0" w:after="0" w:afterAutospacing="0"/>
              <w:jc w:val="both"/>
              <w:rPr>
                <w:sz w:val="20"/>
                <w:szCs w:val="20"/>
                <w:shd w:val="clear" w:color="auto" w:fill="FFFFFF"/>
                <w:lang w:val="fr-FR"/>
              </w:rPr>
            </w:pPr>
            <w:proofErr w:type="spellStart"/>
            <w:proofErr w:type="gramStart"/>
            <w:r w:rsidRPr="00074769">
              <w:rPr>
                <w:color w:val="333333"/>
                <w:sz w:val="20"/>
                <w:szCs w:val="20"/>
                <w:shd w:val="clear" w:color="auto" w:fill="FFFFFF"/>
                <w:lang w:val="fr-FR"/>
              </w:rPr>
              <w:lastRenderedPageBreak/>
              <w:t>alte</w:t>
            </w:r>
            <w:proofErr w:type="spellEnd"/>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utilizări</w:t>
            </w:r>
            <w:proofErr w:type="spellEnd"/>
            <w:r w:rsidRPr="00074769">
              <w:rPr>
                <w:color w:val="333333"/>
                <w:sz w:val="20"/>
                <w:szCs w:val="20"/>
                <w:shd w:val="clear" w:color="auto" w:fill="FFFFFF"/>
                <w:lang w:val="fr-FR"/>
              </w:rPr>
              <w:t xml:space="preserve"> ale </w:t>
            </w:r>
            <w:proofErr w:type="spellStart"/>
            <w:r w:rsidRPr="00074769">
              <w:rPr>
                <w:color w:val="333333"/>
                <w:sz w:val="20"/>
                <w:szCs w:val="20"/>
                <w:shd w:val="clear" w:color="auto" w:fill="FFFFFF"/>
                <w:lang w:val="fr-FR"/>
              </w:rPr>
              <w:t>biomasei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către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alte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sectoare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bazate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agricultură</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silvicultură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asigurarea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unei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producții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utilizări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durabile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biomasei</w:t>
            </w:r>
            <w:proofErr w:type="spellEnd"/>
          </w:p>
          <w:p w14:paraId="7B4B74EB" w14:textId="5A1FC7AC" w:rsidR="008F5636" w:rsidRPr="00074769" w:rsidRDefault="008F5636" w:rsidP="008F5636">
            <w:pPr>
              <w:pStyle w:val="ti-grseq-1"/>
              <w:shd w:val="clear" w:color="auto" w:fill="FFFFFF"/>
              <w:spacing w:before="0" w:beforeAutospacing="0" w:after="0" w:afterAutospacing="0"/>
              <w:ind w:left="360"/>
              <w:jc w:val="both"/>
              <w:rPr>
                <w:b/>
                <w:bCs/>
                <w:color w:val="333333"/>
                <w:sz w:val="20"/>
                <w:szCs w:val="20"/>
                <w:shd w:val="clear" w:color="auto" w:fill="FFFFFF"/>
              </w:rPr>
            </w:pPr>
            <w:r w:rsidRPr="00074769">
              <w:rPr>
                <w:b/>
                <w:bCs/>
                <w:color w:val="333333"/>
                <w:sz w:val="20"/>
                <w:szCs w:val="20"/>
                <w:shd w:val="clear" w:color="auto" w:fill="FFFFFF"/>
              </w:rPr>
              <w:t>3.1.</w:t>
            </w:r>
            <w:proofErr w:type="gramStart"/>
            <w:r w:rsidRPr="00074769">
              <w:rPr>
                <w:b/>
                <w:bCs/>
                <w:color w:val="333333"/>
                <w:sz w:val="20"/>
                <w:szCs w:val="20"/>
                <w:shd w:val="clear" w:color="auto" w:fill="FFFFFF"/>
              </w:rPr>
              <w:t>3.Alte</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elemente</w:t>
            </w:r>
            <w:proofErr w:type="spellEnd"/>
            <w:r w:rsidRPr="00074769">
              <w:rPr>
                <w:b/>
                <w:bCs/>
                <w:color w:val="333333"/>
                <w:sz w:val="20"/>
                <w:szCs w:val="20"/>
                <w:shd w:val="clear" w:color="auto" w:fill="FFFFFF"/>
              </w:rPr>
              <w:t xml:space="preserve"> ale </w:t>
            </w:r>
            <w:proofErr w:type="spellStart"/>
            <w:r w:rsidRPr="00074769">
              <w:rPr>
                <w:b/>
                <w:bCs/>
                <w:color w:val="333333"/>
                <w:sz w:val="20"/>
                <w:szCs w:val="20"/>
                <w:shd w:val="clear" w:color="auto" w:fill="FFFFFF"/>
              </w:rPr>
              <w:t>dimensiunii</w:t>
            </w:r>
            <w:proofErr w:type="spellEnd"/>
          </w:p>
          <w:p w14:paraId="103C0A0C" w14:textId="7CE3381F" w:rsidR="008F5636" w:rsidRPr="00074769" w:rsidRDefault="008F5636" w:rsidP="000C5A3B">
            <w:pPr>
              <w:pStyle w:val="ti-grseq-1"/>
              <w:numPr>
                <w:ilvl w:val="0"/>
                <w:numId w:val="22"/>
              </w:numPr>
              <w:shd w:val="clear" w:color="auto" w:fill="FFFFFF"/>
              <w:spacing w:before="0" w:beforeAutospacing="0" w:after="0" w:afterAutospacing="0"/>
              <w:jc w:val="both"/>
              <w:rPr>
                <w:color w:val="333333"/>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care </w:t>
            </w:r>
            <w:proofErr w:type="spellStart"/>
            <w:r w:rsidRPr="00074769">
              <w:rPr>
                <w:color w:val="333333"/>
                <w:sz w:val="20"/>
                <w:szCs w:val="20"/>
                <w:shd w:val="clear" w:color="auto" w:fill="FFFFFF"/>
                <w:lang w:val="fr-FR"/>
              </w:rPr>
              <w:t>afectează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sectorul</w:t>
            </w:r>
            <w:proofErr w:type="spellEnd"/>
            <w:r w:rsidRPr="00074769">
              <w:rPr>
                <w:color w:val="333333"/>
                <w:sz w:val="20"/>
                <w:szCs w:val="20"/>
                <w:shd w:val="clear" w:color="auto" w:fill="FFFFFF"/>
                <w:lang w:val="fr-FR"/>
              </w:rPr>
              <w:t xml:space="preserve"> EU ETS și </w:t>
            </w:r>
            <w:proofErr w:type="spellStart"/>
            <w:r w:rsidRPr="00074769">
              <w:rPr>
                <w:color w:val="333333"/>
                <w:sz w:val="20"/>
                <w:szCs w:val="20"/>
                <w:shd w:val="clear" w:color="auto" w:fill="FFFFFF"/>
                <w:lang w:val="fr-FR"/>
              </w:rPr>
              <w:t>evaluarea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complementarității</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impactului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asupra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schemei</w:t>
            </w:r>
            <w:proofErr w:type="spellEnd"/>
            <w:r w:rsidRPr="00074769">
              <w:rPr>
                <w:color w:val="333333"/>
                <w:sz w:val="20"/>
                <w:szCs w:val="20"/>
                <w:shd w:val="clear" w:color="auto" w:fill="FFFFFF"/>
                <w:lang w:val="fr-FR"/>
              </w:rPr>
              <w:t xml:space="preserve"> EU ETS</w:t>
            </w:r>
          </w:p>
          <w:p w14:paraId="696B4478" w14:textId="7810FF5E" w:rsidR="008F5636" w:rsidRPr="00074769" w:rsidRDefault="008F5636" w:rsidP="000C5A3B">
            <w:pPr>
              <w:pStyle w:val="Normal4"/>
              <w:numPr>
                <w:ilvl w:val="0"/>
                <w:numId w:val="22"/>
              </w:numPr>
              <w:spacing w:before="0" w:beforeAutospacing="0" w:after="0" w:afterAutospacing="0"/>
              <w:jc w:val="both"/>
              <w:rPr>
                <w:color w:val="333333"/>
                <w:sz w:val="20"/>
                <w:szCs w:val="20"/>
              </w:rPr>
            </w:pPr>
            <w:r w:rsidRPr="00074769">
              <w:rPr>
                <w:color w:val="333333"/>
                <w:sz w:val="20"/>
                <w:szCs w:val="20"/>
              </w:rPr>
              <w:t>Politicile și măsurile pentru atingerea altor obiective naționale, dacă este cazul</w:t>
            </w:r>
          </w:p>
          <w:p w14:paraId="3F21ADBD" w14:textId="3AE8EA18" w:rsidR="008F5636" w:rsidRPr="00074769" w:rsidRDefault="008F5636" w:rsidP="000C5A3B">
            <w:pPr>
              <w:pStyle w:val="Normal4"/>
              <w:numPr>
                <w:ilvl w:val="0"/>
                <w:numId w:val="22"/>
              </w:numPr>
              <w:spacing w:before="0" w:beforeAutospacing="0" w:after="0" w:afterAutospacing="0"/>
              <w:jc w:val="both"/>
              <w:rPr>
                <w:color w:val="333333"/>
                <w:sz w:val="20"/>
                <w:szCs w:val="20"/>
              </w:rPr>
            </w:pPr>
            <w:r w:rsidRPr="00074769">
              <w:rPr>
                <w:color w:val="333333"/>
                <w:sz w:val="20"/>
                <w:szCs w:val="20"/>
                <w:shd w:val="clear" w:color="auto" w:fill="FFFFFF"/>
              </w:rPr>
              <w:t>Politicile și măsurile pentru obținerea mobilității cu emisii scăzute (inclusiv electrificarea transporturilor)</w:t>
            </w:r>
          </w:p>
          <w:p w14:paraId="33ED08B4" w14:textId="1DBE4EAB" w:rsidR="008F5636" w:rsidRPr="00074769" w:rsidRDefault="008F5636" w:rsidP="000C5A3B">
            <w:pPr>
              <w:pStyle w:val="ti-grseq-1"/>
              <w:numPr>
                <w:ilvl w:val="0"/>
                <w:numId w:val="22"/>
              </w:numPr>
              <w:shd w:val="clear" w:color="auto" w:fill="FFFFFF"/>
              <w:spacing w:before="0" w:beforeAutospacing="0" w:after="0" w:afterAutospacing="0"/>
              <w:jc w:val="both"/>
              <w:rPr>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calendarele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planificate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eliminarea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treptată</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subvențiilor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special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combustibilii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fosili</w:t>
            </w:r>
            <w:proofErr w:type="spellEnd"/>
          </w:p>
          <w:p w14:paraId="6FF9C39C" w14:textId="29B3A9C3"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3.</w:t>
            </w:r>
            <w:proofErr w:type="gramStart"/>
            <w:r w:rsidRPr="00074769">
              <w:rPr>
                <w:b/>
                <w:bCs/>
                <w:color w:val="333333"/>
                <w:sz w:val="20"/>
                <w:szCs w:val="20"/>
                <w:shd w:val="clear" w:color="auto" w:fill="FFFFFF"/>
                <w:lang w:val="fr-FR"/>
              </w:rPr>
              <w:t>2.Dimensiunea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eficiență</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energetică</w:t>
            </w:r>
            <w:proofErr w:type="spellEnd"/>
            <w:r w:rsidRPr="00074769">
              <w:rPr>
                <w:b/>
                <w:bCs/>
                <w:color w:val="333333"/>
                <w:sz w:val="20"/>
                <w:szCs w:val="20"/>
                <w:shd w:val="clear" w:color="auto" w:fill="FFFFFF"/>
                <w:lang w:val="fr-FR"/>
              </w:rPr>
              <w:t>”</w:t>
            </w:r>
          </w:p>
          <w:p w14:paraId="191A33CA" w14:textId="7443330F" w:rsidR="008F5636" w:rsidRPr="00074769" w:rsidRDefault="008F5636" w:rsidP="008F5636">
            <w:pPr>
              <w:pStyle w:val="ti-grseq-1"/>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programele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planificate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atingerea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contribuțiilor</w:t>
            </w:r>
            <w:proofErr w:type="spellEnd"/>
            <w:r w:rsidRPr="00074769">
              <w:rPr>
                <w:sz w:val="20"/>
                <w:szCs w:val="20"/>
                <w:shd w:val="clear" w:color="auto" w:fill="FFFFFF"/>
                <w:lang w:val="fr-FR"/>
              </w:rPr>
              <w:t xml:space="preserve"> orientative în </w:t>
            </w:r>
            <w:proofErr w:type="spellStart"/>
            <w:r w:rsidRPr="00074769">
              <w:rPr>
                <w:sz w:val="20"/>
                <w:szCs w:val="20"/>
                <w:shd w:val="clear" w:color="auto" w:fill="FFFFFF"/>
                <w:lang w:val="fr-FR"/>
              </w:rPr>
              <w:t>materie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eficiență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plan </w:t>
            </w:r>
            <w:proofErr w:type="spellStart"/>
            <w:r w:rsidRPr="00074769">
              <w:rPr>
                <w:sz w:val="20"/>
                <w:szCs w:val="20"/>
                <w:shd w:val="clear" w:color="auto" w:fill="FFFFFF"/>
                <w:lang w:val="fr-FR"/>
              </w:rPr>
              <w:t>național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2030, </w:t>
            </w:r>
            <w:proofErr w:type="spellStart"/>
            <w:r w:rsidRPr="00074769">
              <w:rPr>
                <w:sz w:val="20"/>
                <w:szCs w:val="20"/>
                <w:shd w:val="clear" w:color="auto" w:fill="FFFFFF"/>
                <w:lang w:val="fr-FR"/>
              </w:rPr>
              <w:t>precum</w:t>
            </w:r>
            <w:proofErr w:type="spellEnd"/>
            <w:r w:rsidRPr="00074769">
              <w:rPr>
                <w:sz w:val="20"/>
                <w:szCs w:val="20"/>
                <w:shd w:val="clear" w:color="auto" w:fill="FFFFFF"/>
                <w:lang w:val="fr-FR"/>
              </w:rPr>
              <w:t xml:space="preserve"> și a </w:t>
            </w:r>
            <w:proofErr w:type="spellStart"/>
            <w:r w:rsidRPr="00074769">
              <w:rPr>
                <w:sz w:val="20"/>
                <w:szCs w:val="20"/>
                <w:shd w:val="clear" w:color="auto" w:fill="FFFFFF"/>
                <w:lang w:val="fr-FR"/>
              </w:rPr>
              <w:t>altor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menționate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2.2,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instrumentele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natură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financiară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planificate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promova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performanța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energetică</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clădirilor</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special</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proofErr w:type="gramStart"/>
            <w:r w:rsidRPr="00074769">
              <w:rPr>
                <w:sz w:val="20"/>
                <w:szCs w:val="20"/>
                <w:shd w:val="clear" w:color="auto" w:fill="FFFFFF"/>
                <w:lang w:val="fr-FR"/>
              </w:rPr>
              <w:t>următoarele</w:t>
            </w:r>
            <w:proofErr w:type="spellEnd"/>
            <w:r w:rsidRPr="00074769">
              <w:rPr>
                <w:sz w:val="20"/>
                <w:szCs w:val="20"/>
                <w:shd w:val="clear" w:color="auto" w:fill="FFFFFF"/>
                <w:lang w:val="fr-FR"/>
              </w:rPr>
              <w:t>:</w:t>
            </w:r>
            <w:proofErr w:type="gramEnd"/>
          </w:p>
          <w:p w14:paraId="510AAE13" w14:textId="12622B1E" w:rsidR="008F5636" w:rsidRPr="00074769" w:rsidRDefault="008F5636" w:rsidP="000C5A3B">
            <w:pPr>
              <w:pStyle w:val="ti-grseq-1"/>
              <w:numPr>
                <w:ilvl w:val="0"/>
                <w:numId w:val="23"/>
              </w:numPr>
              <w:shd w:val="clear" w:color="auto" w:fill="FFFFFF"/>
              <w:spacing w:before="0" w:beforeAutospacing="0" w:after="0" w:afterAutospacing="0"/>
              <w:jc w:val="both"/>
              <w:rPr>
                <w:color w:val="333333"/>
                <w:sz w:val="20"/>
                <w:szCs w:val="20"/>
                <w:shd w:val="clear" w:color="auto" w:fill="FFFFFF"/>
                <w:lang w:val="fr-FR"/>
              </w:rPr>
            </w:pPr>
            <w:proofErr w:type="spellStart"/>
            <w:r w:rsidRPr="00074769">
              <w:rPr>
                <w:color w:val="333333"/>
                <w:sz w:val="20"/>
                <w:szCs w:val="20"/>
                <w:shd w:val="clear" w:color="auto" w:fill="FFFFFF"/>
                <w:lang w:val="fr-FR"/>
              </w:rPr>
              <w:t>Schemele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obligații</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ceea</w:t>
            </w:r>
            <w:proofErr w:type="spellEnd"/>
            <w:r w:rsidRPr="00074769">
              <w:rPr>
                <w:color w:val="333333"/>
                <w:sz w:val="20"/>
                <w:szCs w:val="20"/>
                <w:shd w:val="clear" w:color="auto" w:fill="FFFFFF"/>
                <w:lang w:val="fr-FR"/>
              </w:rPr>
              <w:t xml:space="preserve"> ce </w:t>
            </w:r>
            <w:proofErr w:type="spellStart"/>
            <w:r w:rsidRPr="00074769">
              <w:rPr>
                <w:color w:val="333333"/>
                <w:sz w:val="20"/>
                <w:szCs w:val="20"/>
                <w:shd w:val="clear" w:color="auto" w:fill="FFFFFF"/>
                <w:lang w:val="fr-FR"/>
              </w:rPr>
              <w:t>privește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eficiența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politică</w:t>
            </w:r>
            <w:proofErr w:type="spellEnd"/>
            <w:r w:rsidRPr="00074769">
              <w:rPr>
                <w:color w:val="333333"/>
                <w:sz w:val="20"/>
                <w:szCs w:val="20"/>
                <w:shd w:val="clear" w:color="auto" w:fill="FFFFFF"/>
                <w:lang w:val="fr-FR"/>
              </w:rPr>
              <w:t xml:space="preserve"> alternative în </w:t>
            </w:r>
            <w:proofErr w:type="spellStart"/>
            <w:r w:rsidRPr="00074769">
              <w:rPr>
                <w:color w:val="333333"/>
                <w:sz w:val="20"/>
                <w:szCs w:val="20"/>
                <w:shd w:val="clear" w:color="auto" w:fill="FFFFFF"/>
                <w:lang w:val="fr-FR"/>
              </w:rPr>
              <w:t>temeiul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articolelor</w:t>
            </w:r>
            <w:proofErr w:type="spellEnd"/>
            <w:r w:rsidRPr="00074769">
              <w:rPr>
                <w:color w:val="333333"/>
                <w:sz w:val="20"/>
                <w:szCs w:val="20"/>
                <w:shd w:val="clear" w:color="auto" w:fill="FFFFFF"/>
                <w:lang w:val="fr-FR"/>
              </w:rPr>
              <w:t xml:space="preserve"> 7a și 7b și al </w:t>
            </w:r>
            <w:proofErr w:type="spellStart"/>
            <w:r w:rsidRPr="00074769">
              <w:rPr>
                <w:color w:val="333333"/>
                <w:sz w:val="20"/>
                <w:szCs w:val="20"/>
                <w:shd w:val="clear" w:color="auto" w:fill="FFFFFF"/>
                <w:lang w:val="fr-FR"/>
              </w:rPr>
              <w:t>articolului</w:t>
            </w:r>
            <w:proofErr w:type="spellEnd"/>
            <w:r w:rsidRPr="00074769">
              <w:rPr>
                <w:color w:val="333333"/>
                <w:sz w:val="20"/>
                <w:szCs w:val="20"/>
                <w:shd w:val="clear" w:color="auto" w:fill="FFFFFF"/>
                <w:lang w:val="fr-FR"/>
              </w:rPr>
              <w:t xml:space="preserve"> 20 </w:t>
            </w:r>
            <w:proofErr w:type="spellStart"/>
            <w:r w:rsidRPr="00074769">
              <w:rPr>
                <w:color w:val="333333"/>
                <w:sz w:val="20"/>
                <w:szCs w:val="20"/>
                <w:shd w:val="clear" w:color="auto" w:fill="FFFFFF"/>
                <w:lang w:val="fr-FR"/>
              </w:rPr>
              <w:t>alineatul</w:t>
            </w:r>
            <w:proofErr w:type="spellEnd"/>
            <w:r w:rsidRPr="00074769">
              <w:rPr>
                <w:color w:val="333333"/>
                <w:sz w:val="20"/>
                <w:szCs w:val="20"/>
                <w:shd w:val="clear" w:color="auto" w:fill="FFFFFF"/>
                <w:lang w:val="fr-FR"/>
              </w:rPr>
              <w:t xml:space="preserve"> (6)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Directiva</w:t>
            </w:r>
            <w:proofErr w:type="spellEnd"/>
            <w:r w:rsidRPr="00074769">
              <w:rPr>
                <w:color w:val="333333"/>
                <w:sz w:val="20"/>
                <w:szCs w:val="20"/>
                <w:shd w:val="clear" w:color="auto" w:fill="FFFFFF"/>
                <w:lang w:val="fr-FR"/>
              </w:rPr>
              <w:t xml:space="preserve"> 2012/27/UE și care </w:t>
            </w:r>
            <w:proofErr w:type="spellStart"/>
            <w:r w:rsidRPr="00074769">
              <w:rPr>
                <w:color w:val="333333"/>
                <w:sz w:val="20"/>
                <w:szCs w:val="20"/>
                <w:shd w:val="clear" w:color="auto" w:fill="FFFFFF"/>
                <w:lang w:val="fr-FR"/>
              </w:rPr>
              <w:t>trebuie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elaborate</w:t>
            </w:r>
            <w:proofErr w:type="spellEnd"/>
            <w:r w:rsidRPr="00074769">
              <w:rPr>
                <w:color w:val="333333"/>
                <w:sz w:val="20"/>
                <w:szCs w:val="20"/>
                <w:shd w:val="clear" w:color="auto" w:fill="FFFFFF"/>
                <w:lang w:val="fr-FR"/>
              </w:rPr>
              <w:t xml:space="preserve"> în conformitate </w:t>
            </w:r>
            <w:proofErr w:type="spellStart"/>
            <w:r w:rsidRPr="00074769">
              <w:rPr>
                <w:color w:val="333333"/>
                <w:sz w:val="20"/>
                <w:szCs w:val="20"/>
                <w:shd w:val="clear" w:color="auto" w:fill="FFFFFF"/>
                <w:lang w:val="fr-FR"/>
              </w:rPr>
              <w:t>cu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anexa</w:t>
            </w:r>
            <w:proofErr w:type="spellEnd"/>
            <w:r w:rsidRPr="00074769">
              <w:rPr>
                <w:color w:val="333333"/>
                <w:sz w:val="20"/>
                <w:szCs w:val="20"/>
                <w:shd w:val="clear" w:color="auto" w:fill="FFFFFF"/>
                <w:lang w:val="fr-FR"/>
              </w:rPr>
              <w:t xml:space="preserve"> III la </w:t>
            </w:r>
            <w:proofErr w:type="spellStart"/>
            <w:r w:rsidRPr="00074769">
              <w:rPr>
                <w:color w:val="333333"/>
                <w:sz w:val="20"/>
                <w:szCs w:val="20"/>
                <w:shd w:val="clear" w:color="auto" w:fill="FFFFFF"/>
                <w:lang w:val="fr-FR"/>
              </w:rPr>
              <w:t>prezentul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regulament</w:t>
            </w:r>
            <w:proofErr w:type="spellEnd"/>
          </w:p>
          <w:p w14:paraId="5B1CDF76" w14:textId="51B21510" w:rsidR="008F5636" w:rsidRPr="00074769" w:rsidRDefault="008F5636" w:rsidP="000C5A3B">
            <w:pPr>
              <w:pStyle w:val="ti-grseq-1"/>
              <w:numPr>
                <w:ilvl w:val="0"/>
                <w:numId w:val="23"/>
              </w:numPr>
              <w:shd w:val="clear" w:color="auto" w:fill="FFFFFF"/>
              <w:spacing w:before="0" w:beforeAutospacing="0" w:after="0" w:afterAutospacing="0"/>
              <w:jc w:val="both"/>
              <w:rPr>
                <w:color w:val="333333"/>
                <w:sz w:val="20"/>
                <w:szCs w:val="20"/>
                <w:shd w:val="clear" w:color="auto" w:fill="FFFFFF"/>
                <w:lang w:val="fr-FR"/>
              </w:rPr>
            </w:pPr>
            <w:proofErr w:type="spellStart"/>
            <w:r w:rsidRPr="00074769">
              <w:rPr>
                <w:color w:val="333333"/>
                <w:sz w:val="20"/>
                <w:szCs w:val="20"/>
                <w:shd w:val="clear" w:color="auto" w:fill="FFFFFF"/>
                <w:lang w:val="fr-FR"/>
              </w:rPr>
              <w:t>Strategia</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renovare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termen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lung</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sprijinirea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renovării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parcului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clădiri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rezidențiale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nerezidențiale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atât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publice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cât</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private</w:t>
            </w:r>
            <w:proofErr w:type="spellEnd"/>
            <w:r w:rsidRPr="00074769">
              <w:rPr>
                <w:color w:val="333333"/>
                <w:sz w:val="20"/>
                <w:szCs w:val="20"/>
                <w:shd w:val="clear" w:color="auto" w:fill="FFFFFF"/>
                <w:lang w:val="fr-FR"/>
              </w:rPr>
              <w:t xml:space="preserve"> </w:t>
            </w:r>
            <w:hyperlink r:id="rId60" w:anchor="ntr4-L_2018328RO.01004701-E0004"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4</w:t>
              </w:r>
              <w:r w:rsidRPr="00074769">
                <w:rPr>
                  <w:rStyle w:val="af6"/>
                  <w:color w:val="337AB7"/>
                  <w:sz w:val="20"/>
                  <w:szCs w:val="20"/>
                  <w:shd w:val="clear" w:color="auto" w:fill="FFFFFF"/>
                  <w:lang w:val="fr-FR"/>
                </w:rPr>
                <w:t>)</w:t>
              </w:r>
            </w:hyperlink>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acțiunile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stimulare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renovării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aprofundate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rentabile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acțiunile</w:t>
            </w:r>
            <w:proofErr w:type="spellEnd"/>
            <w:r w:rsidRPr="00074769">
              <w:rPr>
                <w:color w:val="333333"/>
                <w:sz w:val="20"/>
                <w:szCs w:val="20"/>
                <w:shd w:val="clear" w:color="auto" w:fill="FFFFFF"/>
                <w:lang w:val="fr-FR"/>
              </w:rPr>
              <w:t xml:space="preserve"> care </w:t>
            </w:r>
            <w:proofErr w:type="spellStart"/>
            <w:r w:rsidRPr="00074769">
              <w:rPr>
                <w:color w:val="333333"/>
                <w:sz w:val="20"/>
                <w:szCs w:val="20"/>
                <w:shd w:val="clear" w:color="auto" w:fill="FFFFFF"/>
                <w:lang w:val="fr-FR"/>
              </w:rPr>
              <w:t>vizează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segmentele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cele</w:t>
            </w:r>
            <w:proofErr w:type="spellEnd"/>
            <w:r w:rsidRPr="00074769">
              <w:rPr>
                <w:color w:val="333333"/>
                <w:sz w:val="20"/>
                <w:szCs w:val="20"/>
                <w:shd w:val="clear" w:color="auto" w:fill="FFFFFF"/>
                <w:lang w:val="fr-FR"/>
              </w:rPr>
              <w:t xml:space="preserve"> mai </w:t>
            </w:r>
            <w:proofErr w:type="spellStart"/>
            <w:r w:rsidRPr="00074769">
              <w:rPr>
                <w:color w:val="333333"/>
                <w:sz w:val="20"/>
                <w:szCs w:val="20"/>
                <w:shd w:val="clear" w:color="auto" w:fill="FFFFFF"/>
                <w:lang w:val="fr-FR"/>
              </w:rPr>
              <w:t>puțin</w:t>
            </w:r>
            <w:proofErr w:type="spellEnd"/>
            <w:r w:rsidRPr="00074769">
              <w:rPr>
                <w:color w:val="333333"/>
                <w:sz w:val="20"/>
                <w:szCs w:val="20"/>
                <w:shd w:val="clear" w:color="auto" w:fill="FFFFFF"/>
                <w:lang w:val="fr-FR"/>
              </w:rPr>
              <w:t xml:space="preserve"> performante ale </w:t>
            </w:r>
            <w:proofErr w:type="spellStart"/>
            <w:r w:rsidRPr="00074769">
              <w:rPr>
                <w:color w:val="333333"/>
                <w:sz w:val="20"/>
                <w:szCs w:val="20"/>
                <w:shd w:val="clear" w:color="auto" w:fill="FFFFFF"/>
                <w:lang w:val="fr-FR"/>
              </w:rPr>
              <w:t>parcului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clădiri</w:t>
            </w:r>
            <w:proofErr w:type="spellEnd"/>
            <w:r w:rsidRPr="00074769">
              <w:rPr>
                <w:color w:val="333333"/>
                <w:sz w:val="20"/>
                <w:szCs w:val="20"/>
                <w:shd w:val="clear" w:color="auto" w:fill="FFFFFF"/>
                <w:lang w:val="fr-FR"/>
              </w:rPr>
              <w:t xml:space="preserve">, în conformitate </w:t>
            </w:r>
            <w:proofErr w:type="spellStart"/>
            <w:r w:rsidRPr="00074769">
              <w:rPr>
                <w:color w:val="333333"/>
                <w:sz w:val="20"/>
                <w:szCs w:val="20"/>
                <w:shd w:val="clear" w:color="auto" w:fill="FFFFFF"/>
                <w:lang w:val="fr-FR"/>
              </w:rPr>
              <w:t>cu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articolul</w:t>
            </w:r>
            <w:proofErr w:type="spellEnd"/>
            <w:r w:rsidRPr="00074769">
              <w:rPr>
                <w:color w:val="333333"/>
                <w:sz w:val="20"/>
                <w:szCs w:val="20"/>
                <w:shd w:val="clear" w:color="auto" w:fill="FFFFFF"/>
                <w:lang w:val="fr-FR"/>
              </w:rPr>
              <w:t xml:space="preserve"> 2a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Directiva</w:t>
            </w:r>
            <w:proofErr w:type="spellEnd"/>
            <w:r w:rsidRPr="00074769">
              <w:rPr>
                <w:color w:val="333333"/>
                <w:sz w:val="20"/>
                <w:szCs w:val="20"/>
                <w:shd w:val="clear" w:color="auto" w:fill="FFFFFF"/>
                <w:lang w:val="fr-FR"/>
              </w:rPr>
              <w:t xml:space="preserve"> 2010/31/UE</w:t>
            </w:r>
          </w:p>
          <w:p w14:paraId="37DEEDEA" w14:textId="7A056E06" w:rsidR="008F5636" w:rsidRPr="00074769" w:rsidRDefault="008F5636" w:rsidP="000C5A3B">
            <w:pPr>
              <w:pStyle w:val="ti-grseq-1"/>
              <w:numPr>
                <w:ilvl w:val="0"/>
                <w:numId w:val="23"/>
              </w:numPr>
              <w:shd w:val="clear" w:color="auto" w:fill="FFFFFF"/>
              <w:spacing w:before="0" w:beforeAutospacing="0" w:after="0" w:afterAutospacing="0"/>
              <w:jc w:val="both"/>
              <w:rPr>
                <w:sz w:val="20"/>
                <w:szCs w:val="20"/>
                <w:lang w:val="fr-FR"/>
              </w:rPr>
            </w:pPr>
            <w:proofErr w:type="spellStart"/>
            <w:r w:rsidRPr="00074769">
              <w:rPr>
                <w:color w:val="333333"/>
                <w:sz w:val="20"/>
                <w:szCs w:val="20"/>
                <w:shd w:val="clear" w:color="auto" w:fill="FFFFFF"/>
                <w:lang w:val="fr-FR"/>
              </w:rPr>
              <w:t>Descrierea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politicilor</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promovare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serviciilor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energetice</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sectorul</w:t>
            </w:r>
            <w:proofErr w:type="spellEnd"/>
            <w:r w:rsidRPr="00074769">
              <w:rPr>
                <w:color w:val="333333"/>
                <w:sz w:val="20"/>
                <w:szCs w:val="20"/>
                <w:shd w:val="clear" w:color="auto" w:fill="FFFFFF"/>
                <w:lang w:val="fr-FR"/>
              </w:rPr>
              <w:t xml:space="preserve"> public și a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eliminare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barierelor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reglementare</w:t>
            </w:r>
            <w:proofErr w:type="spellEnd"/>
            <w:r w:rsidRPr="00074769">
              <w:rPr>
                <w:color w:val="333333"/>
                <w:sz w:val="20"/>
                <w:szCs w:val="20"/>
                <w:shd w:val="clear" w:color="auto" w:fill="FFFFFF"/>
                <w:lang w:val="fr-FR"/>
              </w:rPr>
              <w:t xml:space="preserve"> și de </w:t>
            </w:r>
            <w:proofErr w:type="spellStart"/>
            <w:r w:rsidRPr="00074769">
              <w:rPr>
                <w:color w:val="333333"/>
                <w:sz w:val="20"/>
                <w:szCs w:val="20"/>
                <w:shd w:val="clear" w:color="auto" w:fill="FFFFFF"/>
                <w:lang w:val="fr-FR"/>
              </w:rPr>
              <w:t>altă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natură</w:t>
            </w:r>
            <w:proofErr w:type="spellEnd"/>
            <w:r w:rsidRPr="00074769">
              <w:rPr>
                <w:color w:val="333333"/>
                <w:sz w:val="20"/>
                <w:szCs w:val="20"/>
                <w:shd w:val="clear" w:color="auto" w:fill="FFFFFF"/>
                <w:lang w:val="fr-FR"/>
              </w:rPr>
              <w:t xml:space="preserve"> care </w:t>
            </w:r>
            <w:proofErr w:type="spellStart"/>
            <w:r w:rsidRPr="00074769">
              <w:rPr>
                <w:color w:val="333333"/>
                <w:sz w:val="20"/>
                <w:szCs w:val="20"/>
                <w:shd w:val="clear" w:color="auto" w:fill="FFFFFF"/>
                <w:lang w:val="fr-FR"/>
              </w:rPr>
              <w:t>împiedică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adoptarea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practicii</w:t>
            </w:r>
            <w:proofErr w:type="spellEnd"/>
            <w:r w:rsidRPr="00074769">
              <w:rPr>
                <w:color w:val="333333"/>
                <w:sz w:val="20"/>
                <w:szCs w:val="20"/>
                <w:shd w:val="clear" w:color="auto" w:fill="FFFFFF"/>
                <w:lang w:val="fr-FR"/>
              </w:rPr>
              <w:t xml:space="preserve"> </w:t>
            </w:r>
            <w:proofErr w:type="gramStart"/>
            <w:r w:rsidRPr="00074769">
              <w:rPr>
                <w:color w:val="333333"/>
                <w:sz w:val="20"/>
                <w:szCs w:val="20"/>
                <w:shd w:val="clear" w:color="auto" w:fill="FFFFFF"/>
                <w:lang w:val="fr-FR"/>
              </w:rPr>
              <w:t>de a</w:t>
            </w:r>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încheia</w:t>
            </w:r>
            <w:proofErr w:type="spellEnd"/>
            <w:r w:rsidRPr="00074769">
              <w:rPr>
                <w:color w:val="333333"/>
                <w:sz w:val="20"/>
                <w:szCs w:val="20"/>
                <w:shd w:val="clear" w:color="auto" w:fill="FFFFFF"/>
                <w:lang w:val="fr-FR"/>
              </w:rPr>
              <w:t xml:space="preserve"> contracte de </w:t>
            </w:r>
            <w:proofErr w:type="spellStart"/>
            <w:r w:rsidRPr="00074769">
              <w:rPr>
                <w:color w:val="333333"/>
                <w:sz w:val="20"/>
                <w:szCs w:val="20"/>
                <w:shd w:val="clear" w:color="auto" w:fill="FFFFFF"/>
                <w:lang w:val="fr-FR"/>
              </w:rPr>
              <w:t>performanță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altor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modele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servicii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eficiență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r>
              <w:fldChar w:fldCharType="begin"/>
            </w:r>
            <w:r w:rsidRPr="001A1E50">
              <w:rPr>
                <w:lang w:val="fr-FR"/>
              </w:rPr>
              <w:instrText>HYPERLINK "https://eur-lex.europa.eu/legal-content/RO/TXT/?uri=CELEX:32018R1999" \l "ntr5-L_2018328RO.01004701-E0005"</w:instrText>
            </w:r>
            <w:r>
              <w:fldChar w:fldCharType="separate"/>
            </w:r>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5</w:t>
            </w:r>
            <w:r w:rsidRPr="00074769">
              <w:rPr>
                <w:rStyle w:val="af6"/>
                <w:color w:val="337AB7"/>
                <w:sz w:val="20"/>
                <w:szCs w:val="20"/>
                <w:shd w:val="clear" w:color="auto" w:fill="FFFFFF"/>
                <w:lang w:val="fr-FR"/>
              </w:rPr>
              <w:t>)</w:t>
            </w:r>
            <w:r>
              <w:rPr>
                <w:rStyle w:val="af6"/>
                <w:color w:val="337AB7"/>
                <w:sz w:val="20"/>
                <w:szCs w:val="20"/>
                <w:shd w:val="clear" w:color="auto" w:fill="FFFFFF"/>
                <w:lang w:val="fr-FR"/>
              </w:rPr>
              <w:fldChar w:fldCharType="end"/>
            </w:r>
          </w:p>
          <w:p w14:paraId="3D5ADB09" w14:textId="5A17BC0F" w:rsidR="008F5636" w:rsidRPr="00074769" w:rsidRDefault="008F5636" w:rsidP="000C5A3B">
            <w:pPr>
              <w:pStyle w:val="ti-grseq-1"/>
              <w:numPr>
                <w:ilvl w:val="0"/>
                <w:numId w:val="23"/>
              </w:numPr>
              <w:shd w:val="clear" w:color="auto" w:fill="FFFFFF"/>
              <w:spacing w:before="0" w:beforeAutospacing="0" w:after="0" w:afterAutospacing="0"/>
              <w:jc w:val="both"/>
              <w:rPr>
                <w:color w:val="333333"/>
                <w:sz w:val="20"/>
                <w:szCs w:val="20"/>
                <w:shd w:val="clear" w:color="auto" w:fill="FFFFFF"/>
                <w:lang w:val="fr-FR"/>
              </w:rPr>
            </w:pPr>
            <w:r w:rsidRPr="00074769">
              <w:rPr>
                <w:color w:val="333333"/>
                <w:sz w:val="20"/>
                <w:szCs w:val="20"/>
                <w:shd w:val="clear" w:color="auto" w:fill="FFFFFF"/>
                <w:lang w:val="fr-FR"/>
              </w:rPr>
              <w:lastRenderedPageBreak/>
              <w:t xml:space="preserve">Alte </w:t>
            </w:r>
            <w:proofErr w:type="spellStart"/>
            <w:r w:rsidRPr="00074769">
              <w:rPr>
                <w:color w:val="333333"/>
                <w:sz w:val="20"/>
                <w:szCs w:val="20"/>
                <w:shd w:val="clear" w:color="auto" w:fill="FFFFFF"/>
                <w:lang w:val="fr-FR"/>
              </w:rPr>
              <w:t>politici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programe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planificate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atingerea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contribuției</w:t>
            </w:r>
            <w:proofErr w:type="spellEnd"/>
            <w:r w:rsidRPr="00074769">
              <w:rPr>
                <w:color w:val="333333"/>
                <w:sz w:val="20"/>
                <w:szCs w:val="20"/>
                <w:shd w:val="clear" w:color="auto" w:fill="FFFFFF"/>
                <w:lang w:val="fr-FR"/>
              </w:rPr>
              <w:t xml:space="preserve"> orientative în </w:t>
            </w:r>
            <w:proofErr w:type="spellStart"/>
            <w:r w:rsidRPr="00074769">
              <w:rPr>
                <w:color w:val="333333"/>
                <w:sz w:val="20"/>
                <w:szCs w:val="20"/>
                <w:shd w:val="clear" w:color="auto" w:fill="FFFFFF"/>
                <w:lang w:val="fr-FR"/>
              </w:rPr>
              <w:t>materie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eficiență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plan </w:t>
            </w:r>
            <w:proofErr w:type="spellStart"/>
            <w:r w:rsidRPr="00074769">
              <w:rPr>
                <w:color w:val="333333"/>
                <w:sz w:val="20"/>
                <w:szCs w:val="20"/>
                <w:shd w:val="clear" w:color="auto" w:fill="FFFFFF"/>
                <w:lang w:val="fr-FR"/>
              </w:rPr>
              <w:t>național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2030,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altor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obiective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prezentate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punctul</w:t>
            </w:r>
            <w:proofErr w:type="spellEnd"/>
            <w:r w:rsidRPr="00074769">
              <w:rPr>
                <w:color w:val="333333"/>
                <w:sz w:val="20"/>
                <w:szCs w:val="20"/>
                <w:shd w:val="clear" w:color="auto" w:fill="FFFFFF"/>
                <w:lang w:val="fr-FR"/>
              </w:rPr>
              <w:t xml:space="preserve"> 2.2 [de </w:t>
            </w:r>
            <w:proofErr w:type="spellStart"/>
            <w:r w:rsidRPr="00074769">
              <w:rPr>
                <w:color w:val="333333"/>
                <w:sz w:val="20"/>
                <w:szCs w:val="20"/>
                <w:shd w:val="clear" w:color="auto" w:fill="FFFFFF"/>
                <w:lang w:val="fr-FR"/>
              </w:rPr>
              <w:t>exemplu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promovare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rolului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exemplu</w:t>
            </w:r>
            <w:proofErr w:type="spellEnd"/>
            <w:r w:rsidRPr="00074769">
              <w:rPr>
                <w:color w:val="333333"/>
                <w:sz w:val="20"/>
                <w:szCs w:val="20"/>
                <w:shd w:val="clear" w:color="auto" w:fill="FFFFFF"/>
                <w:lang w:val="fr-FR"/>
              </w:rPr>
              <w:t xml:space="preserve"> al </w:t>
            </w:r>
            <w:proofErr w:type="spellStart"/>
            <w:r w:rsidRPr="00074769">
              <w:rPr>
                <w:color w:val="333333"/>
                <w:sz w:val="20"/>
                <w:szCs w:val="20"/>
                <w:shd w:val="clear" w:color="auto" w:fill="FFFFFF"/>
                <w:lang w:val="fr-FR"/>
              </w:rPr>
              <w:t>clădirilor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publice</w:t>
            </w:r>
            <w:proofErr w:type="spellEnd"/>
            <w:r w:rsidRPr="00074769">
              <w:rPr>
                <w:color w:val="333333"/>
                <w:sz w:val="20"/>
                <w:szCs w:val="20"/>
                <w:shd w:val="clear" w:color="auto" w:fill="FFFFFF"/>
                <w:lang w:val="fr-FR"/>
              </w:rPr>
              <w:t xml:space="preserve"> și al </w:t>
            </w:r>
            <w:proofErr w:type="spellStart"/>
            <w:r w:rsidRPr="00074769">
              <w:rPr>
                <w:color w:val="333333"/>
                <w:sz w:val="20"/>
                <w:szCs w:val="20"/>
                <w:shd w:val="clear" w:color="auto" w:fill="FFFFFF"/>
                <w:lang w:val="fr-FR"/>
              </w:rPr>
              <w:t>achizițiilor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publice</w:t>
            </w:r>
            <w:proofErr w:type="spellEnd"/>
            <w:r w:rsidRPr="00074769">
              <w:rPr>
                <w:color w:val="333333"/>
                <w:sz w:val="20"/>
                <w:szCs w:val="20"/>
                <w:shd w:val="clear" w:color="auto" w:fill="FFFFFF"/>
                <w:lang w:val="fr-FR"/>
              </w:rPr>
              <w:t xml:space="preserve"> eficiente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punct</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vedere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promovare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auditurilor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energetice</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sistemelor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gestionare</w:t>
            </w:r>
            <w:proofErr w:type="spellEnd"/>
            <w:r w:rsidRPr="00074769">
              <w:rPr>
                <w:color w:val="333333"/>
                <w:sz w:val="20"/>
                <w:szCs w:val="20"/>
                <w:shd w:val="clear" w:color="auto" w:fill="FFFFFF"/>
                <w:lang w:val="fr-FR"/>
              </w:rPr>
              <w:t xml:space="preserve"> a energiei </w:t>
            </w:r>
            <w:hyperlink r:id="rId61" w:anchor="ntr6-L_2018328RO.01004701-E0006"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6</w:t>
              </w:r>
              <w:r w:rsidRPr="00074769">
                <w:rPr>
                  <w:rStyle w:val="af6"/>
                  <w:color w:val="337AB7"/>
                  <w:sz w:val="20"/>
                  <w:szCs w:val="20"/>
                  <w:shd w:val="clear" w:color="auto" w:fill="FFFFFF"/>
                  <w:lang w:val="fr-FR"/>
                </w:rPr>
                <w:t>)</w:t>
              </w:r>
            </w:hyperlink>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privind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formarea</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informarea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consumatorilor</w:t>
            </w:r>
            <w:proofErr w:type="spellEnd"/>
            <w:r w:rsidRPr="00074769">
              <w:rPr>
                <w:color w:val="333333"/>
                <w:sz w:val="20"/>
                <w:szCs w:val="20"/>
                <w:shd w:val="clear" w:color="auto" w:fill="FFFFFF"/>
                <w:lang w:val="fr-FR"/>
              </w:rPr>
              <w:t xml:space="preserve"> </w:t>
            </w:r>
            <w:hyperlink r:id="rId62" w:anchor="ntr7-L_2018328RO.01004701-E0007"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7</w:t>
              </w:r>
              <w:r w:rsidRPr="00074769">
                <w:rPr>
                  <w:rStyle w:val="af6"/>
                  <w:color w:val="337AB7"/>
                  <w:sz w:val="20"/>
                  <w:szCs w:val="20"/>
                  <w:shd w:val="clear" w:color="auto" w:fill="FFFFFF"/>
                  <w:lang w:val="fr-FR"/>
                </w:rPr>
                <w:t>)</w:t>
              </w:r>
            </w:hyperlink>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alte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promovare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eficienței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energetice</w:t>
            </w:r>
            <w:proofErr w:type="spellEnd"/>
            <w:r w:rsidRPr="00074769">
              <w:rPr>
                <w:color w:val="333333"/>
                <w:sz w:val="20"/>
                <w:szCs w:val="20"/>
                <w:shd w:val="clear" w:color="auto" w:fill="FFFFFF"/>
                <w:lang w:val="fr-FR"/>
              </w:rPr>
              <w:t xml:space="preserve"> </w:t>
            </w:r>
            <w:hyperlink r:id="rId63" w:anchor="ntr8-L_2018328RO.01004701-E0008"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8</w:t>
              </w:r>
              <w:r w:rsidRPr="00074769">
                <w:rPr>
                  <w:rStyle w:val="af6"/>
                  <w:color w:val="337AB7"/>
                  <w:sz w:val="20"/>
                  <w:szCs w:val="20"/>
                  <w:shd w:val="clear" w:color="auto" w:fill="FFFFFF"/>
                  <w:lang w:val="fr-FR"/>
                </w:rPr>
                <w:t>)</w:t>
              </w:r>
            </w:hyperlink>
            <w:r w:rsidRPr="00074769">
              <w:rPr>
                <w:color w:val="333333"/>
                <w:sz w:val="20"/>
                <w:szCs w:val="20"/>
                <w:shd w:val="clear" w:color="auto" w:fill="FFFFFF"/>
                <w:lang w:val="fr-FR"/>
              </w:rPr>
              <w:t>]</w:t>
            </w:r>
          </w:p>
          <w:p w14:paraId="5B967B17" w14:textId="4E4E9D16" w:rsidR="008F5636" w:rsidRPr="00074769" w:rsidRDefault="008F5636" w:rsidP="000C5A3B">
            <w:pPr>
              <w:pStyle w:val="ti-grseq-1"/>
              <w:numPr>
                <w:ilvl w:val="0"/>
                <w:numId w:val="23"/>
              </w:numPr>
              <w:shd w:val="clear" w:color="auto" w:fill="FFFFFF"/>
              <w:spacing w:before="0" w:beforeAutospacing="0" w:after="0" w:afterAutospacing="0"/>
              <w:jc w:val="both"/>
              <w:rPr>
                <w:color w:val="333333"/>
                <w:sz w:val="20"/>
                <w:szCs w:val="20"/>
                <w:shd w:val="clear" w:color="auto" w:fill="FFFFFF"/>
                <w:lang w:val="fr-FR"/>
              </w:rPr>
            </w:pP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este </w:t>
            </w:r>
            <w:proofErr w:type="spellStart"/>
            <w:r w:rsidRPr="00074769">
              <w:rPr>
                <w:color w:val="333333"/>
                <w:sz w:val="20"/>
                <w:szCs w:val="20"/>
                <w:shd w:val="clear" w:color="auto" w:fill="FFFFFF"/>
                <w:lang w:val="fr-FR"/>
              </w:rPr>
              <w:t>cazul</w:t>
            </w:r>
            <w:proofErr w:type="spellEnd"/>
            <w:r w:rsidRPr="00074769">
              <w:rPr>
                <w:color w:val="333333"/>
                <w:sz w:val="20"/>
                <w:szCs w:val="20"/>
                <w:shd w:val="clear" w:color="auto" w:fill="FFFFFF"/>
                <w:lang w:val="fr-FR"/>
              </w:rPr>
              <w:t xml:space="preserve">, o </w:t>
            </w:r>
            <w:proofErr w:type="spellStart"/>
            <w:r w:rsidRPr="00074769">
              <w:rPr>
                <w:color w:val="333333"/>
                <w:sz w:val="20"/>
                <w:szCs w:val="20"/>
                <w:shd w:val="clear" w:color="auto" w:fill="FFFFFF"/>
                <w:lang w:val="fr-FR"/>
              </w:rPr>
              <w:t>descriere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politicilor</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promovare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rolului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comunităților</w:t>
            </w:r>
            <w:proofErr w:type="spellEnd"/>
            <w:r w:rsidRPr="00074769">
              <w:rPr>
                <w:color w:val="333333"/>
                <w:sz w:val="20"/>
                <w:szCs w:val="20"/>
                <w:shd w:val="clear" w:color="auto" w:fill="FFFFFF"/>
                <w:lang w:val="fr-FR"/>
              </w:rPr>
              <w:t xml:space="preserve"> locale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sprijinirea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punerii</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aplicare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politicilor</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prevăzute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punctele</w:t>
            </w:r>
            <w:proofErr w:type="spellEnd"/>
            <w:r w:rsidRPr="00074769">
              <w:rPr>
                <w:color w:val="333333"/>
                <w:sz w:val="20"/>
                <w:szCs w:val="20"/>
                <w:shd w:val="clear" w:color="auto" w:fill="FFFFFF"/>
                <w:lang w:val="fr-FR"/>
              </w:rPr>
              <w:t xml:space="preserve"> i, ii, iii și iv</w:t>
            </w:r>
          </w:p>
          <w:p w14:paraId="1A5A08F2" w14:textId="2852A45A" w:rsidR="008F5636" w:rsidRPr="00074769" w:rsidRDefault="008F5636" w:rsidP="000C5A3B">
            <w:pPr>
              <w:pStyle w:val="ti-grseq-1"/>
              <w:numPr>
                <w:ilvl w:val="0"/>
                <w:numId w:val="23"/>
              </w:numPr>
              <w:shd w:val="clear" w:color="auto" w:fill="FFFFFF"/>
              <w:spacing w:before="0" w:beforeAutospacing="0" w:after="0" w:afterAutospacing="0"/>
              <w:jc w:val="both"/>
              <w:rPr>
                <w:sz w:val="20"/>
                <w:szCs w:val="20"/>
                <w:lang w:val="fr-FR"/>
              </w:rPr>
            </w:pPr>
            <w:proofErr w:type="spellStart"/>
            <w:r w:rsidRPr="00074769">
              <w:rPr>
                <w:color w:val="333333"/>
                <w:sz w:val="20"/>
                <w:szCs w:val="20"/>
                <w:shd w:val="clear" w:color="auto" w:fill="FFFFFF"/>
                <w:lang w:val="fr-FR"/>
              </w:rPr>
              <w:t>Descrierea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dezvoltarea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unor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măsuri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utilizare</w:t>
            </w:r>
            <w:proofErr w:type="spellEnd"/>
            <w:r w:rsidRPr="00074769">
              <w:rPr>
                <w:color w:val="333333"/>
                <w:sz w:val="20"/>
                <w:szCs w:val="20"/>
                <w:shd w:val="clear" w:color="auto" w:fill="FFFFFF"/>
                <w:lang w:val="fr-FR"/>
              </w:rPr>
              <w:t xml:space="preserve"> a </w:t>
            </w:r>
            <w:proofErr w:type="spellStart"/>
            <w:r w:rsidRPr="00074769">
              <w:rPr>
                <w:color w:val="333333"/>
                <w:sz w:val="20"/>
                <w:szCs w:val="20"/>
                <w:shd w:val="clear" w:color="auto" w:fill="FFFFFF"/>
                <w:lang w:val="fr-FR"/>
              </w:rPr>
              <w:t>potențialului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eficiență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energetică</w:t>
            </w:r>
            <w:proofErr w:type="spellEnd"/>
            <w:r w:rsidRPr="00074769">
              <w:rPr>
                <w:color w:val="333333"/>
                <w:sz w:val="20"/>
                <w:szCs w:val="20"/>
                <w:shd w:val="clear" w:color="auto" w:fill="FFFFFF"/>
                <w:lang w:val="fr-FR"/>
              </w:rPr>
              <w:t xml:space="preserve"> al </w:t>
            </w:r>
            <w:proofErr w:type="spellStart"/>
            <w:r w:rsidRPr="00074769">
              <w:rPr>
                <w:color w:val="333333"/>
                <w:sz w:val="20"/>
                <w:szCs w:val="20"/>
                <w:shd w:val="clear" w:color="auto" w:fill="FFFFFF"/>
                <w:lang w:val="fr-FR"/>
              </w:rPr>
              <w:t>infrastructurii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gaz și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electrică</w:t>
            </w:r>
            <w:proofErr w:type="spellEnd"/>
            <w:r w:rsidRPr="00074769">
              <w:rPr>
                <w:color w:val="333333"/>
                <w:sz w:val="20"/>
                <w:szCs w:val="20"/>
                <w:shd w:val="clear" w:color="auto" w:fill="FFFFFF"/>
                <w:lang w:val="fr-FR"/>
              </w:rPr>
              <w:t xml:space="preserve"> </w:t>
            </w:r>
            <w:hyperlink r:id="rId64" w:anchor="ntr9-L_2018328RO.01004701-E0009"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9</w:t>
              </w:r>
              <w:r w:rsidRPr="00074769">
                <w:rPr>
                  <w:rStyle w:val="af6"/>
                  <w:color w:val="337AB7"/>
                  <w:sz w:val="20"/>
                  <w:szCs w:val="20"/>
                  <w:shd w:val="clear" w:color="auto" w:fill="FFFFFF"/>
                  <w:lang w:val="fr-FR"/>
                </w:rPr>
                <w:t>)</w:t>
              </w:r>
            </w:hyperlink>
          </w:p>
          <w:p w14:paraId="0577DB8D" w14:textId="717D6179" w:rsidR="008F5636" w:rsidRPr="00074769" w:rsidRDefault="008F5636" w:rsidP="000C5A3B">
            <w:pPr>
              <w:pStyle w:val="ti-grseq-1"/>
              <w:numPr>
                <w:ilvl w:val="0"/>
                <w:numId w:val="23"/>
              </w:numPr>
              <w:shd w:val="clear" w:color="auto" w:fill="FFFFFF"/>
              <w:spacing w:before="0" w:beforeAutospacing="0" w:after="0" w:afterAutospacing="0"/>
              <w:jc w:val="both"/>
              <w:rPr>
                <w:color w:val="333333"/>
                <w:sz w:val="20"/>
                <w:szCs w:val="20"/>
                <w:shd w:val="clear" w:color="auto" w:fill="FFFFFF"/>
              </w:rPr>
            </w:pPr>
            <w:proofErr w:type="spellStart"/>
            <w:r w:rsidRPr="00074769">
              <w:rPr>
                <w:color w:val="333333"/>
                <w:sz w:val="20"/>
                <w:szCs w:val="20"/>
                <w:shd w:val="clear" w:color="auto" w:fill="FFFFFF"/>
              </w:rPr>
              <w:t>Cooperarea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regională</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acest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domeniu</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dacă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este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cazul</w:t>
            </w:r>
            <w:proofErr w:type="spellEnd"/>
          </w:p>
          <w:p w14:paraId="72115D22" w14:textId="64E0E7D1" w:rsidR="008F5636" w:rsidRPr="00074769" w:rsidRDefault="008F5636" w:rsidP="000C5A3B">
            <w:pPr>
              <w:pStyle w:val="ti-grseq-1"/>
              <w:numPr>
                <w:ilvl w:val="0"/>
                <w:numId w:val="23"/>
              </w:numPr>
              <w:shd w:val="clear" w:color="auto" w:fill="FFFFFF"/>
              <w:spacing w:before="0" w:beforeAutospacing="0" w:after="0" w:afterAutospacing="0"/>
              <w:jc w:val="both"/>
              <w:rPr>
                <w:sz w:val="20"/>
                <w:szCs w:val="20"/>
                <w:shd w:val="clear" w:color="auto" w:fill="FFFFFF"/>
                <w:lang w:val="fr-FR"/>
              </w:rPr>
            </w:pP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finanțare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sprijinul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acordat</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Uniune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utilizarea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fondurilor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Uniunii</w:t>
            </w:r>
            <w:proofErr w:type="spellEnd"/>
            <w:r w:rsidRPr="00074769">
              <w:rPr>
                <w:color w:val="333333"/>
                <w:sz w:val="20"/>
                <w:szCs w:val="20"/>
                <w:shd w:val="clear" w:color="auto" w:fill="FFFFFF"/>
                <w:lang w:val="fr-FR"/>
              </w:rPr>
              <w:t xml:space="preserve"> în </w:t>
            </w:r>
            <w:proofErr w:type="spellStart"/>
            <w:r w:rsidRPr="00074769">
              <w:rPr>
                <w:color w:val="333333"/>
                <w:sz w:val="20"/>
                <w:szCs w:val="20"/>
                <w:shd w:val="clear" w:color="auto" w:fill="FFFFFF"/>
                <w:lang w:val="fr-FR"/>
              </w:rPr>
              <w:t>domeniu</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nivel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național</w:t>
            </w:r>
            <w:proofErr w:type="spellEnd"/>
          </w:p>
          <w:p w14:paraId="232A2AB3" w14:textId="137B56ED" w:rsidR="008F5636" w:rsidRPr="00074769" w:rsidRDefault="008F5636" w:rsidP="008F5636">
            <w:pPr>
              <w:pStyle w:val="ti-grseq-1"/>
              <w:shd w:val="clear" w:color="auto" w:fill="FFFFFF"/>
              <w:spacing w:before="0" w:beforeAutospacing="0" w:after="0" w:afterAutospacing="0"/>
              <w:jc w:val="both"/>
              <w:rPr>
                <w:sz w:val="20"/>
                <w:szCs w:val="20"/>
              </w:rPr>
            </w:pPr>
            <w:r w:rsidRPr="00074769">
              <w:rPr>
                <w:b/>
                <w:bCs/>
                <w:color w:val="333333"/>
                <w:sz w:val="20"/>
                <w:szCs w:val="20"/>
                <w:shd w:val="clear" w:color="auto" w:fill="FFFFFF"/>
              </w:rPr>
              <w:t>3.3.Dimensiunea „</w:t>
            </w:r>
            <w:proofErr w:type="spellStart"/>
            <w:r w:rsidRPr="00074769">
              <w:rPr>
                <w:b/>
                <w:bCs/>
                <w:color w:val="333333"/>
                <w:sz w:val="20"/>
                <w:szCs w:val="20"/>
                <w:shd w:val="clear" w:color="auto" w:fill="FFFFFF"/>
              </w:rPr>
              <w:t>securitate</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r w:rsidRPr="00074769">
              <w:rPr>
                <w:b/>
                <w:bCs/>
                <w:color w:val="333333"/>
                <w:sz w:val="20"/>
                <w:szCs w:val="20"/>
                <w:shd w:val="clear" w:color="auto" w:fill="FFFFFF"/>
              </w:rPr>
              <w:t>”</w:t>
            </w:r>
            <w:hyperlink r:id="rId65" w:anchor="ntr10-L_2018328RO.01004701-E0010" w:history="1">
              <w:r w:rsidRPr="00074769">
                <w:rPr>
                  <w:rStyle w:val="af6"/>
                  <w:b/>
                  <w:bCs/>
                  <w:color w:val="337AB7"/>
                  <w:sz w:val="20"/>
                  <w:szCs w:val="20"/>
                  <w:shd w:val="clear" w:color="auto" w:fill="FFFFFF"/>
                </w:rPr>
                <w:t>(</w:t>
              </w:r>
              <w:r w:rsidRPr="00074769">
                <w:rPr>
                  <w:rStyle w:val="super"/>
                  <w:b/>
                  <w:bCs/>
                  <w:color w:val="337AB7"/>
                  <w:sz w:val="20"/>
                  <w:szCs w:val="20"/>
                  <w:shd w:val="clear" w:color="auto" w:fill="FFFFFF"/>
                  <w:vertAlign w:val="superscript"/>
                </w:rPr>
                <w:t>10</w:t>
              </w:r>
              <w:r w:rsidRPr="00074769">
                <w:rPr>
                  <w:rStyle w:val="af6"/>
                  <w:b/>
                  <w:bCs/>
                  <w:color w:val="337AB7"/>
                  <w:sz w:val="20"/>
                  <w:szCs w:val="20"/>
                  <w:shd w:val="clear" w:color="auto" w:fill="FFFFFF"/>
                </w:rPr>
                <w:t>)</w:t>
              </w:r>
            </w:hyperlink>
          </w:p>
          <w:p w14:paraId="7DC28E72" w14:textId="60B0D43C" w:rsidR="008F5636" w:rsidRPr="00074769" w:rsidRDefault="008F5636" w:rsidP="000C5A3B">
            <w:pPr>
              <w:pStyle w:val="ti-grseq-1"/>
              <w:numPr>
                <w:ilvl w:val="0"/>
                <w:numId w:val="24"/>
              </w:numPr>
              <w:shd w:val="clear" w:color="auto" w:fill="FFFFFF"/>
              <w:spacing w:before="0" w:beforeAutospacing="0" w:after="0" w:afterAutospacing="0"/>
              <w:jc w:val="both"/>
              <w:rPr>
                <w:sz w:val="20"/>
                <w:szCs w:val="20"/>
                <w:lang w:val="fr-FR"/>
              </w:rPr>
            </w:pP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referitoare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elementele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stabilite</w:t>
            </w:r>
            <w:proofErr w:type="spellEnd"/>
            <w:r w:rsidRPr="00074769">
              <w:rPr>
                <w:color w:val="333333"/>
                <w:sz w:val="20"/>
                <w:szCs w:val="20"/>
                <w:shd w:val="clear" w:color="auto" w:fill="FFFFFF"/>
                <w:lang w:val="fr-FR"/>
              </w:rPr>
              <w:t xml:space="preserve"> la </w:t>
            </w:r>
            <w:proofErr w:type="spellStart"/>
            <w:r w:rsidRPr="00074769">
              <w:rPr>
                <w:color w:val="333333"/>
                <w:sz w:val="20"/>
                <w:szCs w:val="20"/>
                <w:shd w:val="clear" w:color="auto" w:fill="FFFFFF"/>
                <w:lang w:val="fr-FR"/>
              </w:rPr>
              <w:t>punctul</w:t>
            </w:r>
            <w:proofErr w:type="spellEnd"/>
            <w:r w:rsidRPr="00074769">
              <w:rPr>
                <w:color w:val="333333"/>
                <w:sz w:val="20"/>
                <w:szCs w:val="20"/>
                <w:shd w:val="clear" w:color="auto" w:fill="FFFFFF"/>
                <w:lang w:val="fr-FR"/>
              </w:rPr>
              <w:t xml:space="preserve"> 2.3 </w:t>
            </w:r>
            <w:hyperlink r:id="rId66" w:anchor="ntr11-L_2018328RO.01004701-E0011" w:history="1">
              <w:r w:rsidRPr="00074769">
                <w:rPr>
                  <w:rStyle w:val="af6"/>
                  <w:color w:val="337AB7"/>
                  <w:sz w:val="20"/>
                  <w:szCs w:val="20"/>
                  <w:shd w:val="clear" w:color="auto" w:fill="FFFFFF"/>
                  <w:lang w:val="fr-FR"/>
                </w:rPr>
                <w:t>(</w:t>
              </w:r>
              <w:r w:rsidRPr="00074769">
                <w:rPr>
                  <w:rStyle w:val="super"/>
                  <w:color w:val="337AB7"/>
                  <w:sz w:val="20"/>
                  <w:szCs w:val="20"/>
                  <w:shd w:val="clear" w:color="auto" w:fill="FFFFFF"/>
                  <w:vertAlign w:val="superscript"/>
                  <w:lang w:val="fr-FR"/>
                </w:rPr>
                <w:t>11</w:t>
              </w:r>
              <w:r w:rsidRPr="00074769">
                <w:rPr>
                  <w:rStyle w:val="af6"/>
                  <w:color w:val="337AB7"/>
                  <w:sz w:val="20"/>
                  <w:szCs w:val="20"/>
                  <w:shd w:val="clear" w:color="auto" w:fill="FFFFFF"/>
                  <w:lang w:val="fr-FR"/>
                </w:rPr>
                <w:t>)</w:t>
              </w:r>
            </w:hyperlink>
          </w:p>
          <w:p w14:paraId="7ACAF9B7" w14:textId="579F4717" w:rsidR="008F5636" w:rsidRPr="00074769" w:rsidRDefault="008F5636" w:rsidP="000C5A3B">
            <w:pPr>
              <w:pStyle w:val="ti-grseq-1"/>
              <w:numPr>
                <w:ilvl w:val="0"/>
                <w:numId w:val="24"/>
              </w:numPr>
              <w:shd w:val="clear" w:color="auto" w:fill="FFFFFF"/>
              <w:spacing w:before="0" w:beforeAutospacing="0" w:after="0" w:afterAutospacing="0"/>
              <w:jc w:val="both"/>
              <w:rPr>
                <w:color w:val="333333"/>
                <w:sz w:val="20"/>
                <w:szCs w:val="20"/>
                <w:shd w:val="clear" w:color="auto" w:fill="FFFFFF"/>
              </w:rPr>
            </w:pPr>
            <w:proofErr w:type="spellStart"/>
            <w:r w:rsidRPr="00074769">
              <w:rPr>
                <w:color w:val="333333"/>
                <w:sz w:val="20"/>
                <w:szCs w:val="20"/>
                <w:shd w:val="clear" w:color="auto" w:fill="FFFFFF"/>
              </w:rPr>
              <w:t>Cooperarea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regională</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acest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domeniu</w:t>
            </w:r>
            <w:proofErr w:type="spellEnd"/>
          </w:p>
          <w:p w14:paraId="147724AF" w14:textId="61C328E8" w:rsidR="008F5636" w:rsidRPr="00074769" w:rsidRDefault="008F5636" w:rsidP="000C5A3B">
            <w:pPr>
              <w:pStyle w:val="ti-grseq-1"/>
              <w:numPr>
                <w:ilvl w:val="0"/>
                <w:numId w:val="24"/>
              </w:numPr>
              <w:shd w:val="clear" w:color="auto" w:fill="FFFFFF"/>
              <w:spacing w:before="0" w:beforeAutospacing="0" w:after="0" w:afterAutospacing="0"/>
              <w:jc w:val="both"/>
              <w:rPr>
                <w:sz w:val="20"/>
                <w:szCs w:val="20"/>
                <w:shd w:val="clear" w:color="auto" w:fill="FFFFFF"/>
              </w:rPr>
            </w:pPr>
            <w:proofErr w:type="spellStart"/>
            <w:r w:rsidRPr="00074769">
              <w:rPr>
                <w:color w:val="333333"/>
                <w:sz w:val="20"/>
                <w:szCs w:val="20"/>
                <w:shd w:val="clear" w:color="auto" w:fill="FFFFFF"/>
              </w:rPr>
              <w:t>Dacă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este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cazul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măsurile</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finanțare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acest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domeniu</w:t>
            </w:r>
            <w:proofErr w:type="spellEnd"/>
            <w:r w:rsidRPr="00074769">
              <w:rPr>
                <w:color w:val="333333"/>
                <w:sz w:val="20"/>
                <w:szCs w:val="20"/>
                <w:shd w:val="clear" w:color="auto" w:fill="FFFFFF"/>
              </w:rPr>
              <w:t xml:space="preserve"> la </w:t>
            </w:r>
            <w:proofErr w:type="spellStart"/>
            <w:r w:rsidRPr="00074769">
              <w:rPr>
                <w:color w:val="333333"/>
                <w:sz w:val="20"/>
                <w:szCs w:val="20"/>
                <w:shd w:val="clear" w:color="auto" w:fill="FFFFFF"/>
              </w:rPr>
              <w:t>nivel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național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inclusiv</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sprijinul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acordat</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Uniune</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utilizarea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fondurilor</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Uniunii</w:t>
            </w:r>
            <w:proofErr w:type="spellEnd"/>
          </w:p>
          <w:p w14:paraId="17054093" w14:textId="1A41B9FC" w:rsidR="008F5636" w:rsidRPr="00074769" w:rsidRDefault="008F5636" w:rsidP="008F5636">
            <w:pPr>
              <w:pStyle w:val="ti-grseq-1"/>
              <w:shd w:val="clear" w:color="auto" w:fill="FFFFFF"/>
              <w:spacing w:before="0" w:beforeAutospacing="0" w:after="0" w:afterAutospacing="0"/>
              <w:jc w:val="both"/>
              <w:rPr>
                <w:sz w:val="20"/>
                <w:szCs w:val="20"/>
                <w:lang w:val="fr-FR"/>
              </w:rPr>
            </w:pPr>
            <w:r w:rsidRPr="00074769">
              <w:rPr>
                <w:b/>
                <w:bCs/>
                <w:color w:val="333333"/>
                <w:sz w:val="20"/>
                <w:szCs w:val="20"/>
                <w:shd w:val="clear" w:color="auto" w:fill="FFFFFF"/>
                <w:lang w:val="fr-FR"/>
              </w:rPr>
              <w:t>3.</w:t>
            </w:r>
            <w:proofErr w:type="gramStart"/>
            <w:r w:rsidRPr="00074769">
              <w:rPr>
                <w:b/>
                <w:bCs/>
                <w:color w:val="333333"/>
                <w:sz w:val="20"/>
                <w:szCs w:val="20"/>
                <w:shd w:val="clear" w:color="auto" w:fill="FFFFFF"/>
                <w:lang w:val="fr-FR"/>
              </w:rPr>
              <w:t>4.Dimensiunea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piața</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internă</w:t>
            </w:r>
            <w:proofErr w:type="spellEnd"/>
            <w:r w:rsidRPr="00074769">
              <w:rPr>
                <w:b/>
                <w:bCs/>
                <w:color w:val="333333"/>
                <w:sz w:val="20"/>
                <w:szCs w:val="20"/>
                <w:shd w:val="clear" w:color="auto" w:fill="FFFFFF"/>
                <w:lang w:val="fr-FR"/>
              </w:rPr>
              <w:t xml:space="preserve"> a energiei”</w:t>
            </w:r>
            <w:hyperlink r:id="rId67" w:anchor="ntr12-L_2018328RO.01004701-E0012" w:history="1">
              <w:r w:rsidRPr="00074769">
                <w:rPr>
                  <w:rStyle w:val="af6"/>
                  <w:b/>
                  <w:bCs/>
                  <w:color w:val="337AB7"/>
                  <w:sz w:val="20"/>
                  <w:szCs w:val="20"/>
                  <w:shd w:val="clear" w:color="auto" w:fill="FFFFFF"/>
                  <w:lang w:val="fr-FR"/>
                </w:rPr>
                <w:t>(</w:t>
              </w:r>
              <w:r w:rsidRPr="00074769">
                <w:rPr>
                  <w:rStyle w:val="super"/>
                  <w:b/>
                  <w:bCs/>
                  <w:color w:val="337AB7"/>
                  <w:sz w:val="20"/>
                  <w:szCs w:val="20"/>
                  <w:shd w:val="clear" w:color="auto" w:fill="FFFFFF"/>
                  <w:vertAlign w:val="superscript"/>
                  <w:lang w:val="fr-FR"/>
                </w:rPr>
                <w:t>12</w:t>
              </w:r>
              <w:r w:rsidRPr="00074769">
                <w:rPr>
                  <w:rStyle w:val="af6"/>
                  <w:b/>
                  <w:bCs/>
                  <w:color w:val="337AB7"/>
                  <w:sz w:val="20"/>
                  <w:szCs w:val="20"/>
                  <w:shd w:val="clear" w:color="auto" w:fill="FFFFFF"/>
                  <w:lang w:val="fr-FR"/>
                </w:rPr>
                <w:t>)</w:t>
              </w:r>
            </w:hyperlink>
          </w:p>
          <w:p w14:paraId="5F32384D" w14:textId="2B0CF169"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3.4.</w:t>
            </w:r>
            <w:proofErr w:type="gramStart"/>
            <w:r w:rsidRPr="00074769">
              <w:rPr>
                <w:b/>
                <w:bCs/>
                <w:color w:val="333333"/>
                <w:sz w:val="20"/>
                <w:szCs w:val="20"/>
                <w:shd w:val="clear" w:color="auto" w:fill="FFFFFF"/>
              </w:rPr>
              <w:t>1.Infrastructura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pentru</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energie</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electrică</w:t>
            </w:r>
            <w:proofErr w:type="spellEnd"/>
          </w:p>
          <w:p w14:paraId="33E03267" w14:textId="413D0467" w:rsidR="008F5636" w:rsidRPr="00074769" w:rsidRDefault="008F5636" w:rsidP="000C5A3B">
            <w:pPr>
              <w:pStyle w:val="Normal4"/>
              <w:numPr>
                <w:ilvl w:val="0"/>
                <w:numId w:val="25"/>
              </w:numPr>
              <w:spacing w:before="0" w:beforeAutospacing="0" w:after="0" w:afterAutospacing="0"/>
              <w:jc w:val="both"/>
              <w:rPr>
                <w:color w:val="333333"/>
                <w:sz w:val="20"/>
                <w:szCs w:val="20"/>
              </w:rPr>
            </w:pPr>
            <w:r w:rsidRPr="00074769">
              <w:rPr>
                <w:color w:val="333333"/>
                <w:sz w:val="20"/>
                <w:szCs w:val="20"/>
              </w:rPr>
              <w:t>Politicile și măsurile pentru atingerea nivelului-țintă de interconectivitate, astfel cum este menționat la articolul 4 litera (d)</w:t>
            </w:r>
          </w:p>
          <w:p w14:paraId="2A960790" w14:textId="2ACF0046" w:rsidR="008F5636" w:rsidRPr="00074769" w:rsidRDefault="008F5636" w:rsidP="000C5A3B">
            <w:pPr>
              <w:pStyle w:val="ti-grseq-1"/>
              <w:numPr>
                <w:ilvl w:val="0"/>
                <w:numId w:val="25"/>
              </w:numPr>
              <w:shd w:val="clear" w:color="auto" w:fill="FFFFFF"/>
              <w:spacing w:before="0" w:beforeAutospacing="0" w:after="0" w:afterAutospacing="0"/>
              <w:jc w:val="both"/>
              <w:rPr>
                <w:sz w:val="20"/>
                <w:szCs w:val="20"/>
              </w:rPr>
            </w:pPr>
            <w:proofErr w:type="spellStart"/>
            <w:r w:rsidRPr="00074769">
              <w:rPr>
                <w:color w:val="333333"/>
                <w:sz w:val="20"/>
                <w:szCs w:val="20"/>
                <w:shd w:val="clear" w:color="auto" w:fill="FFFFFF"/>
              </w:rPr>
              <w:t>Cooperarea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regională</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acest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domeniu</w:t>
            </w:r>
            <w:proofErr w:type="spellEnd"/>
            <w:r w:rsidRPr="00074769">
              <w:rPr>
                <w:color w:val="333333"/>
                <w:sz w:val="20"/>
                <w:szCs w:val="20"/>
                <w:shd w:val="clear" w:color="auto" w:fill="FFFFFF"/>
              </w:rPr>
              <w:t xml:space="preserve"> </w:t>
            </w:r>
            <w:hyperlink r:id="rId68" w:anchor="ntr13-L_2018328RO.01004701-E0013" w:history="1">
              <w:r w:rsidRPr="00074769">
                <w:rPr>
                  <w:rStyle w:val="af6"/>
                  <w:color w:val="337AB7"/>
                  <w:sz w:val="20"/>
                  <w:szCs w:val="20"/>
                  <w:shd w:val="clear" w:color="auto" w:fill="FFFFFF"/>
                </w:rPr>
                <w:t>(</w:t>
              </w:r>
              <w:r w:rsidRPr="00074769">
                <w:rPr>
                  <w:rStyle w:val="super"/>
                  <w:color w:val="337AB7"/>
                  <w:sz w:val="20"/>
                  <w:szCs w:val="20"/>
                  <w:shd w:val="clear" w:color="auto" w:fill="FFFFFF"/>
                  <w:vertAlign w:val="superscript"/>
                </w:rPr>
                <w:t>13</w:t>
              </w:r>
              <w:r w:rsidRPr="00074769">
                <w:rPr>
                  <w:rStyle w:val="af6"/>
                  <w:color w:val="337AB7"/>
                  <w:sz w:val="20"/>
                  <w:szCs w:val="20"/>
                  <w:shd w:val="clear" w:color="auto" w:fill="FFFFFF"/>
                </w:rPr>
                <w:t>)</w:t>
              </w:r>
            </w:hyperlink>
          </w:p>
          <w:p w14:paraId="624A406A" w14:textId="13CF7835" w:rsidR="008F5636" w:rsidRPr="00074769" w:rsidRDefault="008F5636" w:rsidP="000C5A3B">
            <w:pPr>
              <w:pStyle w:val="ti-grseq-1"/>
              <w:numPr>
                <w:ilvl w:val="0"/>
                <w:numId w:val="25"/>
              </w:numPr>
              <w:shd w:val="clear" w:color="auto" w:fill="FFFFFF"/>
              <w:spacing w:before="0" w:beforeAutospacing="0" w:after="0" w:afterAutospacing="0"/>
              <w:jc w:val="both"/>
              <w:rPr>
                <w:b/>
                <w:bCs/>
                <w:color w:val="333333"/>
                <w:sz w:val="20"/>
                <w:szCs w:val="20"/>
                <w:shd w:val="clear" w:color="auto" w:fill="FFFFFF"/>
                <w:lang w:val="ro-MD"/>
              </w:rPr>
            </w:pPr>
            <w:proofErr w:type="spellStart"/>
            <w:r w:rsidRPr="00074769">
              <w:rPr>
                <w:color w:val="333333"/>
                <w:sz w:val="20"/>
                <w:szCs w:val="20"/>
                <w:shd w:val="clear" w:color="auto" w:fill="FFFFFF"/>
              </w:rPr>
              <w:t>Dacă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este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cazul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măsurile</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finanțare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acest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domeniu</w:t>
            </w:r>
            <w:proofErr w:type="spellEnd"/>
            <w:r w:rsidRPr="00074769">
              <w:rPr>
                <w:color w:val="333333"/>
                <w:sz w:val="20"/>
                <w:szCs w:val="20"/>
                <w:shd w:val="clear" w:color="auto" w:fill="FFFFFF"/>
              </w:rPr>
              <w:t xml:space="preserve"> la </w:t>
            </w:r>
            <w:proofErr w:type="spellStart"/>
            <w:r w:rsidRPr="00074769">
              <w:rPr>
                <w:color w:val="333333"/>
                <w:sz w:val="20"/>
                <w:szCs w:val="20"/>
                <w:shd w:val="clear" w:color="auto" w:fill="FFFFFF"/>
              </w:rPr>
              <w:t>nivel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național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inclusiv</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sprijinul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acordat</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Uniune</w:t>
            </w:r>
            <w:proofErr w:type="spellEnd"/>
            <w:r w:rsidRPr="00074769">
              <w:rPr>
                <w:color w:val="333333"/>
                <w:sz w:val="20"/>
                <w:szCs w:val="20"/>
                <w:shd w:val="clear" w:color="auto" w:fill="FFFFFF"/>
              </w:rPr>
              <w:t xml:space="preserve"> și </w:t>
            </w:r>
            <w:proofErr w:type="spellStart"/>
            <w:r w:rsidRPr="00074769">
              <w:rPr>
                <w:color w:val="333333"/>
                <w:sz w:val="20"/>
                <w:szCs w:val="20"/>
                <w:shd w:val="clear" w:color="auto" w:fill="FFFFFF"/>
              </w:rPr>
              <w:t>utilizarea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fondurilor</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Uniunii</w:t>
            </w:r>
            <w:proofErr w:type="spellEnd"/>
          </w:p>
          <w:p w14:paraId="19434BDE" w14:textId="1E94BBBD"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3.4.</w:t>
            </w:r>
            <w:proofErr w:type="gramStart"/>
            <w:r w:rsidRPr="00074769">
              <w:rPr>
                <w:b/>
                <w:bCs/>
                <w:color w:val="333333"/>
                <w:sz w:val="20"/>
                <w:szCs w:val="20"/>
                <w:shd w:val="clear" w:color="auto" w:fill="FFFFFF"/>
                <w:lang w:val="fr-FR"/>
              </w:rPr>
              <w:t>2.Infrastructura</w:t>
            </w:r>
            <w:proofErr w:type="gramEnd"/>
            <w:r w:rsidRPr="00074769">
              <w:rPr>
                <w:b/>
                <w:bCs/>
                <w:color w:val="333333"/>
                <w:sz w:val="20"/>
                <w:szCs w:val="20"/>
                <w:shd w:val="clear" w:color="auto" w:fill="FFFFFF"/>
                <w:lang w:val="fr-FR"/>
              </w:rPr>
              <w:t xml:space="preserve"> de transport al energiei</w:t>
            </w:r>
          </w:p>
          <w:p w14:paraId="4AF2F13D" w14:textId="3399FD3D" w:rsidR="008F5636" w:rsidRPr="00074769" w:rsidRDefault="008F5636" w:rsidP="000C5A3B">
            <w:pPr>
              <w:pStyle w:val="ti-grseq-1"/>
              <w:numPr>
                <w:ilvl w:val="0"/>
                <w:numId w:val="26"/>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elementele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stabilite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2.4.2,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specifice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permite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realizarea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proiecte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interes</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comun</w:t>
            </w:r>
            <w:proofErr w:type="spellEnd"/>
            <w:r w:rsidRPr="00074769">
              <w:rPr>
                <w:sz w:val="20"/>
                <w:szCs w:val="20"/>
                <w:shd w:val="clear" w:color="auto" w:fill="FFFFFF"/>
                <w:lang w:val="fr-FR"/>
              </w:rPr>
              <w:t xml:space="preserve"> (PIC) și de </w:t>
            </w:r>
            <w:proofErr w:type="spellStart"/>
            <w:r w:rsidRPr="00074769">
              <w:rPr>
                <w:sz w:val="20"/>
                <w:szCs w:val="20"/>
                <w:shd w:val="clear" w:color="auto" w:fill="FFFFFF"/>
                <w:lang w:val="fr-FR"/>
              </w:rPr>
              <w:t>alte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proiecte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infrastructură</w:t>
            </w:r>
            <w:proofErr w:type="spellEnd"/>
            <w:r w:rsidRPr="00074769">
              <w:rPr>
                <w:sz w:val="20"/>
                <w:szCs w:val="20"/>
                <w:shd w:val="clear" w:color="auto" w:fill="FFFFFF"/>
                <w:lang w:val="fr-FR"/>
              </w:rPr>
              <w:t xml:space="preserve"> importante</w:t>
            </w:r>
          </w:p>
          <w:p w14:paraId="3594DEFC" w14:textId="61416F1E" w:rsidR="008F5636" w:rsidRPr="00074769" w:rsidRDefault="008F5636" w:rsidP="000C5A3B">
            <w:pPr>
              <w:pStyle w:val="ti-grseq-1"/>
              <w:numPr>
                <w:ilvl w:val="0"/>
                <w:numId w:val="26"/>
              </w:numPr>
              <w:shd w:val="clear" w:color="auto" w:fill="FFFFFF"/>
              <w:spacing w:before="0" w:beforeAutospacing="0" w:after="0" w:afterAutospacing="0"/>
              <w:jc w:val="both"/>
              <w:rPr>
                <w:sz w:val="20"/>
                <w:szCs w:val="20"/>
              </w:rPr>
            </w:pPr>
            <w:proofErr w:type="spellStart"/>
            <w:r w:rsidRPr="00074769">
              <w:rPr>
                <w:sz w:val="20"/>
                <w:szCs w:val="20"/>
                <w:shd w:val="clear" w:color="auto" w:fill="FFFFFF"/>
              </w:rPr>
              <w:lastRenderedPageBreak/>
              <w:t>Cooperarea</w:t>
            </w:r>
            <w:proofErr w:type="spellEnd"/>
            <w:r w:rsidRPr="00074769">
              <w:rPr>
                <w:sz w:val="20"/>
                <w:szCs w:val="20"/>
                <w:shd w:val="clear" w:color="auto" w:fill="FFFFFF"/>
              </w:rPr>
              <w:t xml:space="preserve"> </w:t>
            </w:r>
            <w:proofErr w:type="spellStart"/>
            <w:r w:rsidRPr="00074769">
              <w:rPr>
                <w:sz w:val="20"/>
                <w:szCs w:val="20"/>
                <w:shd w:val="clear" w:color="auto" w:fill="FFFFFF"/>
              </w:rPr>
              <w:t>regională</w:t>
            </w:r>
            <w:proofErr w:type="spellEnd"/>
            <w:r w:rsidRPr="00074769">
              <w:rPr>
                <w:sz w:val="20"/>
                <w:szCs w:val="20"/>
                <w:shd w:val="clear" w:color="auto" w:fill="FFFFFF"/>
              </w:rPr>
              <w:t xml:space="preserve"> în </w:t>
            </w:r>
            <w:proofErr w:type="spellStart"/>
            <w:r w:rsidRPr="00074769">
              <w:rPr>
                <w:sz w:val="20"/>
                <w:szCs w:val="20"/>
                <w:shd w:val="clear" w:color="auto" w:fill="FFFFFF"/>
              </w:rPr>
              <w:t>acest</w:t>
            </w:r>
            <w:proofErr w:type="spellEnd"/>
            <w:r w:rsidRPr="00074769">
              <w:rPr>
                <w:sz w:val="20"/>
                <w:szCs w:val="20"/>
                <w:shd w:val="clear" w:color="auto" w:fill="FFFFFF"/>
              </w:rPr>
              <w:t xml:space="preserve"> </w:t>
            </w:r>
            <w:proofErr w:type="spellStart"/>
            <w:r w:rsidRPr="00074769">
              <w:rPr>
                <w:sz w:val="20"/>
                <w:szCs w:val="20"/>
                <w:shd w:val="clear" w:color="auto" w:fill="FFFFFF"/>
              </w:rPr>
              <w:t>domeniu</w:t>
            </w:r>
            <w:proofErr w:type="spellEnd"/>
            <w:r>
              <w:fldChar w:fldCharType="begin"/>
            </w:r>
            <w:r>
              <w:instrText>HYPERLINK "https://eur-lex.europa.eu/legal-content/RO/TXT/?uri=CELEX:32018R1999" \l "ntr14-L_2018328RO.01004701-E0014"</w:instrText>
            </w:r>
            <w:r>
              <w:fldChar w:fldCharType="separate"/>
            </w:r>
            <w:r w:rsidRPr="00074769">
              <w:rPr>
                <w:rStyle w:val="af6"/>
                <w:color w:val="auto"/>
                <w:sz w:val="20"/>
                <w:szCs w:val="20"/>
                <w:shd w:val="clear" w:color="auto" w:fill="FFFFFF"/>
              </w:rPr>
              <w:t>(</w:t>
            </w:r>
            <w:r w:rsidRPr="00074769">
              <w:rPr>
                <w:rStyle w:val="super"/>
                <w:sz w:val="20"/>
                <w:szCs w:val="20"/>
                <w:shd w:val="clear" w:color="auto" w:fill="FFFFFF"/>
                <w:vertAlign w:val="superscript"/>
              </w:rPr>
              <w:t>14</w:t>
            </w:r>
            <w:r w:rsidRPr="00074769">
              <w:rPr>
                <w:rStyle w:val="af6"/>
                <w:color w:val="auto"/>
                <w:sz w:val="20"/>
                <w:szCs w:val="20"/>
                <w:shd w:val="clear" w:color="auto" w:fill="FFFFFF"/>
              </w:rPr>
              <w:t>)</w:t>
            </w:r>
            <w:r>
              <w:rPr>
                <w:rStyle w:val="af6"/>
                <w:color w:val="auto"/>
                <w:sz w:val="20"/>
                <w:szCs w:val="20"/>
                <w:shd w:val="clear" w:color="auto" w:fill="FFFFFF"/>
              </w:rPr>
              <w:fldChar w:fldCharType="end"/>
            </w:r>
          </w:p>
          <w:p w14:paraId="2650CE5B" w14:textId="6E56EAF4" w:rsidR="008F5636" w:rsidRPr="00074769" w:rsidRDefault="008F5636" w:rsidP="000C5A3B">
            <w:pPr>
              <w:pStyle w:val="ti-grseq-1"/>
              <w:numPr>
                <w:ilvl w:val="0"/>
                <w:numId w:val="26"/>
              </w:numPr>
              <w:shd w:val="clear" w:color="auto" w:fill="FFFFFF"/>
              <w:spacing w:before="0" w:beforeAutospacing="0" w:after="0" w:afterAutospacing="0"/>
              <w:jc w:val="both"/>
              <w:rPr>
                <w:b/>
                <w:bCs/>
                <w:sz w:val="20"/>
                <w:szCs w:val="20"/>
                <w:shd w:val="clear" w:color="auto" w:fill="FFFFFF"/>
              </w:rPr>
            </w:pPr>
            <w:proofErr w:type="spellStart"/>
            <w:r w:rsidRPr="00074769">
              <w:rPr>
                <w:sz w:val="20"/>
                <w:szCs w:val="20"/>
                <w:shd w:val="clear" w:color="auto" w:fill="FFFFFF"/>
              </w:rPr>
              <w:t>Dacă</w:t>
            </w:r>
            <w:proofErr w:type="spellEnd"/>
            <w:r w:rsidRPr="00074769">
              <w:rPr>
                <w:sz w:val="20"/>
                <w:szCs w:val="20"/>
                <w:shd w:val="clear" w:color="auto" w:fill="FFFFFF"/>
              </w:rPr>
              <w:t xml:space="preserve"> </w:t>
            </w:r>
            <w:proofErr w:type="spellStart"/>
            <w:r w:rsidRPr="00074769">
              <w:rPr>
                <w:sz w:val="20"/>
                <w:szCs w:val="20"/>
                <w:shd w:val="clear" w:color="auto" w:fill="FFFFFF"/>
              </w:rPr>
              <w:t>este</w:t>
            </w:r>
            <w:proofErr w:type="spellEnd"/>
            <w:r w:rsidRPr="00074769">
              <w:rPr>
                <w:sz w:val="20"/>
                <w:szCs w:val="20"/>
                <w:shd w:val="clear" w:color="auto" w:fill="FFFFFF"/>
              </w:rPr>
              <w:t xml:space="preserve"> </w:t>
            </w:r>
            <w:proofErr w:type="spellStart"/>
            <w:r w:rsidRPr="00074769">
              <w:rPr>
                <w:sz w:val="20"/>
                <w:szCs w:val="20"/>
                <w:shd w:val="clear" w:color="auto" w:fill="FFFFFF"/>
              </w:rPr>
              <w:t>cazul</w:t>
            </w:r>
            <w:proofErr w:type="spellEnd"/>
            <w:r w:rsidRPr="00074769">
              <w:rPr>
                <w:sz w:val="20"/>
                <w:szCs w:val="20"/>
                <w:shd w:val="clear" w:color="auto" w:fill="FFFFFF"/>
              </w:rPr>
              <w:t xml:space="preserve">, </w:t>
            </w:r>
            <w:proofErr w:type="spellStart"/>
            <w:r w:rsidRPr="00074769">
              <w:rPr>
                <w:sz w:val="20"/>
                <w:szCs w:val="20"/>
                <w:shd w:val="clear" w:color="auto" w:fill="FFFFFF"/>
              </w:rPr>
              <w:t>măsurile</w:t>
            </w:r>
            <w:proofErr w:type="spellEnd"/>
            <w:r w:rsidRPr="00074769">
              <w:rPr>
                <w:sz w:val="20"/>
                <w:szCs w:val="20"/>
                <w:shd w:val="clear" w:color="auto" w:fill="FFFFFF"/>
              </w:rPr>
              <w:t xml:space="preserve"> de </w:t>
            </w:r>
            <w:proofErr w:type="spellStart"/>
            <w:r w:rsidRPr="00074769">
              <w:rPr>
                <w:sz w:val="20"/>
                <w:szCs w:val="20"/>
                <w:shd w:val="clear" w:color="auto" w:fill="FFFFFF"/>
              </w:rPr>
              <w:t>finanțare</w:t>
            </w:r>
            <w:proofErr w:type="spellEnd"/>
            <w:r w:rsidRPr="00074769">
              <w:rPr>
                <w:sz w:val="20"/>
                <w:szCs w:val="20"/>
                <w:shd w:val="clear" w:color="auto" w:fill="FFFFFF"/>
              </w:rPr>
              <w:t xml:space="preserve"> în </w:t>
            </w:r>
            <w:proofErr w:type="spellStart"/>
            <w:r w:rsidRPr="00074769">
              <w:rPr>
                <w:sz w:val="20"/>
                <w:szCs w:val="20"/>
                <w:shd w:val="clear" w:color="auto" w:fill="FFFFFF"/>
              </w:rPr>
              <w:t>acest</w:t>
            </w:r>
            <w:proofErr w:type="spellEnd"/>
            <w:r w:rsidRPr="00074769">
              <w:rPr>
                <w:sz w:val="20"/>
                <w:szCs w:val="20"/>
                <w:shd w:val="clear" w:color="auto" w:fill="FFFFFF"/>
              </w:rPr>
              <w:t xml:space="preserve"> </w:t>
            </w:r>
            <w:proofErr w:type="spellStart"/>
            <w:r w:rsidRPr="00074769">
              <w:rPr>
                <w:sz w:val="20"/>
                <w:szCs w:val="20"/>
                <w:shd w:val="clear" w:color="auto" w:fill="FFFFFF"/>
              </w:rPr>
              <w:t>domeniu</w:t>
            </w:r>
            <w:proofErr w:type="spellEnd"/>
            <w:r w:rsidRPr="00074769">
              <w:rPr>
                <w:sz w:val="20"/>
                <w:szCs w:val="20"/>
                <w:shd w:val="clear" w:color="auto" w:fill="FFFFFF"/>
              </w:rPr>
              <w:t xml:space="preserve"> la </w:t>
            </w:r>
            <w:proofErr w:type="spellStart"/>
            <w:r w:rsidRPr="00074769">
              <w:rPr>
                <w:sz w:val="20"/>
                <w:szCs w:val="20"/>
                <w:shd w:val="clear" w:color="auto" w:fill="FFFFFF"/>
              </w:rPr>
              <w:t>nivel</w:t>
            </w:r>
            <w:proofErr w:type="spellEnd"/>
            <w:r w:rsidRPr="00074769">
              <w:rPr>
                <w:sz w:val="20"/>
                <w:szCs w:val="20"/>
                <w:shd w:val="clear" w:color="auto" w:fill="FFFFFF"/>
              </w:rPr>
              <w:t xml:space="preserve"> </w:t>
            </w:r>
            <w:proofErr w:type="spellStart"/>
            <w:r w:rsidRPr="00074769">
              <w:rPr>
                <w:sz w:val="20"/>
                <w:szCs w:val="20"/>
                <w:shd w:val="clear" w:color="auto" w:fill="FFFFFF"/>
              </w:rPr>
              <w:t>național</w:t>
            </w:r>
            <w:proofErr w:type="spellEnd"/>
            <w:r w:rsidRPr="00074769">
              <w:rPr>
                <w:sz w:val="20"/>
                <w:szCs w:val="20"/>
                <w:shd w:val="clear" w:color="auto" w:fill="FFFFFF"/>
              </w:rPr>
              <w:t xml:space="preserve">,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sprijinul</w:t>
            </w:r>
            <w:proofErr w:type="spellEnd"/>
            <w:r w:rsidRPr="00074769">
              <w:rPr>
                <w:sz w:val="20"/>
                <w:szCs w:val="20"/>
                <w:shd w:val="clear" w:color="auto" w:fill="FFFFFF"/>
              </w:rPr>
              <w:t xml:space="preserve"> </w:t>
            </w:r>
            <w:proofErr w:type="spellStart"/>
            <w:r w:rsidRPr="00074769">
              <w:rPr>
                <w:sz w:val="20"/>
                <w:szCs w:val="20"/>
                <w:shd w:val="clear" w:color="auto" w:fill="FFFFFF"/>
              </w:rPr>
              <w:t>acordat</w:t>
            </w:r>
            <w:proofErr w:type="spellEnd"/>
            <w:r w:rsidRPr="00074769">
              <w:rPr>
                <w:sz w:val="20"/>
                <w:szCs w:val="20"/>
                <w:shd w:val="clear" w:color="auto" w:fill="FFFFFF"/>
              </w:rPr>
              <w:t xml:space="preserve"> de </w:t>
            </w:r>
            <w:proofErr w:type="spellStart"/>
            <w:r w:rsidRPr="00074769">
              <w:rPr>
                <w:sz w:val="20"/>
                <w:szCs w:val="20"/>
                <w:shd w:val="clear" w:color="auto" w:fill="FFFFFF"/>
              </w:rPr>
              <w:t>Uniune</w:t>
            </w:r>
            <w:proofErr w:type="spellEnd"/>
            <w:r w:rsidRPr="00074769">
              <w:rPr>
                <w:sz w:val="20"/>
                <w:szCs w:val="20"/>
                <w:shd w:val="clear" w:color="auto" w:fill="FFFFFF"/>
              </w:rPr>
              <w:t xml:space="preserve"> și </w:t>
            </w:r>
            <w:proofErr w:type="spellStart"/>
            <w:r w:rsidRPr="00074769">
              <w:rPr>
                <w:sz w:val="20"/>
                <w:szCs w:val="20"/>
                <w:shd w:val="clear" w:color="auto" w:fill="FFFFFF"/>
              </w:rPr>
              <w:t>utilizarea</w:t>
            </w:r>
            <w:proofErr w:type="spellEnd"/>
            <w:r w:rsidRPr="00074769">
              <w:rPr>
                <w:sz w:val="20"/>
                <w:szCs w:val="20"/>
                <w:shd w:val="clear" w:color="auto" w:fill="FFFFFF"/>
              </w:rPr>
              <w:t xml:space="preserve"> </w:t>
            </w:r>
            <w:proofErr w:type="spellStart"/>
            <w:r w:rsidRPr="00074769">
              <w:rPr>
                <w:sz w:val="20"/>
                <w:szCs w:val="20"/>
                <w:shd w:val="clear" w:color="auto" w:fill="FFFFFF"/>
              </w:rPr>
              <w:t>fondurilor</w:t>
            </w:r>
            <w:proofErr w:type="spellEnd"/>
            <w:r w:rsidRPr="00074769">
              <w:rPr>
                <w:sz w:val="20"/>
                <w:szCs w:val="20"/>
                <w:shd w:val="clear" w:color="auto" w:fill="FFFFFF"/>
              </w:rPr>
              <w:t xml:space="preserve"> </w:t>
            </w:r>
            <w:proofErr w:type="spellStart"/>
            <w:r w:rsidRPr="00074769">
              <w:rPr>
                <w:sz w:val="20"/>
                <w:szCs w:val="20"/>
                <w:shd w:val="clear" w:color="auto" w:fill="FFFFFF"/>
              </w:rPr>
              <w:t>Uniunii</w:t>
            </w:r>
            <w:proofErr w:type="spellEnd"/>
          </w:p>
          <w:p w14:paraId="17808103" w14:textId="1DA7625A"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3.4.</w:t>
            </w:r>
            <w:proofErr w:type="gramStart"/>
            <w:r w:rsidRPr="00074769">
              <w:rPr>
                <w:b/>
                <w:bCs/>
                <w:color w:val="333333"/>
                <w:sz w:val="20"/>
                <w:szCs w:val="20"/>
                <w:shd w:val="clear" w:color="auto" w:fill="FFFFFF"/>
              </w:rPr>
              <w:t>3.Integrarea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piețelor</w:t>
            </w:r>
            <w:proofErr w:type="spellEnd"/>
          </w:p>
          <w:p w14:paraId="3974E718" w14:textId="1EE7090B" w:rsidR="008F5636" w:rsidRPr="00074769" w:rsidRDefault="008F5636" w:rsidP="000C5A3B">
            <w:pPr>
              <w:pStyle w:val="ti-grseq-1"/>
              <w:numPr>
                <w:ilvl w:val="0"/>
                <w:numId w:val="27"/>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elementele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stabilite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2.4.3</w:t>
            </w:r>
          </w:p>
          <w:p w14:paraId="2052B1A8" w14:textId="22EC774A" w:rsidR="008F5636" w:rsidRPr="00074769" w:rsidRDefault="008F5636" w:rsidP="000C5A3B">
            <w:pPr>
              <w:pStyle w:val="ti-grseq-1"/>
              <w:numPr>
                <w:ilvl w:val="0"/>
                <w:numId w:val="27"/>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sporire</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flexibilității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sistemului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producția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din</w:t>
            </w:r>
            <w:proofErr w:type="spellEnd"/>
            <w:r w:rsidRPr="00074769">
              <w:rPr>
                <w:sz w:val="20"/>
                <w:szCs w:val="20"/>
                <w:shd w:val="clear" w:color="auto" w:fill="FFFFFF"/>
                <w:lang w:val="fr-FR"/>
              </w:rPr>
              <w:t xml:space="preserve"> surse </w:t>
            </w:r>
            <w:proofErr w:type="spellStart"/>
            <w:r w:rsidRPr="00074769">
              <w:rPr>
                <w:sz w:val="20"/>
                <w:szCs w:val="20"/>
                <w:shd w:val="clear" w:color="auto" w:fill="FFFFFF"/>
                <w:lang w:val="fr-FR"/>
              </w:rPr>
              <w:t>regenerabile</w:t>
            </w:r>
            <w:proofErr w:type="spellEnd"/>
            <w:r w:rsidRPr="00074769">
              <w:rPr>
                <w:sz w:val="20"/>
                <w:szCs w:val="20"/>
                <w:shd w:val="clear" w:color="auto" w:fill="FFFFFF"/>
                <w:lang w:val="fr-FR"/>
              </w:rPr>
              <w:t xml:space="preserve">, cum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rețelele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inteligente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agregarea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participarea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activă</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cererii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stocarea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producerea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distribuită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mecanismele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dispecerizare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redispecerizare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limitare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semnalele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preț</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timp</w:t>
            </w:r>
            <w:proofErr w:type="spellEnd"/>
            <w:r w:rsidRPr="00074769">
              <w:rPr>
                <w:sz w:val="20"/>
                <w:szCs w:val="20"/>
                <w:shd w:val="clear" w:color="auto" w:fill="FFFFFF"/>
                <w:lang w:val="fr-FR"/>
              </w:rPr>
              <w:t xml:space="preserve"> real,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introducerea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cuplării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piețelor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intrazilnice</w:t>
            </w:r>
            <w:proofErr w:type="spellEnd"/>
            <w:r w:rsidRPr="00074769">
              <w:rPr>
                <w:sz w:val="20"/>
                <w:szCs w:val="20"/>
                <w:shd w:val="clear" w:color="auto" w:fill="FFFFFF"/>
                <w:lang w:val="fr-FR"/>
              </w:rPr>
              <w:t xml:space="preserve"> și a </w:t>
            </w:r>
            <w:proofErr w:type="spellStart"/>
            <w:r w:rsidRPr="00074769">
              <w:rPr>
                <w:sz w:val="20"/>
                <w:szCs w:val="20"/>
                <w:shd w:val="clear" w:color="auto" w:fill="FFFFFF"/>
                <w:lang w:val="fr-FR"/>
              </w:rPr>
              <w:t>piețelor</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echilibrare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transfrontaliere</w:t>
            </w:r>
            <w:proofErr w:type="spellEnd"/>
          </w:p>
          <w:p w14:paraId="64A9207B" w14:textId="4C131816" w:rsidR="008F5636" w:rsidRPr="00074769" w:rsidRDefault="008F5636" w:rsidP="000C5A3B">
            <w:pPr>
              <w:pStyle w:val="ti-grseq-1"/>
              <w:numPr>
                <w:ilvl w:val="0"/>
                <w:numId w:val="27"/>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asigurare</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participării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nediscriminatorii</w:t>
            </w:r>
            <w:proofErr w:type="spellEnd"/>
            <w:r w:rsidRPr="00074769">
              <w:rPr>
                <w:sz w:val="20"/>
                <w:szCs w:val="20"/>
                <w:shd w:val="clear" w:color="auto" w:fill="FFFFFF"/>
                <w:lang w:val="fr-FR"/>
              </w:rPr>
              <w:t xml:space="preserve"> a energiei </w:t>
            </w:r>
            <w:proofErr w:type="spellStart"/>
            <w:r w:rsidRPr="00074769">
              <w:rPr>
                <w:sz w:val="20"/>
                <w:szCs w:val="20"/>
                <w:shd w:val="clear" w:color="auto" w:fill="FFFFFF"/>
                <w:lang w:val="fr-FR"/>
              </w:rPr>
              <w:t>din</w:t>
            </w:r>
            <w:proofErr w:type="spellEnd"/>
            <w:r w:rsidRPr="00074769">
              <w:rPr>
                <w:sz w:val="20"/>
                <w:szCs w:val="20"/>
                <w:shd w:val="clear" w:color="auto" w:fill="FFFFFF"/>
                <w:lang w:val="fr-FR"/>
              </w:rPr>
              <w:t xml:space="preserve"> surse </w:t>
            </w:r>
            <w:proofErr w:type="spellStart"/>
            <w:r w:rsidRPr="00074769">
              <w:rPr>
                <w:sz w:val="20"/>
                <w:szCs w:val="20"/>
                <w:shd w:val="clear" w:color="auto" w:fill="FFFFFF"/>
                <w:lang w:val="fr-FR"/>
              </w:rPr>
              <w:t>regenerabile</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participării</w:t>
            </w:r>
            <w:proofErr w:type="spellEnd"/>
            <w:r w:rsidRPr="00074769">
              <w:rPr>
                <w:sz w:val="20"/>
                <w:szCs w:val="20"/>
                <w:shd w:val="clear" w:color="auto" w:fill="FFFFFF"/>
                <w:lang w:val="fr-FR"/>
              </w:rPr>
              <w:t xml:space="preserve"> active a </w:t>
            </w:r>
            <w:proofErr w:type="spellStart"/>
            <w:r w:rsidRPr="00074769">
              <w:rPr>
                <w:sz w:val="20"/>
                <w:szCs w:val="20"/>
                <w:shd w:val="clear" w:color="auto" w:fill="FFFFFF"/>
                <w:lang w:val="fr-FR"/>
              </w:rPr>
              <w:t>cererii</w:t>
            </w:r>
            <w:proofErr w:type="spellEnd"/>
            <w:r w:rsidRPr="00074769">
              <w:rPr>
                <w:sz w:val="20"/>
                <w:szCs w:val="20"/>
                <w:shd w:val="clear" w:color="auto" w:fill="FFFFFF"/>
                <w:lang w:val="fr-FR"/>
              </w:rPr>
              <w:t xml:space="preserve"> și a </w:t>
            </w:r>
            <w:proofErr w:type="spellStart"/>
            <w:r w:rsidRPr="00074769">
              <w:rPr>
                <w:sz w:val="20"/>
                <w:szCs w:val="20"/>
                <w:shd w:val="clear" w:color="auto" w:fill="FFFFFF"/>
                <w:lang w:val="fr-FR"/>
              </w:rPr>
              <w:t>stocării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agregare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toate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piețele</w:t>
            </w:r>
            <w:proofErr w:type="spellEnd"/>
            <w:r w:rsidRPr="00074769">
              <w:rPr>
                <w:sz w:val="20"/>
                <w:szCs w:val="20"/>
                <w:shd w:val="clear" w:color="auto" w:fill="FFFFFF"/>
                <w:lang w:val="fr-FR"/>
              </w:rPr>
              <w:t xml:space="preserve"> energiei</w:t>
            </w:r>
          </w:p>
          <w:p w14:paraId="138FD524" w14:textId="0F3DDA07" w:rsidR="008F5636" w:rsidRPr="00074769" w:rsidRDefault="008F5636" w:rsidP="000C5A3B">
            <w:pPr>
              <w:pStyle w:val="ti-grseq-1"/>
              <w:numPr>
                <w:ilvl w:val="0"/>
                <w:numId w:val="27"/>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protejarea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consumatorilor</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special</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consumatorilor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vulnerabili</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celor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afectați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sărăcia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energetică</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îmbunătățirea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competitivității</w:t>
            </w:r>
            <w:proofErr w:type="spellEnd"/>
            <w:r w:rsidRPr="00074769">
              <w:rPr>
                <w:sz w:val="20"/>
                <w:szCs w:val="20"/>
                <w:shd w:val="clear" w:color="auto" w:fill="FFFFFF"/>
                <w:lang w:val="fr-FR"/>
              </w:rPr>
              <w:t xml:space="preserve"> și a </w:t>
            </w:r>
            <w:proofErr w:type="spellStart"/>
            <w:r w:rsidRPr="00074769">
              <w:rPr>
                <w:sz w:val="20"/>
                <w:szCs w:val="20"/>
                <w:shd w:val="clear" w:color="auto" w:fill="FFFFFF"/>
                <w:lang w:val="fr-FR"/>
              </w:rPr>
              <w:t>contestabilității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pieței</w:t>
            </w:r>
            <w:proofErr w:type="spellEnd"/>
            <w:r w:rsidRPr="00074769">
              <w:rPr>
                <w:sz w:val="20"/>
                <w:szCs w:val="20"/>
                <w:shd w:val="clear" w:color="auto" w:fill="FFFFFF"/>
                <w:lang w:val="fr-FR"/>
              </w:rPr>
              <w:t xml:space="preserve"> energiei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amănuntul</w:t>
            </w:r>
            <w:proofErr w:type="spellEnd"/>
          </w:p>
          <w:p w14:paraId="52E1F3AB" w14:textId="26908FFD" w:rsidR="008F5636" w:rsidRPr="00074769" w:rsidRDefault="008F5636" w:rsidP="000C5A3B">
            <w:pPr>
              <w:pStyle w:val="ti-grseq-1"/>
              <w:numPr>
                <w:ilvl w:val="0"/>
                <w:numId w:val="27"/>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Descrierea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permiterea</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dezvoltarea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participării</w:t>
            </w:r>
            <w:proofErr w:type="spellEnd"/>
            <w:r w:rsidRPr="00074769">
              <w:rPr>
                <w:sz w:val="20"/>
                <w:szCs w:val="20"/>
                <w:shd w:val="clear" w:color="auto" w:fill="FFFFFF"/>
                <w:lang w:val="fr-FR"/>
              </w:rPr>
              <w:t xml:space="preserve"> active </w:t>
            </w:r>
            <w:proofErr w:type="spellStart"/>
            <w:r w:rsidRPr="00074769">
              <w:rPr>
                <w:sz w:val="20"/>
                <w:szCs w:val="20"/>
                <w:shd w:val="clear" w:color="auto" w:fill="FFFFFF"/>
                <w:lang w:val="fr-FR"/>
              </w:rPr>
              <w:t>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cererii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celor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tarife care </w:t>
            </w:r>
            <w:proofErr w:type="spellStart"/>
            <w:r w:rsidRPr="00074769">
              <w:rPr>
                <w:sz w:val="20"/>
                <w:szCs w:val="20"/>
                <w:shd w:val="clear" w:color="auto" w:fill="FFFFFF"/>
                <w:lang w:val="fr-FR"/>
              </w:rPr>
              <w:t>să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sprijine</w:t>
            </w:r>
            <w:proofErr w:type="spellEnd"/>
            <w:r w:rsidRPr="00074769">
              <w:rPr>
                <w:sz w:val="20"/>
                <w:szCs w:val="20"/>
                <w:shd w:val="clear" w:color="auto" w:fill="FFFFFF"/>
                <w:lang w:val="fr-FR"/>
              </w:rPr>
              <w:t xml:space="preserve"> o </w:t>
            </w:r>
            <w:proofErr w:type="spellStart"/>
            <w:r w:rsidRPr="00074769">
              <w:rPr>
                <w:sz w:val="20"/>
                <w:szCs w:val="20"/>
                <w:shd w:val="clear" w:color="auto" w:fill="FFFFFF"/>
                <w:lang w:val="fr-FR"/>
              </w:rPr>
              <w:t>stabilire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dinamică</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prețurilor</w:t>
            </w:r>
            <w:proofErr w:type="spellEnd"/>
            <w:r w:rsidRPr="00074769">
              <w:rPr>
                <w:sz w:val="20"/>
                <w:szCs w:val="20"/>
                <w:shd w:val="clear" w:color="auto" w:fill="FFFFFF"/>
                <w:lang w:val="fr-FR"/>
              </w:rPr>
              <w:t xml:space="preserve"> </w:t>
            </w:r>
            <w:hyperlink r:id="rId69" w:anchor="ntr15-L_2018328RO.01004701-E0015" w:history="1">
              <w:r w:rsidRPr="00074769">
                <w:rPr>
                  <w:rStyle w:val="af6"/>
                  <w:color w:val="auto"/>
                  <w:sz w:val="20"/>
                  <w:szCs w:val="20"/>
                  <w:shd w:val="clear" w:color="auto" w:fill="FFFFFF"/>
                  <w:lang w:val="fr-FR"/>
                </w:rPr>
                <w:t>(</w:t>
              </w:r>
              <w:r w:rsidRPr="00074769">
                <w:rPr>
                  <w:rStyle w:val="super"/>
                  <w:sz w:val="20"/>
                  <w:szCs w:val="20"/>
                  <w:shd w:val="clear" w:color="auto" w:fill="FFFFFF"/>
                  <w:vertAlign w:val="superscript"/>
                  <w:lang w:val="fr-FR"/>
                </w:rPr>
                <w:t>15</w:t>
              </w:r>
              <w:r w:rsidRPr="00074769">
                <w:rPr>
                  <w:rStyle w:val="af6"/>
                  <w:color w:val="auto"/>
                  <w:sz w:val="20"/>
                  <w:szCs w:val="20"/>
                  <w:shd w:val="clear" w:color="auto" w:fill="FFFFFF"/>
                  <w:lang w:val="fr-FR"/>
                </w:rPr>
                <w:t>)</w:t>
              </w:r>
            </w:hyperlink>
          </w:p>
          <w:p w14:paraId="12F0A24C" w14:textId="2610CF6B" w:rsidR="008F5636" w:rsidRPr="00074769" w:rsidRDefault="008F5636" w:rsidP="008F5636">
            <w:pPr>
              <w:pStyle w:val="ti-grseq-1"/>
              <w:shd w:val="clear" w:color="auto" w:fill="FFFFFF"/>
              <w:spacing w:before="0" w:beforeAutospacing="0" w:after="0" w:afterAutospacing="0"/>
              <w:ind w:left="360"/>
              <w:jc w:val="both"/>
              <w:rPr>
                <w:b/>
                <w:bCs/>
                <w:color w:val="333333"/>
                <w:sz w:val="20"/>
                <w:szCs w:val="20"/>
                <w:shd w:val="clear" w:color="auto" w:fill="FFFFFF"/>
              </w:rPr>
            </w:pPr>
            <w:r w:rsidRPr="00074769">
              <w:rPr>
                <w:b/>
                <w:bCs/>
                <w:color w:val="333333"/>
                <w:sz w:val="20"/>
                <w:szCs w:val="20"/>
                <w:shd w:val="clear" w:color="auto" w:fill="FFFFFF"/>
              </w:rPr>
              <w:t>3.4.</w:t>
            </w:r>
            <w:proofErr w:type="gramStart"/>
            <w:r w:rsidRPr="00074769">
              <w:rPr>
                <w:b/>
                <w:bCs/>
                <w:color w:val="333333"/>
                <w:sz w:val="20"/>
                <w:szCs w:val="20"/>
                <w:shd w:val="clear" w:color="auto" w:fill="FFFFFF"/>
              </w:rPr>
              <w:t>4.Sărăcia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p>
          <w:p w14:paraId="6DF20C7E" w14:textId="1EBC99A6" w:rsidR="008F5636" w:rsidRPr="00074769" w:rsidRDefault="008F5636" w:rsidP="000C5A3B">
            <w:pPr>
              <w:pStyle w:val="ti-grseq-1"/>
              <w:numPr>
                <w:ilvl w:val="0"/>
                <w:numId w:val="28"/>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atingerea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obiectivelor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stabilite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2.4.4</w:t>
            </w:r>
          </w:p>
          <w:p w14:paraId="445F3272" w14:textId="7FB25214"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3.</w:t>
            </w:r>
            <w:proofErr w:type="gramStart"/>
            <w:r w:rsidRPr="00074769">
              <w:rPr>
                <w:b/>
                <w:bCs/>
                <w:color w:val="333333"/>
                <w:sz w:val="20"/>
                <w:szCs w:val="20"/>
                <w:shd w:val="clear" w:color="auto" w:fill="FFFFFF"/>
                <w:lang w:val="fr-FR"/>
              </w:rPr>
              <w:t>5.Dimensiunea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cercetare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inovare</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competitivitate</w:t>
            </w:r>
            <w:proofErr w:type="spellEnd"/>
            <w:r w:rsidRPr="00074769">
              <w:rPr>
                <w:b/>
                <w:bCs/>
                <w:color w:val="333333"/>
                <w:sz w:val="20"/>
                <w:szCs w:val="20"/>
                <w:shd w:val="clear" w:color="auto" w:fill="FFFFFF"/>
                <w:lang w:val="fr-FR"/>
              </w:rPr>
              <w:t>”</w:t>
            </w:r>
          </w:p>
          <w:p w14:paraId="7703C831" w14:textId="2B28E847" w:rsidR="008F5636" w:rsidRPr="00074769" w:rsidRDefault="008F5636" w:rsidP="000C5A3B">
            <w:pPr>
              <w:pStyle w:val="ti-grseq-1"/>
              <w:numPr>
                <w:ilvl w:val="0"/>
                <w:numId w:val="29"/>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elementele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stabilite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punctul</w:t>
            </w:r>
            <w:proofErr w:type="spellEnd"/>
            <w:r w:rsidRPr="00074769">
              <w:rPr>
                <w:sz w:val="20"/>
                <w:szCs w:val="20"/>
                <w:shd w:val="clear" w:color="auto" w:fill="FFFFFF"/>
                <w:lang w:val="fr-FR"/>
              </w:rPr>
              <w:t xml:space="preserve"> 2.5</w:t>
            </w:r>
          </w:p>
          <w:p w14:paraId="5B63A423" w14:textId="6DA2161B" w:rsidR="008F5636" w:rsidRPr="00074769" w:rsidRDefault="008F5636" w:rsidP="000C5A3B">
            <w:pPr>
              <w:pStyle w:val="ti-grseq-1"/>
              <w:numPr>
                <w:ilvl w:val="0"/>
                <w:numId w:val="29"/>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cooperarea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alte</w:t>
            </w:r>
            <w:proofErr w:type="spellEnd"/>
            <w:r w:rsidRPr="00074769">
              <w:rPr>
                <w:sz w:val="20"/>
                <w:szCs w:val="20"/>
                <w:shd w:val="clear" w:color="auto" w:fill="FFFFFF"/>
                <w:lang w:val="fr-FR"/>
              </w:rPr>
              <w:t xml:space="preserve"> state membre în </w:t>
            </w:r>
            <w:proofErr w:type="spellStart"/>
            <w:r w:rsidRPr="00074769">
              <w:rPr>
                <w:sz w:val="20"/>
                <w:szCs w:val="20"/>
                <w:shd w:val="clear" w:color="auto" w:fill="FFFFFF"/>
                <w:lang w:val="fr-FR"/>
              </w:rPr>
              <w:t>acest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domeniu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după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caz</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informații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privind</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modul</w:t>
            </w:r>
            <w:proofErr w:type="spellEnd"/>
            <w:r w:rsidRPr="00074769">
              <w:rPr>
                <w:sz w:val="20"/>
                <w:szCs w:val="20"/>
                <w:shd w:val="clear" w:color="auto" w:fill="FFFFFF"/>
                <w:lang w:val="fr-FR"/>
              </w:rPr>
              <w:t xml:space="preserve"> în care </w:t>
            </w:r>
            <w:proofErr w:type="spellStart"/>
            <w:r w:rsidRPr="00074769">
              <w:rPr>
                <w:sz w:val="20"/>
                <w:szCs w:val="20"/>
                <w:shd w:val="clear" w:color="auto" w:fill="FFFFFF"/>
                <w:lang w:val="fr-FR"/>
              </w:rPr>
              <w:t>obiectivele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Planului</w:t>
            </w:r>
            <w:proofErr w:type="spellEnd"/>
            <w:r w:rsidRPr="00074769">
              <w:rPr>
                <w:sz w:val="20"/>
                <w:szCs w:val="20"/>
                <w:shd w:val="clear" w:color="auto" w:fill="FFFFFF"/>
                <w:lang w:val="fr-FR"/>
              </w:rPr>
              <w:t xml:space="preserve"> SET </w:t>
            </w:r>
            <w:proofErr w:type="spellStart"/>
            <w:r w:rsidRPr="00074769">
              <w:rPr>
                <w:sz w:val="20"/>
                <w:szCs w:val="20"/>
                <w:shd w:val="clear" w:color="auto" w:fill="FFFFFF"/>
                <w:lang w:val="fr-FR"/>
              </w:rPr>
              <w:t>sunt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transpuse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context</w:t>
            </w:r>
            <w:proofErr w:type="spellEnd"/>
            <w:r w:rsidRPr="00074769">
              <w:rPr>
                <w:sz w:val="20"/>
                <w:szCs w:val="20"/>
                <w:shd w:val="clear" w:color="auto" w:fill="FFFFFF"/>
                <w:lang w:val="fr-FR"/>
              </w:rPr>
              <w:t xml:space="preserve"> national</w:t>
            </w:r>
          </w:p>
          <w:p w14:paraId="6EB3A81E" w14:textId="62D50BBA" w:rsidR="008F5636" w:rsidRPr="00074769" w:rsidRDefault="008F5636" w:rsidP="000C5A3B">
            <w:pPr>
              <w:pStyle w:val="ti-grseq-1"/>
              <w:numPr>
                <w:ilvl w:val="0"/>
                <w:numId w:val="29"/>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Dacă</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finanțare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acest</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domeniu</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nivel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sprijinul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acordat</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Uniune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utilizarea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fondurilor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Uniunii</w:t>
            </w:r>
            <w:proofErr w:type="spellEnd"/>
          </w:p>
          <w:p w14:paraId="7565FF2F" w14:textId="1A9FE4A7"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fr-FR"/>
              </w:rPr>
              <w:t xml:space="preserve">SECȚIUNEA </w:t>
            </w:r>
            <w:proofErr w:type="gramStart"/>
            <w:r w:rsidRPr="00074769">
              <w:rPr>
                <w:b/>
                <w:bCs/>
                <w:color w:val="333333"/>
                <w:sz w:val="20"/>
                <w:szCs w:val="20"/>
                <w:lang w:val="fr-FR"/>
              </w:rPr>
              <w:t>B:</w:t>
            </w:r>
            <w:proofErr w:type="gramEnd"/>
            <w:r w:rsidRPr="00074769">
              <w:rPr>
                <w:b/>
                <w:bCs/>
                <w:color w:val="333333"/>
                <w:sz w:val="20"/>
                <w:szCs w:val="20"/>
                <w:lang w:val="fr-FR"/>
              </w:rPr>
              <w:t xml:space="preserve"> BAZA ANALITICĂ </w:t>
            </w:r>
            <w:hyperlink r:id="rId70" w:anchor="ntr16-L_2018328RO.01004701-E0016" w:history="1">
              <w:r w:rsidRPr="00074769">
                <w:rPr>
                  <w:rStyle w:val="af6"/>
                  <w:b/>
                  <w:bCs/>
                  <w:color w:val="337AB7"/>
                  <w:sz w:val="20"/>
                  <w:szCs w:val="20"/>
                  <w:lang w:val="fr-FR"/>
                </w:rPr>
                <w:t>(</w:t>
              </w:r>
              <w:r w:rsidRPr="00074769">
                <w:rPr>
                  <w:rStyle w:val="super"/>
                  <w:b/>
                  <w:bCs/>
                  <w:color w:val="337AB7"/>
                  <w:sz w:val="20"/>
                  <w:szCs w:val="20"/>
                  <w:vertAlign w:val="superscript"/>
                  <w:lang w:val="fr-FR"/>
                </w:rPr>
                <w:t>16</w:t>
              </w:r>
              <w:r w:rsidRPr="00074769">
                <w:rPr>
                  <w:rStyle w:val="af6"/>
                  <w:b/>
                  <w:bCs/>
                  <w:color w:val="337AB7"/>
                  <w:sz w:val="20"/>
                  <w:szCs w:val="20"/>
                  <w:lang w:val="fr-FR"/>
                </w:rPr>
                <w:t>)</w:t>
              </w:r>
            </w:hyperlink>
          </w:p>
          <w:p w14:paraId="64FBB59E" w14:textId="529372A2"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ro-MD"/>
              </w:rPr>
              <w:t>4.SITUAȚIA ACTUALĂ ȘI PROGNOZE ÎN CONTEXTUL POLITICILOR ȘI MĂSURILOR EXISTENTE</w:t>
            </w:r>
            <w:hyperlink r:id="rId71" w:anchor="ntr17-L_2018328RO.01004701-E0017" w:history="1">
              <w:r w:rsidRPr="00074769">
                <w:rPr>
                  <w:rStyle w:val="af6"/>
                  <w:b/>
                  <w:bCs/>
                  <w:color w:val="337AB7"/>
                  <w:sz w:val="20"/>
                  <w:szCs w:val="20"/>
                  <w:lang w:val="ro-MD"/>
                </w:rPr>
                <w:t>(</w:t>
              </w:r>
              <w:r w:rsidRPr="00074769">
                <w:rPr>
                  <w:rStyle w:val="super"/>
                  <w:b/>
                  <w:bCs/>
                  <w:color w:val="337AB7"/>
                  <w:sz w:val="20"/>
                  <w:szCs w:val="20"/>
                  <w:vertAlign w:val="superscript"/>
                  <w:lang w:val="ro-MD"/>
                </w:rPr>
                <w:t>17</w:t>
              </w:r>
              <w:r w:rsidRPr="00074769">
                <w:rPr>
                  <w:rStyle w:val="af6"/>
                  <w:b/>
                  <w:bCs/>
                  <w:color w:val="337AB7"/>
                  <w:sz w:val="20"/>
                  <w:szCs w:val="20"/>
                  <w:lang w:val="ro-MD"/>
                </w:rPr>
                <w:t>)</w:t>
              </w:r>
            </w:hyperlink>
            <w:r w:rsidRPr="00074769">
              <w:rPr>
                <w:b/>
                <w:bCs/>
                <w:color w:val="333333"/>
                <w:sz w:val="20"/>
                <w:szCs w:val="20"/>
                <w:lang w:val="ro-MD"/>
              </w:rPr>
              <w:t>,</w:t>
            </w:r>
            <w:hyperlink r:id="rId72" w:anchor="ntr18-L_2018328RO.01004701-E0018" w:history="1">
              <w:r w:rsidRPr="00074769">
                <w:rPr>
                  <w:rStyle w:val="af6"/>
                  <w:b/>
                  <w:bCs/>
                  <w:color w:val="337AB7"/>
                  <w:sz w:val="20"/>
                  <w:szCs w:val="20"/>
                  <w:lang w:val="ro-MD"/>
                </w:rPr>
                <w:t>(</w:t>
              </w:r>
              <w:r w:rsidRPr="00074769">
                <w:rPr>
                  <w:rStyle w:val="super"/>
                  <w:b/>
                  <w:bCs/>
                  <w:color w:val="337AB7"/>
                  <w:sz w:val="20"/>
                  <w:szCs w:val="20"/>
                  <w:vertAlign w:val="superscript"/>
                  <w:lang w:val="ro-MD"/>
                </w:rPr>
                <w:t>18</w:t>
              </w:r>
              <w:r w:rsidRPr="00074769">
                <w:rPr>
                  <w:rStyle w:val="af6"/>
                  <w:b/>
                  <w:bCs/>
                  <w:color w:val="337AB7"/>
                  <w:sz w:val="20"/>
                  <w:szCs w:val="20"/>
                  <w:lang w:val="ro-MD"/>
                </w:rPr>
                <w:t>)</w:t>
              </w:r>
            </w:hyperlink>
          </w:p>
          <w:p w14:paraId="27735EDE" w14:textId="436D4431"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ro-MD"/>
              </w:rPr>
              <w:lastRenderedPageBreak/>
              <w:t>4.1.Evoluția prognozată a principalilor factori exogeni care influențează sistemul energetic și evoluțiile emisiilor de GES</w:t>
            </w:r>
          </w:p>
          <w:p w14:paraId="0DE2F4B1" w14:textId="233D56DE" w:rsidR="008F5636" w:rsidRPr="00074769" w:rsidRDefault="008F5636" w:rsidP="000C5A3B">
            <w:pPr>
              <w:pStyle w:val="Normal4"/>
              <w:numPr>
                <w:ilvl w:val="0"/>
                <w:numId w:val="30"/>
              </w:numPr>
              <w:spacing w:before="0" w:beforeAutospacing="0" w:after="0" w:afterAutospacing="0"/>
              <w:jc w:val="both"/>
              <w:rPr>
                <w:color w:val="333333"/>
                <w:sz w:val="20"/>
                <w:szCs w:val="20"/>
              </w:rPr>
            </w:pPr>
            <w:r w:rsidRPr="00074769">
              <w:rPr>
                <w:color w:val="333333"/>
                <w:sz w:val="20"/>
                <w:szCs w:val="20"/>
              </w:rPr>
              <w:t>Previziuni macroeconomice (PIB și creșterea populației)</w:t>
            </w:r>
          </w:p>
          <w:p w14:paraId="033A5872" w14:textId="0E6A4D57" w:rsidR="008F5636" w:rsidRPr="00074769" w:rsidRDefault="008F5636" w:rsidP="000C5A3B">
            <w:pPr>
              <w:pStyle w:val="Normal4"/>
              <w:numPr>
                <w:ilvl w:val="0"/>
                <w:numId w:val="30"/>
              </w:numPr>
              <w:spacing w:before="0" w:beforeAutospacing="0" w:after="0" w:afterAutospacing="0"/>
              <w:jc w:val="both"/>
              <w:rPr>
                <w:color w:val="333333"/>
                <w:sz w:val="20"/>
                <w:szCs w:val="20"/>
                <w:shd w:val="clear" w:color="auto" w:fill="FFFFFF"/>
              </w:rPr>
            </w:pPr>
            <w:r w:rsidRPr="00074769">
              <w:rPr>
                <w:color w:val="333333"/>
                <w:sz w:val="20"/>
                <w:szCs w:val="20"/>
                <w:shd w:val="clear" w:color="auto" w:fill="FFFFFF"/>
              </w:rPr>
              <w:t>Modificări sectoriale care sunt preconizate să aibă un impact asupra sistemului energetic și a emisiilor de GES</w:t>
            </w:r>
          </w:p>
          <w:p w14:paraId="1F25BC3B" w14:textId="54C00BCE" w:rsidR="008F5636" w:rsidRPr="00074769" w:rsidRDefault="008F5636" w:rsidP="000C5A3B">
            <w:pPr>
              <w:pStyle w:val="Normal4"/>
              <w:numPr>
                <w:ilvl w:val="0"/>
                <w:numId w:val="30"/>
              </w:numPr>
              <w:spacing w:before="0" w:beforeAutospacing="0" w:after="0" w:afterAutospacing="0"/>
              <w:jc w:val="both"/>
              <w:rPr>
                <w:color w:val="333333"/>
                <w:sz w:val="20"/>
                <w:szCs w:val="20"/>
                <w:shd w:val="clear" w:color="auto" w:fill="FFFFFF"/>
              </w:rPr>
            </w:pPr>
            <w:r w:rsidRPr="00074769">
              <w:rPr>
                <w:color w:val="333333"/>
                <w:sz w:val="20"/>
                <w:szCs w:val="20"/>
                <w:shd w:val="clear" w:color="auto" w:fill="FFFFFF"/>
              </w:rPr>
              <w:t>Tendințele energetice globale, prețurile combustibililor fosili la nivel internațional, prețul dioxidului de carbon în cadrul EU ETS</w:t>
            </w:r>
          </w:p>
          <w:p w14:paraId="6691BCC5" w14:textId="57BDCDB6" w:rsidR="008F5636" w:rsidRPr="00074769" w:rsidRDefault="008F5636" w:rsidP="000C5A3B">
            <w:pPr>
              <w:pStyle w:val="Normal4"/>
              <w:numPr>
                <w:ilvl w:val="0"/>
                <w:numId w:val="30"/>
              </w:numPr>
              <w:spacing w:before="0" w:beforeAutospacing="0" w:after="0" w:afterAutospacing="0"/>
              <w:jc w:val="both"/>
              <w:rPr>
                <w:color w:val="333333"/>
                <w:sz w:val="20"/>
                <w:szCs w:val="20"/>
              </w:rPr>
            </w:pPr>
            <w:r w:rsidRPr="00074769">
              <w:rPr>
                <w:color w:val="333333"/>
                <w:sz w:val="20"/>
                <w:szCs w:val="20"/>
                <w:shd w:val="clear" w:color="auto" w:fill="FFFFFF"/>
              </w:rPr>
              <w:t>Evoluții ale costului tehnologiilor</w:t>
            </w:r>
          </w:p>
          <w:p w14:paraId="0AE0FA07" w14:textId="29ACB441"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fr-FR"/>
              </w:rPr>
              <w:t>4.</w:t>
            </w:r>
            <w:proofErr w:type="gramStart"/>
            <w:r w:rsidRPr="00074769">
              <w:rPr>
                <w:b/>
                <w:bCs/>
                <w:color w:val="333333"/>
                <w:sz w:val="20"/>
                <w:szCs w:val="20"/>
                <w:lang w:val="fr-FR"/>
              </w:rPr>
              <w:t>2.Dimensiunea</w:t>
            </w:r>
            <w:proofErr w:type="gramEnd"/>
            <w:r w:rsidRPr="00074769">
              <w:rPr>
                <w:b/>
                <w:bCs/>
                <w:color w:val="333333"/>
                <w:sz w:val="20"/>
                <w:szCs w:val="20"/>
                <w:lang w:val="fr-FR"/>
              </w:rPr>
              <w:t xml:space="preserve"> „</w:t>
            </w:r>
            <w:proofErr w:type="spellStart"/>
            <w:r w:rsidRPr="00074769">
              <w:rPr>
                <w:b/>
                <w:bCs/>
                <w:color w:val="333333"/>
                <w:sz w:val="20"/>
                <w:szCs w:val="20"/>
                <w:lang w:val="fr-FR"/>
              </w:rPr>
              <w:t>decarbonizare</w:t>
            </w:r>
            <w:proofErr w:type="spellEnd"/>
            <w:r w:rsidRPr="00074769">
              <w:rPr>
                <w:b/>
                <w:bCs/>
                <w:color w:val="333333"/>
                <w:sz w:val="20"/>
                <w:szCs w:val="20"/>
                <w:lang w:val="fr-FR"/>
              </w:rPr>
              <w:t>”</w:t>
            </w:r>
          </w:p>
          <w:p w14:paraId="73E4A5CC" w14:textId="39777364" w:rsidR="008F5636" w:rsidRPr="00074769" w:rsidRDefault="008F5636" w:rsidP="008F5636">
            <w:pPr>
              <w:pStyle w:val="ti-grseq-1"/>
              <w:shd w:val="clear" w:color="auto" w:fill="FFFFFF"/>
              <w:spacing w:before="0" w:beforeAutospacing="0" w:after="0" w:afterAutospacing="0"/>
              <w:jc w:val="both"/>
              <w:rPr>
                <w:b/>
                <w:bCs/>
                <w:color w:val="333333"/>
                <w:sz w:val="20"/>
                <w:szCs w:val="20"/>
                <w:lang w:val="fr-FR"/>
              </w:rPr>
            </w:pPr>
            <w:r w:rsidRPr="00074769">
              <w:rPr>
                <w:b/>
                <w:bCs/>
                <w:color w:val="333333"/>
                <w:sz w:val="20"/>
                <w:szCs w:val="20"/>
                <w:lang w:val="fr-FR"/>
              </w:rPr>
              <w:t>4.2.</w:t>
            </w:r>
            <w:proofErr w:type="gramStart"/>
            <w:r w:rsidRPr="00074769">
              <w:rPr>
                <w:b/>
                <w:bCs/>
                <w:color w:val="333333"/>
                <w:sz w:val="20"/>
                <w:szCs w:val="20"/>
                <w:lang w:val="fr-FR"/>
              </w:rPr>
              <w:t>1.Emisii</w:t>
            </w:r>
            <w:proofErr w:type="gramEnd"/>
            <w:r w:rsidRPr="00074769">
              <w:rPr>
                <w:b/>
                <w:bCs/>
                <w:color w:val="333333"/>
                <w:sz w:val="20"/>
                <w:szCs w:val="20"/>
                <w:lang w:val="fr-FR"/>
              </w:rPr>
              <w:t xml:space="preserve"> și </w:t>
            </w:r>
            <w:proofErr w:type="spellStart"/>
            <w:r w:rsidRPr="00074769">
              <w:rPr>
                <w:b/>
                <w:bCs/>
                <w:color w:val="333333"/>
                <w:sz w:val="20"/>
                <w:szCs w:val="20"/>
                <w:lang w:val="fr-FR"/>
              </w:rPr>
              <w:t>absorbții</w:t>
            </w:r>
            <w:proofErr w:type="spellEnd"/>
            <w:r w:rsidRPr="00074769">
              <w:rPr>
                <w:b/>
                <w:bCs/>
                <w:color w:val="333333"/>
                <w:sz w:val="20"/>
                <w:szCs w:val="20"/>
                <w:lang w:val="fr-FR"/>
              </w:rPr>
              <w:t xml:space="preserve"> de GES</w:t>
            </w:r>
          </w:p>
          <w:p w14:paraId="222FBB8F" w14:textId="2BFC5D62" w:rsidR="008F5636" w:rsidRPr="00074769" w:rsidRDefault="008F5636" w:rsidP="000C5A3B">
            <w:pPr>
              <w:pStyle w:val="ti-grseq-1"/>
              <w:numPr>
                <w:ilvl w:val="0"/>
                <w:numId w:val="31"/>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Tendințe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ceea</w:t>
            </w:r>
            <w:proofErr w:type="spellEnd"/>
            <w:r w:rsidRPr="00074769">
              <w:rPr>
                <w:sz w:val="20"/>
                <w:szCs w:val="20"/>
                <w:shd w:val="clear" w:color="auto" w:fill="FFFFFF"/>
                <w:lang w:val="fr-FR"/>
              </w:rPr>
              <w:t xml:space="preserve"> ce </w:t>
            </w:r>
            <w:proofErr w:type="spellStart"/>
            <w:r w:rsidRPr="00074769">
              <w:rPr>
                <w:sz w:val="20"/>
                <w:szCs w:val="20"/>
                <w:shd w:val="clear" w:color="auto" w:fill="FFFFFF"/>
                <w:lang w:val="fr-FR"/>
              </w:rPr>
              <w:t>privește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emisiile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absorbțiile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actuale</w:t>
            </w:r>
            <w:proofErr w:type="spellEnd"/>
            <w:r w:rsidRPr="00074769">
              <w:rPr>
                <w:sz w:val="20"/>
                <w:szCs w:val="20"/>
                <w:shd w:val="clear" w:color="auto" w:fill="FFFFFF"/>
                <w:lang w:val="fr-FR"/>
              </w:rPr>
              <w:t xml:space="preserve"> de GES în </w:t>
            </w:r>
            <w:proofErr w:type="spellStart"/>
            <w:r w:rsidRPr="00074769">
              <w:rPr>
                <w:sz w:val="20"/>
                <w:szCs w:val="20"/>
                <w:shd w:val="clear" w:color="auto" w:fill="FFFFFF"/>
                <w:lang w:val="fr-FR"/>
              </w:rPr>
              <w:t>sectoarele</w:t>
            </w:r>
            <w:proofErr w:type="spellEnd"/>
            <w:r w:rsidRPr="00074769">
              <w:rPr>
                <w:sz w:val="20"/>
                <w:szCs w:val="20"/>
                <w:shd w:val="clear" w:color="auto" w:fill="FFFFFF"/>
                <w:lang w:val="fr-FR"/>
              </w:rPr>
              <w:t xml:space="preserve"> EU ETS, al </w:t>
            </w:r>
            <w:proofErr w:type="spellStart"/>
            <w:r w:rsidRPr="00074769">
              <w:rPr>
                <w:sz w:val="20"/>
                <w:szCs w:val="20"/>
                <w:shd w:val="clear" w:color="auto" w:fill="FFFFFF"/>
                <w:lang w:val="fr-FR"/>
              </w:rPr>
              <w:t>partajării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eforturilor</w:t>
            </w:r>
            <w:proofErr w:type="spellEnd"/>
            <w:r w:rsidRPr="00074769">
              <w:rPr>
                <w:sz w:val="20"/>
                <w:szCs w:val="20"/>
                <w:shd w:val="clear" w:color="auto" w:fill="FFFFFF"/>
                <w:lang w:val="fr-FR"/>
              </w:rPr>
              <w:t xml:space="preserve"> și al LULUCF și în </w:t>
            </w:r>
            <w:proofErr w:type="spellStart"/>
            <w:r w:rsidRPr="00074769">
              <w:rPr>
                <w:sz w:val="20"/>
                <w:szCs w:val="20"/>
                <w:shd w:val="clear" w:color="auto" w:fill="FFFFFF"/>
                <w:lang w:val="fr-FR"/>
              </w:rPr>
              <w:t>diferite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energetice</w:t>
            </w:r>
            <w:proofErr w:type="spellEnd"/>
          </w:p>
          <w:p w14:paraId="0B9749C1" w14:textId="18569524" w:rsidR="008F5636" w:rsidRPr="00074769" w:rsidRDefault="008F5636" w:rsidP="000C5A3B">
            <w:pPr>
              <w:pStyle w:val="ti-grseq-1"/>
              <w:numPr>
                <w:ilvl w:val="0"/>
                <w:numId w:val="31"/>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Prognoze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evoluțiile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sectoriale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contextul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politicilor</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naționale</w:t>
            </w:r>
            <w:proofErr w:type="spellEnd"/>
            <w:r w:rsidRPr="00074769">
              <w:rPr>
                <w:sz w:val="20"/>
                <w:szCs w:val="20"/>
                <w:shd w:val="clear" w:color="auto" w:fill="FFFFFF"/>
                <w:lang w:val="fr-FR"/>
              </w:rPr>
              <w:t xml:space="preserve"> și ale </w:t>
            </w:r>
            <w:proofErr w:type="spellStart"/>
            <w:r w:rsidRPr="00074769">
              <w:rPr>
                <w:sz w:val="20"/>
                <w:szCs w:val="20"/>
                <w:shd w:val="clear" w:color="auto" w:fill="FFFFFF"/>
                <w:lang w:val="fr-FR"/>
              </w:rPr>
              <w:t>Uniunii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existente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cel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puțin</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până</w:t>
            </w:r>
            <w:proofErr w:type="spellEnd"/>
            <w:r w:rsidRPr="00074769">
              <w:rPr>
                <w:sz w:val="20"/>
                <w:szCs w:val="20"/>
                <w:shd w:val="clear" w:color="auto" w:fill="FFFFFF"/>
                <w:lang w:val="fr-FR"/>
              </w:rPr>
              <w:t xml:space="preserve"> în 2040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anul 2030)</w:t>
            </w:r>
          </w:p>
          <w:p w14:paraId="4CA457E6" w14:textId="3510DEAD" w:rsidR="008F5636" w:rsidRPr="00074769" w:rsidRDefault="008F5636" w:rsidP="008F5636">
            <w:pPr>
              <w:pStyle w:val="ti-grseq-1"/>
              <w:shd w:val="clear" w:color="auto" w:fill="FFFFFF"/>
              <w:spacing w:before="0" w:beforeAutospacing="0" w:after="0" w:afterAutospacing="0"/>
              <w:jc w:val="both"/>
              <w:rPr>
                <w:b/>
                <w:bCs/>
                <w:sz w:val="20"/>
                <w:szCs w:val="20"/>
                <w:shd w:val="clear" w:color="auto" w:fill="FFFFFF"/>
              </w:rPr>
            </w:pPr>
            <w:r w:rsidRPr="00074769">
              <w:rPr>
                <w:b/>
                <w:bCs/>
                <w:sz w:val="20"/>
                <w:szCs w:val="20"/>
                <w:shd w:val="clear" w:color="auto" w:fill="FFFFFF"/>
              </w:rPr>
              <w:t>4.2.</w:t>
            </w:r>
            <w:proofErr w:type="gramStart"/>
            <w:r w:rsidRPr="00074769">
              <w:rPr>
                <w:b/>
                <w:bCs/>
                <w:sz w:val="20"/>
                <w:szCs w:val="20"/>
                <w:shd w:val="clear" w:color="auto" w:fill="FFFFFF"/>
              </w:rPr>
              <w:t>2.Energie</w:t>
            </w:r>
            <w:proofErr w:type="gramEnd"/>
            <w:r w:rsidRPr="00074769">
              <w:rPr>
                <w:b/>
                <w:bCs/>
                <w:sz w:val="20"/>
                <w:szCs w:val="20"/>
                <w:shd w:val="clear" w:color="auto" w:fill="FFFFFF"/>
              </w:rPr>
              <w:t xml:space="preserve"> din surse </w:t>
            </w:r>
            <w:proofErr w:type="spellStart"/>
            <w:r w:rsidRPr="00074769">
              <w:rPr>
                <w:b/>
                <w:bCs/>
                <w:sz w:val="20"/>
                <w:szCs w:val="20"/>
                <w:shd w:val="clear" w:color="auto" w:fill="FFFFFF"/>
              </w:rPr>
              <w:t>regenerabile</w:t>
            </w:r>
            <w:proofErr w:type="spellEnd"/>
          </w:p>
          <w:p w14:paraId="633B5036" w14:textId="2E45DAEF" w:rsidR="008F5636" w:rsidRPr="00074769" w:rsidRDefault="008F5636" w:rsidP="000C5A3B">
            <w:pPr>
              <w:pStyle w:val="ti-grseq-1"/>
              <w:numPr>
                <w:ilvl w:val="0"/>
                <w:numId w:val="32"/>
              </w:numPr>
              <w:shd w:val="clear" w:color="auto" w:fill="FFFFFF"/>
              <w:spacing w:before="0" w:beforeAutospacing="0" w:after="0" w:afterAutospacing="0"/>
              <w:jc w:val="both"/>
              <w:rPr>
                <w:sz w:val="20"/>
                <w:szCs w:val="20"/>
                <w:shd w:val="clear" w:color="auto" w:fill="FFFFFF"/>
              </w:rPr>
            </w:pPr>
            <w:proofErr w:type="spellStart"/>
            <w:r w:rsidRPr="00074769">
              <w:rPr>
                <w:sz w:val="20"/>
                <w:szCs w:val="20"/>
                <w:shd w:val="clear" w:color="auto" w:fill="FFFFFF"/>
              </w:rPr>
              <w:t>Ponderea</w:t>
            </w:r>
            <w:proofErr w:type="spellEnd"/>
            <w:r w:rsidRPr="00074769">
              <w:rPr>
                <w:sz w:val="20"/>
                <w:szCs w:val="20"/>
                <w:shd w:val="clear" w:color="auto" w:fill="FFFFFF"/>
              </w:rPr>
              <w:t xml:space="preserve"> </w:t>
            </w:r>
            <w:proofErr w:type="spellStart"/>
            <w:r w:rsidRPr="00074769">
              <w:rPr>
                <w:sz w:val="20"/>
                <w:szCs w:val="20"/>
                <w:shd w:val="clear" w:color="auto" w:fill="FFFFFF"/>
              </w:rPr>
              <w:t>actuală</w:t>
            </w:r>
            <w:proofErr w:type="spellEnd"/>
            <w:r w:rsidRPr="00074769">
              <w:rPr>
                <w:sz w:val="20"/>
                <w:szCs w:val="20"/>
                <w:shd w:val="clear" w:color="auto" w:fill="FFFFFF"/>
              </w:rPr>
              <w:t xml:space="preserve"> </w:t>
            </w:r>
            <w:proofErr w:type="gramStart"/>
            <w:r w:rsidRPr="00074769">
              <w:rPr>
                <w:sz w:val="20"/>
                <w:szCs w:val="20"/>
                <w:shd w:val="clear" w:color="auto" w:fill="FFFFFF"/>
              </w:rPr>
              <w:t>a</w:t>
            </w:r>
            <w:proofErr w:type="gramEnd"/>
            <w:r w:rsidRPr="00074769">
              <w:rPr>
                <w:sz w:val="20"/>
                <w:szCs w:val="20"/>
                <w:shd w:val="clear" w:color="auto" w:fill="FFFFFF"/>
              </w:rPr>
              <w:t xml:space="preserve"> energiei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în </w:t>
            </w:r>
            <w:proofErr w:type="spellStart"/>
            <w:r w:rsidRPr="00074769">
              <w:rPr>
                <w:sz w:val="20"/>
                <w:szCs w:val="20"/>
                <w:shd w:val="clear" w:color="auto" w:fill="FFFFFF"/>
              </w:rPr>
              <w:t>cadrul</w:t>
            </w:r>
            <w:proofErr w:type="spellEnd"/>
            <w:r w:rsidRPr="00074769">
              <w:rPr>
                <w:sz w:val="20"/>
                <w:szCs w:val="20"/>
                <w:shd w:val="clear" w:color="auto" w:fill="FFFFFF"/>
              </w:rPr>
              <w:t xml:space="preserve"> </w:t>
            </w:r>
            <w:proofErr w:type="spellStart"/>
            <w:r w:rsidRPr="00074769">
              <w:rPr>
                <w:sz w:val="20"/>
                <w:szCs w:val="20"/>
                <w:shd w:val="clear" w:color="auto" w:fill="FFFFFF"/>
              </w:rPr>
              <w:t>consumului</w:t>
            </w:r>
            <w:proofErr w:type="spellEnd"/>
            <w:r w:rsidRPr="00074769">
              <w:rPr>
                <w:sz w:val="20"/>
                <w:szCs w:val="20"/>
                <w:shd w:val="clear" w:color="auto" w:fill="FFFFFF"/>
              </w:rPr>
              <w:t xml:space="preserve"> final brut de </w:t>
            </w:r>
            <w:proofErr w:type="spellStart"/>
            <w:r w:rsidRPr="00074769">
              <w:rPr>
                <w:sz w:val="20"/>
                <w:szCs w:val="20"/>
                <w:shd w:val="clear" w:color="auto" w:fill="FFFFFF"/>
              </w:rPr>
              <w:t>energie</w:t>
            </w:r>
            <w:proofErr w:type="spellEnd"/>
            <w:r w:rsidRPr="00074769">
              <w:rPr>
                <w:sz w:val="20"/>
                <w:szCs w:val="20"/>
                <w:shd w:val="clear" w:color="auto" w:fill="FFFFFF"/>
              </w:rPr>
              <w:t xml:space="preserve"> și în </w:t>
            </w:r>
            <w:proofErr w:type="spellStart"/>
            <w:r w:rsidRPr="00074769">
              <w:rPr>
                <w:sz w:val="20"/>
                <w:szCs w:val="20"/>
                <w:shd w:val="clear" w:color="auto" w:fill="FFFFFF"/>
              </w:rPr>
              <w:t>diferite</w:t>
            </w:r>
            <w:proofErr w:type="spellEnd"/>
            <w:r w:rsidRPr="00074769">
              <w:rPr>
                <w:sz w:val="20"/>
                <w:szCs w:val="20"/>
                <w:shd w:val="clear" w:color="auto" w:fill="FFFFFF"/>
              </w:rPr>
              <w:t xml:space="preserve"> </w:t>
            </w:r>
            <w:proofErr w:type="spellStart"/>
            <w:r w:rsidRPr="00074769">
              <w:rPr>
                <w:sz w:val="20"/>
                <w:szCs w:val="20"/>
                <w:shd w:val="clear" w:color="auto" w:fill="FFFFFF"/>
              </w:rPr>
              <w:t>sectoare</w:t>
            </w:r>
            <w:proofErr w:type="spellEnd"/>
            <w:r w:rsidRPr="00074769">
              <w:rPr>
                <w:sz w:val="20"/>
                <w:szCs w:val="20"/>
                <w:shd w:val="clear" w:color="auto" w:fill="FFFFFF"/>
              </w:rPr>
              <w:t xml:space="preserve"> (</w:t>
            </w:r>
            <w:proofErr w:type="spellStart"/>
            <w:r w:rsidRPr="00074769">
              <w:rPr>
                <w:sz w:val="20"/>
                <w:szCs w:val="20"/>
                <w:shd w:val="clear" w:color="auto" w:fill="FFFFFF"/>
              </w:rPr>
              <w:t>încălzire</w:t>
            </w:r>
            <w:proofErr w:type="spellEnd"/>
            <w:r w:rsidRPr="00074769">
              <w:rPr>
                <w:sz w:val="20"/>
                <w:szCs w:val="20"/>
                <w:shd w:val="clear" w:color="auto" w:fill="FFFFFF"/>
              </w:rPr>
              <w:t xml:space="preserve"> și </w:t>
            </w:r>
            <w:proofErr w:type="spellStart"/>
            <w:r w:rsidRPr="00074769">
              <w:rPr>
                <w:sz w:val="20"/>
                <w:szCs w:val="20"/>
                <w:shd w:val="clear" w:color="auto" w:fill="FFFFFF"/>
              </w:rPr>
              <w:t>răcire</w:t>
            </w:r>
            <w:proofErr w:type="spellEnd"/>
            <w:r w:rsidRPr="00074769">
              <w:rPr>
                <w:sz w:val="20"/>
                <w:szCs w:val="20"/>
                <w:shd w:val="clear" w:color="auto" w:fill="FFFFFF"/>
              </w:rPr>
              <w:t xml:space="preserv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electrică</w:t>
            </w:r>
            <w:proofErr w:type="spellEnd"/>
            <w:r w:rsidRPr="00074769">
              <w:rPr>
                <w:sz w:val="20"/>
                <w:szCs w:val="20"/>
                <w:shd w:val="clear" w:color="auto" w:fill="FFFFFF"/>
              </w:rPr>
              <w:t xml:space="preserve"> și </w:t>
            </w:r>
            <w:proofErr w:type="spellStart"/>
            <w:r w:rsidRPr="00074769">
              <w:rPr>
                <w:sz w:val="20"/>
                <w:szCs w:val="20"/>
                <w:shd w:val="clear" w:color="auto" w:fill="FFFFFF"/>
              </w:rPr>
              <w:t>transporturi</w:t>
            </w:r>
            <w:proofErr w:type="spellEnd"/>
            <w:r w:rsidRPr="00074769">
              <w:rPr>
                <w:sz w:val="20"/>
                <w:szCs w:val="20"/>
                <w:shd w:val="clear" w:color="auto" w:fill="FFFFFF"/>
              </w:rPr>
              <w:t xml:space="preserve">), precum și per </w:t>
            </w:r>
            <w:proofErr w:type="spellStart"/>
            <w:r w:rsidRPr="00074769">
              <w:rPr>
                <w:sz w:val="20"/>
                <w:szCs w:val="20"/>
                <w:shd w:val="clear" w:color="auto" w:fill="FFFFFF"/>
              </w:rPr>
              <w:t>tehnologie</w:t>
            </w:r>
            <w:proofErr w:type="spellEnd"/>
            <w:r w:rsidRPr="00074769">
              <w:rPr>
                <w:sz w:val="20"/>
                <w:szCs w:val="20"/>
                <w:shd w:val="clear" w:color="auto" w:fill="FFFFFF"/>
              </w:rPr>
              <w:t xml:space="preserve"> în </w:t>
            </w:r>
            <w:proofErr w:type="spellStart"/>
            <w:r w:rsidRPr="00074769">
              <w:rPr>
                <w:sz w:val="20"/>
                <w:szCs w:val="20"/>
                <w:shd w:val="clear" w:color="auto" w:fill="FFFFFF"/>
              </w:rPr>
              <w:t>fiecare</w:t>
            </w:r>
            <w:proofErr w:type="spellEnd"/>
            <w:r w:rsidRPr="00074769">
              <w:rPr>
                <w:sz w:val="20"/>
                <w:szCs w:val="20"/>
                <w:shd w:val="clear" w:color="auto" w:fill="FFFFFF"/>
              </w:rPr>
              <w:t xml:space="preserve"> </w:t>
            </w:r>
            <w:proofErr w:type="spellStart"/>
            <w:r w:rsidRPr="00074769">
              <w:rPr>
                <w:sz w:val="20"/>
                <w:szCs w:val="20"/>
                <w:shd w:val="clear" w:color="auto" w:fill="FFFFFF"/>
              </w:rPr>
              <w:t>dintre</w:t>
            </w:r>
            <w:proofErr w:type="spellEnd"/>
            <w:r w:rsidRPr="00074769">
              <w:rPr>
                <w:sz w:val="20"/>
                <w:szCs w:val="20"/>
                <w:shd w:val="clear" w:color="auto" w:fill="FFFFFF"/>
              </w:rPr>
              <w:t xml:space="preserve"> </w:t>
            </w:r>
            <w:proofErr w:type="spellStart"/>
            <w:r w:rsidRPr="00074769">
              <w:rPr>
                <w:sz w:val="20"/>
                <w:szCs w:val="20"/>
                <w:shd w:val="clear" w:color="auto" w:fill="FFFFFF"/>
              </w:rPr>
              <w:t>aceste</w:t>
            </w:r>
            <w:proofErr w:type="spellEnd"/>
            <w:r w:rsidRPr="00074769">
              <w:rPr>
                <w:sz w:val="20"/>
                <w:szCs w:val="20"/>
                <w:shd w:val="clear" w:color="auto" w:fill="FFFFFF"/>
              </w:rPr>
              <w:t xml:space="preserve"> </w:t>
            </w:r>
            <w:proofErr w:type="spellStart"/>
            <w:r w:rsidRPr="00074769">
              <w:rPr>
                <w:sz w:val="20"/>
                <w:szCs w:val="20"/>
                <w:shd w:val="clear" w:color="auto" w:fill="FFFFFF"/>
              </w:rPr>
              <w:t>sectoare</w:t>
            </w:r>
            <w:proofErr w:type="spellEnd"/>
          </w:p>
          <w:p w14:paraId="48ECD9E4" w14:textId="1AFA2C05" w:rsidR="008F5636" w:rsidRPr="00074769" w:rsidRDefault="008F5636" w:rsidP="000C5A3B">
            <w:pPr>
              <w:pStyle w:val="ti-grseq-1"/>
              <w:numPr>
                <w:ilvl w:val="0"/>
                <w:numId w:val="32"/>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Prognoze</w:t>
            </w:r>
            <w:proofErr w:type="spellEnd"/>
            <w:r w:rsidRPr="00074769">
              <w:rPr>
                <w:sz w:val="20"/>
                <w:szCs w:val="20"/>
                <w:shd w:val="clear" w:color="auto" w:fill="FFFFFF"/>
                <w:lang w:val="fr-FR"/>
              </w:rPr>
              <w:t xml:space="preserve"> orientative </w:t>
            </w:r>
            <w:proofErr w:type="spellStart"/>
            <w:r w:rsidRPr="00074769">
              <w:rPr>
                <w:sz w:val="20"/>
                <w:szCs w:val="20"/>
                <w:shd w:val="clear" w:color="auto" w:fill="FFFFFF"/>
                <w:lang w:val="fr-FR"/>
              </w:rPr>
              <w:t>referitoare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evoluția</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contextul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politicilor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existente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anul 2030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o </w:t>
            </w:r>
            <w:proofErr w:type="spellStart"/>
            <w:r w:rsidRPr="00074769">
              <w:rPr>
                <w:sz w:val="20"/>
                <w:szCs w:val="20"/>
                <w:shd w:val="clear" w:color="auto" w:fill="FFFFFF"/>
                <w:lang w:val="fr-FR"/>
              </w:rPr>
              <w:t>perspectivă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anul 2040)</w:t>
            </w:r>
          </w:p>
          <w:p w14:paraId="0A777271" w14:textId="20855443"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4.</w:t>
            </w:r>
            <w:proofErr w:type="gramStart"/>
            <w:r w:rsidRPr="00074769">
              <w:rPr>
                <w:b/>
                <w:bCs/>
                <w:color w:val="333333"/>
                <w:sz w:val="20"/>
                <w:szCs w:val="20"/>
                <w:shd w:val="clear" w:color="auto" w:fill="FFFFFF"/>
              </w:rPr>
              <w:t>3.Dimensiunea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eficiență</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r w:rsidRPr="00074769">
              <w:rPr>
                <w:b/>
                <w:bCs/>
                <w:color w:val="333333"/>
                <w:sz w:val="20"/>
                <w:szCs w:val="20"/>
                <w:shd w:val="clear" w:color="auto" w:fill="FFFFFF"/>
              </w:rPr>
              <w:t>”</w:t>
            </w:r>
          </w:p>
          <w:p w14:paraId="35FE5167" w14:textId="6C071B43" w:rsidR="008F5636" w:rsidRPr="00074769" w:rsidRDefault="008F5636" w:rsidP="000C5A3B">
            <w:pPr>
              <w:pStyle w:val="ti-grseq-1"/>
              <w:numPr>
                <w:ilvl w:val="0"/>
                <w:numId w:val="33"/>
              </w:numPr>
              <w:shd w:val="clear" w:color="auto" w:fill="FFFFFF"/>
              <w:spacing w:before="0" w:beforeAutospacing="0" w:after="0" w:afterAutospacing="0"/>
              <w:jc w:val="both"/>
              <w:rPr>
                <w:sz w:val="20"/>
                <w:szCs w:val="20"/>
                <w:shd w:val="clear" w:color="auto" w:fill="FFFFFF"/>
              </w:rPr>
            </w:pPr>
            <w:proofErr w:type="spellStart"/>
            <w:r w:rsidRPr="00074769">
              <w:rPr>
                <w:sz w:val="20"/>
                <w:szCs w:val="20"/>
                <w:shd w:val="clear" w:color="auto" w:fill="FFFFFF"/>
              </w:rPr>
              <w:t>Consumul</w:t>
            </w:r>
            <w:proofErr w:type="spellEnd"/>
            <w:r w:rsidRPr="00074769">
              <w:rPr>
                <w:sz w:val="20"/>
                <w:szCs w:val="20"/>
                <w:shd w:val="clear" w:color="auto" w:fill="FFFFFF"/>
              </w:rPr>
              <w:t xml:space="preserve"> actual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primară</w:t>
            </w:r>
            <w:proofErr w:type="spellEnd"/>
            <w:r w:rsidRPr="00074769">
              <w:rPr>
                <w:sz w:val="20"/>
                <w:szCs w:val="20"/>
                <w:shd w:val="clear" w:color="auto" w:fill="FFFFFF"/>
              </w:rPr>
              <w:t xml:space="preserve"> și </w:t>
            </w:r>
            <w:proofErr w:type="spellStart"/>
            <w:r w:rsidRPr="00074769">
              <w:rPr>
                <w:sz w:val="20"/>
                <w:szCs w:val="20"/>
                <w:shd w:val="clear" w:color="auto" w:fill="FFFFFF"/>
              </w:rPr>
              <w:t>finală</w:t>
            </w:r>
            <w:proofErr w:type="spellEnd"/>
            <w:r w:rsidRPr="00074769">
              <w:rPr>
                <w:sz w:val="20"/>
                <w:szCs w:val="20"/>
                <w:shd w:val="clear" w:color="auto" w:fill="FFFFFF"/>
              </w:rPr>
              <w:t xml:space="preserve"> în </w:t>
            </w:r>
            <w:proofErr w:type="spellStart"/>
            <w:r w:rsidRPr="00074769">
              <w:rPr>
                <w:sz w:val="20"/>
                <w:szCs w:val="20"/>
                <w:shd w:val="clear" w:color="auto" w:fill="FFFFFF"/>
              </w:rPr>
              <w:t>cadrul</w:t>
            </w:r>
            <w:proofErr w:type="spellEnd"/>
            <w:r w:rsidRPr="00074769">
              <w:rPr>
                <w:sz w:val="20"/>
                <w:szCs w:val="20"/>
                <w:shd w:val="clear" w:color="auto" w:fill="FFFFFF"/>
              </w:rPr>
              <w:t xml:space="preserve"> </w:t>
            </w:r>
            <w:proofErr w:type="spellStart"/>
            <w:r w:rsidRPr="00074769">
              <w:rPr>
                <w:sz w:val="20"/>
                <w:szCs w:val="20"/>
                <w:shd w:val="clear" w:color="auto" w:fill="FFFFFF"/>
              </w:rPr>
              <w:t>economiei</w:t>
            </w:r>
            <w:proofErr w:type="spellEnd"/>
            <w:r w:rsidRPr="00074769">
              <w:rPr>
                <w:sz w:val="20"/>
                <w:szCs w:val="20"/>
                <w:shd w:val="clear" w:color="auto" w:fill="FFFFFF"/>
              </w:rPr>
              <w:t xml:space="preserve"> și per sector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industrie</w:t>
            </w:r>
            <w:proofErr w:type="spellEnd"/>
            <w:r w:rsidRPr="00074769">
              <w:rPr>
                <w:sz w:val="20"/>
                <w:szCs w:val="20"/>
                <w:shd w:val="clear" w:color="auto" w:fill="FFFFFF"/>
              </w:rPr>
              <w:t xml:space="preserve">, </w:t>
            </w:r>
            <w:proofErr w:type="spellStart"/>
            <w:r w:rsidRPr="00074769">
              <w:rPr>
                <w:sz w:val="20"/>
                <w:szCs w:val="20"/>
                <w:shd w:val="clear" w:color="auto" w:fill="FFFFFF"/>
              </w:rPr>
              <w:t>rezidențial</w:t>
            </w:r>
            <w:proofErr w:type="spellEnd"/>
            <w:r w:rsidRPr="00074769">
              <w:rPr>
                <w:sz w:val="20"/>
                <w:szCs w:val="20"/>
                <w:shd w:val="clear" w:color="auto" w:fill="FFFFFF"/>
              </w:rPr>
              <w:t xml:space="preserve">, </w:t>
            </w:r>
            <w:proofErr w:type="spellStart"/>
            <w:r w:rsidRPr="00074769">
              <w:rPr>
                <w:sz w:val="20"/>
                <w:szCs w:val="20"/>
                <w:shd w:val="clear" w:color="auto" w:fill="FFFFFF"/>
              </w:rPr>
              <w:t>servicii</w:t>
            </w:r>
            <w:proofErr w:type="spellEnd"/>
            <w:r w:rsidRPr="00074769">
              <w:rPr>
                <w:sz w:val="20"/>
                <w:szCs w:val="20"/>
                <w:shd w:val="clear" w:color="auto" w:fill="FFFFFF"/>
              </w:rPr>
              <w:t xml:space="preserve"> și </w:t>
            </w:r>
            <w:proofErr w:type="spellStart"/>
            <w:r w:rsidRPr="00074769">
              <w:rPr>
                <w:sz w:val="20"/>
                <w:szCs w:val="20"/>
                <w:shd w:val="clear" w:color="auto" w:fill="FFFFFF"/>
              </w:rPr>
              <w:t>transporturi</w:t>
            </w:r>
            <w:proofErr w:type="spellEnd"/>
            <w:r w:rsidRPr="00074769">
              <w:rPr>
                <w:sz w:val="20"/>
                <w:szCs w:val="20"/>
                <w:shd w:val="clear" w:color="auto" w:fill="FFFFFF"/>
              </w:rPr>
              <w:t>)</w:t>
            </w:r>
          </w:p>
          <w:p w14:paraId="67ADBC51" w14:textId="0ADAD455" w:rsidR="008F5636" w:rsidRPr="00074769" w:rsidRDefault="008F5636" w:rsidP="000C5A3B">
            <w:pPr>
              <w:pStyle w:val="ti-grseq-1"/>
              <w:numPr>
                <w:ilvl w:val="0"/>
                <w:numId w:val="33"/>
              </w:numPr>
              <w:shd w:val="clear" w:color="auto" w:fill="FFFFFF"/>
              <w:spacing w:before="0" w:beforeAutospacing="0" w:after="0" w:afterAutospacing="0"/>
              <w:jc w:val="both"/>
              <w:rPr>
                <w:sz w:val="20"/>
                <w:szCs w:val="20"/>
              </w:rPr>
            </w:pPr>
            <w:proofErr w:type="spellStart"/>
            <w:r w:rsidRPr="00074769">
              <w:rPr>
                <w:sz w:val="20"/>
                <w:szCs w:val="20"/>
                <w:shd w:val="clear" w:color="auto" w:fill="FFFFFF"/>
              </w:rPr>
              <w:t>Potențialul</w:t>
            </w:r>
            <w:proofErr w:type="spellEnd"/>
            <w:r w:rsidRPr="00074769">
              <w:rPr>
                <w:sz w:val="20"/>
                <w:szCs w:val="20"/>
                <w:shd w:val="clear" w:color="auto" w:fill="FFFFFF"/>
              </w:rPr>
              <w:t xml:space="preserve"> actual de </w:t>
            </w:r>
            <w:proofErr w:type="spellStart"/>
            <w:r w:rsidRPr="00074769">
              <w:rPr>
                <w:sz w:val="20"/>
                <w:szCs w:val="20"/>
                <w:shd w:val="clear" w:color="auto" w:fill="FFFFFF"/>
              </w:rPr>
              <w:t>aplicare</w:t>
            </w:r>
            <w:proofErr w:type="spellEnd"/>
            <w:r w:rsidRPr="00074769">
              <w:rPr>
                <w:sz w:val="20"/>
                <w:szCs w:val="20"/>
                <w:shd w:val="clear" w:color="auto" w:fill="FFFFFF"/>
              </w:rPr>
              <w:t xml:space="preserve"> a </w:t>
            </w:r>
            <w:proofErr w:type="spellStart"/>
            <w:r w:rsidRPr="00074769">
              <w:rPr>
                <w:sz w:val="20"/>
                <w:szCs w:val="20"/>
                <w:shd w:val="clear" w:color="auto" w:fill="FFFFFF"/>
              </w:rPr>
              <w:t>cogenerării</w:t>
            </w:r>
            <w:proofErr w:type="spellEnd"/>
            <w:r w:rsidRPr="00074769">
              <w:rPr>
                <w:sz w:val="20"/>
                <w:szCs w:val="20"/>
                <w:shd w:val="clear" w:color="auto" w:fill="FFFFFF"/>
              </w:rPr>
              <w:t xml:space="preserve"> de </w:t>
            </w:r>
            <w:proofErr w:type="spellStart"/>
            <w:r w:rsidRPr="00074769">
              <w:rPr>
                <w:sz w:val="20"/>
                <w:szCs w:val="20"/>
                <w:shd w:val="clear" w:color="auto" w:fill="FFFFFF"/>
              </w:rPr>
              <w:t>înaltă</w:t>
            </w:r>
            <w:proofErr w:type="spellEnd"/>
            <w:r w:rsidRPr="00074769">
              <w:rPr>
                <w:sz w:val="20"/>
                <w:szCs w:val="20"/>
                <w:shd w:val="clear" w:color="auto" w:fill="FFFFFF"/>
              </w:rPr>
              <w:t xml:space="preserve"> </w:t>
            </w:r>
            <w:proofErr w:type="spellStart"/>
            <w:r w:rsidRPr="00074769">
              <w:rPr>
                <w:sz w:val="20"/>
                <w:szCs w:val="20"/>
                <w:shd w:val="clear" w:color="auto" w:fill="FFFFFF"/>
              </w:rPr>
              <w:t>eficiență</w:t>
            </w:r>
            <w:proofErr w:type="spellEnd"/>
            <w:r w:rsidRPr="00074769">
              <w:rPr>
                <w:sz w:val="20"/>
                <w:szCs w:val="20"/>
                <w:shd w:val="clear" w:color="auto" w:fill="FFFFFF"/>
              </w:rPr>
              <w:t xml:space="preserve"> și a </w:t>
            </w:r>
            <w:proofErr w:type="spellStart"/>
            <w:r w:rsidRPr="00074769">
              <w:rPr>
                <w:sz w:val="20"/>
                <w:szCs w:val="20"/>
                <w:shd w:val="clear" w:color="auto" w:fill="FFFFFF"/>
              </w:rPr>
              <w:t>încălzirii</w:t>
            </w:r>
            <w:proofErr w:type="spellEnd"/>
            <w:r w:rsidRPr="00074769">
              <w:rPr>
                <w:sz w:val="20"/>
                <w:szCs w:val="20"/>
                <w:shd w:val="clear" w:color="auto" w:fill="FFFFFF"/>
              </w:rPr>
              <w:t xml:space="preserve"> și </w:t>
            </w:r>
            <w:proofErr w:type="spellStart"/>
            <w:r w:rsidRPr="00074769">
              <w:rPr>
                <w:sz w:val="20"/>
                <w:szCs w:val="20"/>
                <w:shd w:val="clear" w:color="auto" w:fill="FFFFFF"/>
              </w:rPr>
              <w:t>răcirii</w:t>
            </w:r>
            <w:proofErr w:type="spellEnd"/>
            <w:r w:rsidRPr="00074769">
              <w:rPr>
                <w:sz w:val="20"/>
                <w:szCs w:val="20"/>
                <w:shd w:val="clear" w:color="auto" w:fill="FFFFFF"/>
              </w:rPr>
              <w:t xml:space="preserve"> </w:t>
            </w:r>
            <w:proofErr w:type="spellStart"/>
            <w:r w:rsidRPr="00074769">
              <w:rPr>
                <w:sz w:val="20"/>
                <w:szCs w:val="20"/>
                <w:shd w:val="clear" w:color="auto" w:fill="FFFFFF"/>
              </w:rPr>
              <w:t>centralizate</w:t>
            </w:r>
            <w:proofErr w:type="spellEnd"/>
            <w:r w:rsidRPr="00074769">
              <w:rPr>
                <w:sz w:val="20"/>
                <w:szCs w:val="20"/>
                <w:shd w:val="clear" w:color="auto" w:fill="FFFFFF"/>
              </w:rPr>
              <w:t xml:space="preserve"> eficiente </w:t>
            </w:r>
            <w:hyperlink r:id="rId73" w:anchor="ntr19-L_2018328RO.01004701-E0019" w:history="1">
              <w:r w:rsidRPr="00074769">
                <w:rPr>
                  <w:rStyle w:val="af6"/>
                  <w:color w:val="auto"/>
                  <w:sz w:val="20"/>
                  <w:szCs w:val="20"/>
                  <w:shd w:val="clear" w:color="auto" w:fill="FFFFFF"/>
                </w:rPr>
                <w:t>(</w:t>
              </w:r>
              <w:r w:rsidRPr="00074769">
                <w:rPr>
                  <w:rStyle w:val="super"/>
                  <w:sz w:val="20"/>
                  <w:szCs w:val="20"/>
                  <w:shd w:val="clear" w:color="auto" w:fill="FFFFFF"/>
                  <w:vertAlign w:val="superscript"/>
                </w:rPr>
                <w:t>19</w:t>
              </w:r>
              <w:r w:rsidRPr="00074769">
                <w:rPr>
                  <w:rStyle w:val="af6"/>
                  <w:color w:val="auto"/>
                  <w:sz w:val="20"/>
                  <w:szCs w:val="20"/>
                  <w:shd w:val="clear" w:color="auto" w:fill="FFFFFF"/>
                </w:rPr>
                <w:t>)</w:t>
              </w:r>
            </w:hyperlink>
          </w:p>
          <w:p w14:paraId="081076FB" w14:textId="245E9931" w:rsidR="008F5636" w:rsidRPr="00074769" w:rsidRDefault="008F5636" w:rsidP="000C5A3B">
            <w:pPr>
              <w:pStyle w:val="ti-grseq-1"/>
              <w:numPr>
                <w:ilvl w:val="0"/>
                <w:numId w:val="33"/>
              </w:numPr>
              <w:shd w:val="clear" w:color="auto" w:fill="FFFFFF"/>
              <w:spacing w:before="0" w:beforeAutospacing="0" w:after="0" w:afterAutospacing="0"/>
              <w:jc w:val="both"/>
              <w:rPr>
                <w:sz w:val="20"/>
                <w:szCs w:val="20"/>
              </w:rPr>
            </w:pPr>
            <w:proofErr w:type="spellStart"/>
            <w:r w:rsidRPr="00074769">
              <w:rPr>
                <w:sz w:val="20"/>
                <w:szCs w:val="20"/>
                <w:shd w:val="clear" w:color="auto" w:fill="FFFFFF"/>
              </w:rPr>
              <w:t>Prognoze</w:t>
            </w:r>
            <w:proofErr w:type="spellEnd"/>
            <w:r w:rsidRPr="00074769">
              <w:rPr>
                <w:sz w:val="20"/>
                <w:szCs w:val="20"/>
                <w:shd w:val="clear" w:color="auto" w:fill="FFFFFF"/>
              </w:rPr>
              <w:t xml:space="preserve"> care </w:t>
            </w:r>
            <w:proofErr w:type="spellStart"/>
            <w:r w:rsidRPr="00074769">
              <w:rPr>
                <w:sz w:val="20"/>
                <w:szCs w:val="20"/>
                <w:shd w:val="clear" w:color="auto" w:fill="FFFFFF"/>
              </w:rPr>
              <w:t>țin</w:t>
            </w:r>
            <w:proofErr w:type="spellEnd"/>
            <w:r w:rsidRPr="00074769">
              <w:rPr>
                <w:sz w:val="20"/>
                <w:szCs w:val="20"/>
                <w:shd w:val="clear" w:color="auto" w:fill="FFFFFF"/>
              </w:rPr>
              <w:t xml:space="preserve"> </w:t>
            </w:r>
            <w:proofErr w:type="spellStart"/>
            <w:r w:rsidRPr="00074769">
              <w:rPr>
                <w:sz w:val="20"/>
                <w:szCs w:val="20"/>
                <w:shd w:val="clear" w:color="auto" w:fill="FFFFFF"/>
              </w:rPr>
              <w:t>seama</w:t>
            </w:r>
            <w:proofErr w:type="spellEnd"/>
            <w:r w:rsidRPr="00074769">
              <w:rPr>
                <w:sz w:val="20"/>
                <w:szCs w:val="20"/>
                <w:shd w:val="clear" w:color="auto" w:fill="FFFFFF"/>
              </w:rPr>
              <w:t xml:space="preserve"> de </w:t>
            </w:r>
            <w:proofErr w:type="spellStart"/>
            <w:r w:rsidRPr="00074769">
              <w:rPr>
                <w:sz w:val="20"/>
                <w:szCs w:val="20"/>
                <w:shd w:val="clear" w:color="auto" w:fill="FFFFFF"/>
              </w:rPr>
              <w:t>politicile</w:t>
            </w:r>
            <w:proofErr w:type="spellEnd"/>
            <w:r w:rsidRPr="00074769">
              <w:rPr>
                <w:sz w:val="20"/>
                <w:szCs w:val="20"/>
                <w:shd w:val="clear" w:color="auto" w:fill="FFFFFF"/>
              </w:rPr>
              <w:t xml:space="preserve">, </w:t>
            </w:r>
            <w:proofErr w:type="spellStart"/>
            <w:r w:rsidRPr="00074769">
              <w:rPr>
                <w:sz w:val="20"/>
                <w:szCs w:val="20"/>
                <w:shd w:val="clear" w:color="auto" w:fill="FFFFFF"/>
              </w:rPr>
              <w:t>măsurile</w:t>
            </w:r>
            <w:proofErr w:type="spellEnd"/>
            <w:r w:rsidRPr="00074769">
              <w:rPr>
                <w:sz w:val="20"/>
                <w:szCs w:val="20"/>
                <w:shd w:val="clear" w:color="auto" w:fill="FFFFFF"/>
              </w:rPr>
              <w:t xml:space="preserve"> și </w:t>
            </w:r>
            <w:proofErr w:type="spellStart"/>
            <w:r w:rsidRPr="00074769">
              <w:rPr>
                <w:sz w:val="20"/>
                <w:szCs w:val="20"/>
                <w:shd w:val="clear" w:color="auto" w:fill="FFFFFF"/>
              </w:rPr>
              <w:t>programele</w:t>
            </w:r>
            <w:proofErr w:type="spellEnd"/>
            <w:r w:rsidRPr="00074769">
              <w:rPr>
                <w:sz w:val="20"/>
                <w:szCs w:val="20"/>
                <w:shd w:val="clear" w:color="auto" w:fill="FFFFFF"/>
              </w:rPr>
              <w:t xml:space="preserve"> </w:t>
            </w:r>
            <w:proofErr w:type="spellStart"/>
            <w:r w:rsidRPr="00074769">
              <w:rPr>
                <w:sz w:val="20"/>
                <w:szCs w:val="20"/>
                <w:shd w:val="clear" w:color="auto" w:fill="FFFFFF"/>
              </w:rPr>
              <w:t>existente</w:t>
            </w:r>
            <w:proofErr w:type="spellEnd"/>
            <w:r w:rsidRPr="00074769">
              <w:rPr>
                <w:sz w:val="20"/>
                <w:szCs w:val="20"/>
                <w:shd w:val="clear" w:color="auto" w:fill="FFFFFF"/>
              </w:rPr>
              <w:t xml:space="preserve"> în </w:t>
            </w:r>
            <w:proofErr w:type="spellStart"/>
            <w:r w:rsidRPr="00074769">
              <w:rPr>
                <w:sz w:val="20"/>
                <w:szCs w:val="20"/>
                <w:shd w:val="clear" w:color="auto" w:fill="FFFFFF"/>
              </w:rPr>
              <w:t>materie</w:t>
            </w:r>
            <w:proofErr w:type="spellEnd"/>
            <w:r w:rsidRPr="00074769">
              <w:rPr>
                <w:sz w:val="20"/>
                <w:szCs w:val="20"/>
                <w:shd w:val="clear" w:color="auto" w:fill="FFFFFF"/>
              </w:rPr>
              <w:t xml:space="preserve"> de </w:t>
            </w:r>
            <w:proofErr w:type="spellStart"/>
            <w:r w:rsidRPr="00074769">
              <w:rPr>
                <w:sz w:val="20"/>
                <w:szCs w:val="20"/>
                <w:shd w:val="clear" w:color="auto" w:fill="FFFFFF"/>
              </w:rPr>
              <w:t>eficiență</w:t>
            </w:r>
            <w:proofErr w:type="spellEnd"/>
            <w:r w:rsidRPr="00074769">
              <w:rPr>
                <w:sz w:val="20"/>
                <w:szCs w:val="20"/>
                <w:shd w:val="clear" w:color="auto" w:fill="FFFFFF"/>
              </w:rPr>
              <w:t xml:space="preserve"> </w:t>
            </w:r>
            <w:proofErr w:type="spellStart"/>
            <w:r w:rsidRPr="00074769">
              <w:rPr>
                <w:sz w:val="20"/>
                <w:szCs w:val="20"/>
                <w:shd w:val="clear" w:color="auto" w:fill="FFFFFF"/>
              </w:rPr>
              <w:t>energetică</w:t>
            </w:r>
            <w:proofErr w:type="spellEnd"/>
            <w:r w:rsidRPr="00074769">
              <w:rPr>
                <w:sz w:val="20"/>
                <w:szCs w:val="20"/>
                <w:shd w:val="clear" w:color="auto" w:fill="FFFFFF"/>
              </w:rPr>
              <w:t xml:space="preserve"> </w:t>
            </w:r>
            <w:proofErr w:type="spellStart"/>
            <w:r w:rsidRPr="00074769">
              <w:rPr>
                <w:sz w:val="20"/>
                <w:szCs w:val="20"/>
                <w:shd w:val="clear" w:color="auto" w:fill="FFFFFF"/>
              </w:rPr>
              <w:t>descrise</w:t>
            </w:r>
            <w:proofErr w:type="spellEnd"/>
            <w:r w:rsidRPr="00074769">
              <w:rPr>
                <w:sz w:val="20"/>
                <w:szCs w:val="20"/>
                <w:shd w:val="clear" w:color="auto" w:fill="FFFFFF"/>
              </w:rPr>
              <w:t xml:space="preserve"> la </w:t>
            </w:r>
            <w:proofErr w:type="spellStart"/>
            <w:r w:rsidRPr="00074769">
              <w:rPr>
                <w:sz w:val="20"/>
                <w:szCs w:val="20"/>
                <w:shd w:val="clear" w:color="auto" w:fill="FFFFFF"/>
              </w:rPr>
              <w:t>punctul</w:t>
            </w:r>
            <w:proofErr w:type="spellEnd"/>
            <w:r w:rsidRPr="00074769">
              <w:rPr>
                <w:sz w:val="20"/>
                <w:szCs w:val="20"/>
                <w:shd w:val="clear" w:color="auto" w:fill="FFFFFF"/>
              </w:rPr>
              <w:t xml:space="preserve"> 1.2. </w:t>
            </w:r>
            <w:proofErr w:type="spellStart"/>
            <w:r w:rsidRPr="00074769">
              <w:rPr>
                <w:sz w:val="20"/>
                <w:szCs w:val="20"/>
                <w:shd w:val="clear" w:color="auto" w:fill="FFFFFF"/>
              </w:rPr>
              <w:t>subpunctul</w:t>
            </w:r>
            <w:proofErr w:type="spellEnd"/>
            <w:r w:rsidRPr="00074769">
              <w:rPr>
                <w:sz w:val="20"/>
                <w:szCs w:val="20"/>
                <w:shd w:val="clear" w:color="auto" w:fill="FFFFFF"/>
              </w:rPr>
              <w:t xml:space="preserve"> (ii) </w:t>
            </w:r>
            <w:proofErr w:type="spellStart"/>
            <w:r w:rsidRPr="00074769">
              <w:rPr>
                <w:sz w:val="20"/>
                <w:szCs w:val="20"/>
                <w:shd w:val="clear" w:color="auto" w:fill="FFFFFF"/>
              </w:rPr>
              <w:t>pentru</w:t>
            </w:r>
            <w:proofErr w:type="spellEnd"/>
            <w:r w:rsidRPr="00074769">
              <w:rPr>
                <w:sz w:val="20"/>
                <w:szCs w:val="20"/>
                <w:shd w:val="clear" w:color="auto" w:fill="FFFFFF"/>
              </w:rPr>
              <w:t xml:space="preserve"> </w:t>
            </w:r>
            <w:proofErr w:type="spellStart"/>
            <w:r w:rsidRPr="00074769">
              <w:rPr>
                <w:sz w:val="20"/>
                <w:szCs w:val="20"/>
                <w:shd w:val="clear" w:color="auto" w:fill="FFFFFF"/>
              </w:rPr>
              <w:t>consumul</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primară</w:t>
            </w:r>
            <w:proofErr w:type="spellEnd"/>
            <w:r w:rsidRPr="00074769">
              <w:rPr>
                <w:sz w:val="20"/>
                <w:szCs w:val="20"/>
                <w:shd w:val="clear" w:color="auto" w:fill="FFFFFF"/>
              </w:rPr>
              <w:t xml:space="preserve"> și </w:t>
            </w:r>
            <w:proofErr w:type="spellStart"/>
            <w:r w:rsidRPr="00074769">
              <w:rPr>
                <w:sz w:val="20"/>
                <w:szCs w:val="20"/>
                <w:shd w:val="clear" w:color="auto" w:fill="FFFFFF"/>
              </w:rPr>
              <w:t>finală</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w:t>
            </w:r>
            <w:proofErr w:type="spellStart"/>
            <w:r w:rsidRPr="00074769">
              <w:rPr>
                <w:sz w:val="20"/>
                <w:szCs w:val="20"/>
                <w:shd w:val="clear" w:color="auto" w:fill="FFFFFF"/>
              </w:rPr>
              <w:t>fiecare</w:t>
            </w:r>
            <w:proofErr w:type="spellEnd"/>
            <w:r w:rsidRPr="00074769">
              <w:rPr>
                <w:sz w:val="20"/>
                <w:szCs w:val="20"/>
                <w:shd w:val="clear" w:color="auto" w:fill="FFFFFF"/>
              </w:rPr>
              <w:t xml:space="preserve"> sector în </w:t>
            </w:r>
            <w:proofErr w:type="spellStart"/>
            <w:r w:rsidRPr="00074769">
              <w:rPr>
                <w:sz w:val="20"/>
                <w:szCs w:val="20"/>
                <w:shd w:val="clear" w:color="auto" w:fill="FFFFFF"/>
              </w:rPr>
              <w:t>parte</w:t>
            </w:r>
            <w:proofErr w:type="spellEnd"/>
            <w:r w:rsidRPr="00074769">
              <w:rPr>
                <w:sz w:val="20"/>
                <w:szCs w:val="20"/>
                <w:shd w:val="clear" w:color="auto" w:fill="FFFFFF"/>
              </w:rPr>
              <w:t xml:space="preserve">, </w:t>
            </w:r>
            <w:proofErr w:type="spellStart"/>
            <w:r w:rsidRPr="00074769">
              <w:rPr>
                <w:sz w:val="20"/>
                <w:szCs w:val="20"/>
                <w:shd w:val="clear" w:color="auto" w:fill="FFFFFF"/>
              </w:rPr>
              <w:t>cel</w:t>
            </w:r>
            <w:proofErr w:type="spellEnd"/>
            <w:r w:rsidRPr="00074769">
              <w:rPr>
                <w:sz w:val="20"/>
                <w:szCs w:val="20"/>
                <w:shd w:val="clear" w:color="auto" w:fill="FFFFFF"/>
              </w:rPr>
              <w:t xml:space="preserve"> </w:t>
            </w:r>
            <w:proofErr w:type="spellStart"/>
            <w:r w:rsidRPr="00074769">
              <w:rPr>
                <w:sz w:val="20"/>
                <w:szCs w:val="20"/>
                <w:shd w:val="clear" w:color="auto" w:fill="FFFFFF"/>
              </w:rPr>
              <w:t>puțin</w:t>
            </w:r>
            <w:proofErr w:type="spellEnd"/>
            <w:r w:rsidRPr="00074769">
              <w:rPr>
                <w:sz w:val="20"/>
                <w:szCs w:val="20"/>
                <w:shd w:val="clear" w:color="auto" w:fill="FFFFFF"/>
              </w:rPr>
              <w:t xml:space="preserve"> </w:t>
            </w:r>
            <w:proofErr w:type="spellStart"/>
            <w:r w:rsidRPr="00074769">
              <w:rPr>
                <w:sz w:val="20"/>
                <w:szCs w:val="20"/>
                <w:shd w:val="clear" w:color="auto" w:fill="FFFFFF"/>
              </w:rPr>
              <w:t>până</w:t>
            </w:r>
            <w:proofErr w:type="spellEnd"/>
            <w:r w:rsidRPr="00074769">
              <w:rPr>
                <w:sz w:val="20"/>
                <w:szCs w:val="20"/>
                <w:shd w:val="clear" w:color="auto" w:fill="FFFFFF"/>
              </w:rPr>
              <w:t xml:space="preserve"> în 2040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anul 2030) </w:t>
            </w:r>
            <w:hyperlink r:id="rId74" w:anchor="ntr20-L_2018328RO.01004701-E0020" w:history="1">
              <w:r w:rsidRPr="00074769">
                <w:rPr>
                  <w:rStyle w:val="af6"/>
                  <w:color w:val="auto"/>
                  <w:sz w:val="20"/>
                  <w:szCs w:val="20"/>
                  <w:shd w:val="clear" w:color="auto" w:fill="FFFFFF"/>
                </w:rPr>
                <w:t>(</w:t>
              </w:r>
              <w:r w:rsidRPr="00074769">
                <w:rPr>
                  <w:rStyle w:val="super"/>
                  <w:sz w:val="20"/>
                  <w:szCs w:val="20"/>
                  <w:shd w:val="clear" w:color="auto" w:fill="FFFFFF"/>
                  <w:vertAlign w:val="superscript"/>
                </w:rPr>
                <w:t>20</w:t>
              </w:r>
              <w:r w:rsidRPr="00074769">
                <w:rPr>
                  <w:rStyle w:val="af6"/>
                  <w:color w:val="auto"/>
                  <w:sz w:val="20"/>
                  <w:szCs w:val="20"/>
                  <w:shd w:val="clear" w:color="auto" w:fill="FFFFFF"/>
                </w:rPr>
                <w:t>)</w:t>
              </w:r>
            </w:hyperlink>
          </w:p>
          <w:p w14:paraId="5C27B867" w14:textId="3AC0A0F9" w:rsidR="008F5636" w:rsidRPr="00074769" w:rsidRDefault="008F5636" w:rsidP="000C5A3B">
            <w:pPr>
              <w:pStyle w:val="ti-grseq-1"/>
              <w:numPr>
                <w:ilvl w:val="0"/>
                <w:numId w:val="33"/>
              </w:numPr>
              <w:shd w:val="clear" w:color="auto" w:fill="FFFFFF"/>
              <w:spacing w:before="0" w:beforeAutospacing="0" w:after="0" w:afterAutospacing="0"/>
              <w:jc w:val="both"/>
              <w:rPr>
                <w:b/>
                <w:bCs/>
                <w:sz w:val="20"/>
                <w:szCs w:val="20"/>
                <w:shd w:val="clear" w:color="auto" w:fill="FFFFFF"/>
              </w:rPr>
            </w:pPr>
            <w:proofErr w:type="spellStart"/>
            <w:r w:rsidRPr="00074769">
              <w:rPr>
                <w:sz w:val="20"/>
                <w:szCs w:val="20"/>
                <w:shd w:val="clear" w:color="auto" w:fill="FFFFFF"/>
              </w:rPr>
              <w:t>Nivelurile</w:t>
            </w:r>
            <w:proofErr w:type="spellEnd"/>
            <w:r w:rsidRPr="00074769">
              <w:rPr>
                <w:sz w:val="20"/>
                <w:szCs w:val="20"/>
                <w:shd w:val="clear" w:color="auto" w:fill="FFFFFF"/>
              </w:rPr>
              <w:t xml:space="preserve"> optime din </w:t>
            </w:r>
            <w:proofErr w:type="spellStart"/>
            <w:r w:rsidRPr="00074769">
              <w:rPr>
                <w:sz w:val="20"/>
                <w:szCs w:val="20"/>
                <w:shd w:val="clear" w:color="auto" w:fill="FFFFFF"/>
              </w:rPr>
              <w:t>punctul</w:t>
            </w:r>
            <w:proofErr w:type="spellEnd"/>
            <w:r w:rsidRPr="00074769">
              <w:rPr>
                <w:sz w:val="20"/>
                <w:szCs w:val="20"/>
                <w:shd w:val="clear" w:color="auto" w:fill="FFFFFF"/>
              </w:rPr>
              <w:t xml:space="preserve"> de </w:t>
            </w:r>
            <w:proofErr w:type="spellStart"/>
            <w:r w:rsidRPr="00074769">
              <w:rPr>
                <w:sz w:val="20"/>
                <w:szCs w:val="20"/>
                <w:shd w:val="clear" w:color="auto" w:fill="FFFFFF"/>
              </w:rPr>
              <w:t>vedere</w:t>
            </w:r>
            <w:proofErr w:type="spellEnd"/>
            <w:r w:rsidRPr="00074769">
              <w:rPr>
                <w:sz w:val="20"/>
                <w:szCs w:val="20"/>
                <w:shd w:val="clear" w:color="auto" w:fill="FFFFFF"/>
              </w:rPr>
              <w:t xml:space="preserve"> al </w:t>
            </w:r>
            <w:proofErr w:type="spellStart"/>
            <w:r w:rsidRPr="00074769">
              <w:rPr>
                <w:sz w:val="20"/>
                <w:szCs w:val="20"/>
                <w:shd w:val="clear" w:color="auto" w:fill="FFFFFF"/>
              </w:rPr>
              <w:t>costurilor</w:t>
            </w:r>
            <w:proofErr w:type="spellEnd"/>
            <w:r w:rsidRPr="00074769">
              <w:rPr>
                <w:sz w:val="20"/>
                <w:szCs w:val="20"/>
                <w:shd w:val="clear" w:color="auto" w:fill="FFFFFF"/>
              </w:rPr>
              <w:t xml:space="preserve"> ale </w:t>
            </w:r>
            <w:proofErr w:type="spellStart"/>
            <w:r w:rsidRPr="00074769">
              <w:rPr>
                <w:sz w:val="20"/>
                <w:szCs w:val="20"/>
                <w:shd w:val="clear" w:color="auto" w:fill="FFFFFF"/>
              </w:rPr>
              <w:t>cerințelor</w:t>
            </w:r>
            <w:proofErr w:type="spellEnd"/>
            <w:r w:rsidRPr="00074769">
              <w:rPr>
                <w:sz w:val="20"/>
                <w:szCs w:val="20"/>
                <w:shd w:val="clear" w:color="auto" w:fill="FFFFFF"/>
              </w:rPr>
              <w:t xml:space="preserve"> </w:t>
            </w:r>
            <w:proofErr w:type="spellStart"/>
            <w:r w:rsidRPr="00074769">
              <w:rPr>
                <w:sz w:val="20"/>
                <w:szCs w:val="20"/>
                <w:shd w:val="clear" w:color="auto" w:fill="FFFFFF"/>
              </w:rPr>
              <w:t>minime</w:t>
            </w:r>
            <w:proofErr w:type="spellEnd"/>
            <w:r w:rsidRPr="00074769">
              <w:rPr>
                <w:sz w:val="20"/>
                <w:szCs w:val="20"/>
                <w:shd w:val="clear" w:color="auto" w:fill="FFFFFF"/>
              </w:rPr>
              <w:t xml:space="preserve"> de </w:t>
            </w:r>
            <w:proofErr w:type="spellStart"/>
            <w:r w:rsidRPr="00074769">
              <w:rPr>
                <w:sz w:val="20"/>
                <w:szCs w:val="20"/>
                <w:shd w:val="clear" w:color="auto" w:fill="FFFFFF"/>
              </w:rPr>
              <w:t>performanță</w:t>
            </w:r>
            <w:proofErr w:type="spellEnd"/>
            <w:r w:rsidRPr="00074769">
              <w:rPr>
                <w:sz w:val="20"/>
                <w:szCs w:val="20"/>
                <w:shd w:val="clear" w:color="auto" w:fill="FFFFFF"/>
              </w:rPr>
              <w:t xml:space="preserve"> </w:t>
            </w:r>
            <w:proofErr w:type="spellStart"/>
            <w:r w:rsidRPr="00074769">
              <w:rPr>
                <w:sz w:val="20"/>
                <w:szCs w:val="20"/>
                <w:shd w:val="clear" w:color="auto" w:fill="FFFFFF"/>
              </w:rPr>
              <w:t>energetică</w:t>
            </w:r>
            <w:proofErr w:type="spellEnd"/>
            <w:r w:rsidRPr="00074769">
              <w:rPr>
                <w:sz w:val="20"/>
                <w:szCs w:val="20"/>
                <w:shd w:val="clear" w:color="auto" w:fill="FFFFFF"/>
              </w:rPr>
              <w:t xml:space="preserve"> </w:t>
            </w:r>
            <w:proofErr w:type="spellStart"/>
            <w:r w:rsidRPr="00074769">
              <w:rPr>
                <w:sz w:val="20"/>
                <w:szCs w:val="20"/>
                <w:shd w:val="clear" w:color="auto" w:fill="FFFFFF"/>
              </w:rPr>
              <w:t>rezultate</w:t>
            </w:r>
            <w:proofErr w:type="spellEnd"/>
            <w:r w:rsidRPr="00074769">
              <w:rPr>
                <w:sz w:val="20"/>
                <w:szCs w:val="20"/>
                <w:shd w:val="clear" w:color="auto" w:fill="FFFFFF"/>
              </w:rPr>
              <w:t xml:space="preserve"> din </w:t>
            </w:r>
            <w:proofErr w:type="spellStart"/>
            <w:r w:rsidRPr="00074769">
              <w:rPr>
                <w:sz w:val="20"/>
                <w:szCs w:val="20"/>
                <w:shd w:val="clear" w:color="auto" w:fill="FFFFFF"/>
              </w:rPr>
              <w:t>calculele</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în conformitate cu </w:t>
            </w:r>
            <w:proofErr w:type="spellStart"/>
            <w:r w:rsidRPr="00074769">
              <w:rPr>
                <w:sz w:val="20"/>
                <w:szCs w:val="20"/>
                <w:shd w:val="clear" w:color="auto" w:fill="FFFFFF"/>
              </w:rPr>
              <w:t>articolul</w:t>
            </w:r>
            <w:proofErr w:type="spellEnd"/>
            <w:r w:rsidRPr="00074769">
              <w:rPr>
                <w:sz w:val="20"/>
                <w:szCs w:val="20"/>
                <w:shd w:val="clear" w:color="auto" w:fill="FFFFFF"/>
              </w:rPr>
              <w:t xml:space="preserve"> 5 din </w:t>
            </w:r>
            <w:proofErr w:type="spellStart"/>
            <w:r w:rsidRPr="00074769">
              <w:rPr>
                <w:sz w:val="20"/>
                <w:szCs w:val="20"/>
                <w:shd w:val="clear" w:color="auto" w:fill="FFFFFF"/>
              </w:rPr>
              <w:t>Directiva</w:t>
            </w:r>
            <w:proofErr w:type="spellEnd"/>
            <w:r w:rsidRPr="00074769">
              <w:rPr>
                <w:sz w:val="20"/>
                <w:szCs w:val="20"/>
                <w:shd w:val="clear" w:color="auto" w:fill="FFFFFF"/>
              </w:rPr>
              <w:t xml:space="preserve"> 2010/31/UE</w:t>
            </w:r>
          </w:p>
          <w:p w14:paraId="0AEC523E" w14:textId="7EC6236C"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lastRenderedPageBreak/>
              <w:t>4.</w:t>
            </w:r>
            <w:proofErr w:type="gramStart"/>
            <w:r w:rsidRPr="00074769">
              <w:rPr>
                <w:b/>
                <w:bCs/>
                <w:color w:val="333333"/>
                <w:sz w:val="20"/>
                <w:szCs w:val="20"/>
                <w:shd w:val="clear" w:color="auto" w:fill="FFFFFF"/>
              </w:rPr>
              <w:t>4.Dimensiunea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securitate</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energetică</w:t>
            </w:r>
            <w:proofErr w:type="spellEnd"/>
            <w:r w:rsidRPr="00074769">
              <w:rPr>
                <w:b/>
                <w:bCs/>
                <w:color w:val="333333"/>
                <w:sz w:val="20"/>
                <w:szCs w:val="20"/>
                <w:shd w:val="clear" w:color="auto" w:fill="FFFFFF"/>
              </w:rPr>
              <w:t>”</w:t>
            </w:r>
          </w:p>
          <w:p w14:paraId="1249E4DE" w14:textId="7408B454" w:rsidR="008F5636" w:rsidRPr="00074769" w:rsidRDefault="008F5636" w:rsidP="000C5A3B">
            <w:pPr>
              <w:pStyle w:val="ti-grseq-1"/>
              <w:numPr>
                <w:ilvl w:val="0"/>
                <w:numId w:val="3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Mixul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energetic</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actual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resursele</w:t>
            </w:r>
            <w:proofErr w:type="spellEnd"/>
            <w:r w:rsidRPr="00074769">
              <w:rPr>
                <w:sz w:val="20"/>
                <w:szCs w:val="20"/>
                <w:shd w:val="clear" w:color="auto" w:fill="FFFFFF"/>
                <w:lang w:val="fr-FR"/>
              </w:rPr>
              <w:t xml:space="preserve"> interne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dependența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importuri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riscurile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relevante</w:t>
            </w:r>
            <w:proofErr w:type="spellEnd"/>
          </w:p>
          <w:p w14:paraId="0CFAF8D9" w14:textId="51012D29" w:rsidR="008F5636" w:rsidRPr="00074769" w:rsidRDefault="008F5636" w:rsidP="000C5A3B">
            <w:pPr>
              <w:pStyle w:val="ti-grseq-1"/>
              <w:numPr>
                <w:ilvl w:val="0"/>
                <w:numId w:val="34"/>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rPr>
              <w:t>Prognoze</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evoluția</w:t>
            </w:r>
            <w:proofErr w:type="spellEnd"/>
            <w:r w:rsidRPr="00074769">
              <w:rPr>
                <w:sz w:val="20"/>
                <w:szCs w:val="20"/>
                <w:shd w:val="clear" w:color="auto" w:fill="FFFFFF"/>
              </w:rPr>
              <w:t xml:space="preserve"> în </w:t>
            </w:r>
            <w:proofErr w:type="spellStart"/>
            <w:r w:rsidRPr="00074769">
              <w:rPr>
                <w:sz w:val="20"/>
                <w:szCs w:val="20"/>
                <w:shd w:val="clear" w:color="auto" w:fill="FFFFFF"/>
              </w:rPr>
              <w:t>contextul</w:t>
            </w:r>
            <w:proofErr w:type="spellEnd"/>
            <w:r w:rsidRPr="00074769">
              <w:rPr>
                <w:sz w:val="20"/>
                <w:szCs w:val="20"/>
                <w:shd w:val="clear" w:color="auto" w:fill="FFFFFF"/>
              </w:rPr>
              <w:t xml:space="preserve"> </w:t>
            </w:r>
            <w:proofErr w:type="spellStart"/>
            <w:r w:rsidRPr="00074769">
              <w:rPr>
                <w:sz w:val="20"/>
                <w:szCs w:val="20"/>
                <w:shd w:val="clear" w:color="auto" w:fill="FFFFFF"/>
              </w:rPr>
              <w:t>politicilor</w:t>
            </w:r>
            <w:proofErr w:type="spellEnd"/>
            <w:r w:rsidRPr="00074769">
              <w:rPr>
                <w:sz w:val="20"/>
                <w:szCs w:val="20"/>
                <w:shd w:val="clear" w:color="auto" w:fill="FFFFFF"/>
              </w:rPr>
              <w:t xml:space="preserve"> și </w:t>
            </w:r>
            <w:proofErr w:type="spellStart"/>
            <w:r w:rsidRPr="00074769">
              <w:rPr>
                <w:sz w:val="20"/>
                <w:szCs w:val="20"/>
                <w:shd w:val="clear" w:color="auto" w:fill="FFFFFF"/>
              </w:rPr>
              <w:t>măsurilor</w:t>
            </w:r>
            <w:proofErr w:type="spellEnd"/>
            <w:r w:rsidRPr="00074769">
              <w:rPr>
                <w:sz w:val="20"/>
                <w:szCs w:val="20"/>
                <w:shd w:val="clear" w:color="auto" w:fill="FFFFFF"/>
              </w:rPr>
              <w:t xml:space="preserve"> </w:t>
            </w:r>
            <w:proofErr w:type="spellStart"/>
            <w:r w:rsidRPr="00074769">
              <w:rPr>
                <w:sz w:val="20"/>
                <w:szCs w:val="20"/>
                <w:shd w:val="clear" w:color="auto" w:fill="FFFFFF"/>
              </w:rPr>
              <w:t>existente</w:t>
            </w:r>
            <w:proofErr w:type="spellEnd"/>
            <w:r w:rsidRPr="00074769">
              <w:rPr>
                <w:sz w:val="20"/>
                <w:szCs w:val="20"/>
                <w:shd w:val="clear" w:color="auto" w:fill="FFFFFF"/>
              </w:rPr>
              <w:t xml:space="preserve">, </w:t>
            </w:r>
            <w:proofErr w:type="spellStart"/>
            <w:r w:rsidRPr="00074769">
              <w:rPr>
                <w:sz w:val="20"/>
                <w:szCs w:val="20"/>
                <w:shd w:val="clear" w:color="auto" w:fill="FFFFFF"/>
              </w:rPr>
              <w:t>cel</w:t>
            </w:r>
            <w:proofErr w:type="spellEnd"/>
            <w:r w:rsidRPr="00074769">
              <w:rPr>
                <w:sz w:val="20"/>
                <w:szCs w:val="20"/>
                <w:shd w:val="clear" w:color="auto" w:fill="FFFFFF"/>
              </w:rPr>
              <w:t xml:space="preserve"> </w:t>
            </w:r>
            <w:proofErr w:type="spellStart"/>
            <w:r w:rsidRPr="00074769">
              <w:rPr>
                <w:sz w:val="20"/>
                <w:szCs w:val="20"/>
                <w:shd w:val="clear" w:color="auto" w:fill="FFFFFF"/>
              </w:rPr>
              <w:t>puțin</w:t>
            </w:r>
            <w:proofErr w:type="spellEnd"/>
            <w:r w:rsidRPr="00074769">
              <w:rPr>
                <w:sz w:val="20"/>
                <w:szCs w:val="20"/>
                <w:shd w:val="clear" w:color="auto" w:fill="FFFFFF"/>
              </w:rPr>
              <w:t xml:space="preserve"> </w:t>
            </w:r>
            <w:proofErr w:type="spellStart"/>
            <w:r w:rsidRPr="00074769">
              <w:rPr>
                <w:sz w:val="20"/>
                <w:szCs w:val="20"/>
                <w:shd w:val="clear" w:color="auto" w:fill="FFFFFF"/>
              </w:rPr>
              <w:t>până</w:t>
            </w:r>
            <w:proofErr w:type="spellEnd"/>
            <w:r w:rsidRPr="00074769">
              <w:rPr>
                <w:sz w:val="20"/>
                <w:szCs w:val="20"/>
                <w:shd w:val="clear" w:color="auto" w:fill="FFFFFF"/>
              </w:rPr>
              <w:t xml:space="preserve"> în 2040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anul 2030)</w:t>
            </w:r>
          </w:p>
          <w:p w14:paraId="0DFE12EE" w14:textId="1D081ED5"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fr-FR"/>
              </w:rPr>
              <w:t>4.</w:t>
            </w:r>
            <w:proofErr w:type="gramStart"/>
            <w:r w:rsidRPr="00074769">
              <w:rPr>
                <w:b/>
                <w:bCs/>
                <w:color w:val="333333"/>
                <w:sz w:val="20"/>
                <w:szCs w:val="20"/>
                <w:lang w:val="fr-FR"/>
              </w:rPr>
              <w:t>5.Dimensiunea</w:t>
            </w:r>
            <w:proofErr w:type="gramEnd"/>
            <w:r w:rsidRPr="00074769">
              <w:rPr>
                <w:b/>
                <w:bCs/>
                <w:color w:val="333333"/>
                <w:sz w:val="20"/>
                <w:szCs w:val="20"/>
                <w:lang w:val="fr-FR"/>
              </w:rPr>
              <w:t xml:space="preserve"> „</w:t>
            </w:r>
            <w:proofErr w:type="spellStart"/>
            <w:r w:rsidRPr="00074769">
              <w:rPr>
                <w:b/>
                <w:bCs/>
                <w:color w:val="333333"/>
                <w:sz w:val="20"/>
                <w:szCs w:val="20"/>
                <w:lang w:val="fr-FR"/>
              </w:rPr>
              <w:t>piața</w:t>
            </w:r>
            <w:proofErr w:type="spellEnd"/>
            <w:r w:rsidRPr="00074769">
              <w:rPr>
                <w:b/>
                <w:bCs/>
                <w:color w:val="333333"/>
                <w:sz w:val="20"/>
                <w:szCs w:val="20"/>
                <w:lang w:val="fr-FR"/>
              </w:rPr>
              <w:t xml:space="preserve"> </w:t>
            </w:r>
            <w:proofErr w:type="spellStart"/>
            <w:r w:rsidRPr="00074769">
              <w:rPr>
                <w:b/>
                <w:bCs/>
                <w:color w:val="333333"/>
                <w:sz w:val="20"/>
                <w:szCs w:val="20"/>
                <w:lang w:val="fr-FR"/>
              </w:rPr>
              <w:t>internă</w:t>
            </w:r>
            <w:proofErr w:type="spellEnd"/>
            <w:r w:rsidRPr="00074769">
              <w:rPr>
                <w:b/>
                <w:bCs/>
                <w:color w:val="333333"/>
                <w:sz w:val="20"/>
                <w:szCs w:val="20"/>
                <w:lang w:val="fr-FR"/>
              </w:rPr>
              <w:t xml:space="preserve"> a energiei”</w:t>
            </w:r>
          </w:p>
          <w:p w14:paraId="6728F499" w14:textId="2964976D" w:rsidR="008F5636" w:rsidRPr="00074769" w:rsidRDefault="008F5636" w:rsidP="008F5636">
            <w:pPr>
              <w:pStyle w:val="ti-grseq-1"/>
              <w:shd w:val="clear" w:color="auto" w:fill="FFFFFF"/>
              <w:spacing w:before="0" w:beforeAutospacing="0" w:after="0" w:afterAutospacing="0"/>
              <w:jc w:val="both"/>
              <w:rPr>
                <w:b/>
                <w:bCs/>
                <w:color w:val="333333"/>
                <w:sz w:val="20"/>
                <w:szCs w:val="20"/>
                <w:lang w:val="fr-FR"/>
              </w:rPr>
            </w:pPr>
            <w:r w:rsidRPr="00074769">
              <w:rPr>
                <w:b/>
                <w:bCs/>
                <w:color w:val="333333"/>
                <w:sz w:val="20"/>
                <w:szCs w:val="20"/>
                <w:lang w:val="fr-FR"/>
              </w:rPr>
              <w:t>4.5.</w:t>
            </w:r>
            <w:proofErr w:type="gramStart"/>
            <w:r w:rsidRPr="00074769">
              <w:rPr>
                <w:b/>
                <w:bCs/>
                <w:color w:val="333333"/>
                <w:sz w:val="20"/>
                <w:szCs w:val="20"/>
                <w:lang w:val="fr-FR"/>
              </w:rPr>
              <w:t>1.Interconectivitatea</w:t>
            </w:r>
            <w:proofErr w:type="gramEnd"/>
            <w:r w:rsidRPr="00074769">
              <w:rPr>
                <w:b/>
                <w:bCs/>
                <w:color w:val="333333"/>
                <w:sz w:val="20"/>
                <w:szCs w:val="20"/>
                <w:lang w:val="fr-FR"/>
              </w:rPr>
              <w:t xml:space="preserve"> </w:t>
            </w:r>
            <w:proofErr w:type="spellStart"/>
            <w:r w:rsidRPr="00074769">
              <w:rPr>
                <w:b/>
                <w:bCs/>
                <w:color w:val="333333"/>
                <w:sz w:val="20"/>
                <w:szCs w:val="20"/>
                <w:lang w:val="fr-FR"/>
              </w:rPr>
              <w:t>rețelelor</w:t>
            </w:r>
            <w:proofErr w:type="spellEnd"/>
            <w:r w:rsidRPr="00074769">
              <w:rPr>
                <w:b/>
                <w:bCs/>
                <w:color w:val="333333"/>
                <w:sz w:val="20"/>
                <w:szCs w:val="20"/>
                <w:lang w:val="fr-FR"/>
              </w:rPr>
              <w:t xml:space="preserve"> </w:t>
            </w:r>
            <w:proofErr w:type="spellStart"/>
            <w:r w:rsidRPr="00074769">
              <w:rPr>
                <w:b/>
                <w:bCs/>
                <w:color w:val="333333"/>
                <w:sz w:val="20"/>
                <w:szCs w:val="20"/>
                <w:lang w:val="fr-FR"/>
              </w:rPr>
              <w:t>electrice</w:t>
            </w:r>
            <w:proofErr w:type="spellEnd"/>
          </w:p>
          <w:p w14:paraId="352E5BA1" w14:textId="22984843" w:rsidR="008F5636" w:rsidRPr="00074769" w:rsidRDefault="008F5636" w:rsidP="000C5A3B">
            <w:pPr>
              <w:pStyle w:val="ti-grseq-1"/>
              <w:numPr>
                <w:ilvl w:val="0"/>
                <w:numId w:val="35"/>
              </w:numPr>
              <w:shd w:val="clear" w:color="auto" w:fill="FFFFFF"/>
              <w:spacing w:before="0" w:beforeAutospacing="0" w:after="0" w:afterAutospacing="0"/>
              <w:jc w:val="both"/>
              <w:rPr>
                <w:sz w:val="20"/>
                <w:szCs w:val="20"/>
                <w:lang w:val="fr-FR"/>
              </w:rPr>
            </w:pPr>
            <w:proofErr w:type="spellStart"/>
            <w:r w:rsidRPr="00074769">
              <w:rPr>
                <w:sz w:val="20"/>
                <w:szCs w:val="20"/>
                <w:shd w:val="clear" w:color="auto" w:fill="FFFFFF"/>
                <w:lang w:val="fr-FR"/>
              </w:rPr>
              <w:t>Nivelul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actual</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interconectare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principalele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interconexiuni</w:t>
            </w:r>
            <w:proofErr w:type="spellEnd"/>
            <w:r w:rsidRPr="00074769">
              <w:rPr>
                <w:sz w:val="20"/>
                <w:szCs w:val="20"/>
                <w:shd w:val="clear" w:color="auto" w:fill="FFFFFF"/>
                <w:lang w:val="fr-FR"/>
              </w:rPr>
              <w:t xml:space="preserve"> </w:t>
            </w:r>
            <w:hyperlink r:id="rId75" w:anchor="ntr21-L_2018328RO.01004701-E0021" w:history="1">
              <w:r w:rsidRPr="00074769">
                <w:rPr>
                  <w:rStyle w:val="af6"/>
                  <w:color w:val="auto"/>
                  <w:sz w:val="20"/>
                  <w:szCs w:val="20"/>
                  <w:shd w:val="clear" w:color="auto" w:fill="FFFFFF"/>
                  <w:lang w:val="fr-FR"/>
                </w:rPr>
                <w:t>(</w:t>
              </w:r>
              <w:r w:rsidRPr="00074769">
                <w:rPr>
                  <w:rStyle w:val="super"/>
                  <w:sz w:val="20"/>
                  <w:szCs w:val="20"/>
                  <w:shd w:val="clear" w:color="auto" w:fill="FFFFFF"/>
                  <w:vertAlign w:val="superscript"/>
                  <w:lang w:val="fr-FR"/>
                </w:rPr>
                <w:t>21</w:t>
              </w:r>
              <w:r w:rsidRPr="00074769">
                <w:rPr>
                  <w:rStyle w:val="af6"/>
                  <w:color w:val="auto"/>
                  <w:sz w:val="20"/>
                  <w:szCs w:val="20"/>
                  <w:shd w:val="clear" w:color="auto" w:fill="FFFFFF"/>
                  <w:lang w:val="fr-FR"/>
                </w:rPr>
                <w:t>)</w:t>
              </w:r>
            </w:hyperlink>
          </w:p>
          <w:p w14:paraId="4718FE3E" w14:textId="069294C4" w:rsidR="008F5636" w:rsidRPr="00074769" w:rsidRDefault="008F5636" w:rsidP="000C5A3B">
            <w:pPr>
              <w:pStyle w:val="ti-grseq-1"/>
              <w:numPr>
                <w:ilvl w:val="0"/>
                <w:numId w:val="35"/>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rPr>
              <w:t>Prognoze</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cerințele</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w:t>
            </w:r>
            <w:proofErr w:type="spellStart"/>
            <w:r w:rsidRPr="00074769">
              <w:rPr>
                <w:sz w:val="20"/>
                <w:szCs w:val="20"/>
                <w:shd w:val="clear" w:color="auto" w:fill="FFFFFF"/>
              </w:rPr>
              <w:t>extinderea</w:t>
            </w:r>
            <w:proofErr w:type="spellEnd"/>
            <w:r w:rsidRPr="00074769">
              <w:rPr>
                <w:sz w:val="20"/>
                <w:szCs w:val="20"/>
                <w:shd w:val="clear" w:color="auto" w:fill="FFFFFF"/>
              </w:rPr>
              <w:t xml:space="preserve"> </w:t>
            </w:r>
            <w:proofErr w:type="spellStart"/>
            <w:r w:rsidRPr="00074769">
              <w:rPr>
                <w:sz w:val="20"/>
                <w:szCs w:val="20"/>
                <w:shd w:val="clear" w:color="auto" w:fill="FFFFFF"/>
              </w:rPr>
              <w:t>interconexiunilor</w:t>
            </w:r>
            <w:proofErr w:type="spellEnd"/>
            <w:r w:rsidRPr="00074769">
              <w:rPr>
                <w:sz w:val="20"/>
                <w:szCs w:val="20"/>
                <w:shd w:val="clear" w:color="auto" w:fill="FFFFFF"/>
              </w:rPr>
              <w:t xml:space="preserve">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anul 2030) </w:t>
            </w:r>
            <w:hyperlink r:id="rId76" w:anchor="ntr22-L_2018328RO.01004701-E0022" w:history="1">
              <w:r w:rsidRPr="00074769">
                <w:rPr>
                  <w:rStyle w:val="af6"/>
                  <w:color w:val="auto"/>
                  <w:sz w:val="20"/>
                  <w:szCs w:val="20"/>
                  <w:shd w:val="clear" w:color="auto" w:fill="FFFFFF"/>
                </w:rPr>
                <w:t>(</w:t>
              </w:r>
              <w:r w:rsidRPr="00074769">
                <w:rPr>
                  <w:rStyle w:val="super"/>
                  <w:sz w:val="20"/>
                  <w:szCs w:val="20"/>
                  <w:shd w:val="clear" w:color="auto" w:fill="FFFFFF"/>
                  <w:vertAlign w:val="superscript"/>
                </w:rPr>
                <w:t>22</w:t>
              </w:r>
              <w:r w:rsidRPr="00074769">
                <w:rPr>
                  <w:rStyle w:val="af6"/>
                  <w:color w:val="auto"/>
                  <w:sz w:val="20"/>
                  <w:szCs w:val="20"/>
                  <w:shd w:val="clear" w:color="auto" w:fill="FFFFFF"/>
                </w:rPr>
                <w:t>)</w:t>
              </w:r>
            </w:hyperlink>
          </w:p>
          <w:p w14:paraId="4061E750" w14:textId="067ACF86"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4.5.</w:t>
            </w:r>
            <w:proofErr w:type="gramStart"/>
            <w:r w:rsidRPr="00074769">
              <w:rPr>
                <w:b/>
                <w:bCs/>
                <w:color w:val="333333"/>
                <w:sz w:val="20"/>
                <w:szCs w:val="20"/>
                <w:shd w:val="clear" w:color="auto" w:fill="FFFFFF"/>
                <w:lang w:val="fr-FR"/>
              </w:rPr>
              <w:t>2.Infrastructura</w:t>
            </w:r>
            <w:proofErr w:type="gramEnd"/>
            <w:r w:rsidRPr="00074769">
              <w:rPr>
                <w:b/>
                <w:bCs/>
                <w:color w:val="333333"/>
                <w:sz w:val="20"/>
                <w:szCs w:val="20"/>
                <w:shd w:val="clear" w:color="auto" w:fill="FFFFFF"/>
                <w:lang w:val="fr-FR"/>
              </w:rPr>
              <w:t xml:space="preserve"> de transport al energiei</w:t>
            </w:r>
          </w:p>
          <w:p w14:paraId="3077FA55" w14:textId="408B83D0" w:rsidR="008F5636" w:rsidRPr="00074769" w:rsidRDefault="008F5636" w:rsidP="000C5A3B">
            <w:pPr>
              <w:pStyle w:val="ti-grseq-1"/>
              <w:numPr>
                <w:ilvl w:val="0"/>
                <w:numId w:val="36"/>
              </w:numPr>
              <w:shd w:val="clear" w:color="auto" w:fill="FFFFFF"/>
              <w:spacing w:before="0" w:beforeAutospacing="0" w:after="0" w:afterAutospacing="0"/>
              <w:jc w:val="both"/>
              <w:rPr>
                <w:sz w:val="20"/>
                <w:szCs w:val="20"/>
                <w:lang w:val="fr-FR"/>
              </w:rPr>
            </w:pPr>
            <w:proofErr w:type="spellStart"/>
            <w:r w:rsidRPr="00074769">
              <w:rPr>
                <w:sz w:val="20"/>
                <w:szCs w:val="20"/>
                <w:shd w:val="clear" w:color="auto" w:fill="FFFFFF"/>
                <w:lang w:val="fr-FR"/>
              </w:rPr>
              <w:t>Caracteristicile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esențiale</w:t>
            </w:r>
            <w:proofErr w:type="spellEnd"/>
            <w:r w:rsidRPr="00074769">
              <w:rPr>
                <w:sz w:val="20"/>
                <w:szCs w:val="20"/>
                <w:shd w:val="clear" w:color="auto" w:fill="FFFFFF"/>
                <w:lang w:val="fr-FR"/>
              </w:rPr>
              <w:t xml:space="preserve"> ale </w:t>
            </w:r>
            <w:proofErr w:type="spellStart"/>
            <w:r w:rsidRPr="00074769">
              <w:rPr>
                <w:sz w:val="20"/>
                <w:szCs w:val="20"/>
                <w:shd w:val="clear" w:color="auto" w:fill="FFFFFF"/>
                <w:lang w:val="fr-FR"/>
              </w:rPr>
              <w:t>infrastructurii</w:t>
            </w:r>
            <w:proofErr w:type="spellEnd"/>
            <w:r w:rsidRPr="00074769">
              <w:rPr>
                <w:sz w:val="20"/>
                <w:szCs w:val="20"/>
                <w:shd w:val="clear" w:color="auto" w:fill="FFFFFF"/>
                <w:lang w:val="fr-FR"/>
              </w:rPr>
              <w:t xml:space="preserve"> de transport </w:t>
            </w:r>
            <w:proofErr w:type="spellStart"/>
            <w:r w:rsidRPr="00074769">
              <w:rPr>
                <w:sz w:val="20"/>
                <w:szCs w:val="20"/>
                <w:shd w:val="clear" w:color="auto" w:fill="FFFFFF"/>
                <w:lang w:val="fr-FR"/>
              </w:rPr>
              <w:t>existente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și gaz</w:t>
            </w:r>
            <w:hyperlink r:id="rId77" w:anchor="ntr23-L_2018328RO.01004701-E0023" w:history="1">
              <w:r w:rsidRPr="00074769">
                <w:rPr>
                  <w:rStyle w:val="af6"/>
                  <w:color w:val="auto"/>
                  <w:sz w:val="20"/>
                  <w:szCs w:val="20"/>
                  <w:shd w:val="clear" w:color="auto" w:fill="FFFFFF"/>
                  <w:lang w:val="fr-FR"/>
                </w:rPr>
                <w:t>(</w:t>
              </w:r>
              <w:r w:rsidRPr="00074769">
                <w:rPr>
                  <w:rStyle w:val="super"/>
                  <w:sz w:val="20"/>
                  <w:szCs w:val="20"/>
                  <w:shd w:val="clear" w:color="auto" w:fill="FFFFFF"/>
                  <w:vertAlign w:val="superscript"/>
                  <w:lang w:val="fr-FR"/>
                </w:rPr>
                <w:t>23</w:t>
              </w:r>
              <w:r w:rsidRPr="00074769">
                <w:rPr>
                  <w:rStyle w:val="af6"/>
                  <w:color w:val="auto"/>
                  <w:sz w:val="20"/>
                  <w:szCs w:val="20"/>
                  <w:shd w:val="clear" w:color="auto" w:fill="FFFFFF"/>
                  <w:lang w:val="fr-FR"/>
                </w:rPr>
                <w:t>)</w:t>
              </w:r>
            </w:hyperlink>
          </w:p>
          <w:p w14:paraId="434C8CE4" w14:textId="74AF163E" w:rsidR="008F5636" w:rsidRPr="00074769" w:rsidRDefault="008F5636" w:rsidP="000C5A3B">
            <w:pPr>
              <w:pStyle w:val="ti-grseq-1"/>
              <w:numPr>
                <w:ilvl w:val="0"/>
                <w:numId w:val="36"/>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rPr>
              <w:t>Prognoze</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cerințele</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w:t>
            </w:r>
            <w:proofErr w:type="spellStart"/>
            <w:r w:rsidRPr="00074769">
              <w:rPr>
                <w:sz w:val="20"/>
                <w:szCs w:val="20"/>
                <w:shd w:val="clear" w:color="auto" w:fill="FFFFFF"/>
              </w:rPr>
              <w:t>extinderea</w:t>
            </w:r>
            <w:proofErr w:type="spellEnd"/>
            <w:r w:rsidRPr="00074769">
              <w:rPr>
                <w:sz w:val="20"/>
                <w:szCs w:val="20"/>
                <w:shd w:val="clear" w:color="auto" w:fill="FFFFFF"/>
              </w:rPr>
              <w:t xml:space="preserve"> </w:t>
            </w:r>
            <w:proofErr w:type="spellStart"/>
            <w:r w:rsidRPr="00074769">
              <w:rPr>
                <w:sz w:val="20"/>
                <w:szCs w:val="20"/>
                <w:shd w:val="clear" w:color="auto" w:fill="FFFFFF"/>
              </w:rPr>
              <w:t>rețelelor</w:t>
            </w:r>
            <w:proofErr w:type="spellEnd"/>
            <w:r w:rsidRPr="00074769">
              <w:rPr>
                <w:sz w:val="20"/>
                <w:szCs w:val="20"/>
                <w:shd w:val="clear" w:color="auto" w:fill="FFFFFF"/>
              </w:rPr>
              <w:t xml:space="preserve"> </w:t>
            </w:r>
            <w:proofErr w:type="spellStart"/>
            <w:r w:rsidRPr="00074769">
              <w:rPr>
                <w:sz w:val="20"/>
                <w:szCs w:val="20"/>
                <w:shd w:val="clear" w:color="auto" w:fill="FFFFFF"/>
              </w:rPr>
              <w:t>cel</w:t>
            </w:r>
            <w:proofErr w:type="spellEnd"/>
            <w:r w:rsidRPr="00074769">
              <w:rPr>
                <w:sz w:val="20"/>
                <w:szCs w:val="20"/>
                <w:shd w:val="clear" w:color="auto" w:fill="FFFFFF"/>
              </w:rPr>
              <w:t xml:space="preserve"> </w:t>
            </w:r>
            <w:proofErr w:type="spellStart"/>
            <w:r w:rsidRPr="00074769">
              <w:rPr>
                <w:sz w:val="20"/>
                <w:szCs w:val="20"/>
                <w:shd w:val="clear" w:color="auto" w:fill="FFFFFF"/>
              </w:rPr>
              <w:t>puțin</w:t>
            </w:r>
            <w:proofErr w:type="spellEnd"/>
            <w:r w:rsidRPr="00074769">
              <w:rPr>
                <w:sz w:val="20"/>
                <w:szCs w:val="20"/>
                <w:shd w:val="clear" w:color="auto" w:fill="FFFFFF"/>
              </w:rPr>
              <w:t xml:space="preserve"> </w:t>
            </w:r>
            <w:proofErr w:type="spellStart"/>
            <w:r w:rsidRPr="00074769">
              <w:rPr>
                <w:sz w:val="20"/>
                <w:szCs w:val="20"/>
                <w:shd w:val="clear" w:color="auto" w:fill="FFFFFF"/>
              </w:rPr>
              <w:t>până</w:t>
            </w:r>
            <w:proofErr w:type="spellEnd"/>
            <w:r w:rsidRPr="00074769">
              <w:rPr>
                <w:sz w:val="20"/>
                <w:szCs w:val="20"/>
                <w:shd w:val="clear" w:color="auto" w:fill="FFFFFF"/>
              </w:rPr>
              <w:t xml:space="preserve"> în 2040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anul 2030) </w:t>
            </w:r>
            <w:hyperlink r:id="rId78" w:anchor="ntr24-L_2018328RO.01004701-E0024" w:history="1">
              <w:r w:rsidRPr="00074769">
                <w:rPr>
                  <w:rStyle w:val="af6"/>
                  <w:color w:val="auto"/>
                  <w:sz w:val="20"/>
                  <w:szCs w:val="20"/>
                  <w:shd w:val="clear" w:color="auto" w:fill="FFFFFF"/>
                </w:rPr>
                <w:t>(</w:t>
              </w:r>
              <w:r w:rsidRPr="00074769">
                <w:rPr>
                  <w:rStyle w:val="super"/>
                  <w:sz w:val="20"/>
                  <w:szCs w:val="20"/>
                  <w:shd w:val="clear" w:color="auto" w:fill="FFFFFF"/>
                  <w:vertAlign w:val="superscript"/>
                </w:rPr>
                <w:t>24</w:t>
              </w:r>
              <w:r w:rsidRPr="00074769">
                <w:rPr>
                  <w:rStyle w:val="af6"/>
                  <w:color w:val="auto"/>
                  <w:sz w:val="20"/>
                  <w:szCs w:val="20"/>
                  <w:shd w:val="clear" w:color="auto" w:fill="FFFFFF"/>
                </w:rPr>
                <w:t>)</w:t>
              </w:r>
            </w:hyperlink>
          </w:p>
          <w:p w14:paraId="7BF52D13" w14:textId="5AEE6EAF"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4.5.</w:t>
            </w:r>
            <w:proofErr w:type="gramStart"/>
            <w:r w:rsidRPr="00074769">
              <w:rPr>
                <w:b/>
                <w:bCs/>
                <w:color w:val="333333"/>
                <w:sz w:val="20"/>
                <w:szCs w:val="20"/>
                <w:shd w:val="clear" w:color="auto" w:fill="FFFFFF"/>
                <w:lang w:val="fr-FR"/>
              </w:rPr>
              <w:t>3.Piețele</w:t>
            </w:r>
            <w:proofErr w:type="gramEnd"/>
            <w:r w:rsidRPr="00074769">
              <w:rPr>
                <w:b/>
                <w:bCs/>
                <w:color w:val="333333"/>
                <w:sz w:val="20"/>
                <w:szCs w:val="20"/>
                <w:shd w:val="clear" w:color="auto" w:fill="FFFFFF"/>
                <w:lang w:val="fr-FR"/>
              </w:rPr>
              <w:t xml:space="preserve"> energiei </w:t>
            </w:r>
            <w:proofErr w:type="spellStart"/>
            <w:r w:rsidRPr="00074769">
              <w:rPr>
                <w:b/>
                <w:bCs/>
                <w:color w:val="333333"/>
                <w:sz w:val="20"/>
                <w:szCs w:val="20"/>
                <w:shd w:val="clear" w:color="auto" w:fill="FFFFFF"/>
                <w:lang w:val="fr-FR"/>
              </w:rPr>
              <w:t>electrice</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gazului</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prețurile</w:t>
            </w:r>
            <w:proofErr w:type="spellEnd"/>
            <w:r w:rsidRPr="00074769">
              <w:rPr>
                <w:b/>
                <w:bCs/>
                <w:color w:val="333333"/>
                <w:sz w:val="20"/>
                <w:szCs w:val="20"/>
                <w:shd w:val="clear" w:color="auto" w:fill="FFFFFF"/>
                <w:lang w:val="fr-FR"/>
              </w:rPr>
              <w:t xml:space="preserve"> la </w:t>
            </w:r>
            <w:proofErr w:type="spellStart"/>
            <w:r w:rsidRPr="00074769">
              <w:rPr>
                <w:b/>
                <w:bCs/>
                <w:color w:val="333333"/>
                <w:sz w:val="20"/>
                <w:szCs w:val="20"/>
                <w:shd w:val="clear" w:color="auto" w:fill="FFFFFF"/>
                <w:lang w:val="fr-FR"/>
              </w:rPr>
              <w:t>energie</w:t>
            </w:r>
            <w:proofErr w:type="spellEnd"/>
          </w:p>
          <w:p w14:paraId="08191DCC" w14:textId="502B8BEF" w:rsidR="008F5636" w:rsidRPr="00074769" w:rsidRDefault="008F5636" w:rsidP="000C5A3B">
            <w:pPr>
              <w:pStyle w:val="ti-grseq-1"/>
              <w:numPr>
                <w:ilvl w:val="0"/>
                <w:numId w:val="37"/>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Situația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actuală</w:t>
            </w:r>
            <w:proofErr w:type="spellEnd"/>
            <w:r w:rsidRPr="00074769">
              <w:rPr>
                <w:sz w:val="20"/>
                <w:szCs w:val="20"/>
                <w:shd w:val="clear" w:color="auto" w:fill="FFFFFF"/>
                <w:lang w:val="fr-FR"/>
              </w:rPr>
              <w:t xml:space="preserve"> a </w:t>
            </w:r>
            <w:proofErr w:type="spellStart"/>
            <w:r w:rsidRPr="00074769">
              <w:rPr>
                <w:sz w:val="20"/>
                <w:szCs w:val="20"/>
                <w:shd w:val="clear" w:color="auto" w:fill="FFFFFF"/>
                <w:lang w:val="fr-FR"/>
              </w:rPr>
              <w:t>piețelor</w:t>
            </w:r>
            <w:proofErr w:type="spellEnd"/>
            <w:r w:rsidRPr="00074769">
              <w:rPr>
                <w:sz w:val="20"/>
                <w:szCs w:val="20"/>
                <w:shd w:val="clear" w:color="auto" w:fill="FFFFFF"/>
                <w:lang w:val="fr-FR"/>
              </w:rPr>
              <w:t xml:space="preserve"> energiei </w:t>
            </w:r>
            <w:proofErr w:type="spellStart"/>
            <w:r w:rsidRPr="00074769">
              <w:rPr>
                <w:sz w:val="20"/>
                <w:szCs w:val="20"/>
                <w:shd w:val="clear" w:color="auto" w:fill="FFFFFF"/>
                <w:lang w:val="fr-FR"/>
              </w:rPr>
              <w:t>electrice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gazului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prețurile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energie</w:t>
            </w:r>
            <w:proofErr w:type="spellEnd"/>
          </w:p>
          <w:p w14:paraId="31A42325" w14:textId="100D9850" w:rsidR="008F5636" w:rsidRPr="00074769" w:rsidRDefault="008F5636" w:rsidP="000C5A3B">
            <w:pPr>
              <w:pStyle w:val="ti-grseq-1"/>
              <w:numPr>
                <w:ilvl w:val="0"/>
                <w:numId w:val="37"/>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rPr>
              <w:t>Prognoze</w:t>
            </w:r>
            <w:proofErr w:type="spellEnd"/>
            <w:r w:rsidRPr="00074769">
              <w:rPr>
                <w:sz w:val="20"/>
                <w:szCs w:val="20"/>
                <w:shd w:val="clear" w:color="auto" w:fill="FFFFFF"/>
              </w:rPr>
              <w:t xml:space="preserve"> </w:t>
            </w:r>
            <w:proofErr w:type="spellStart"/>
            <w:r w:rsidRPr="00074769">
              <w:rPr>
                <w:sz w:val="20"/>
                <w:szCs w:val="20"/>
                <w:shd w:val="clear" w:color="auto" w:fill="FFFFFF"/>
              </w:rPr>
              <w:t>referitoare</w:t>
            </w:r>
            <w:proofErr w:type="spellEnd"/>
            <w:r w:rsidRPr="00074769">
              <w:rPr>
                <w:sz w:val="20"/>
                <w:szCs w:val="20"/>
                <w:shd w:val="clear" w:color="auto" w:fill="FFFFFF"/>
              </w:rPr>
              <w:t xml:space="preserve"> la </w:t>
            </w:r>
            <w:proofErr w:type="spellStart"/>
            <w:r w:rsidRPr="00074769">
              <w:rPr>
                <w:sz w:val="20"/>
                <w:szCs w:val="20"/>
                <w:shd w:val="clear" w:color="auto" w:fill="FFFFFF"/>
              </w:rPr>
              <w:t>evoluția</w:t>
            </w:r>
            <w:proofErr w:type="spellEnd"/>
            <w:r w:rsidRPr="00074769">
              <w:rPr>
                <w:sz w:val="20"/>
                <w:szCs w:val="20"/>
                <w:shd w:val="clear" w:color="auto" w:fill="FFFFFF"/>
              </w:rPr>
              <w:t xml:space="preserve"> în </w:t>
            </w:r>
            <w:proofErr w:type="spellStart"/>
            <w:r w:rsidRPr="00074769">
              <w:rPr>
                <w:sz w:val="20"/>
                <w:szCs w:val="20"/>
                <w:shd w:val="clear" w:color="auto" w:fill="FFFFFF"/>
              </w:rPr>
              <w:t>contextul</w:t>
            </w:r>
            <w:proofErr w:type="spellEnd"/>
            <w:r w:rsidRPr="00074769">
              <w:rPr>
                <w:sz w:val="20"/>
                <w:szCs w:val="20"/>
                <w:shd w:val="clear" w:color="auto" w:fill="FFFFFF"/>
              </w:rPr>
              <w:t xml:space="preserve"> </w:t>
            </w:r>
            <w:proofErr w:type="spellStart"/>
            <w:r w:rsidRPr="00074769">
              <w:rPr>
                <w:sz w:val="20"/>
                <w:szCs w:val="20"/>
                <w:shd w:val="clear" w:color="auto" w:fill="FFFFFF"/>
              </w:rPr>
              <w:t>politicilor</w:t>
            </w:r>
            <w:proofErr w:type="spellEnd"/>
            <w:r w:rsidRPr="00074769">
              <w:rPr>
                <w:sz w:val="20"/>
                <w:szCs w:val="20"/>
                <w:shd w:val="clear" w:color="auto" w:fill="FFFFFF"/>
              </w:rPr>
              <w:t xml:space="preserve"> și </w:t>
            </w:r>
            <w:proofErr w:type="spellStart"/>
            <w:r w:rsidRPr="00074769">
              <w:rPr>
                <w:sz w:val="20"/>
                <w:szCs w:val="20"/>
                <w:shd w:val="clear" w:color="auto" w:fill="FFFFFF"/>
              </w:rPr>
              <w:t>măsurilor</w:t>
            </w:r>
            <w:proofErr w:type="spellEnd"/>
            <w:r w:rsidRPr="00074769">
              <w:rPr>
                <w:sz w:val="20"/>
                <w:szCs w:val="20"/>
                <w:shd w:val="clear" w:color="auto" w:fill="FFFFFF"/>
              </w:rPr>
              <w:t xml:space="preserve"> </w:t>
            </w:r>
            <w:proofErr w:type="spellStart"/>
            <w:r w:rsidRPr="00074769">
              <w:rPr>
                <w:sz w:val="20"/>
                <w:szCs w:val="20"/>
                <w:shd w:val="clear" w:color="auto" w:fill="FFFFFF"/>
              </w:rPr>
              <w:t>existente</w:t>
            </w:r>
            <w:proofErr w:type="spellEnd"/>
            <w:r w:rsidRPr="00074769">
              <w:rPr>
                <w:sz w:val="20"/>
                <w:szCs w:val="20"/>
                <w:shd w:val="clear" w:color="auto" w:fill="FFFFFF"/>
              </w:rPr>
              <w:t xml:space="preserve">, </w:t>
            </w:r>
            <w:proofErr w:type="spellStart"/>
            <w:r w:rsidRPr="00074769">
              <w:rPr>
                <w:sz w:val="20"/>
                <w:szCs w:val="20"/>
                <w:shd w:val="clear" w:color="auto" w:fill="FFFFFF"/>
              </w:rPr>
              <w:t>cel</w:t>
            </w:r>
            <w:proofErr w:type="spellEnd"/>
            <w:r w:rsidRPr="00074769">
              <w:rPr>
                <w:sz w:val="20"/>
                <w:szCs w:val="20"/>
                <w:shd w:val="clear" w:color="auto" w:fill="FFFFFF"/>
              </w:rPr>
              <w:t xml:space="preserve"> </w:t>
            </w:r>
            <w:proofErr w:type="spellStart"/>
            <w:r w:rsidRPr="00074769">
              <w:rPr>
                <w:sz w:val="20"/>
                <w:szCs w:val="20"/>
                <w:shd w:val="clear" w:color="auto" w:fill="FFFFFF"/>
              </w:rPr>
              <w:t>puțin</w:t>
            </w:r>
            <w:proofErr w:type="spellEnd"/>
            <w:r w:rsidRPr="00074769">
              <w:rPr>
                <w:sz w:val="20"/>
                <w:szCs w:val="20"/>
                <w:shd w:val="clear" w:color="auto" w:fill="FFFFFF"/>
              </w:rPr>
              <w:t xml:space="preserve"> </w:t>
            </w:r>
            <w:proofErr w:type="spellStart"/>
            <w:r w:rsidRPr="00074769">
              <w:rPr>
                <w:sz w:val="20"/>
                <w:szCs w:val="20"/>
                <w:shd w:val="clear" w:color="auto" w:fill="FFFFFF"/>
              </w:rPr>
              <w:t>până</w:t>
            </w:r>
            <w:proofErr w:type="spellEnd"/>
            <w:r w:rsidRPr="00074769">
              <w:rPr>
                <w:sz w:val="20"/>
                <w:szCs w:val="20"/>
                <w:shd w:val="clear" w:color="auto" w:fill="FFFFFF"/>
              </w:rPr>
              <w:t xml:space="preserve"> în 2040 (</w:t>
            </w:r>
            <w:proofErr w:type="spellStart"/>
            <w:r w:rsidRPr="00074769">
              <w:rPr>
                <w:sz w:val="20"/>
                <w:szCs w:val="20"/>
                <w:shd w:val="clear" w:color="auto" w:fill="FFFFFF"/>
              </w:rPr>
              <w:t>inclusiv</w:t>
            </w:r>
            <w:proofErr w:type="spellEnd"/>
            <w:r w:rsidRPr="00074769">
              <w:rPr>
                <w:sz w:val="20"/>
                <w:szCs w:val="20"/>
                <w:shd w:val="clear" w:color="auto" w:fill="FFFFFF"/>
              </w:rPr>
              <w:t xml:space="preserve"> </w:t>
            </w:r>
            <w:proofErr w:type="spellStart"/>
            <w:r w:rsidRPr="00074769">
              <w:rPr>
                <w:sz w:val="20"/>
                <w:szCs w:val="20"/>
                <w:shd w:val="clear" w:color="auto" w:fill="FFFFFF"/>
              </w:rPr>
              <w:t>pentru</w:t>
            </w:r>
            <w:proofErr w:type="spellEnd"/>
            <w:r w:rsidRPr="00074769">
              <w:rPr>
                <w:sz w:val="20"/>
                <w:szCs w:val="20"/>
                <w:shd w:val="clear" w:color="auto" w:fill="FFFFFF"/>
              </w:rPr>
              <w:t xml:space="preserve"> anul 2030)</w:t>
            </w:r>
          </w:p>
          <w:p w14:paraId="7498E816" w14:textId="1B532BB2"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4.</w:t>
            </w:r>
            <w:proofErr w:type="gramStart"/>
            <w:r w:rsidRPr="00074769">
              <w:rPr>
                <w:b/>
                <w:bCs/>
                <w:color w:val="333333"/>
                <w:sz w:val="20"/>
                <w:szCs w:val="20"/>
                <w:shd w:val="clear" w:color="auto" w:fill="FFFFFF"/>
                <w:lang w:val="fr-FR"/>
              </w:rPr>
              <w:t>6.Dimensiunea</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cercetare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inovare</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competitivitate</w:t>
            </w:r>
            <w:proofErr w:type="spellEnd"/>
            <w:r w:rsidRPr="00074769">
              <w:rPr>
                <w:b/>
                <w:bCs/>
                <w:color w:val="333333"/>
                <w:sz w:val="20"/>
                <w:szCs w:val="20"/>
                <w:shd w:val="clear" w:color="auto" w:fill="FFFFFF"/>
                <w:lang w:val="fr-FR"/>
              </w:rPr>
              <w:t>”</w:t>
            </w:r>
          </w:p>
          <w:p w14:paraId="55D557C5" w14:textId="74F487FF" w:rsidR="008F5636" w:rsidRPr="00074769" w:rsidRDefault="008F5636" w:rsidP="000C5A3B">
            <w:pPr>
              <w:pStyle w:val="Normal4"/>
              <w:numPr>
                <w:ilvl w:val="0"/>
                <w:numId w:val="38"/>
              </w:numPr>
              <w:spacing w:before="0" w:beforeAutospacing="0" w:after="0" w:afterAutospacing="0"/>
              <w:jc w:val="both"/>
              <w:rPr>
                <w:sz w:val="20"/>
                <w:szCs w:val="20"/>
              </w:rPr>
            </w:pPr>
            <w:r w:rsidRPr="00074769">
              <w:rPr>
                <w:sz w:val="20"/>
                <w:szCs w:val="20"/>
              </w:rPr>
              <w:t>Situația actuală a sectorului tehnologiilor cu emisii reduse de dioxid de carbon și, în măsura în care este posibil, poziția acestuia pe piața mondială (această analiză se va realiza la nivelul Uniunii sau la nivel mondial)</w:t>
            </w:r>
          </w:p>
          <w:p w14:paraId="64123EEA" w14:textId="70477A56" w:rsidR="008F5636" w:rsidRPr="00074769" w:rsidRDefault="008F5636" w:rsidP="000C5A3B">
            <w:pPr>
              <w:pStyle w:val="Normal4"/>
              <w:numPr>
                <w:ilvl w:val="0"/>
                <w:numId w:val="38"/>
              </w:numPr>
              <w:spacing w:before="0" w:beforeAutospacing="0" w:after="0" w:afterAutospacing="0"/>
              <w:jc w:val="both"/>
              <w:rPr>
                <w:sz w:val="20"/>
                <w:szCs w:val="20"/>
                <w:shd w:val="clear" w:color="auto" w:fill="FFFFFF"/>
              </w:rPr>
            </w:pPr>
            <w:r w:rsidRPr="00074769">
              <w:rPr>
                <w:sz w:val="20"/>
                <w:szCs w:val="20"/>
                <w:shd w:val="clear" w:color="auto" w:fill="FFFFFF"/>
              </w:rPr>
              <w:t>Nivelul actual al cheltuielilor publice și, dacă sunt disponibile, al celor private pentru cercetare și inovare în domeniul tehnologiilor cu emisii reduse de dioxid de carbon, numărul actual de brevete și numărul actual de cercetători</w:t>
            </w:r>
          </w:p>
          <w:p w14:paraId="012D3992" w14:textId="7464BCC5" w:rsidR="008F5636" w:rsidRPr="00074769" w:rsidRDefault="008F5636" w:rsidP="000C5A3B">
            <w:pPr>
              <w:pStyle w:val="Normal4"/>
              <w:numPr>
                <w:ilvl w:val="0"/>
                <w:numId w:val="38"/>
              </w:numPr>
              <w:spacing w:before="0" w:beforeAutospacing="0" w:after="0" w:afterAutospacing="0"/>
              <w:jc w:val="both"/>
              <w:rPr>
                <w:sz w:val="20"/>
                <w:szCs w:val="20"/>
              </w:rPr>
            </w:pPr>
            <w:r w:rsidRPr="00074769">
              <w:rPr>
                <w:sz w:val="20"/>
                <w:szCs w:val="20"/>
                <w:shd w:val="clear" w:color="auto" w:fill="FFFFFF"/>
              </w:rPr>
              <w:t>Defalcarea elementelor prețului curent care formează principalele trei componente ale prețului (energie, rețea, taxe/impozite)</w:t>
            </w:r>
          </w:p>
          <w:p w14:paraId="60BFFDCA" w14:textId="1657A85D" w:rsidR="008F5636" w:rsidRPr="00074769" w:rsidRDefault="008F5636" w:rsidP="000C5A3B">
            <w:pPr>
              <w:pStyle w:val="ti-grseq-1"/>
              <w:numPr>
                <w:ilvl w:val="0"/>
                <w:numId w:val="38"/>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Descrierea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subvențiilor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combustibilii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fosili</w:t>
            </w:r>
            <w:proofErr w:type="spellEnd"/>
          </w:p>
          <w:p w14:paraId="22A5D565" w14:textId="68A2E52B"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fr-FR"/>
              </w:rPr>
              <w:t>5.EVALUAREA IMPACTULUI POLITICILOR ȘI MĂSURILOR PLANIFICATE</w:t>
            </w:r>
            <w:hyperlink r:id="rId79" w:anchor="ntr25-L_2018328RO.01004701-E0025" w:history="1">
              <w:r w:rsidRPr="00074769">
                <w:rPr>
                  <w:rStyle w:val="af6"/>
                  <w:b/>
                  <w:bCs/>
                  <w:color w:val="337AB7"/>
                  <w:sz w:val="20"/>
                  <w:szCs w:val="20"/>
                  <w:lang w:val="fr-FR"/>
                </w:rPr>
                <w:t>(</w:t>
              </w:r>
              <w:r w:rsidRPr="00074769">
                <w:rPr>
                  <w:rStyle w:val="super"/>
                  <w:b/>
                  <w:bCs/>
                  <w:color w:val="337AB7"/>
                  <w:sz w:val="20"/>
                  <w:szCs w:val="20"/>
                  <w:vertAlign w:val="superscript"/>
                  <w:lang w:val="fr-FR"/>
                </w:rPr>
                <w:t>25</w:t>
              </w:r>
              <w:r w:rsidRPr="00074769">
                <w:rPr>
                  <w:rStyle w:val="af6"/>
                  <w:b/>
                  <w:bCs/>
                  <w:color w:val="337AB7"/>
                  <w:sz w:val="20"/>
                  <w:szCs w:val="20"/>
                  <w:lang w:val="fr-FR"/>
                </w:rPr>
                <w:t>)</w:t>
              </w:r>
            </w:hyperlink>
          </w:p>
          <w:p w14:paraId="4EF85909" w14:textId="26B5E7B7"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lang w:val="ro-MD"/>
              </w:rPr>
              <w:t xml:space="preserve">5.1.Impactul politicilor și măsurilor planificate descrise în secțiunea 3 referitoare la sistemul energetic și emisiile și absorbțiile de GES, inclusiv o comparație cu </w:t>
            </w:r>
            <w:r w:rsidRPr="00074769">
              <w:rPr>
                <w:b/>
                <w:bCs/>
                <w:color w:val="333333"/>
                <w:sz w:val="20"/>
                <w:szCs w:val="20"/>
                <w:lang w:val="ro-MD"/>
              </w:rPr>
              <w:lastRenderedPageBreak/>
              <w:t>prognozele în contextul politicilor și măsurilor existente (conform descrierii din secțiunea 4).</w:t>
            </w:r>
          </w:p>
          <w:p w14:paraId="3BE2A4D1" w14:textId="0D0836E6" w:rsidR="008F5636" w:rsidRPr="00074769" w:rsidRDefault="008F5636" w:rsidP="000C5A3B">
            <w:pPr>
              <w:pStyle w:val="ti-grseq-1"/>
              <w:numPr>
                <w:ilvl w:val="0"/>
                <w:numId w:val="39"/>
              </w:numPr>
              <w:shd w:val="clear" w:color="auto" w:fill="FFFFFF"/>
              <w:spacing w:before="0" w:beforeAutospacing="0" w:after="0" w:afterAutospacing="0"/>
              <w:ind w:left="641" w:hanging="357"/>
              <w:jc w:val="both"/>
              <w:rPr>
                <w:sz w:val="20"/>
                <w:szCs w:val="20"/>
                <w:shd w:val="clear" w:color="auto" w:fill="FFFFFF"/>
                <w:lang w:val="ro-MD"/>
              </w:rPr>
            </w:pPr>
            <w:r w:rsidRPr="00074769">
              <w:rPr>
                <w:sz w:val="20"/>
                <w:szCs w:val="20"/>
                <w:shd w:val="clear" w:color="auto" w:fill="FFFFFF"/>
                <w:lang w:val="ro-MD"/>
              </w:rPr>
              <w:t>Prognoze referitoare la evoluția sistemului energetic și a emisiilor și absorbțiilor de GES, precum și, dacă este relevant, a emisiilor de poluanți atmosferici în conformitate cu Directiva (UE) 2016/2284 în temeiul politicilor și măsurilor planificate, cel puțin până la zece ani după perioada vizată de plan (inclusiv pentru ultimul an al perioadei vizate de plan), inclusiv politici și măsuri relevante ale Uniunii.</w:t>
            </w:r>
          </w:p>
          <w:p w14:paraId="0F2EC5E3" w14:textId="6AC180A8" w:rsidR="008F5636" w:rsidRPr="00074769" w:rsidRDefault="008F5636" w:rsidP="000C5A3B">
            <w:pPr>
              <w:pStyle w:val="ti-grseq-1"/>
              <w:numPr>
                <w:ilvl w:val="0"/>
                <w:numId w:val="39"/>
              </w:numPr>
              <w:shd w:val="clear" w:color="auto" w:fill="FFFFFF"/>
              <w:spacing w:before="0" w:beforeAutospacing="0" w:after="0" w:afterAutospacing="0"/>
              <w:ind w:left="641" w:hanging="357"/>
              <w:jc w:val="both"/>
              <w:rPr>
                <w:color w:val="333333"/>
                <w:sz w:val="20"/>
                <w:szCs w:val="20"/>
                <w:shd w:val="clear" w:color="auto" w:fill="FFFFFF"/>
                <w:lang w:val="ro-MD"/>
              </w:rPr>
            </w:pPr>
            <w:r w:rsidRPr="00074769">
              <w:rPr>
                <w:color w:val="333333"/>
                <w:sz w:val="20"/>
                <w:szCs w:val="20"/>
                <w:shd w:val="clear" w:color="auto" w:fill="FFFFFF"/>
                <w:lang w:val="ro-MD"/>
              </w:rPr>
              <w:t>Evaluarea interacțiunilor între politici (între politicile și măsurile existente și planificate în cadrul unei dimensiuni de politică și între politicile și măsurile existente și cele planificate din diferite dimensiuni), cel puțin până în ultimul an al perioadei vizate de plan, în special pentru a permite o înțelegere solidă a impactului politicilor în materie de eficiență energetică/ de economisire a energiei asupra dimensionării sistemului energetic și pentru a reduce riscul de investiții irecuperabile în ceea ce privește aprovizionarea cu energie</w:t>
            </w:r>
          </w:p>
          <w:p w14:paraId="1C718A3F" w14:textId="6029176F" w:rsidR="008F5636" w:rsidRPr="00074769" w:rsidRDefault="008F5636" w:rsidP="000C5A3B">
            <w:pPr>
              <w:pStyle w:val="ti-grseq-1"/>
              <w:numPr>
                <w:ilvl w:val="0"/>
                <w:numId w:val="39"/>
              </w:numPr>
              <w:shd w:val="clear" w:color="auto" w:fill="FFFFFF"/>
              <w:spacing w:before="0" w:beforeAutospacing="0" w:after="0" w:afterAutospacing="0"/>
              <w:ind w:left="641" w:hanging="357"/>
              <w:jc w:val="both"/>
              <w:rPr>
                <w:b/>
                <w:bCs/>
                <w:sz w:val="20"/>
                <w:szCs w:val="20"/>
                <w:shd w:val="clear" w:color="auto" w:fill="FFFFFF"/>
                <w:lang w:val="fr-FR"/>
              </w:rPr>
            </w:pPr>
            <w:proofErr w:type="spellStart"/>
            <w:r w:rsidRPr="00074769">
              <w:rPr>
                <w:color w:val="333333"/>
                <w:sz w:val="20"/>
                <w:szCs w:val="20"/>
                <w:shd w:val="clear" w:color="auto" w:fill="FFFFFF"/>
                <w:lang w:val="fr-FR"/>
              </w:rPr>
              <w:t>Evaluarea</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interacțiunilor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dintre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existente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cele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planificate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precum</w:t>
            </w:r>
            <w:proofErr w:type="spellEnd"/>
            <w:r w:rsidRPr="00074769">
              <w:rPr>
                <w:color w:val="333333"/>
                <w:sz w:val="20"/>
                <w:szCs w:val="20"/>
                <w:shd w:val="clear" w:color="auto" w:fill="FFFFFF"/>
                <w:lang w:val="fr-FR"/>
              </w:rPr>
              <w:t xml:space="preserve"> și a </w:t>
            </w:r>
            <w:proofErr w:type="spellStart"/>
            <w:r w:rsidRPr="00074769">
              <w:rPr>
                <w:color w:val="333333"/>
                <w:sz w:val="20"/>
                <w:szCs w:val="20"/>
                <w:shd w:val="clear" w:color="auto" w:fill="FFFFFF"/>
                <w:lang w:val="fr-FR"/>
              </w:rPr>
              <w:t>interacțiunilor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dintre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politicile</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respective și </w:t>
            </w:r>
            <w:proofErr w:type="spellStart"/>
            <w:r w:rsidRPr="00074769">
              <w:rPr>
                <w:color w:val="333333"/>
                <w:sz w:val="20"/>
                <w:szCs w:val="20"/>
                <w:shd w:val="clear" w:color="auto" w:fill="FFFFFF"/>
                <w:lang w:val="fr-FR"/>
              </w:rPr>
              <w:t>măsurile</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politică</w:t>
            </w:r>
            <w:proofErr w:type="spellEnd"/>
            <w:r w:rsidRPr="00074769">
              <w:rPr>
                <w:color w:val="333333"/>
                <w:sz w:val="20"/>
                <w:szCs w:val="20"/>
                <w:shd w:val="clear" w:color="auto" w:fill="FFFFFF"/>
                <w:lang w:val="fr-FR"/>
              </w:rPr>
              <w:t xml:space="preserve"> ale </w:t>
            </w:r>
            <w:proofErr w:type="spellStart"/>
            <w:r w:rsidRPr="00074769">
              <w:rPr>
                <w:color w:val="333333"/>
                <w:sz w:val="20"/>
                <w:szCs w:val="20"/>
                <w:shd w:val="clear" w:color="auto" w:fill="FFFFFF"/>
                <w:lang w:val="fr-FR"/>
              </w:rPr>
              <w:t>Uniunii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privind</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clima</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energia</w:t>
            </w:r>
            <w:proofErr w:type="spellEnd"/>
          </w:p>
          <w:p w14:paraId="2374F6A3" w14:textId="534893BB"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 xml:space="preserve">5.2.Impactul la </w:t>
            </w:r>
            <w:proofErr w:type="spellStart"/>
            <w:r w:rsidRPr="00074769">
              <w:rPr>
                <w:b/>
                <w:bCs/>
                <w:color w:val="333333"/>
                <w:sz w:val="20"/>
                <w:szCs w:val="20"/>
                <w:shd w:val="clear" w:color="auto" w:fill="FFFFFF"/>
                <w:lang w:val="fr-FR"/>
              </w:rPr>
              <w:t>nivel</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macroeconomic</w:t>
            </w:r>
            <w:proofErr w:type="spellEnd"/>
            <w:r w:rsidRPr="00074769">
              <w:rPr>
                <w:b/>
                <w:bCs/>
                <w:color w:val="333333"/>
                <w:sz w:val="20"/>
                <w:szCs w:val="20"/>
                <w:shd w:val="clear" w:color="auto" w:fill="FFFFFF"/>
                <w:lang w:val="fr-FR"/>
              </w:rPr>
              <w:t xml:space="preserve"> și, în </w:t>
            </w:r>
            <w:proofErr w:type="spellStart"/>
            <w:r w:rsidRPr="00074769">
              <w:rPr>
                <w:b/>
                <w:bCs/>
                <w:color w:val="333333"/>
                <w:sz w:val="20"/>
                <w:szCs w:val="20"/>
                <w:shd w:val="clear" w:color="auto" w:fill="FFFFFF"/>
                <w:lang w:val="fr-FR"/>
              </w:rPr>
              <w:t>măsura</w:t>
            </w:r>
            <w:proofErr w:type="spellEnd"/>
            <w:r w:rsidRPr="00074769">
              <w:rPr>
                <w:b/>
                <w:bCs/>
                <w:color w:val="333333"/>
                <w:sz w:val="20"/>
                <w:szCs w:val="20"/>
                <w:shd w:val="clear" w:color="auto" w:fill="FFFFFF"/>
                <w:lang w:val="fr-FR"/>
              </w:rPr>
              <w:t xml:space="preserve"> în care este </w:t>
            </w:r>
            <w:proofErr w:type="spellStart"/>
            <w:r w:rsidRPr="00074769">
              <w:rPr>
                <w:b/>
                <w:bCs/>
                <w:color w:val="333333"/>
                <w:sz w:val="20"/>
                <w:szCs w:val="20"/>
                <w:shd w:val="clear" w:color="auto" w:fill="FFFFFF"/>
                <w:lang w:val="fr-FR"/>
              </w:rPr>
              <w:t>posibil</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asupra</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sănătății</w:t>
            </w:r>
            <w:proofErr w:type="spellEnd"/>
            <w:r w:rsidRPr="00074769">
              <w:rPr>
                <w:b/>
                <w:bCs/>
                <w:color w:val="333333"/>
                <w:sz w:val="20"/>
                <w:szCs w:val="20"/>
                <w:shd w:val="clear" w:color="auto" w:fill="FFFFFF"/>
                <w:lang w:val="fr-FR"/>
              </w:rPr>
              <w:t xml:space="preserve">, a </w:t>
            </w:r>
            <w:proofErr w:type="spellStart"/>
            <w:r w:rsidRPr="00074769">
              <w:rPr>
                <w:b/>
                <w:bCs/>
                <w:color w:val="333333"/>
                <w:sz w:val="20"/>
                <w:szCs w:val="20"/>
                <w:shd w:val="clear" w:color="auto" w:fill="FFFFFF"/>
                <w:lang w:val="fr-FR"/>
              </w:rPr>
              <w:t>mediului</w:t>
            </w:r>
            <w:proofErr w:type="spellEnd"/>
            <w:r w:rsidRPr="00074769">
              <w:rPr>
                <w:b/>
                <w:bCs/>
                <w:color w:val="333333"/>
                <w:sz w:val="20"/>
                <w:szCs w:val="20"/>
                <w:shd w:val="clear" w:color="auto" w:fill="FFFFFF"/>
                <w:lang w:val="fr-FR"/>
              </w:rPr>
              <w:t xml:space="preserve">, a </w:t>
            </w:r>
            <w:proofErr w:type="spellStart"/>
            <w:r w:rsidRPr="00074769">
              <w:rPr>
                <w:b/>
                <w:bCs/>
                <w:color w:val="333333"/>
                <w:sz w:val="20"/>
                <w:szCs w:val="20"/>
                <w:shd w:val="clear" w:color="auto" w:fill="FFFFFF"/>
                <w:lang w:val="fr-FR"/>
              </w:rPr>
              <w:t>ocupării</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forței</w:t>
            </w:r>
            <w:proofErr w:type="spellEnd"/>
            <w:r w:rsidRPr="00074769">
              <w:rPr>
                <w:b/>
                <w:bCs/>
                <w:color w:val="333333"/>
                <w:sz w:val="20"/>
                <w:szCs w:val="20"/>
                <w:shd w:val="clear" w:color="auto" w:fill="FFFFFF"/>
                <w:lang w:val="fr-FR"/>
              </w:rPr>
              <w:t xml:space="preserve"> de </w:t>
            </w:r>
            <w:proofErr w:type="spellStart"/>
            <w:r w:rsidRPr="00074769">
              <w:rPr>
                <w:b/>
                <w:bCs/>
                <w:color w:val="333333"/>
                <w:sz w:val="20"/>
                <w:szCs w:val="20"/>
                <w:shd w:val="clear" w:color="auto" w:fill="FFFFFF"/>
                <w:lang w:val="fr-FR"/>
              </w:rPr>
              <w:t>muncă</w:t>
            </w:r>
            <w:proofErr w:type="spellEnd"/>
            <w:r w:rsidRPr="00074769">
              <w:rPr>
                <w:b/>
                <w:bCs/>
                <w:color w:val="333333"/>
                <w:sz w:val="20"/>
                <w:szCs w:val="20"/>
                <w:shd w:val="clear" w:color="auto" w:fill="FFFFFF"/>
                <w:lang w:val="fr-FR"/>
              </w:rPr>
              <w:t xml:space="preserve"> și a </w:t>
            </w:r>
            <w:proofErr w:type="spellStart"/>
            <w:r w:rsidRPr="00074769">
              <w:rPr>
                <w:b/>
                <w:bCs/>
                <w:color w:val="333333"/>
                <w:sz w:val="20"/>
                <w:szCs w:val="20"/>
                <w:shd w:val="clear" w:color="auto" w:fill="FFFFFF"/>
                <w:lang w:val="fr-FR"/>
              </w:rPr>
              <w:t>educației</w:t>
            </w:r>
            <w:proofErr w:type="spellEnd"/>
            <w:r w:rsidRPr="00074769">
              <w:rPr>
                <w:b/>
                <w:bCs/>
                <w:color w:val="333333"/>
                <w:sz w:val="20"/>
                <w:szCs w:val="20"/>
                <w:shd w:val="clear" w:color="auto" w:fill="FFFFFF"/>
                <w:lang w:val="fr-FR"/>
              </w:rPr>
              <w:t xml:space="preserve">, a </w:t>
            </w:r>
            <w:proofErr w:type="spellStart"/>
            <w:r w:rsidRPr="00074769">
              <w:rPr>
                <w:b/>
                <w:bCs/>
                <w:color w:val="333333"/>
                <w:sz w:val="20"/>
                <w:szCs w:val="20"/>
                <w:shd w:val="clear" w:color="auto" w:fill="FFFFFF"/>
                <w:lang w:val="fr-FR"/>
              </w:rPr>
              <w:t>competențelor</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precum</w:t>
            </w:r>
            <w:proofErr w:type="spellEnd"/>
            <w:r w:rsidRPr="00074769">
              <w:rPr>
                <w:b/>
                <w:bCs/>
                <w:color w:val="333333"/>
                <w:sz w:val="20"/>
                <w:szCs w:val="20"/>
                <w:shd w:val="clear" w:color="auto" w:fill="FFFFFF"/>
                <w:lang w:val="fr-FR"/>
              </w:rPr>
              <w:t xml:space="preserve"> și la </w:t>
            </w:r>
            <w:proofErr w:type="spellStart"/>
            <w:r w:rsidRPr="00074769">
              <w:rPr>
                <w:b/>
                <w:bCs/>
                <w:color w:val="333333"/>
                <w:sz w:val="20"/>
                <w:szCs w:val="20"/>
                <w:shd w:val="clear" w:color="auto" w:fill="FFFFFF"/>
                <w:lang w:val="fr-FR"/>
              </w:rPr>
              <w:t>nivel</w:t>
            </w:r>
            <w:proofErr w:type="spellEnd"/>
            <w:r w:rsidRPr="00074769">
              <w:rPr>
                <w:b/>
                <w:bCs/>
                <w:color w:val="333333"/>
                <w:sz w:val="20"/>
                <w:szCs w:val="20"/>
                <w:shd w:val="clear" w:color="auto" w:fill="FFFFFF"/>
                <w:lang w:val="fr-FR"/>
              </w:rPr>
              <w:t xml:space="preserve"> social, </w:t>
            </w:r>
            <w:proofErr w:type="spellStart"/>
            <w:r w:rsidRPr="00074769">
              <w:rPr>
                <w:b/>
                <w:bCs/>
                <w:color w:val="333333"/>
                <w:sz w:val="20"/>
                <w:szCs w:val="20"/>
                <w:shd w:val="clear" w:color="auto" w:fill="FFFFFF"/>
                <w:lang w:val="fr-FR"/>
              </w:rPr>
              <w:t>inclusiv</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aspectele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referitoare</w:t>
            </w:r>
            <w:proofErr w:type="spellEnd"/>
            <w:r w:rsidRPr="00074769">
              <w:rPr>
                <w:b/>
                <w:bCs/>
                <w:color w:val="333333"/>
                <w:sz w:val="20"/>
                <w:szCs w:val="20"/>
                <w:shd w:val="clear" w:color="auto" w:fill="FFFFFF"/>
                <w:lang w:val="fr-FR"/>
              </w:rPr>
              <w:t xml:space="preserve"> la </w:t>
            </w:r>
            <w:proofErr w:type="spellStart"/>
            <w:r w:rsidRPr="00074769">
              <w:rPr>
                <w:b/>
                <w:bCs/>
                <w:color w:val="333333"/>
                <w:sz w:val="20"/>
                <w:szCs w:val="20"/>
                <w:shd w:val="clear" w:color="auto" w:fill="FFFFFF"/>
                <w:lang w:val="fr-FR"/>
              </w:rPr>
              <w:t>tranziția</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echitabilă</w:t>
            </w:r>
            <w:proofErr w:type="spellEnd"/>
            <w:r w:rsidRPr="00074769">
              <w:rPr>
                <w:b/>
                <w:bCs/>
                <w:color w:val="333333"/>
                <w:sz w:val="20"/>
                <w:szCs w:val="20"/>
                <w:shd w:val="clear" w:color="auto" w:fill="FFFFFF"/>
                <w:lang w:val="fr-FR"/>
              </w:rPr>
              <w:t xml:space="preserve"> (în </w:t>
            </w:r>
            <w:proofErr w:type="spellStart"/>
            <w:r w:rsidRPr="00074769">
              <w:rPr>
                <w:b/>
                <w:bCs/>
                <w:color w:val="333333"/>
                <w:sz w:val="20"/>
                <w:szCs w:val="20"/>
                <w:shd w:val="clear" w:color="auto" w:fill="FFFFFF"/>
                <w:lang w:val="fr-FR"/>
              </w:rPr>
              <w:t>ceea</w:t>
            </w:r>
            <w:proofErr w:type="spellEnd"/>
            <w:r w:rsidRPr="00074769">
              <w:rPr>
                <w:b/>
                <w:bCs/>
                <w:color w:val="333333"/>
                <w:sz w:val="20"/>
                <w:szCs w:val="20"/>
                <w:shd w:val="clear" w:color="auto" w:fill="FFFFFF"/>
                <w:lang w:val="fr-FR"/>
              </w:rPr>
              <w:t xml:space="preserve"> ce </w:t>
            </w:r>
            <w:proofErr w:type="spellStart"/>
            <w:r w:rsidRPr="00074769">
              <w:rPr>
                <w:b/>
                <w:bCs/>
                <w:color w:val="333333"/>
                <w:sz w:val="20"/>
                <w:szCs w:val="20"/>
                <w:shd w:val="clear" w:color="auto" w:fill="FFFFFF"/>
                <w:lang w:val="fr-FR"/>
              </w:rPr>
              <w:t>privește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costurile</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beneficiile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precum</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rentabilitatea</w:t>
            </w:r>
            <w:proofErr w:type="spellEnd"/>
            <w:r w:rsidRPr="00074769">
              <w:rPr>
                <w:b/>
                <w:bCs/>
                <w:color w:val="333333"/>
                <w:sz w:val="20"/>
                <w:szCs w:val="20"/>
                <w:shd w:val="clear" w:color="auto" w:fill="FFFFFF"/>
                <w:lang w:val="fr-FR"/>
              </w:rPr>
              <w:t xml:space="preserve">) ale </w:t>
            </w:r>
            <w:proofErr w:type="spellStart"/>
            <w:r w:rsidRPr="00074769">
              <w:rPr>
                <w:b/>
                <w:bCs/>
                <w:color w:val="333333"/>
                <w:sz w:val="20"/>
                <w:szCs w:val="20"/>
                <w:shd w:val="clear" w:color="auto" w:fill="FFFFFF"/>
                <w:lang w:val="fr-FR"/>
              </w:rPr>
              <w:t>politicilor</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măsurilor</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planificate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descrise</w:t>
            </w:r>
            <w:proofErr w:type="spellEnd"/>
            <w:r w:rsidRPr="00074769">
              <w:rPr>
                <w:b/>
                <w:bCs/>
                <w:color w:val="333333"/>
                <w:sz w:val="20"/>
                <w:szCs w:val="20"/>
                <w:shd w:val="clear" w:color="auto" w:fill="FFFFFF"/>
                <w:lang w:val="fr-FR"/>
              </w:rPr>
              <w:t xml:space="preserve"> în </w:t>
            </w:r>
            <w:proofErr w:type="spellStart"/>
            <w:r w:rsidRPr="00074769">
              <w:rPr>
                <w:b/>
                <w:bCs/>
                <w:color w:val="333333"/>
                <w:sz w:val="20"/>
                <w:szCs w:val="20"/>
                <w:shd w:val="clear" w:color="auto" w:fill="FFFFFF"/>
                <w:lang w:val="fr-FR"/>
              </w:rPr>
              <w:t>secțiunea</w:t>
            </w:r>
            <w:proofErr w:type="spellEnd"/>
            <w:r w:rsidRPr="00074769">
              <w:rPr>
                <w:b/>
                <w:bCs/>
                <w:color w:val="333333"/>
                <w:sz w:val="20"/>
                <w:szCs w:val="20"/>
                <w:shd w:val="clear" w:color="auto" w:fill="FFFFFF"/>
                <w:lang w:val="fr-FR"/>
              </w:rPr>
              <w:t xml:space="preserve"> 3, </w:t>
            </w:r>
            <w:proofErr w:type="spellStart"/>
            <w:r w:rsidRPr="00074769">
              <w:rPr>
                <w:b/>
                <w:bCs/>
                <w:color w:val="333333"/>
                <w:sz w:val="20"/>
                <w:szCs w:val="20"/>
                <w:shd w:val="clear" w:color="auto" w:fill="FFFFFF"/>
                <w:lang w:val="fr-FR"/>
              </w:rPr>
              <w:t>cel</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puțin</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până</w:t>
            </w:r>
            <w:proofErr w:type="spellEnd"/>
            <w:r w:rsidRPr="00074769">
              <w:rPr>
                <w:b/>
                <w:bCs/>
                <w:color w:val="333333"/>
                <w:sz w:val="20"/>
                <w:szCs w:val="20"/>
                <w:shd w:val="clear" w:color="auto" w:fill="FFFFFF"/>
                <w:lang w:val="fr-FR"/>
              </w:rPr>
              <w:t xml:space="preserve"> în </w:t>
            </w:r>
            <w:proofErr w:type="spellStart"/>
            <w:r w:rsidRPr="00074769">
              <w:rPr>
                <w:b/>
                <w:bCs/>
                <w:color w:val="333333"/>
                <w:sz w:val="20"/>
                <w:szCs w:val="20"/>
                <w:shd w:val="clear" w:color="auto" w:fill="FFFFFF"/>
                <w:lang w:val="fr-FR"/>
              </w:rPr>
              <w:t>ultimul</w:t>
            </w:r>
            <w:proofErr w:type="spellEnd"/>
            <w:r w:rsidRPr="00074769">
              <w:rPr>
                <w:b/>
                <w:bCs/>
                <w:color w:val="333333"/>
                <w:sz w:val="20"/>
                <w:szCs w:val="20"/>
                <w:shd w:val="clear" w:color="auto" w:fill="FFFFFF"/>
                <w:lang w:val="fr-FR"/>
              </w:rPr>
              <w:t xml:space="preserve"> an al </w:t>
            </w:r>
            <w:proofErr w:type="spellStart"/>
            <w:r w:rsidRPr="00074769">
              <w:rPr>
                <w:b/>
                <w:bCs/>
                <w:color w:val="333333"/>
                <w:sz w:val="20"/>
                <w:szCs w:val="20"/>
                <w:shd w:val="clear" w:color="auto" w:fill="FFFFFF"/>
                <w:lang w:val="fr-FR"/>
              </w:rPr>
              <w:t>perioadei</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vizate</w:t>
            </w:r>
            <w:proofErr w:type="spellEnd"/>
            <w:r w:rsidRPr="00074769">
              <w:rPr>
                <w:b/>
                <w:bCs/>
                <w:color w:val="333333"/>
                <w:sz w:val="20"/>
                <w:szCs w:val="20"/>
                <w:shd w:val="clear" w:color="auto" w:fill="FFFFFF"/>
                <w:lang w:val="fr-FR"/>
              </w:rPr>
              <w:t xml:space="preserve"> de plan, </w:t>
            </w:r>
            <w:proofErr w:type="spellStart"/>
            <w:r w:rsidRPr="00074769">
              <w:rPr>
                <w:b/>
                <w:bCs/>
                <w:color w:val="333333"/>
                <w:sz w:val="20"/>
                <w:szCs w:val="20"/>
                <w:shd w:val="clear" w:color="auto" w:fill="FFFFFF"/>
                <w:lang w:val="fr-FR"/>
              </w:rPr>
              <w:t>inclusiv</w:t>
            </w:r>
            <w:proofErr w:type="spellEnd"/>
            <w:r w:rsidRPr="00074769">
              <w:rPr>
                <w:b/>
                <w:bCs/>
                <w:color w:val="333333"/>
                <w:sz w:val="20"/>
                <w:szCs w:val="20"/>
                <w:shd w:val="clear" w:color="auto" w:fill="FFFFFF"/>
                <w:lang w:val="fr-FR"/>
              </w:rPr>
              <w:t xml:space="preserve"> o </w:t>
            </w:r>
            <w:proofErr w:type="spellStart"/>
            <w:r w:rsidRPr="00074769">
              <w:rPr>
                <w:b/>
                <w:bCs/>
                <w:color w:val="333333"/>
                <w:sz w:val="20"/>
                <w:szCs w:val="20"/>
                <w:shd w:val="clear" w:color="auto" w:fill="FFFFFF"/>
                <w:lang w:val="fr-FR"/>
              </w:rPr>
              <w:t>comparație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cu</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prognozele</w:t>
            </w:r>
            <w:proofErr w:type="spellEnd"/>
            <w:r w:rsidRPr="00074769">
              <w:rPr>
                <w:b/>
                <w:bCs/>
                <w:color w:val="333333"/>
                <w:sz w:val="20"/>
                <w:szCs w:val="20"/>
                <w:shd w:val="clear" w:color="auto" w:fill="FFFFFF"/>
                <w:lang w:val="fr-FR"/>
              </w:rPr>
              <w:t xml:space="preserve"> în </w:t>
            </w:r>
            <w:proofErr w:type="spellStart"/>
            <w:r w:rsidRPr="00074769">
              <w:rPr>
                <w:b/>
                <w:bCs/>
                <w:color w:val="333333"/>
                <w:sz w:val="20"/>
                <w:szCs w:val="20"/>
                <w:shd w:val="clear" w:color="auto" w:fill="FFFFFF"/>
                <w:lang w:val="fr-FR"/>
              </w:rPr>
              <w:t>contextul</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politicilor</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măsurilor</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existente</w:t>
            </w:r>
            <w:proofErr w:type="spellEnd"/>
          </w:p>
          <w:p w14:paraId="22585F6D" w14:textId="03C9C521"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5.</w:t>
            </w:r>
            <w:proofErr w:type="gramStart"/>
            <w:r w:rsidRPr="00074769">
              <w:rPr>
                <w:b/>
                <w:bCs/>
                <w:color w:val="333333"/>
                <w:sz w:val="20"/>
                <w:szCs w:val="20"/>
                <w:shd w:val="clear" w:color="auto" w:fill="FFFFFF"/>
              </w:rPr>
              <w:t>3.Prezentarea</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generală</w:t>
            </w:r>
            <w:proofErr w:type="spellEnd"/>
            <w:r w:rsidRPr="00074769">
              <w:rPr>
                <w:b/>
                <w:bCs/>
                <w:color w:val="333333"/>
                <w:sz w:val="20"/>
                <w:szCs w:val="20"/>
                <w:shd w:val="clear" w:color="auto" w:fill="FFFFFF"/>
              </w:rPr>
              <w:t xml:space="preserve"> a </w:t>
            </w:r>
            <w:proofErr w:type="spellStart"/>
            <w:r w:rsidRPr="00074769">
              <w:rPr>
                <w:b/>
                <w:bCs/>
                <w:color w:val="333333"/>
                <w:sz w:val="20"/>
                <w:szCs w:val="20"/>
                <w:shd w:val="clear" w:color="auto" w:fill="FFFFFF"/>
              </w:rPr>
              <w:t>investițiilor</w:t>
            </w:r>
            <w:proofErr w:type="spell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necesare</w:t>
            </w:r>
            <w:proofErr w:type="spellEnd"/>
          </w:p>
          <w:p w14:paraId="6E9C3FFA" w14:textId="00F25FCC" w:rsidR="008F5636" w:rsidRPr="00074769" w:rsidRDefault="008F5636" w:rsidP="000C5A3B">
            <w:pPr>
              <w:pStyle w:val="ti-grseq-1"/>
              <w:numPr>
                <w:ilvl w:val="0"/>
                <w:numId w:val="40"/>
              </w:numPr>
              <w:shd w:val="clear" w:color="auto" w:fill="FFFFFF"/>
              <w:spacing w:before="0" w:beforeAutospacing="0" w:after="0" w:afterAutospacing="0"/>
              <w:jc w:val="both"/>
              <w:rPr>
                <w:b/>
                <w:bCs/>
                <w:sz w:val="20"/>
                <w:szCs w:val="20"/>
                <w:shd w:val="clear" w:color="auto" w:fill="FFFFFF"/>
                <w:lang w:val="fr-FR"/>
              </w:rPr>
            </w:pPr>
            <w:proofErr w:type="spellStart"/>
            <w:proofErr w:type="gramStart"/>
            <w:r w:rsidRPr="00074769">
              <w:rPr>
                <w:sz w:val="20"/>
                <w:szCs w:val="20"/>
                <w:shd w:val="clear" w:color="auto" w:fill="FFFFFF"/>
                <w:lang w:val="fr-FR"/>
              </w:rPr>
              <w:t>fluxurile</w:t>
            </w:r>
            <w:proofErr w:type="spellEnd"/>
            <w:proofErr w:type="gramEnd"/>
            <w:r w:rsidRPr="00074769">
              <w:rPr>
                <w:sz w:val="20"/>
                <w:szCs w:val="20"/>
                <w:shd w:val="clear" w:color="auto" w:fill="FFFFFF"/>
                <w:lang w:val="fr-FR"/>
              </w:rPr>
              <w:t xml:space="preserve"> de </w:t>
            </w:r>
            <w:proofErr w:type="spellStart"/>
            <w:r w:rsidRPr="00074769">
              <w:rPr>
                <w:sz w:val="20"/>
                <w:szCs w:val="20"/>
                <w:shd w:val="clear" w:color="auto" w:fill="FFFFFF"/>
                <w:lang w:val="fr-FR"/>
              </w:rPr>
              <w:t>investiții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existente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ipotezele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privind</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investițiile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anticipate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legate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politicile</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măsurile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planificate</w:t>
            </w:r>
            <w:proofErr w:type="spellEnd"/>
          </w:p>
          <w:p w14:paraId="5D9C625D" w14:textId="79C8305E" w:rsidR="008F5636" w:rsidRPr="00074769" w:rsidRDefault="008F5636" w:rsidP="000C5A3B">
            <w:pPr>
              <w:pStyle w:val="ti-grseq-1"/>
              <w:numPr>
                <w:ilvl w:val="0"/>
                <w:numId w:val="40"/>
              </w:numPr>
              <w:shd w:val="clear" w:color="auto" w:fill="FFFFFF"/>
              <w:spacing w:before="0" w:beforeAutospacing="0" w:after="0" w:afterAutospacing="0"/>
              <w:jc w:val="both"/>
              <w:rPr>
                <w:sz w:val="20"/>
                <w:szCs w:val="20"/>
                <w:shd w:val="clear" w:color="auto" w:fill="FFFFFF"/>
                <w:lang w:val="fr-FR"/>
              </w:rPr>
            </w:pPr>
            <w:proofErr w:type="spellStart"/>
            <w:proofErr w:type="gramStart"/>
            <w:r w:rsidRPr="00074769">
              <w:rPr>
                <w:sz w:val="20"/>
                <w:szCs w:val="20"/>
                <w:shd w:val="clear" w:color="auto" w:fill="FFFFFF"/>
                <w:lang w:val="fr-FR"/>
              </w:rPr>
              <w:t>factorii</w:t>
            </w:r>
            <w:proofErr w:type="spellEnd"/>
            <w:proofErr w:type="gramEnd"/>
            <w:r w:rsidRPr="00074769">
              <w:rPr>
                <w:sz w:val="20"/>
                <w:szCs w:val="20"/>
                <w:shd w:val="clear" w:color="auto" w:fill="FFFFFF"/>
                <w:lang w:val="fr-FR"/>
              </w:rPr>
              <w:t xml:space="preserve"> de </w:t>
            </w:r>
            <w:proofErr w:type="spellStart"/>
            <w:r w:rsidRPr="00074769">
              <w:rPr>
                <w:sz w:val="20"/>
                <w:szCs w:val="20"/>
                <w:shd w:val="clear" w:color="auto" w:fill="FFFFFF"/>
                <w:lang w:val="fr-FR"/>
              </w:rPr>
              <w:t>risc</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sau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barierele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nivelul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sectorului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sau</w:t>
            </w:r>
            <w:proofErr w:type="spellEnd"/>
            <w:r w:rsidRPr="00074769">
              <w:rPr>
                <w:sz w:val="20"/>
                <w:szCs w:val="20"/>
                <w:shd w:val="clear" w:color="auto" w:fill="FFFFFF"/>
                <w:lang w:val="fr-FR"/>
              </w:rPr>
              <w:t xml:space="preserve"> al </w:t>
            </w:r>
            <w:proofErr w:type="spellStart"/>
            <w:r w:rsidRPr="00074769">
              <w:rPr>
                <w:sz w:val="20"/>
                <w:szCs w:val="20"/>
                <w:shd w:val="clear" w:color="auto" w:fill="FFFFFF"/>
                <w:lang w:val="fr-FR"/>
              </w:rPr>
              <w:t>pieței</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contextul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sau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regional</w:t>
            </w:r>
            <w:proofErr w:type="spellEnd"/>
          </w:p>
          <w:p w14:paraId="28F6CD8C" w14:textId="307A546D" w:rsidR="008F5636" w:rsidRPr="00074769" w:rsidRDefault="008F5636" w:rsidP="000C5A3B">
            <w:pPr>
              <w:pStyle w:val="Normal4"/>
              <w:numPr>
                <w:ilvl w:val="0"/>
                <w:numId w:val="40"/>
              </w:numPr>
              <w:spacing w:before="0" w:beforeAutospacing="0" w:after="0" w:afterAutospacing="0"/>
              <w:jc w:val="both"/>
              <w:rPr>
                <w:sz w:val="20"/>
                <w:szCs w:val="20"/>
              </w:rPr>
            </w:pPr>
            <w:r w:rsidRPr="00074769">
              <w:rPr>
                <w:sz w:val="20"/>
                <w:szCs w:val="20"/>
              </w:rPr>
              <w:t>analiza sprijinului sau a resurselor suplimentare din fonduri publice necesare remedierii lacunelor identificate la punctul (ii)</w:t>
            </w:r>
          </w:p>
          <w:p w14:paraId="6A149646" w14:textId="5E13D60E"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ro-MD"/>
              </w:rPr>
            </w:pPr>
            <w:r w:rsidRPr="00074769">
              <w:rPr>
                <w:b/>
                <w:bCs/>
                <w:color w:val="333333"/>
                <w:sz w:val="20"/>
                <w:szCs w:val="20"/>
                <w:shd w:val="clear" w:color="auto" w:fill="FFFFFF"/>
                <w:lang w:val="ro-MD"/>
              </w:rPr>
              <w:t xml:space="preserve">5.4.Impactul politicilor și măsurilor planificate descrise în secțiunea 3 asupra altor state membre și asupra </w:t>
            </w:r>
            <w:r w:rsidRPr="00074769">
              <w:rPr>
                <w:b/>
                <w:bCs/>
                <w:color w:val="333333"/>
                <w:sz w:val="20"/>
                <w:szCs w:val="20"/>
                <w:shd w:val="clear" w:color="auto" w:fill="FFFFFF"/>
                <w:lang w:val="ro-MD"/>
              </w:rPr>
              <w:lastRenderedPageBreak/>
              <w:t>cooperării regionale, cel puțin până în ultimul an al perioadei vizate de plan, inclusiv o comparație cu prognozele în contextul politicilor și măsurilor existente</w:t>
            </w:r>
          </w:p>
          <w:p w14:paraId="3493F608" w14:textId="77777777" w:rsidR="008F5636" w:rsidRPr="00074769" w:rsidRDefault="008F5636" w:rsidP="000C5A3B">
            <w:pPr>
              <w:pStyle w:val="Normal4"/>
              <w:numPr>
                <w:ilvl w:val="0"/>
                <w:numId w:val="41"/>
              </w:numPr>
              <w:spacing w:before="0" w:beforeAutospacing="0" w:after="0" w:afterAutospacing="0"/>
              <w:jc w:val="both"/>
              <w:rPr>
                <w:color w:val="333333"/>
                <w:sz w:val="20"/>
                <w:szCs w:val="20"/>
              </w:rPr>
            </w:pPr>
            <w:r w:rsidRPr="00074769">
              <w:rPr>
                <w:color w:val="333333"/>
                <w:sz w:val="20"/>
                <w:szCs w:val="20"/>
              </w:rPr>
              <w:t>Impactul asupra sistemului energetic din statele membre învecinate și din alte state membre din regiune, în măsura posibilului</w:t>
            </w:r>
          </w:p>
          <w:p w14:paraId="2CB8DC08" w14:textId="3A07B80B" w:rsidR="008F5636" w:rsidRPr="00074769" w:rsidRDefault="008F5636" w:rsidP="000C5A3B">
            <w:pPr>
              <w:pStyle w:val="ti-grseq-1"/>
              <w:numPr>
                <w:ilvl w:val="0"/>
                <w:numId w:val="41"/>
              </w:numPr>
              <w:shd w:val="clear" w:color="auto" w:fill="FFFFFF"/>
              <w:spacing w:before="0" w:beforeAutospacing="0" w:after="0" w:afterAutospacing="0"/>
              <w:jc w:val="both"/>
              <w:rPr>
                <w:color w:val="333333"/>
                <w:sz w:val="20"/>
                <w:szCs w:val="20"/>
                <w:shd w:val="clear" w:color="auto" w:fill="FFFFFF"/>
                <w:lang w:val="ro-MD"/>
              </w:rPr>
            </w:pPr>
            <w:r w:rsidRPr="00074769">
              <w:rPr>
                <w:color w:val="333333"/>
                <w:sz w:val="20"/>
                <w:szCs w:val="20"/>
                <w:shd w:val="clear" w:color="auto" w:fill="FFFFFF"/>
                <w:lang w:val="ro-MD"/>
              </w:rPr>
              <w:t>Impactul asupra prețurilor la energie, a utilităților și a integrării pieței energiei</w:t>
            </w:r>
          </w:p>
          <w:p w14:paraId="552C597C" w14:textId="2F774B95" w:rsidR="008F5636" w:rsidRPr="00074769" w:rsidRDefault="008F5636" w:rsidP="000C5A3B">
            <w:pPr>
              <w:pStyle w:val="ti-grseq-1"/>
              <w:numPr>
                <w:ilvl w:val="0"/>
                <w:numId w:val="41"/>
              </w:numPr>
              <w:shd w:val="clear" w:color="auto" w:fill="FFFFFF"/>
              <w:spacing w:before="0" w:beforeAutospacing="0" w:after="0" w:afterAutospacing="0"/>
              <w:jc w:val="both"/>
              <w:rPr>
                <w:b/>
                <w:bCs/>
                <w:color w:val="333333"/>
                <w:sz w:val="20"/>
                <w:szCs w:val="20"/>
                <w:shd w:val="clear" w:color="auto" w:fill="FFFFFF"/>
                <w:lang w:val="ro-MD"/>
              </w:rPr>
            </w:pPr>
            <w:proofErr w:type="spellStart"/>
            <w:r w:rsidRPr="00074769">
              <w:rPr>
                <w:color w:val="333333"/>
                <w:sz w:val="20"/>
                <w:szCs w:val="20"/>
                <w:shd w:val="clear" w:color="auto" w:fill="FFFFFF"/>
              </w:rPr>
              <w:t>Dacă</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este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cazul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impactul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asupra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cooperării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regionale</w:t>
            </w:r>
            <w:proofErr w:type="spellEnd"/>
          </w:p>
          <w:p w14:paraId="57ACF9E9" w14:textId="14E12D8B" w:rsidR="00DF34CE" w:rsidRDefault="00000000" w:rsidP="008F5636">
            <w:pPr>
              <w:pStyle w:val="ti-grseq-1"/>
              <w:shd w:val="clear" w:color="auto" w:fill="FFFFFF"/>
              <w:spacing w:before="0" w:beforeAutospacing="0" w:after="0" w:afterAutospacing="0"/>
              <w:jc w:val="both"/>
              <w:rPr>
                <w:sz w:val="20"/>
                <w:szCs w:val="20"/>
              </w:rPr>
            </w:pPr>
            <w:hyperlink r:id="rId80" w:tooltip="32021R1119: INSERTED" w:history="1">
              <w:r w:rsidR="00DF34CE" w:rsidRPr="00DF34CE">
                <w:rPr>
                  <w:rStyle w:val="af6"/>
                  <w:rFonts w:eastAsia="Arial Unicode MS"/>
                  <w:b/>
                  <w:bCs/>
                  <w:color w:val="23527C"/>
                  <w:sz w:val="20"/>
                  <w:szCs w:val="20"/>
                  <w:shd w:val="clear" w:color="auto" w:fill="FFFFFF"/>
                </w:rPr>
                <w:t>▼M2</w:t>
              </w:r>
            </w:hyperlink>
          </w:p>
          <w:p w14:paraId="1F627431" w14:textId="460FDE87" w:rsidR="00DF34CE" w:rsidRDefault="00DF34CE" w:rsidP="008F5636">
            <w:pPr>
              <w:pStyle w:val="ti-grseq-1"/>
              <w:shd w:val="clear" w:color="auto" w:fill="FFFFFF"/>
              <w:spacing w:before="0" w:beforeAutospacing="0" w:after="0" w:afterAutospacing="0"/>
              <w:jc w:val="both"/>
              <w:rPr>
                <w:rStyle w:val="boldface"/>
                <w:rFonts w:eastAsia="Arial Unicode MS"/>
                <w:b/>
                <w:bCs/>
                <w:sz w:val="20"/>
                <w:szCs w:val="20"/>
                <w:shd w:val="clear" w:color="auto" w:fill="FFFFFF"/>
              </w:rPr>
            </w:pPr>
            <w:r w:rsidRPr="00DF34CE">
              <w:rPr>
                <w:rFonts w:eastAsia="Arial Unicode MS"/>
                <w:sz w:val="20"/>
                <w:szCs w:val="20"/>
                <w:shd w:val="clear" w:color="auto" w:fill="FFFFFF"/>
              </w:rPr>
              <w:t>5.</w:t>
            </w:r>
            <w:proofErr w:type="gramStart"/>
            <w:r w:rsidRPr="00DF34CE">
              <w:rPr>
                <w:rFonts w:eastAsia="Arial Unicode MS"/>
                <w:sz w:val="20"/>
                <w:szCs w:val="20"/>
                <w:shd w:val="clear" w:color="auto" w:fill="FFFFFF"/>
              </w:rPr>
              <w:t>5.</w:t>
            </w:r>
            <w:r w:rsidRPr="00DF34CE">
              <w:rPr>
                <w:rStyle w:val="boldface"/>
                <w:rFonts w:eastAsia="Arial Unicode MS"/>
                <w:b/>
                <w:bCs/>
                <w:sz w:val="20"/>
                <w:szCs w:val="20"/>
                <w:shd w:val="clear" w:color="auto" w:fill="FFFFFF"/>
              </w:rPr>
              <w:t>Contribuția</w:t>
            </w:r>
            <w:proofErr w:type="gram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politicilor</w:t>
            </w:r>
            <w:proofErr w:type="spellEnd"/>
            <w:r w:rsidRPr="00DF34CE">
              <w:rPr>
                <w:rStyle w:val="boldface"/>
                <w:rFonts w:eastAsia="Arial Unicode MS"/>
                <w:b/>
                <w:bCs/>
                <w:sz w:val="20"/>
                <w:szCs w:val="20"/>
                <w:shd w:val="clear" w:color="auto" w:fill="FFFFFF"/>
              </w:rPr>
              <w:t xml:space="preserve"> și a </w:t>
            </w:r>
            <w:proofErr w:type="spellStart"/>
            <w:r w:rsidRPr="00DF34CE">
              <w:rPr>
                <w:rStyle w:val="boldface"/>
                <w:rFonts w:eastAsia="Arial Unicode MS"/>
                <w:b/>
                <w:bCs/>
                <w:sz w:val="20"/>
                <w:szCs w:val="20"/>
                <w:shd w:val="clear" w:color="auto" w:fill="FFFFFF"/>
              </w:rPr>
              <w:t>măsurilor</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planificate</w:t>
            </w:r>
            <w:proofErr w:type="spellEnd"/>
            <w:r w:rsidRPr="00DF34CE">
              <w:rPr>
                <w:rStyle w:val="boldface"/>
                <w:rFonts w:eastAsia="Arial Unicode MS"/>
                <w:b/>
                <w:bCs/>
                <w:sz w:val="20"/>
                <w:szCs w:val="20"/>
                <w:shd w:val="clear" w:color="auto" w:fill="FFFFFF"/>
              </w:rPr>
              <w:t xml:space="preserve"> la </w:t>
            </w:r>
            <w:proofErr w:type="spellStart"/>
            <w:r w:rsidRPr="00DF34CE">
              <w:rPr>
                <w:rStyle w:val="boldface"/>
                <w:rFonts w:eastAsia="Arial Unicode MS"/>
                <w:b/>
                <w:bCs/>
                <w:sz w:val="20"/>
                <w:szCs w:val="20"/>
                <w:shd w:val="clear" w:color="auto" w:fill="FFFFFF"/>
              </w:rPr>
              <w:t>îndeplinirea</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obiectivului</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Uniunii</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privind</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neutralitatea</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climatică</w:t>
            </w:r>
            <w:proofErr w:type="spellEnd"/>
            <w:r w:rsidRPr="00DF34CE">
              <w:rPr>
                <w:rStyle w:val="boldface"/>
                <w:rFonts w:eastAsia="Arial Unicode MS"/>
                <w:b/>
                <w:bCs/>
                <w:sz w:val="20"/>
                <w:szCs w:val="20"/>
                <w:shd w:val="clear" w:color="auto" w:fill="FFFFFF"/>
              </w:rPr>
              <w:t xml:space="preserve"> </w:t>
            </w:r>
            <w:proofErr w:type="spellStart"/>
            <w:r w:rsidRPr="00DF34CE">
              <w:rPr>
                <w:rStyle w:val="boldface"/>
                <w:rFonts w:eastAsia="Arial Unicode MS"/>
                <w:b/>
                <w:bCs/>
                <w:sz w:val="20"/>
                <w:szCs w:val="20"/>
                <w:shd w:val="clear" w:color="auto" w:fill="FFFFFF"/>
              </w:rPr>
              <w:t>prevăzut</w:t>
            </w:r>
            <w:proofErr w:type="spellEnd"/>
            <w:r w:rsidRPr="00DF34CE">
              <w:rPr>
                <w:rStyle w:val="boldface"/>
                <w:rFonts w:eastAsia="Arial Unicode MS"/>
                <w:b/>
                <w:bCs/>
                <w:sz w:val="20"/>
                <w:szCs w:val="20"/>
                <w:shd w:val="clear" w:color="auto" w:fill="FFFFFF"/>
              </w:rPr>
              <w:t xml:space="preserve"> la </w:t>
            </w:r>
            <w:proofErr w:type="spellStart"/>
            <w:r w:rsidRPr="00DF34CE">
              <w:rPr>
                <w:rStyle w:val="boldface"/>
                <w:rFonts w:eastAsia="Arial Unicode MS"/>
                <w:b/>
                <w:bCs/>
                <w:sz w:val="20"/>
                <w:szCs w:val="20"/>
                <w:shd w:val="clear" w:color="auto" w:fill="FFFFFF"/>
              </w:rPr>
              <w:t>articolul</w:t>
            </w:r>
            <w:proofErr w:type="spellEnd"/>
            <w:r>
              <w:rPr>
                <w:rStyle w:val="boldface"/>
                <w:rFonts w:eastAsia="Arial Unicode MS"/>
                <w:b/>
                <w:bCs/>
                <w:sz w:val="20"/>
                <w:szCs w:val="20"/>
                <w:shd w:val="clear" w:color="auto" w:fill="FFFFFF"/>
              </w:rPr>
              <w:t xml:space="preserve"> </w:t>
            </w:r>
            <w:r w:rsidRPr="00DF34CE">
              <w:rPr>
                <w:rStyle w:val="boldface"/>
                <w:rFonts w:eastAsia="Arial Unicode MS"/>
                <w:b/>
                <w:bCs/>
                <w:sz w:val="20"/>
                <w:szCs w:val="20"/>
                <w:shd w:val="clear" w:color="auto" w:fill="FFFFFF"/>
              </w:rPr>
              <w:t xml:space="preserve">2 </w:t>
            </w:r>
            <w:proofErr w:type="spellStart"/>
            <w:r w:rsidRPr="00DF34CE">
              <w:rPr>
                <w:rStyle w:val="boldface"/>
                <w:rFonts w:eastAsia="Arial Unicode MS"/>
                <w:b/>
                <w:bCs/>
                <w:sz w:val="20"/>
                <w:szCs w:val="20"/>
                <w:shd w:val="clear" w:color="auto" w:fill="FFFFFF"/>
              </w:rPr>
              <w:t>alineatul</w:t>
            </w:r>
            <w:proofErr w:type="spellEnd"/>
            <w:r w:rsidRPr="00DF34CE">
              <w:rPr>
                <w:rStyle w:val="boldface"/>
                <w:rFonts w:eastAsia="Arial Unicode MS"/>
                <w:b/>
                <w:bCs/>
                <w:sz w:val="20"/>
                <w:szCs w:val="20"/>
                <w:shd w:val="clear" w:color="auto" w:fill="FFFFFF"/>
              </w:rPr>
              <w:t xml:space="preserve"> (1) din </w:t>
            </w:r>
            <w:proofErr w:type="spellStart"/>
            <w:r w:rsidRPr="00DF34CE">
              <w:rPr>
                <w:rStyle w:val="boldface"/>
                <w:rFonts w:eastAsia="Arial Unicode MS"/>
                <w:b/>
                <w:bCs/>
                <w:sz w:val="20"/>
                <w:szCs w:val="20"/>
                <w:shd w:val="clear" w:color="auto" w:fill="FFFFFF"/>
              </w:rPr>
              <w:t>Regulamentul</w:t>
            </w:r>
            <w:proofErr w:type="spellEnd"/>
            <w:r w:rsidRPr="00DF34CE">
              <w:rPr>
                <w:rStyle w:val="boldface"/>
                <w:rFonts w:eastAsia="Arial Unicode MS"/>
                <w:b/>
                <w:bCs/>
                <w:sz w:val="20"/>
                <w:szCs w:val="20"/>
                <w:shd w:val="clear" w:color="auto" w:fill="FFFFFF"/>
              </w:rPr>
              <w:t xml:space="preserve"> (UE) 2021/1119</w:t>
            </w:r>
          </w:p>
          <w:p w14:paraId="0563A4E1" w14:textId="730F5EDF" w:rsidR="00DA5A25" w:rsidRPr="00DA5A25" w:rsidRDefault="00000000" w:rsidP="008F5636">
            <w:pPr>
              <w:pStyle w:val="ti-grseq-1"/>
              <w:shd w:val="clear" w:color="auto" w:fill="FFFFFF"/>
              <w:spacing w:before="0" w:beforeAutospacing="0" w:after="0" w:afterAutospacing="0"/>
              <w:jc w:val="both"/>
              <w:rPr>
                <w:rStyle w:val="bold"/>
                <w:b/>
                <w:bCs/>
                <w:sz w:val="20"/>
                <w:szCs w:val="20"/>
              </w:rPr>
            </w:pPr>
            <w:hyperlink r:id="rId81" w:tooltip="32018R1999" w:history="1">
              <w:r w:rsidR="00DA5A25" w:rsidRPr="00DA5A25">
                <w:rPr>
                  <w:rStyle w:val="af6"/>
                  <w:rFonts w:eastAsia="Arial Unicode MS"/>
                  <w:b/>
                  <w:bCs/>
                  <w:color w:val="23527C"/>
                  <w:sz w:val="20"/>
                  <w:szCs w:val="20"/>
                  <w:shd w:val="clear" w:color="auto" w:fill="FFFFFF"/>
                </w:rPr>
                <w:t>▼B</w:t>
              </w:r>
            </w:hyperlink>
          </w:p>
          <w:p w14:paraId="383F7207" w14:textId="074AB275"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proofErr w:type="spellStart"/>
            <w:r w:rsidRPr="00074769">
              <w:rPr>
                <w:rStyle w:val="bold"/>
                <w:b/>
                <w:bCs/>
                <w:color w:val="333333"/>
                <w:sz w:val="20"/>
                <w:szCs w:val="20"/>
              </w:rPr>
              <w:t>Partea</w:t>
            </w:r>
            <w:proofErr w:type="spellEnd"/>
            <w:r w:rsidRPr="00074769">
              <w:rPr>
                <w:rStyle w:val="bold"/>
                <w:b/>
                <w:bCs/>
                <w:color w:val="333333"/>
                <w:sz w:val="20"/>
                <w:szCs w:val="20"/>
              </w:rPr>
              <w:t xml:space="preserve"> 2</w:t>
            </w:r>
          </w:p>
          <w:p w14:paraId="75064E22" w14:textId="5E7F5BC1" w:rsidR="008F5636" w:rsidRPr="00074769" w:rsidRDefault="008F5636" w:rsidP="008F5636">
            <w:pPr>
              <w:pStyle w:val="ti-grseq-1"/>
              <w:shd w:val="clear" w:color="auto" w:fill="FFFFFF"/>
              <w:spacing w:before="0" w:beforeAutospacing="0" w:after="0" w:afterAutospacing="0"/>
              <w:jc w:val="both"/>
              <w:rPr>
                <w:b/>
                <w:bCs/>
                <w:color w:val="333333"/>
                <w:sz w:val="20"/>
                <w:szCs w:val="20"/>
              </w:rPr>
            </w:pPr>
            <w:r w:rsidRPr="00074769">
              <w:rPr>
                <w:b/>
                <w:bCs/>
                <w:color w:val="333333"/>
                <w:sz w:val="20"/>
                <w:szCs w:val="20"/>
              </w:rPr>
              <w:t xml:space="preserve">Lista </w:t>
            </w:r>
            <w:proofErr w:type="spellStart"/>
            <w:r w:rsidRPr="00074769">
              <w:rPr>
                <w:b/>
                <w:bCs/>
                <w:color w:val="333333"/>
                <w:sz w:val="20"/>
                <w:szCs w:val="20"/>
              </w:rPr>
              <w:t>parametrilor</w:t>
            </w:r>
            <w:proofErr w:type="spellEnd"/>
            <w:r w:rsidRPr="00074769">
              <w:rPr>
                <w:b/>
                <w:bCs/>
                <w:color w:val="333333"/>
                <w:sz w:val="20"/>
                <w:szCs w:val="20"/>
              </w:rPr>
              <w:t xml:space="preserve"> și a </w:t>
            </w:r>
            <w:proofErr w:type="spellStart"/>
            <w:r w:rsidRPr="00074769">
              <w:rPr>
                <w:b/>
                <w:bCs/>
                <w:color w:val="333333"/>
                <w:sz w:val="20"/>
                <w:szCs w:val="20"/>
              </w:rPr>
              <w:t>variabilelor</w:t>
            </w:r>
            <w:proofErr w:type="spellEnd"/>
            <w:r w:rsidRPr="00074769">
              <w:rPr>
                <w:b/>
                <w:bCs/>
                <w:color w:val="333333"/>
                <w:sz w:val="20"/>
                <w:szCs w:val="20"/>
              </w:rPr>
              <w:t xml:space="preserve"> care </w:t>
            </w:r>
            <w:proofErr w:type="spellStart"/>
            <w:r w:rsidRPr="00074769">
              <w:rPr>
                <w:b/>
                <w:bCs/>
                <w:color w:val="333333"/>
                <w:sz w:val="20"/>
                <w:szCs w:val="20"/>
              </w:rPr>
              <w:t>trebuie</w:t>
            </w:r>
            <w:proofErr w:type="spellEnd"/>
            <w:r w:rsidRPr="00074769">
              <w:rPr>
                <w:b/>
                <w:bCs/>
                <w:color w:val="333333"/>
                <w:sz w:val="20"/>
                <w:szCs w:val="20"/>
              </w:rPr>
              <w:t xml:space="preserve"> </w:t>
            </w:r>
            <w:proofErr w:type="spellStart"/>
            <w:r w:rsidRPr="00074769">
              <w:rPr>
                <w:b/>
                <w:bCs/>
                <w:color w:val="333333"/>
                <w:sz w:val="20"/>
                <w:szCs w:val="20"/>
              </w:rPr>
              <w:t>raportate</w:t>
            </w:r>
            <w:proofErr w:type="spellEnd"/>
            <w:r w:rsidRPr="00074769">
              <w:rPr>
                <w:b/>
                <w:bCs/>
                <w:color w:val="333333"/>
                <w:sz w:val="20"/>
                <w:szCs w:val="20"/>
              </w:rPr>
              <w:t xml:space="preserve"> în </w:t>
            </w:r>
            <w:proofErr w:type="spellStart"/>
            <w:r w:rsidRPr="00074769">
              <w:rPr>
                <w:b/>
                <w:bCs/>
                <w:color w:val="333333"/>
                <w:sz w:val="20"/>
                <w:szCs w:val="20"/>
              </w:rPr>
              <w:t>secțiunea</w:t>
            </w:r>
            <w:proofErr w:type="spellEnd"/>
            <w:r w:rsidRPr="00074769">
              <w:rPr>
                <w:b/>
                <w:bCs/>
                <w:color w:val="333333"/>
                <w:sz w:val="20"/>
                <w:szCs w:val="20"/>
              </w:rPr>
              <w:t xml:space="preserve"> B a </w:t>
            </w:r>
            <w:proofErr w:type="spellStart"/>
            <w:r w:rsidRPr="00074769">
              <w:rPr>
                <w:b/>
                <w:bCs/>
                <w:color w:val="333333"/>
                <w:sz w:val="20"/>
                <w:szCs w:val="20"/>
              </w:rPr>
              <w:t>planurilor</w:t>
            </w:r>
            <w:proofErr w:type="spellEnd"/>
            <w:r w:rsidRPr="00074769">
              <w:rPr>
                <w:b/>
                <w:bCs/>
                <w:color w:val="333333"/>
                <w:sz w:val="20"/>
                <w:szCs w:val="20"/>
              </w:rPr>
              <w:t xml:space="preserve"> </w:t>
            </w:r>
            <w:proofErr w:type="spellStart"/>
            <w:r w:rsidRPr="00074769">
              <w:rPr>
                <w:b/>
                <w:bCs/>
                <w:color w:val="333333"/>
                <w:sz w:val="20"/>
                <w:szCs w:val="20"/>
              </w:rPr>
              <w:t>naționale</w:t>
            </w:r>
            <w:proofErr w:type="spellEnd"/>
            <w:r w:rsidRPr="00074769">
              <w:rPr>
                <w:b/>
                <w:bCs/>
                <w:color w:val="333333"/>
                <w:sz w:val="20"/>
                <w:szCs w:val="20"/>
              </w:rPr>
              <w:t xml:space="preserve"> </w:t>
            </w:r>
            <w:hyperlink r:id="rId82" w:anchor="ntr26-L_2018328RO.01004701-E0026" w:history="1">
              <w:r w:rsidRPr="00074769">
                <w:rPr>
                  <w:rStyle w:val="af6"/>
                  <w:b/>
                  <w:bCs/>
                  <w:color w:val="337AB7"/>
                  <w:sz w:val="20"/>
                  <w:szCs w:val="20"/>
                </w:rPr>
                <w:t>(</w:t>
              </w:r>
              <w:r w:rsidRPr="00074769">
                <w:rPr>
                  <w:rStyle w:val="super"/>
                  <w:b/>
                  <w:bCs/>
                  <w:color w:val="337AB7"/>
                  <w:sz w:val="20"/>
                  <w:szCs w:val="20"/>
                  <w:vertAlign w:val="superscript"/>
                </w:rPr>
                <w:t>26</w:t>
              </w:r>
              <w:r w:rsidRPr="00074769">
                <w:rPr>
                  <w:rStyle w:val="af6"/>
                  <w:b/>
                  <w:bCs/>
                  <w:color w:val="337AB7"/>
                  <w:sz w:val="20"/>
                  <w:szCs w:val="20"/>
                </w:rPr>
                <w:t>)</w:t>
              </w:r>
            </w:hyperlink>
            <w:r w:rsidRPr="00074769">
              <w:rPr>
                <w:b/>
                <w:bCs/>
                <w:color w:val="333333"/>
                <w:sz w:val="20"/>
                <w:szCs w:val="20"/>
              </w:rPr>
              <w:t xml:space="preserve"> </w:t>
            </w:r>
            <w:hyperlink r:id="rId83" w:anchor="ntr27-L_2018328RO.01004701-E0027" w:history="1">
              <w:r w:rsidRPr="00074769">
                <w:rPr>
                  <w:rStyle w:val="af6"/>
                  <w:b/>
                  <w:bCs/>
                  <w:color w:val="337AB7"/>
                  <w:sz w:val="20"/>
                  <w:szCs w:val="20"/>
                </w:rPr>
                <w:t>(</w:t>
              </w:r>
              <w:r w:rsidRPr="00074769">
                <w:rPr>
                  <w:rStyle w:val="super"/>
                  <w:b/>
                  <w:bCs/>
                  <w:color w:val="337AB7"/>
                  <w:sz w:val="20"/>
                  <w:szCs w:val="20"/>
                  <w:vertAlign w:val="superscript"/>
                </w:rPr>
                <w:t>27</w:t>
              </w:r>
              <w:r w:rsidRPr="00074769">
                <w:rPr>
                  <w:rStyle w:val="af6"/>
                  <w:b/>
                  <w:bCs/>
                  <w:color w:val="337AB7"/>
                  <w:sz w:val="20"/>
                  <w:szCs w:val="20"/>
                </w:rPr>
                <w:t>)</w:t>
              </w:r>
            </w:hyperlink>
            <w:r w:rsidRPr="00074769">
              <w:rPr>
                <w:b/>
                <w:bCs/>
                <w:color w:val="333333"/>
                <w:sz w:val="20"/>
                <w:szCs w:val="20"/>
              </w:rPr>
              <w:t xml:space="preserve"> </w:t>
            </w:r>
            <w:hyperlink r:id="rId84" w:anchor="ntr28-L_2018328RO.01004701-E0028" w:history="1">
              <w:r w:rsidRPr="00074769">
                <w:rPr>
                  <w:rStyle w:val="af6"/>
                  <w:b/>
                  <w:bCs/>
                  <w:color w:val="337AB7"/>
                  <w:sz w:val="20"/>
                  <w:szCs w:val="20"/>
                </w:rPr>
                <w:t>(</w:t>
              </w:r>
              <w:r w:rsidRPr="00074769">
                <w:rPr>
                  <w:rStyle w:val="super"/>
                  <w:b/>
                  <w:bCs/>
                  <w:color w:val="337AB7"/>
                  <w:sz w:val="20"/>
                  <w:szCs w:val="20"/>
                  <w:vertAlign w:val="superscript"/>
                </w:rPr>
                <w:t>28</w:t>
              </w:r>
              <w:r w:rsidRPr="00074769">
                <w:rPr>
                  <w:rStyle w:val="af6"/>
                  <w:b/>
                  <w:bCs/>
                  <w:color w:val="337AB7"/>
                  <w:sz w:val="20"/>
                  <w:szCs w:val="20"/>
                </w:rPr>
                <w:t>)</w:t>
              </w:r>
            </w:hyperlink>
            <w:r w:rsidRPr="00074769">
              <w:rPr>
                <w:b/>
                <w:bCs/>
                <w:color w:val="333333"/>
                <w:sz w:val="20"/>
                <w:szCs w:val="20"/>
              </w:rPr>
              <w:t xml:space="preserve"> </w:t>
            </w:r>
            <w:hyperlink r:id="rId85" w:anchor="ntr29-L_2018328RO.01004701-E0029" w:history="1">
              <w:r w:rsidRPr="00074769">
                <w:rPr>
                  <w:rStyle w:val="af6"/>
                  <w:b/>
                  <w:bCs/>
                  <w:color w:val="337AB7"/>
                  <w:sz w:val="20"/>
                  <w:szCs w:val="20"/>
                </w:rPr>
                <w:t>(</w:t>
              </w:r>
              <w:r w:rsidRPr="00074769">
                <w:rPr>
                  <w:rStyle w:val="super"/>
                  <w:b/>
                  <w:bCs/>
                  <w:color w:val="337AB7"/>
                  <w:sz w:val="20"/>
                  <w:szCs w:val="20"/>
                  <w:vertAlign w:val="superscript"/>
                </w:rPr>
                <w:t>29</w:t>
              </w:r>
              <w:r w:rsidRPr="00074769">
                <w:rPr>
                  <w:rStyle w:val="af6"/>
                  <w:b/>
                  <w:bCs/>
                  <w:color w:val="337AB7"/>
                  <w:sz w:val="20"/>
                  <w:szCs w:val="20"/>
                </w:rPr>
                <w:t>)</w:t>
              </w:r>
            </w:hyperlink>
          </w:p>
          <w:p w14:paraId="0E9B6986" w14:textId="4DBFCD24" w:rsidR="008F5636" w:rsidRPr="00074769" w:rsidRDefault="008F5636" w:rsidP="008F5636">
            <w:pPr>
              <w:pStyle w:val="ti-grseq-1"/>
              <w:shd w:val="clear" w:color="auto" w:fill="FFFFFF"/>
              <w:spacing w:before="0" w:beforeAutospacing="0" w:after="0" w:afterAutospacing="0"/>
              <w:jc w:val="both"/>
              <w:rPr>
                <w:sz w:val="20"/>
                <w:szCs w:val="20"/>
                <w:shd w:val="clear" w:color="auto" w:fill="FFFFFF"/>
              </w:rPr>
            </w:pPr>
            <w:proofErr w:type="spellStart"/>
            <w:r w:rsidRPr="00074769">
              <w:rPr>
                <w:sz w:val="20"/>
                <w:szCs w:val="20"/>
                <w:shd w:val="clear" w:color="auto" w:fill="FFFFFF"/>
              </w:rPr>
              <w:t>Parametrii</w:t>
            </w:r>
            <w:proofErr w:type="spellEnd"/>
            <w:r w:rsidRPr="00074769">
              <w:rPr>
                <w:sz w:val="20"/>
                <w:szCs w:val="20"/>
                <w:shd w:val="clear" w:color="auto" w:fill="FFFFFF"/>
              </w:rPr>
              <w:t xml:space="preserve">, </w:t>
            </w:r>
            <w:proofErr w:type="spellStart"/>
            <w:r w:rsidRPr="00074769">
              <w:rPr>
                <w:sz w:val="20"/>
                <w:szCs w:val="20"/>
                <w:shd w:val="clear" w:color="auto" w:fill="FFFFFF"/>
              </w:rPr>
              <w:t>variabilele</w:t>
            </w:r>
            <w:proofErr w:type="spellEnd"/>
            <w:r w:rsidRPr="00074769">
              <w:rPr>
                <w:sz w:val="20"/>
                <w:szCs w:val="20"/>
                <w:shd w:val="clear" w:color="auto" w:fill="FFFFFF"/>
              </w:rPr>
              <w:t xml:space="preserve">, </w:t>
            </w:r>
            <w:proofErr w:type="spellStart"/>
            <w:r w:rsidRPr="00074769">
              <w:rPr>
                <w:sz w:val="20"/>
                <w:szCs w:val="20"/>
                <w:shd w:val="clear" w:color="auto" w:fill="FFFFFF"/>
              </w:rPr>
              <w:t>bilanțurile</w:t>
            </w:r>
            <w:proofErr w:type="spellEnd"/>
            <w:r w:rsidRPr="00074769">
              <w:rPr>
                <w:sz w:val="20"/>
                <w:szCs w:val="20"/>
                <w:shd w:val="clear" w:color="auto" w:fill="FFFFFF"/>
              </w:rPr>
              <w:t xml:space="preserve"> </w:t>
            </w:r>
            <w:proofErr w:type="spellStart"/>
            <w:r w:rsidRPr="00074769">
              <w:rPr>
                <w:sz w:val="20"/>
                <w:szCs w:val="20"/>
                <w:shd w:val="clear" w:color="auto" w:fill="FFFFFF"/>
              </w:rPr>
              <w:t>energetice</w:t>
            </w:r>
            <w:proofErr w:type="spellEnd"/>
            <w:r w:rsidRPr="00074769">
              <w:rPr>
                <w:sz w:val="20"/>
                <w:szCs w:val="20"/>
                <w:shd w:val="clear" w:color="auto" w:fill="FFFFFF"/>
              </w:rPr>
              <w:t xml:space="preserve"> și </w:t>
            </w:r>
            <w:proofErr w:type="spellStart"/>
            <w:r w:rsidRPr="00074769">
              <w:rPr>
                <w:sz w:val="20"/>
                <w:szCs w:val="20"/>
                <w:shd w:val="clear" w:color="auto" w:fill="FFFFFF"/>
              </w:rPr>
              <w:t>indicatorii</w:t>
            </w:r>
            <w:proofErr w:type="spellEnd"/>
            <w:r w:rsidRPr="00074769">
              <w:rPr>
                <w:sz w:val="20"/>
                <w:szCs w:val="20"/>
                <w:shd w:val="clear" w:color="auto" w:fill="FFFFFF"/>
              </w:rPr>
              <w:t xml:space="preserve"> care </w:t>
            </w:r>
            <w:proofErr w:type="spellStart"/>
            <w:r w:rsidRPr="00074769">
              <w:rPr>
                <w:sz w:val="20"/>
                <w:szCs w:val="20"/>
                <w:shd w:val="clear" w:color="auto" w:fill="FFFFFF"/>
              </w:rPr>
              <w:t>urmează</w:t>
            </w:r>
            <w:proofErr w:type="spellEnd"/>
            <w:r w:rsidRPr="00074769">
              <w:rPr>
                <w:sz w:val="20"/>
                <w:szCs w:val="20"/>
                <w:shd w:val="clear" w:color="auto" w:fill="FFFFFF"/>
              </w:rPr>
              <w:t xml:space="preserve"> </w:t>
            </w:r>
            <w:proofErr w:type="spellStart"/>
            <w:r w:rsidRPr="00074769">
              <w:rPr>
                <w:sz w:val="20"/>
                <w:szCs w:val="20"/>
                <w:shd w:val="clear" w:color="auto" w:fill="FFFFFF"/>
              </w:rPr>
              <w:t>trebuie</w:t>
            </w:r>
            <w:proofErr w:type="spellEnd"/>
            <w:r w:rsidRPr="00074769">
              <w:rPr>
                <w:sz w:val="20"/>
                <w:szCs w:val="20"/>
                <w:shd w:val="clear" w:color="auto" w:fill="FFFFFF"/>
              </w:rPr>
              <w:t xml:space="preserve"> </w:t>
            </w:r>
            <w:proofErr w:type="spellStart"/>
            <w:r w:rsidRPr="00074769">
              <w:rPr>
                <w:sz w:val="20"/>
                <w:szCs w:val="20"/>
                <w:shd w:val="clear" w:color="auto" w:fill="FFFFFF"/>
              </w:rPr>
              <w:t>raportați</w:t>
            </w:r>
            <w:proofErr w:type="spellEnd"/>
            <w:r w:rsidRPr="00074769">
              <w:rPr>
                <w:sz w:val="20"/>
                <w:szCs w:val="20"/>
                <w:shd w:val="clear" w:color="auto" w:fill="FFFFFF"/>
              </w:rPr>
              <w:t xml:space="preserve"> în </w:t>
            </w:r>
            <w:proofErr w:type="spellStart"/>
            <w:r w:rsidRPr="00074769">
              <w:rPr>
                <w:sz w:val="20"/>
                <w:szCs w:val="20"/>
                <w:shd w:val="clear" w:color="auto" w:fill="FFFFFF"/>
              </w:rPr>
              <w:t>secțiunea</w:t>
            </w:r>
            <w:proofErr w:type="spellEnd"/>
            <w:r w:rsidRPr="00074769">
              <w:rPr>
                <w:sz w:val="20"/>
                <w:szCs w:val="20"/>
                <w:shd w:val="clear" w:color="auto" w:fill="FFFFFF"/>
              </w:rPr>
              <w:t xml:space="preserve"> B „</w:t>
            </w:r>
            <w:proofErr w:type="spellStart"/>
            <w:r w:rsidRPr="00074769">
              <w:rPr>
                <w:sz w:val="20"/>
                <w:szCs w:val="20"/>
                <w:shd w:val="clear" w:color="auto" w:fill="FFFFFF"/>
              </w:rPr>
              <w:t>Baza</w:t>
            </w:r>
            <w:proofErr w:type="spellEnd"/>
            <w:r w:rsidRPr="00074769">
              <w:rPr>
                <w:sz w:val="20"/>
                <w:szCs w:val="20"/>
                <w:shd w:val="clear" w:color="auto" w:fill="FFFFFF"/>
              </w:rPr>
              <w:t xml:space="preserve"> </w:t>
            </w:r>
            <w:proofErr w:type="spellStart"/>
            <w:r w:rsidRPr="00074769">
              <w:rPr>
                <w:sz w:val="20"/>
                <w:szCs w:val="20"/>
                <w:shd w:val="clear" w:color="auto" w:fill="FFFFFF"/>
              </w:rPr>
              <w:t>analitică</w:t>
            </w:r>
            <w:proofErr w:type="spellEnd"/>
            <w:r w:rsidRPr="00074769">
              <w:rPr>
                <w:sz w:val="20"/>
                <w:szCs w:val="20"/>
                <w:shd w:val="clear" w:color="auto" w:fill="FFFFFF"/>
              </w:rPr>
              <w:t xml:space="preserve">” a </w:t>
            </w:r>
            <w:proofErr w:type="spellStart"/>
            <w:r w:rsidRPr="00074769">
              <w:rPr>
                <w:sz w:val="20"/>
                <w:szCs w:val="20"/>
                <w:shd w:val="clear" w:color="auto" w:fill="FFFFFF"/>
              </w:rPr>
              <w:t>planurilor</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w:t>
            </w:r>
            <w:proofErr w:type="spellStart"/>
            <w:r w:rsidRPr="00074769">
              <w:rPr>
                <w:sz w:val="20"/>
                <w:szCs w:val="20"/>
                <w:shd w:val="clear" w:color="auto" w:fill="FFFFFF"/>
              </w:rPr>
              <w:t>dacă</w:t>
            </w:r>
            <w:proofErr w:type="spellEnd"/>
            <w:r w:rsidRPr="00074769">
              <w:rPr>
                <w:sz w:val="20"/>
                <w:szCs w:val="20"/>
                <w:shd w:val="clear" w:color="auto" w:fill="FFFFFF"/>
              </w:rPr>
              <w:t xml:space="preserve"> sunt </w:t>
            </w:r>
            <w:proofErr w:type="spellStart"/>
            <w:r w:rsidRPr="00074769">
              <w:rPr>
                <w:sz w:val="20"/>
                <w:szCs w:val="20"/>
                <w:shd w:val="clear" w:color="auto" w:fill="FFFFFF"/>
              </w:rPr>
              <w:t>utilizați</w:t>
            </w:r>
            <w:proofErr w:type="spellEnd"/>
            <w:r w:rsidRPr="00074769">
              <w:rPr>
                <w:sz w:val="20"/>
                <w:szCs w:val="20"/>
                <w:shd w:val="clear" w:color="auto" w:fill="FFFFFF"/>
              </w:rPr>
              <w:t>:</w:t>
            </w:r>
          </w:p>
          <w:p w14:paraId="2206D94E" w14:textId="439094DB" w:rsidR="008F5636" w:rsidRPr="00074769" w:rsidRDefault="008F5636" w:rsidP="008F5636">
            <w:pPr>
              <w:pStyle w:val="ti-grseq-1"/>
              <w:shd w:val="clear" w:color="auto" w:fill="FFFFFF"/>
              <w:spacing w:before="0" w:beforeAutospacing="0" w:after="0" w:afterAutospacing="0"/>
              <w:jc w:val="both"/>
              <w:rPr>
                <w:b/>
                <w:bCs/>
                <w:sz w:val="20"/>
                <w:szCs w:val="20"/>
              </w:rPr>
            </w:pPr>
            <w:r w:rsidRPr="00074769">
              <w:rPr>
                <w:b/>
                <w:bCs/>
                <w:sz w:val="20"/>
                <w:szCs w:val="20"/>
              </w:rPr>
              <w:t xml:space="preserve">1.Parametri și </w:t>
            </w:r>
            <w:proofErr w:type="spellStart"/>
            <w:r w:rsidRPr="00074769">
              <w:rPr>
                <w:b/>
                <w:bCs/>
                <w:sz w:val="20"/>
                <w:szCs w:val="20"/>
              </w:rPr>
              <w:t>variabile</w:t>
            </w:r>
            <w:proofErr w:type="spellEnd"/>
            <w:r w:rsidRPr="00074769">
              <w:rPr>
                <w:b/>
                <w:bCs/>
                <w:sz w:val="20"/>
                <w:szCs w:val="20"/>
              </w:rPr>
              <w:t xml:space="preserve"> de </w:t>
            </w:r>
            <w:proofErr w:type="spellStart"/>
            <w:r w:rsidRPr="00074769">
              <w:rPr>
                <w:b/>
                <w:bCs/>
                <w:sz w:val="20"/>
                <w:szCs w:val="20"/>
              </w:rPr>
              <w:t>ordin</w:t>
            </w:r>
            <w:proofErr w:type="spellEnd"/>
            <w:r w:rsidRPr="00074769">
              <w:rPr>
                <w:b/>
                <w:bCs/>
                <w:sz w:val="20"/>
                <w:szCs w:val="20"/>
              </w:rPr>
              <w:t xml:space="preserve"> general</w:t>
            </w:r>
          </w:p>
          <w:p w14:paraId="704D4823" w14:textId="792C6725"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rPr>
            </w:pPr>
            <w:r w:rsidRPr="00074769">
              <w:rPr>
                <w:color w:val="333333"/>
                <w:sz w:val="20"/>
                <w:szCs w:val="20"/>
              </w:rPr>
              <w:t>Populație [milioane]</w:t>
            </w:r>
          </w:p>
          <w:p w14:paraId="377DFE5D" w14:textId="2549712F"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PIB [milioane EUR]</w:t>
            </w:r>
          </w:p>
          <w:p w14:paraId="0D87E16F" w14:textId="5B7DDE81"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Valoarea adăugată brută la nivel sectorial (inclusiv sectoarele industriale principale, sectorul construcțiilor, sectorul serviciilor și sectorul agriculturii) [milioane EUR]</w:t>
            </w:r>
          </w:p>
          <w:p w14:paraId="06CDD275" w14:textId="7B1B421F"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Numărul de gospodării [mii]</w:t>
            </w:r>
          </w:p>
          <w:p w14:paraId="5FC49100" w14:textId="63F905B8"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Dimensiunea gospodăriilor [locuitori/gospodărie]</w:t>
            </w:r>
          </w:p>
          <w:p w14:paraId="635D42C7" w14:textId="2CEEF694"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Venitul disponibil al gospodăriilor [EUR]</w:t>
            </w:r>
          </w:p>
          <w:p w14:paraId="66765305" w14:textId="47328FD3"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Numărul de călători-kilometri: toate modurile, și anume defalcate în transport rutier (separat pentru automobile și autobuze/autocare, dacă este posibil), feroviar, aerian și navigație internă (în cazurile în care este relevant) [milioane călători-km]</w:t>
            </w:r>
          </w:p>
          <w:p w14:paraId="79C47035" w14:textId="11F62136"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Tone-kilometri în transportul de marfă: toate modurile, cu excepția transporturilor maritime internaționale, și anume defalcate în transport rutier, feroviar, aerian și navigație internă (căi navigabile interioare și transport maritim național) [milioane t-km]</w:t>
            </w:r>
          </w:p>
          <w:p w14:paraId="75005914" w14:textId="674C729A"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rPr>
            </w:pPr>
            <w:r w:rsidRPr="00074769">
              <w:rPr>
                <w:color w:val="333333"/>
                <w:sz w:val="20"/>
                <w:szCs w:val="20"/>
              </w:rPr>
              <w:t>Prețurile de import pentru petrol, gaz și cărbune la nivel internațional [EUR/GJ sau EUR/tep] pe baza recomandărilor Comisiei</w:t>
            </w:r>
          </w:p>
          <w:p w14:paraId="7AD560C6" w14:textId="6543415A"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Prețul dioxidului de carbon în cadrul EU ETS [EUR/EUA] pe baza recomandărilor Comisiei</w:t>
            </w:r>
          </w:p>
          <w:p w14:paraId="602EFA93" w14:textId="2D474430"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lastRenderedPageBreak/>
              <w:t>Ipoteze privind cursul de schimb în EUR și în USD (dacă este cazul) [EUR/monedă și USD/monedă]</w:t>
            </w:r>
          </w:p>
          <w:p w14:paraId="220FADE5" w14:textId="4767765A"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Numărul de grade-zile pentru încălzire (Heating Degree Days – HDD)</w:t>
            </w:r>
          </w:p>
          <w:p w14:paraId="6734423F" w14:textId="4A6D7257"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shd w:val="clear" w:color="auto" w:fill="FFFFFF"/>
              </w:rPr>
            </w:pPr>
            <w:r w:rsidRPr="00074769">
              <w:rPr>
                <w:color w:val="333333"/>
                <w:sz w:val="20"/>
                <w:szCs w:val="20"/>
                <w:shd w:val="clear" w:color="auto" w:fill="FFFFFF"/>
              </w:rPr>
              <w:t>Numărul de grade-zile pentru răcire (Cooling Degree Days – CDD)</w:t>
            </w:r>
          </w:p>
          <w:p w14:paraId="63C8566F" w14:textId="71E42E6B" w:rsidR="008F5636" w:rsidRPr="00074769" w:rsidRDefault="008F5636" w:rsidP="000C5A3B">
            <w:pPr>
              <w:pStyle w:val="Normal4"/>
              <w:numPr>
                <w:ilvl w:val="0"/>
                <w:numId w:val="42"/>
              </w:numPr>
              <w:spacing w:before="0" w:beforeAutospacing="0" w:after="0" w:afterAutospacing="0"/>
              <w:ind w:left="357" w:hanging="357"/>
              <w:jc w:val="both"/>
              <w:rPr>
                <w:color w:val="333333"/>
                <w:sz w:val="20"/>
                <w:szCs w:val="20"/>
              </w:rPr>
            </w:pPr>
            <w:r w:rsidRPr="00074769">
              <w:rPr>
                <w:color w:val="333333"/>
                <w:sz w:val="20"/>
                <w:szCs w:val="20"/>
                <w:shd w:val="clear" w:color="auto" w:fill="FFFFFF"/>
              </w:rPr>
              <w:t>Ipotezele de cost al tehnologiei utilizate în cadrul modelării, pentru principalele tehnologii relevante</w:t>
            </w:r>
          </w:p>
          <w:p w14:paraId="61C156EC" w14:textId="53483ECB" w:rsidR="008F5636" w:rsidRPr="00074769" w:rsidRDefault="008F5636" w:rsidP="008F5636">
            <w:pPr>
              <w:pStyle w:val="ti-grseq-1"/>
              <w:shd w:val="clear" w:color="auto" w:fill="FFFFFF"/>
              <w:spacing w:before="0" w:beforeAutospacing="0" w:after="0" w:afterAutospacing="0"/>
              <w:jc w:val="both"/>
              <w:rPr>
                <w:b/>
                <w:bCs/>
                <w:color w:val="333333"/>
                <w:sz w:val="20"/>
                <w:szCs w:val="20"/>
                <w:lang w:val="ro-MD"/>
              </w:rPr>
            </w:pPr>
            <w:r w:rsidRPr="00074769">
              <w:rPr>
                <w:b/>
                <w:bCs/>
                <w:color w:val="333333"/>
                <w:sz w:val="20"/>
                <w:szCs w:val="20"/>
              </w:rPr>
              <w:t xml:space="preserve">2.Indicatori și </w:t>
            </w:r>
            <w:proofErr w:type="spellStart"/>
            <w:r w:rsidRPr="00074769">
              <w:rPr>
                <w:b/>
                <w:bCs/>
                <w:color w:val="333333"/>
                <w:sz w:val="20"/>
                <w:szCs w:val="20"/>
              </w:rPr>
              <w:t>bilanțuri</w:t>
            </w:r>
            <w:proofErr w:type="spellEnd"/>
            <w:r w:rsidRPr="00074769">
              <w:rPr>
                <w:b/>
                <w:bCs/>
                <w:color w:val="333333"/>
                <w:sz w:val="20"/>
                <w:szCs w:val="20"/>
              </w:rPr>
              <w:t xml:space="preserve"> </w:t>
            </w:r>
            <w:proofErr w:type="spellStart"/>
            <w:r w:rsidRPr="00074769">
              <w:rPr>
                <w:b/>
                <w:bCs/>
                <w:color w:val="333333"/>
                <w:sz w:val="20"/>
                <w:szCs w:val="20"/>
              </w:rPr>
              <w:t>energetice</w:t>
            </w:r>
            <w:proofErr w:type="spellEnd"/>
          </w:p>
          <w:p w14:paraId="51309917" w14:textId="3A0A144B" w:rsidR="008F5636" w:rsidRPr="00074769" w:rsidRDefault="008F5636" w:rsidP="008F5636">
            <w:pPr>
              <w:pStyle w:val="ti-grseq-1"/>
              <w:shd w:val="clear" w:color="auto" w:fill="FFFFFF"/>
              <w:spacing w:before="0" w:beforeAutospacing="0" w:after="0" w:afterAutospacing="0"/>
              <w:jc w:val="both"/>
              <w:rPr>
                <w:b/>
                <w:bCs/>
                <w:color w:val="333333"/>
                <w:sz w:val="20"/>
                <w:szCs w:val="20"/>
              </w:rPr>
            </w:pPr>
            <w:r w:rsidRPr="00074769">
              <w:rPr>
                <w:b/>
                <w:bCs/>
                <w:color w:val="333333"/>
                <w:sz w:val="20"/>
                <w:szCs w:val="20"/>
              </w:rPr>
              <w:t>2.</w:t>
            </w:r>
            <w:proofErr w:type="gramStart"/>
            <w:r w:rsidRPr="00074769">
              <w:rPr>
                <w:b/>
                <w:bCs/>
                <w:color w:val="333333"/>
                <w:sz w:val="20"/>
                <w:szCs w:val="20"/>
              </w:rPr>
              <w:t>1.Aprovizionarea</w:t>
            </w:r>
            <w:proofErr w:type="gramEnd"/>
            <w:r w:rsidRPr="00074769">
              <w:rPr>
                <w:b/>
                <w:bCs/>
                <w:color w:val="333333"/>
                <w:sz w:val="20"/>
                <w:szCs w:val="20"/>
              </w:rPr>
              <w:t xml:space="preserve"> cu </w:t>
            </w:r>
            <w:proofErr w:type="spellStart"/>
            <w:r w:rsidRPr="00074769">
              <w:rPr>
                <w:b/>
                <w:bCs/>
                <w:color w:val="333333"/>
                <w:sz w:val="20"/>
                <w:szCs w:val="20"/>
              </w:rPr>
              <w:t>energie</w:t>
            </w:r>
            <w:proofErr w:type="spellEnd"/>
          </w:p>
          <w:p w14:paraId="2FB941B0" w14:textId="14EE861B" w:rsidR="008F5636" w:rsidRPr="00074769" w:rsidRDefault="008F5636" w:rsidP="000C5A3B">
            <w:pPr>
              <w:pStyle w:val="ti-grseq-1"/>
              <w:numPr>
                <w:ilvl w:val="0"/>
                <w:numId w:val="43"/>
              </w:numPr>
              <w:shd w:val="clear" w:color="auto" w:fill="FFFFFF"/>
              <w:spacing w:before="0" w:beforeAutospacing="0" w:after="0" w:afterAutospacing="0"/>
              <w:ind w:left="414" w:hanging="357"/>
              <w:jc w:val="both"/>
              <w:rPr>
                <w:b/>
                <w:bCs/>
                <w:color w:val="333333"/>
                <w:sz w:val="20"/>
                <w:szCs w:val="20"/>
              </w:rPr>
            </w:pPr>
            <w:proofErr w:type="spellStart"/>
            <w:r w:rsidRPr="00074769">
              <w:rPr>
                <w:color w:val="333333"/>
                <w:sz w:val="20"/>
                <w:szCs w:val="20"/>
                <w:shd w:val="clear" w:color="auto" w:fill="FFFFFF"/>
              </w:rPr>
              <w:t>Producția</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internă</w:t>
            </w:r>
            <w:proofErr w:type="spellEnd"/>
            <w:r w:rsidRPr="00074769">
              <w:rPr>
                <w:color w:val="333333"/>
                <w:sz w:val="20"/>
                <w:szCs w:val="20"/>
                <w:shd w:val="clear" w:color="auto" w:fill="FFFFFF"/>
              </w:rPr>
              <w:t xml:space="preserve"> pe tip de </w:t>
            </w:r>
            <w:proofErr w:type="spellStart"/>
            <w:r w:rsidRPr="00074769">
              <w:rPr>
                <w:color w:val="333333"/>
                <w:sz w:val="20"/>
                <w:szCs w:val="20"/>
                <w:shd w:val="clear" w:color="auto" w:fill="FFFFFF"/>
              </w:rPr>
              <w:t>combustibil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toate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produsele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energetice</w:t>
            </w:r>
            <w:proofErr w:type="spellEnd"/>
            <w:r w:rsidRPr="00074769">
              <w:rPr>
                <w:color w:val="333333"/>
                <w:sz w:val="20"/>
                <w:szCs w:val="20"/>
                <w:shd w:val="clear" w:color="auto" w:fill="FFFFFF"/>
              </w:rPr>
              <w:t xml:space="preserve"> care sunt </w:t>
            </w:r>
            <w:proofErr w:type="spellStart"/>
            <w:r w:rsidRPr="00074769">
              <w:rPr>
                <w:color w:val="333333"/>
                <w:sz w:val="20"/>
                <w:szCs w:val="20"/>
                <w:shd w:val="clear" w:color="auto" w:fill="FFFFFF"/>
              </w:rPr>
              <w:t>produse</w:t>
            </w:r>
            <w:proofErr w:type="spellEnd"/>
            <w:r w:rsidRPr="00074769">
              <w:rPr>
                <w:color w:val="333333"/>
                <w:sz w:val="20"/>
                <w:szCs w:val="20"/>
                <w:shd w:val="clear" w:color="auto" w:fill="FFFFFF"/>
              </w:rPr>
              <w:t xml:space="preserve"> în </w:t>
            </w:r>
            <w:proofErr w:type="spellStart"/>
            <w:r w:rsidRPr="00074769">
              <w:rPr>
                <w:color w:val="333333"/>
                <w:sz w:val="20"/>
                <w:szCs w:val="20"/>
                <w:shd w:val="clear" w:color="auto" w:fill="FFFFFF"/>
              </w:rPr>
              <w:t>cantități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semnificative</w:t>
            </w:r>
            <w:proofErr w:type="spellEnd"/>
            <w:r w:rsidRPr="00074769">
              <w:rPr>
                <w:color w:val="333333"/>
                <w:sz w:val="20"/>
                <w:szCs w:val="20"/>
                <w:shd w:val="clear" w:color="auto" w:fill="FFFFFF"/>
              </w:rPr>
              <w:t>) [</w:t>
            </w:r>
            <w:proofErr w:type="spellStart"/>
            <w:r w:rsidRPr="00074769">
              <w:rPr>
                <w:color w:val="333333"/>
                <w:sz w:val="20"/>
                <w:szCs w:val="20"/>
                <w:shd w:val="clear" w:color="auto" w:fill="FFFFFF"/>
              </w:rPr>
              <w:t>ktep</w:t>
            </w:r>
            <w:proofErr w:type="spellEnd"/>
            <w:r w:rsidRPr="00074769">
              <w:rPr>
                <w:color w:val="333333"/>
                <w:sz w:val="20"/>
                <w:szCs w:val="20"/>
                <w:shd w:val="clear" w:color="auto" w:fill="FFFFFF"/>
              </w:rPr>
              <w:t>]</w:t>
            </w:r>
          </w:p>
          <w:p w14:paraId="44AB5F0C" w14:textId="77777777" w:rsidR="008F5636" w:rsidRPr="00074769" w:rsidRDefault="008F5636" w:rsidP="000C5A3B">
            <w:pPr>
              <w:pStyle w:val="Normal4"/>
              <w:numPr>
                <w:ilvl w:val="0"/>
                <w:numId w:val="43"/>
              </w:numPr>
              <w:spacing w:before="0" w:beforeAutospacing="0" w:after="0" w:afterAutospacing="0"/>
              <w:ind w:left="414" w:hanging="357"/>
              <w:jc w:val="both"/>
              <w:rPr>
                <w:color w:val="333333"/>
                <w:sz w:val="20"/>
                <w:szCs w:val="20"/>
              </w:rPr>
            </w:pPr>
            <w:r w:rsidRPr="00074769">
              <w:rPr>
                <w:color w:val="333333"/>
                <w:sz w:val="20"/>
                <w:szCs w:val="20"/>
              </w:rPr>
              <w:t>Importuri nete pe tip de combustibil (inclusiv energie electrică și separat pe importuri nete din interiorul și din afara UE) [ktep]</w:t>
            </w:r>
          </w:p>
          <w:p w14:paraId="2A64CD7D" w14:textId="774605DC" w:rsidR="008F5636" w:rsidRPr="00074769" w:rsidRDefault="008F5636" w:rsidP="000C5A3B">
            <w:pPr>
              <w:pStyle w:val="Normal4"/>
              <w:numPr>
                <w:ilvl w:val="0"/>
                <w:numId w:val="43"/>
              </w:numPr>
              <w:spacing w:before="0" w:beforeAutospacing="0" w:after="0" w:afterAutospacing="0"/>
              <w:ind w:left="414" w:hanging="357"/>
              <w:jc w:val="both"/>
              <w:rPr>
                <w:color w:val="333333"/>
                <w:sz w:val="20"/>
                <w:szCs w:val="20"/>
              </w:rPr>
            </w:pPr>
            <w:r w:rsidRPr="00074769">
              <w:rPr>
                <w:color w:val="333333"/>
                <w:sz w:val="20"/>
                <w:szCs w:val="20"/>
                <w:shd w:val="clear" w:color="auto" w:fill="FFFFFF"/>
              </w:rPr>
              <w:t>Dependența de importuri din țări terțe [%]</w:t>
            </w:r>
          </w:p>
          <w:p w14:paraId="1CAB6B47" w14:textId="5593F18C" w:rsidR="008F5636" w:rsidRPr="00074769" w:rsidRDefault="008F5636" w:rsidP="000C5A3B">
            <w:pPr>
              <w:pStyle w:val="ti-grseq-1"/>
              <w:numPr>
                <w:ilvl w:val="0"/>
                <w:numId w:val="43"/>
              </w:numPr>
              <w:shd w:val="clear" w:color="auto" w:fill="FFFFFF"/>
              <w:spacing w:before="0" w:beforeAutospacing="0" w:after="0" w:afterAutospacing="0"/>
              <w:ind w:left="414" w:hanging="357"/>
              <w:jc w:val="both"/>
              <w:rPr>
                <w:color w:val="333333"/>
                <w:sz w:val="20"/>
                <w:szCs w:val="20"/>
                <w:shd w:val="clear" w:color="auto" w:fill="FFFFFF"/>
                <w:lang w:val="fr-FR"/>
              </w:rPr>
            </w:pPr>
            <w:proofErr w:type="spellStart"/>
            <w:r w:rsidRPr="00074769">
              <w:rPr>
                <w:color w:val="333333"/>
                <w:sz w:val="20"/>
                <w:szCs w:val="20"/>
                <w:shd w:val="clear" w:color="auto" w:fill="FFFFFF"/>
                <w:lang w:val="fr-FR"/>
              </w:rPr>
              <w:t>Principalele</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țări</w:t>
            </w:r>
            <w:proofErr w:type="spellEnd"/>
            <w:r w:rsidRPr="00074769">
              <w:rPr>
                <w:color w:val="333333"/>
                <w:sz w:val="20"/>
                <w:szCs w:val="20"/>
                <w:shd w:val="clear" w:color="auto" w:fill="FFFFFF"/>
                <w:lang w:val="fr-FR"/>
              </w:rPr>
              <w:t xml:space="preserve">) </w:t>
            </w:r>
            <w:proofErr w:type="gramStart"/>
            <w:r w:rsidRPr="00074769">
              <w:rPr>
                <w:color w:val="333333"/>
                <w:sz w:val="20"/>
                <w:szCs w:val="20"/>
                <w:shd w:val="clear" w:color="auto" w:fill="FFFFFF"/>
                <w:lang w:val="fr-FR"/>
              </w:rPr>
              <w:t>de import</w:t>
            </w:r>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pentru</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principalii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vectori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energetici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gaz și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electrică</w:t>
            </w:r>
            <w:proofErr w:type="spellEnd"/>
            <w:r w:rsidRPr="00074769">
              <w:rPr>
                <w:color w:val="333333"/>
                <w:sz w:val="20"/>
                <w:szCs w:val="20"/>
                <w:shd w:val="clear" w:color="auto" w:fill="FFFFFF"/>
                <w:lang w:val="fr-FR"/>
              </w:rPr>
              <w:t>)</w:t>
            </w:r>
          </w:p>
          <w:p w14:paraId="27A67794" w14:textId="151DABA3" w:rsidR="008F5636" w:rsidRPr="00074769" w:rsidRDefault="008F5636" w:rsidP="000C5A3B">
            <w:pPr>
              <w:pStyle w:val="ti-grseq-1"/>
              <w:numPr>
                <w:ilvl w:val="0"/>
                <w:numId w:val="43"/>
              </w:numPr>
              <w:shd w:val="clear" w:color="auto" w:fill="FFFFFF"/>
              <w:spacing w:before="0" w:beforeAutospacing="0" w:after="0" w:afterAutospacing="0"/>
              <w:ind w:left="414" w:hanging="357"/>
              <w:jc w:val="both"/>
              <w:rPr>
                <w:b/>
                <w:bCs/>
                <w:sz w:val="20"/>
                <w:szCs w:val="20"/>
                <w:lang w:val="fr-FR"/>
              </w:rPr>
            </w:pPr>
            <w:proofErr w:type="spellStart"/>
            <w:r w:rsidRPr="00074769">
              <w:rPr>
                <w:color w:val="333333"/>
                <w:sz w:val="20"/>
                <w:szCs w:val="20"/>
                <w:shd w:val="clear" w:color="auto" w:fill="FFFFFF"/>
                <w:lang w:val="fr-FR"/>
              </w:rPr>
              <w:t>Consumul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intern</w:t>
            </w:r>
            <w:proofErr w:type="spellEnd"/>
            <w:r w:rsidRPr="00074769">
              <w:rPr>
                <w:color w:val="333333"/>
                <w:sz w:val="20"/>
                <w:szCs w:val="20"/>
                <w:shd w:val="clear" w:color="auto" w:fill="FFFFFF"/>
                <w:lang w:val="fr-FR"/>
              </w:rPr>
              <w:t xml:space="preserve"> brut </w:t>
            </w:r>
            <w:proofErr w:type="spellStart"/>
            <w:r w:rsidRPr="00074769">
              <w:rPr>
                <w:color w:val="333333"/>
                <w:sz w:val="20"/>
                <w:szCs w:val="20"/>
                <w:shd w:val="clear" w:color="auto" w:fill="FFFFFF"/>
                <w:lang w:val="fr-FR"/>
              </w:rPr>
              <w:t>pe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sursă</w:t>
            </w:r>
            <w:proofErr w:type="spellEnd"/>
            <w:r w:rsidRPr="00074769">
              <w:rPr>
                <w:color w:val="333333"/>
                <w:sz w:val="20"/>
                <w:szCs w:val="20"/>
                <w:shd w:val="clear" w:color="auto" w:fill="FFFFFF"/>
                <w:lang w:val="fr-FR"/>
              </w:rPr>
              <w:t xml:space="preserve"> de tip de </w:t>
            </w:r>
            <w:proofErr w:type="spellStart"/>
            <w:r w:rsidRPr="00074769">
              <w:rPr>
                <w:color w:val="333333"/>
                <w:sz w:val="20"/>
                <w:szCs w:val="20"/>
                <w:shd w:val="clear" w:color="auto" w:fill="FFFFFF"/>
                <w:lang w:val="fr-FR"/>
              </w:rPr>
              <w:t>combustibil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combustibili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solizi</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toate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produsele</w:t>
            </w:r>
            <w:proofErr w:type="spellEnd"/>
            <w:r w:rsidRPr="00074769">
              <w:rPr>
                <w:color w:val="333333"/>
                <w:sz w:val="20"/>
                <w:szCs w:val="20"/>
                <w:shd w:val="clear" w:color="auto" w:fill="FFFFFF"/>
                <w:lang w:val="fr-FR"/>
              </w:rPr>
              <w:t xml:space="preserve"> </w:t>
            </w:r>
            <w:proofErr w:type="spellStart"/>
            <w:proofErr w:type="gramStart"/>
            <w:r w:rsidRPr="00074769">
              <w:rPr>
                <w:color w:val="333333"/>
                <w:sz w:val="20"/>
                <w:szCs w:val="20"/>
                <w:shd w:val="clear" w:color="auto" w:fill="FFFFFF"/>
                <w:lang w:val="fr-FR"/>
              </w:rPr>
              <w:t>energetice</w:t>
            </w:r>
            <w:proofErr w:type="spellEnd"/>
            <w:r w:rsidRPr="00074769">
              <w:rPr>
                <w:color w:val="333333"/>
                <w:sz w:val="20"/>
                <w:szCs w:val="20"/>
                <w:shd w:val="clear" w:color="auto" w:fill="FFFFFF"/>
                <w:lang w:val="fr-FR"/>
              </w:rPr>
              <w:t>:</w:t>
            </w:r>
            <w:proofErr w:type="gram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cărbune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țiței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produse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petroliere</w:t>
            </w:r>
            <w:proofErr w:type="spellEnd"/>
            <w:r w:rsidRPr="00074769">
              <w:rPr>
                <w:color w:val="333333"/>
                <w:sz w:val="20"/>
                <w:szCs w:val="20"/>
                <w:shd w:val="clear" w:color="auto" w:fill="FFFFFF"/>
                <w:lang w:val="fr-FR"/>
              </w:rPr>
              <w:t xml:space="preserve">, gaz </w:t>
            </w:r>
            <w:proofErr w:type="spellStart"/>
            <w:r w:rsidRPr="00074769">
              <w:rPr>
                <w:color w:val="333333"/>
                <w:sz w:val="20"/>
                <w:szCs w:val="20"/>
                <w:shd w:val="clear" w:color="auto" w:fill="FFFFFF"/>
                <w:lang w:val="fr-FR"/>
              </w:rPr>
              <w:t>natural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nucleară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electrică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termică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derivată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din</w:t>
            </w:r>
            <w:proofErr w:type="spellEnd"/>
            <w:r w:rsidRPr="00074769">
              <w:rPr>
                <w:color w:val="333333"/>
                <w:sz w:val="20"/>
                <w:szCs w:val="20"/>
                <w:shd w:val="clear" w:color="auto" w:fill="FFFFFF"/>
                <w:lang w:val="fr-FR"/>
              </w:rPr>
              <w:t xml:space="preserve"> surse </w:t>
            </w:r>
            <w:proofErr w:type="spellStart"/>
            <w:r w:rsidRPr="00074769">
              <w:rPr>
                <w:color w:val="333333"/>
                <w:sz w:val="20"/>
                <w:szCs w:val="20"/>
                <w:shd w:val="clear" w:color="auto" w:fill="FFFFFF"/>
                <w:lang w:val="fr-FR"/>
              </w:rPr>
              <w:t>regenerabile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deșeuri</w:t>
            </w:r>
            <w:proofErr w:type="spellEnd"/>
            <w:r w:rsidRPr="00074769">
              <w:rPr>
                <w:color w:val="333333"/>
                <w:sz w:val="20"/>
                <w:szCs w:val="20"/>
                <w:shd w:val="clear" w:color="auto" w:fill="FFFFFF"/>
                <w:lang w:val="fr-FR"/>
              </w:rPr>
              <w:t>) [ktep]</w:t>
            </w:r>
          </w:p>
          <w:p w14:paraId="522DBE23" w14:textId="0E0DB61F"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lang w:val="fr-FR"/>
              </w:rPr>
            </w:pPr>
            <w:r w:rsidRPr="00074769">
              <w:rPr>
                <w:b/>
                <w:bCs/>
                <w:color w:val="333333"/>
                <w:sz w:val="20"/>
                <w:szCs w:val="20"/>
                <w:shd w:val="clear" w:color="auto" w:fill="FFFFFF"/>
                <w:lang w:val="fr-FR"/>
              </w:rPr>
              <w:t>2.</w:t>
            </w:r>
            <w:proofErr w:type="gramStart"/>
            <w:r w:rsidRPr="00074769">
              <w:rPr>
                <w:b/>
                <w:bCs/>
                <w:color w:val="333333"/>
                <w:sz w:val="20"/>
                <w:szCs w:val="20"/>
                <w:shd w:val="clear" w:color="auto" w:fill="FFFFFF"/>
                <w:lang w:val="fr-FR"/>
              </w:rPr>
              <w:t>2.Energie</w:t>
            </w:r>
            <w:proofErr w:type="gram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electrică</w:t>
            </w:r>
            <w:proofErr w:type="spellEnd"/>
            <w:r w:rsidRPr="00074769">
              <w:rPr>
                <w:b/>
                <w:bCs/>
                <w:color w:val="333333"/>
                <w:sz w:val="20"/>
                <w:szCs w:val="20"/>
                <w:shd w:val="clear" w:color="auto" w:fill="FFFFFF"/>
                <w:lang w:val="fr-FR"/>
              </w:rPr>
              <w:t xml:space="preserve"> și </w:t>
            </w:r>
            <w:proofErr w:type="spellStart"/>
            <w:r w:rsidRPr="00074769">
              <w:rPr>
                <w:b/>
                <w:bCs/>
                <w:color w:val="333333"/>
                <w:sz w:val="20"/>
                <w:szCs w:val="20"/>
                <w:shd w:val="clear" w:color="auto" w:fill="FFFFFF"/>
                <w:lang w:val="fr-FR"/>
              </w:rPr>
              <w:t>energie</w:t>
            </w:r>
            <w:proofErr w:type="spellEnd"/>
            <w:r w:rsidRPr="00074769">
              <w:rPr>
                <w:b/>
                <w:bCs/>
                <w:color w:val="333333"/>
                <w:sz w:val="20"/>
                <w:szCs w:val="20"/>
                <w:shd w:val="clear" w:color="auto" w:fill="FFFFFF"/>
                <w:lang w:val="fr-FR"/>
              </w:rPr>
              <w:t xml:space="preserve"> </w:t>
            </w:r>
            <w:proofErr w:type="spellStart"/>
            <w:r w:rsidRPr="00074769">
              <w:rPr>
                <w:b/>
                <w:bCs/>
                <w:color w:val="333333"/>
                <w:sz w:val="20"/>
                <w:szCs w:val="20"/>
                <w:shd w:val="clear" w:color="auto" w:fill="FFFFFF"/>
                <w:lang w:val="fr-FR"/>
              </w:rPr>
              <w:t>termică</w:t>
            </w:r>
            <w:proofErr w:type="spellEnd"/>
          </w:p>
          <w:p w14:paraId="3F107A7C" w14:textId="0F9ACD31"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Producția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brută</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[GWh]</w:t>
            </w:r>
          </w:p>
          <w:p w14:paraId="40BE7CC9" w14:textId="50FC02EC"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rPr>
            </w:pPr>
            <w:proofErr w:type="spellStart"/>
            <w:r w:rsidRPr="00074769">
              <w:rPr>
                <w:sz w:val="20"/>
                <w:szCs w:val="20"/>
                <w:shd w:val="clear" w:color="auto" w:fill="FFFFFF"/>
              </w:rPr>
              <w:t>Producția</w:t>
            </w:r>
            <w:proofErr w:type="spellEnd"/>
            <w:r w:rsidRPr="00074769">
              <w:rPr>
                <w:sz w:val="20"/>
                <w:szCs w:val="20"/>
                <w:shd w:val="clear" w:color="auto" w:fill="FFFFFF"/>
              </w:rPr>
              <w:t xml:space="preserve"> </w:t>
            </w:r>
            <w:proofErr w:type="spellStart"/>
            <w:r w:rsidRPr="00074769">
              <w:rPr>
                <w:sz w:val="20"/>
                <w:szCs w:val="20"/>
                <w:shd w:val="clear" w:color="auto" w:fill="FFFFFF"/>
              </w:rPr>
              <w:t>brută</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electrică</w:t>
            </w:r>
            <w:proofErr w:type="spellEnd"/>
            <w:r w:rsidRPr="00074769">
              <w:rPr>
                <w:sz w:val="20"/>
                <w:szCs w:val="20"/>
                <w:shd w:val="clear" w:color="auto" w:fill="FFFFFF"/>
              </w:rPr>
              <w:t xml:space="preserve"> per </w:t>
            </w:r>
            <w:proofErr w:type="spellStart"/>
            <w:r w:rsidRPr="00074769">
              <w:rPr>
                <w:sz w:val="20"/>
                <w:szCs w:val="20"/>
                <w:shd w:val="clear" w:color="auto" w:fill="FFFFFF"/>
              </w:rPr>
              <w:t>combustibil</w:t>
            </w:r>
            <w:proofErr w:type="spellEnd"/>
            <w:r w:rsidRPr="00074769">
              <w:rPr>
                <w:sz w:val="20"/>
                <w:szCs w:val="20"/>
                <w:shd w:val="clear" w:color="auto" w:fill="FFFFFF"/>
              </w:rPr>
              <w:t xml:space="preserve"> (</w:t>
            </w:r>
            <w:proofErr w:type="spellStart"/>
            <w:r w:rsidRPr="00074769">
              <w:rPr>
                <w:sz w:val="20"/>
                <w:szCs w:val="20"/>
                <w:shd w:val="clear" w:color="auto" w:fill="FFFFFF"/>
              </w:rPr>
              <w:t>toate</w:t>
            </w:r>
            <w:proofErr w:type="spellEnd"/>
            <w:r w:rsidRPr="00074769">
              <w:rPr>
                <w:sz w:val="20"/>
                <w:szCs w:val="20"/>
                <w:shd w:val="clear" w:color="auto" w:fill="FFFFFF"/>
              </w:rPr>
              <w:t xml:space="preserve"> </w:t>
            </w:r>
            <w:proofErr w:type="spellStart"/>
            <w:r w:rsidRPr="00074769">
              <w:rPr>
                <w:sz w:val="20"/>
                <w:szCs w:val="20"/>
                <w:shd w:val="clear" w:color="auto" w:fill="FFFFFF"/>
              </w:rPr>
              <w:t>produsele</w:t>
            </w:r>
            <w:proofErr w:type="spellEnd"/>
            <w:r w:rsidRPr="00074769">
              <w:rPr>
                <w:sz w:val="20"/>
                <w:szCs w:val="20"/>
                <w:shd w:val="clear" w:color="auto" w:fill="FFFFFF"/>
              </w:rPr>
              <w:t xml:space="preserve"> </w:t>
            </w:r>
            <w:proofErr w:type="spellStart"/>
            <w:r w:rsidRPr="00074769">
              <w:rPr>
                <w:sz w:val="20"/>
                <w:szCs w:val="20"/>
                <w:shd w:val="clear" w:color="auto" w:fill="FFFFFF"/>
              </w:rPr>
              <w:t>energetice</w:t>
            </w:r>
            <w:proofErr w:type="spellEnd"/>
            <w:r w:rsidRPr="00074769">
              <w:rPr>
                <w:sz w:val="20"/>
                <w:szCs w:val="20"/>
                <w:shd w:val="clear" w:color="auto" w:fill="FFFFFF"/>
              </w:rPr>
              <w:t>) [GWh]</w:t>
            </w:r>
          </w:p>
          <w:p w14:paraId="6F090B92" w14:textId="0D175921"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Ponderea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cogenerării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termică</w:t>
            </w:r>
            <w:proofErr w:type="spellEnd"/>
            <w:r w:rsidRPr="00074769">
              <w:rPr>
                <w:sz w:val="20"/>
                <w:szCs w:val="20"/>
                <w:shd w:val="clear" w:color="auto" w:fill="FFFFFF"/>
                <w:lang w:val="fr-FR"/>
              </w:rPr>
              <w:t xml:space="preserve"> și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totalul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producției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și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termică</w:t>
            </w:r>
            <w:proofErr w:type="spellEnd"/>
            <w:r w:rsidRPr="00074769">
              <w:rPr>
                <w:sz w:val="20"/>
                <w:szCs w:val="20"/>
                <w:shd w:val="clear" w:color="auto" w:fill="FFFFFF"/>
                <w:lang w:val="fr-FR"/>
              </w:rPr>
              <w:t xml:space="preserve"> [%]</w:t>
            </w:r>
          </w:p>
          <w:p w14:paraId="53C2FAB0" w14:textId="42B0799A"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Capacitatea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producție</w:t>
            </w:r>
            <w:proofErr w:type="spellEnd"/>
            <w:r w:rsidRPr="00074769">
              <w:rPr>
                <w:sz w:val="20"/>
                <w:szCs w:val="20"/>
                <w:shd w:val="clear" w:color="auto" w:fill="FFFFFF"/>
                <w:lang w:val="fr-FR"/>
              </w:rPr>
              <w:t xml:space="preserve"> a energiei </w:t>
            </w:r>
            <w:proofErr w:type="spellStart"/>
            <w:r w:rsidRPr="00074769">
              <w:rPr>
                <w:sz w:val="20"/>
                <w:szCs w:val="20"/>
                <w:shd w:val="clear" w:color="auto" w:fill="FFFFFF"/>
                <w:lang w:val="fr-FR"/>
              </w:rPr>
              <w:t>electrice</w:t>
            </w:r>
            <w:proofErr w:type="spellEnd"/>
            <w:r w:rsidRPr="00074769">
              <w:rPr>
                <w:sz w:val="20"/>
                <w:szCs w:val="20"/>
                <w:shd w:val="clear" w:color="auto" w:fill="FFFFFF"/>
                <w:lang w:val="fr-FR"/>
              </w:rPr>
              <w:t xml:space="preserve"> per </w:t>
            </w:r>
            <w:proofErr w:type="spellStart"/>
            <w:r w:rsidRPr="00074769">
              <w:rPr>
                <w:sz w:val="20"/>
                <w:szCs w:val="20"/>
                <w:shd w:val="clear" w:color="auto" w:fill="FFFFFF"/>
                <w:lang w:val="fr-FR"/>
              </w:rPr>
              <w:t>sursă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dezafectări</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noi</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investiții</w:t>
            </w:r>
            <w:proofErr w:type="spellEnd"/>
            <w:r w:rsidRPr="00074769">
              <w:rPr>
                <w:sz w:val="20"/>
                <w:szCs w:val="20"/>
                <w:shd w:val="clear" w:color="auto" w:fill="FFFFFF"/>
                <w:lang w:val="fr-FR"/>
              </w:rPr>
              <w:t xml:space="preserve"> [MW]</w:t>
            </w:r>
          </w:p>
          <w:p w14:paraId="0735D7EC" w14:textId="5F748E73"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Producerea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termică</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către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centralele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termice</w:t>
            </w:r>
            <w:proofErr w:type="spellEnd"/>
          </w:p>
          <w:p w14:paraId="1589CBB0" w14:textId="3C668B76" w:rsidR="008F5636" w:rsidRPr="00074769" w:rsidRDefault="008F5636" w:rsidP="000C5A3B">
            <w:pPr>
              <w:pStyle w:val="ti-grseq-1"/>
              <w:numPr>
                <w:ilvl w:val="0"/>
                <w:numId w:val="44"/>
              </w:numPr>
              <w:shd w:val="clear" w:color="auto" w:fill="FFFFFF"/>
              <w:spacing w:before="0" w:beforeAutospacing="0" w:after="0" w:afterAutospacing="0"/>
              <w:jc w:val="both"/>
              <w:rPr>
                <w:sz w:val="20"/>
                <w:szCs w:val="20"/>
                <w:shd w:val="clear" w:color="auto" w:fill="FFFFFF"/>
                <w:lang w:val="fr-FR"/>
              </w:rPr>
            </w:pPr>
            <w:proofErr w:type="spellStart"/>
            <w:r w:rsidRPr="00074769">
              <w:rPr>
                <w:sz w:val="20"/>
                <w:szCs w:val="20"/>
                <w:shd w:val="clear" w:color="auto" w:fill="FFFFFF"/>
                <w:lang w:val="fr-FR"/>
              </w:rPr>
              <w:t>Producerea</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termică</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către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centralele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cogenerare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căldura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reziduală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industrial</w:t>
            </w:r>
            <w:proofErr w:type="spellEnd"/>
          </w:p>
          <w:p w14:paraId="740C8123" w14:textId="6935C0BE" w:rsidR="008F5636" w:rsidRPr="00074769" w:rsidRDefault="008F5636" w:rsidP="000C5A3B">
            <w:pPr>
              <w:pStyle w:val="ti-grseq-1"/>
              <w:numPr>
                <w:ilvl w:val="0"/>
                <w:numId w:val="44"/>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t>Capacitățile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interconectare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transfrontaliere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gaz și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definiție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energia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concordanță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rezultatele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discuțiilor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aflate</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curs</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baza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obiectivului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interconectare</w:t>
            </w:r>
            <w:proofErr w:type="spellEnd"/>
            <w:r w:rsidRPr="00074769">
              <w:rPr>
                <w:sz w:val="20"/>
                <w:szCs w:val="20"/>
                <w:shd w:val="clear" w:color="auto" w:fill="FFFFFF"/>
                <w:lang w:val="fr-FR"/>
              </w:rPr>
              <w:t xml:space="preserve"> de 15%] și </w:t>
            </w:r>
            <w:proofErr w:type="spellStart"/>
            <w:r w:rsidRPr="00074769">
              <w:rPr>
                <w:sz w:val="20"/>
                <w:szCs w:val="20"/>
                <w:shd w:val="clear" w:color="auto" w:fill="FFFFFF"/>
                <w:lang w:val="fr-FR"/>
              </w:rPr>
              <w:t>ratele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lor</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utilizare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prognozate</w:t>
            </w:r>
            <w:proofErr w:type="spellEnd"/>
          </w:p>
          <w:p w14:paraId="4E303747" w14:textId="779EC0F6" w:rsidR="008F5636" w:rsidRPr="00074769" w:rsidRDefault="008F5636" w:rsidP="008F5636">
            <w:pPr>
              <w:pStyle w:val="ti-grseq-1"/>
              <w:shd w:val="clear" w:color="auto" w:fill="FFFFFF"/>
              <w:spacing w:before="0" w:beforeAutospacing="0" w:after="0" w:afterAutospacing="0"/>
              <w:jc w:val="both"/>
              <w:rPr>
                <w:b/>
                <w:bCs/>
                <w:sz w:val="20"/>
                <w:szCs w:val="20"/>
                <w:shd w:val="clear" w:color="auto" w:fill="FFFFFF"/>
                <w:lang w:val="fr-FR"/>
              </w:rPr>
            </w:pPr>
            <w:r w:rsidRPr="00074769">
              <w:rPr>
                <w:b/>
                <w:bCs/>
                <w:sz w:val="20"/>
                <w:szCs w:val="20"/>
                <w:shd w:val="clear" w:color="auto" w:fill="FFFFFF"/>
                <w:lang w:val="fr-FR"/>
              </w:rPr>
              <w:t>2.</w:t>
            </w:r>
            <w:proofErr w:type="gramStart"/>
            <w:r w:rsidRPr="00074769">
              <w:rPr>
                <w:b/>
                <w:bCs/>
                <w:sz w:val="20"/>
                <w:szCs w:val="20"/>
                <w:shd w:val="clear" w:color="auto" w:fill="FFFFFF"/>
                <w:lang w:val="fr-FR"/>
              </w:rPr>
              <w:t>3.Sectorul</w:t>
            </w:r>
            <w:proofErr w:type="gram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transformării</w:t>
            </w:r>
            <w:proofErr w:type="spellEnd"/>
          </w:p>
          <w:p w14:paraId="7140DABC" w14:textId="77777777" w:rsidR="008F5636" w:rsidRPr="00074769" w:rsidRDefault="008F5636" w:rsidP="000C5A3B">
            <w:pPr>
              <w:pStyle w:val="Normal4"/>
              <w:numPr>
                <w:ilvl w:val="0"/>
                <w:numId w:val="45"/>
              </w:numPr>
              <w:spacing w:before="0" w:beforeAutospacing="0" w:after="0" w:afterAutospacing="0"/>
              <w:jc w:val="both"/>
              <w:rPr>
                <w:sz w:val="20"/>
                <w:szCs w:val="20"/>
              </w:rPr>
            </w:pPr>
            <w:r w:rsidRPr="00074769">
              <w:rPr>
                <w:sz w:val="20"/>
                <w:szCs w:val="20"/>
              </w:rPr>
              <w:t>Intrări de combustibil pentru producerea de energie termică (inclusiv combustibili solizi, petrol, gaz) [ktep]</w:t>
            </w:r>
          </w:p>
          <w:p w14:paraId="205D96E7" w14:textId="3D20FDEF" w:rsidR="008F5636" w:rsidRPr="00074769" w:rsidRDefault="008F5636" w:rsidP="000C5A3B">
            <w:pPr>
              <w:pStyle w:val="ti-grseq-1"/>
              <w:numPr>
                <w:ilvl w:val="0"/>
                <w:numId w:val="45"/>
              </w:numPr>
              <w:shd w:val="clear" w:color="auto" w:fill="FFFFFF"/>
              <w:spacing w:before="0" w:beforeAutospacing="0" w:after="0" w:afterAutospacing="0"/>
              <w:jc w:val="both"/>
              <w:rPr>
                <w:b/>
                <w:bCs/>
                <w:sz w:val="20"/>
                <w:szCs w:val="20"/>
                <w:shd w:val="clear" w:color="auto" w:fill="FFFFFF"/>
                <w:lang w:val="fr-FR"/>
              </w:rPr>
            </w:pPr>
            <w:proofErr w:type="spellStart"/>
            <w:r w:rsidRPr="00074769">
              <w:rPr>
                <w:sz w:val="20"/>
                <w:szCs w:val="20"/>
                <w:shd w:val="clear" w:color="auto" w:fill="FFFFFF"/>
                <w:lang w:val="fr-FR"/>
              </w:rPr>
              <w:lastRenderedPageBreak/>
              <w:t>Intrări</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combustibil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pentru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alte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procese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conversie</w:t>
            </w:r>
            <w:proofErr w:type="spellEnd"/>
            <w:r w:rsidRPr="00074769">
              <w:rPr>
                <w:sz w:val="20"/>
                <w:szCs w:val="20"/>
                <w:shd w:val="clear" w:color="auto" w:fill="FFFFFF"/>
                <w:lang w:val="fr-FR"/>
              </w:rPr>
              <w:t xml:space="preserve"> [ktep]</w:t>
            </w:r>
          </w:p>
          <w:p w14:paraId="6D46E7E6" w14:textId="025D1FDA"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4.Consumul</w:t>
            </w:r>
            <w:proofErr w:type="gramEnd"/>
            <w:r w:rsidRPr="00074769">
              <w:rPr>
                <w:b/>
                <w:bCs/>
                <w:color w:val="333333"/>
                <w:sz w:val="20"/>
                <w:szCs w:val="20"/>
                <w:shd w:val="clear" w:color="auto" w:fill="FFFFFF"/>
              </w:rPr>
              <w:t xml:space="preserve"> de </w:t>
            </w:r>
            <w:proofErr w:type="spellStart"/>
            <w:r w:rsidRPr="00074769">
              <w:rPr>
                <w:b/>
                <w:bCs/>
                <w:color w:val="333333"/>
                <w:sz w:val="20"/>
                <w:szCs w:val="20"/>
                <w:shd w:val="clear" w:color="auto" w:fill="FFFFFF"/>
              </w:rPr>
              <w:t>energie</w:t>
            </w:r>
            <w:proofErr w:type="spellEnd"/>
          </w:p>
          <w:p w14:paraId="499BA57E" w14:textId="5AB427AE" w:rsidR="008F5636" w:rsidRPr="00074769" w:rsidRDefault="008F5636" w:rsidP="000C5A3B">
            <w:pPr>
              <w:pStyle w:val="ti-grseq-1"/>
              <w:numPr>
                <w:ilvl w:val="0"/>
                <w:numId w:val="46"/>
              </w:numPr>
              <w:shd w:val="clear" w:color="auto" w:fill="FFFFFF"/>
              <w:spacing w:before="0" w:beforeAutospacing="0" w:after="0" w:afterAutospacing="0"/>
              <w:ind w:left="357" w:hanging="357"/>
              <w:jc w:val="both"/>
              <w:rPr>
                <w:color w:val="333333"/>
                <w:sz w:val="20"/>
                <w:szCs w:val="20"/>
                <w:shd w:val="clear" w:color="auto" w:fill="FFFFFF"/>
                <w:lang w:val="fr-FR"/>
              </w:rPr>
            </w:pPr>
            <w:proofErr w:type="spellStart"/>
            <w:r w:rsidRPr="00074769">
              <w:rPr>
                <w:color w:val="333333"/>
                <w:sz w:val="20"/>
                <w:szCs w:val="20"/>
                <w:shd w:val="clear" w:color="auto" w:fill="FFFFFF"/>
                <w:lang w:val="fr-FR"/>
              </w:rPr>
              <w:t>Consumul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primară</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finală</w:t>
            </w:r>
            <w:proofErr w:type="spellEnd"/>
            <w:r w:rsidRPr="00074769">
              <w:rPr>
                <w:color w:val="333333"/>
                <w:sz w:val="20"/>
                <w:szCs w:val="20"/>
                <w:shd w:val="clear" w:color="auto" w:fill="FFFFFF"/>
                <w:lang w:val="fr-FR"/>
              </w:rPr>
              <w:t xml:space="preserve"> [ktep]</w:t>
            </w:r>
          </w:p>
          <w:p w14:paraId="4C633532" w14:textId="618EC0C0" w:rsidR="008F5636" w:rsidRPr="00074769" w:rsidRDefault="008F5636" w:rsidP="000C5A3B">
            <w:pPr>
              <w:pStyle w:val="ti-grseq-1"/>
              <w:numPr>
                <w:ilvl w:val="0"/>
                <w:numId w:val="46"/>
              </w:numPr>
              <w:shd w:val="clear" w:color="auto" w:fill="FFFFFF"/>
              <w:spacing w:before="0" w:beforeAutospacing="0" w:after="0" w:afterAutospacing="0"/>
              <w:ind w:left="357" w:hanging="357"/>
              <w:jc w:val="both"/>
              <w:rPr>
                <w:color w:val="333333"/>
                <w:sz w:val="20"/>
                <w:szCs w:val="20"/>
                <w:shd w:val="clear" w:color="auto" w:fill="FFFFFF"/>
                <w:lang w:val="fr-FR"/>
              </w:rPr>
            </w:pPr>
            <w:proofErr w:type="spellStart"/>
            <w:r w:rsidRPr="00074769">
              <w:rPr>
                <w:color w:val="333333"/>
                <w:sz w:val="20"/>
                <w:szCs w:val="20"/>
                <w:shd w:val="clear" w:color="auto" w:fill="FFFFFF"/>
                <w:lang w:val="fr-FR"/>
              </w:rPr>
              <w:t>Consumul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finală</w:t>
            </w:r>
            <w:proofErr w:type="spellEnd"/>
            <w:r w:rsidRPr="00074769">
              <w:rPr>
                <w:color w:val="333333"/>
                <w:sz w:val="20"/>
                <w:szCs w:val="20"/>
                <w:shd w:val="clear" w:color="auto" w:fill="FFFFFF"/>
                <w:lang w:val="fr-FR"/>
              </w:rPr>
              <w:t xml:space="preserve"> per </w:t>
            </w:r>
            <w:proofErr w:type="spellStart"/>
            <w:r w:rsidRPr="00074769">
              <w:rPr>
                <w:color w:val="333333"/>
                <w:sz w:val="20"/>
                <w:szCs w:val="20"/>
                <w:shd w:val="clear" w:color="auto" w:fill="FFFFFF"/>
                <w:lang w:val="fr-FR"/>
              </w:rPr>
              <w:t>sector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inclusiv</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industrial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rezidențial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terțiar</w:t>
            </w:r>
            <w:proofErr w:type="spellEnd"/>
            <w:r w:rsidRPr="00074769">
              <w:rPr>
                <w:color w:val="333333"/>
                <w:sz w:val="20"/>
                <w:szCs w:val="20"/>
                <w:shd w:val="clear" w:color="auto" w:fill="FFFFFF"/>
                <w:lang w:val="fr-FR"/>
              </w:rPr>
              <w:t xml:space="preserve">, al </w:t>
            </w:r>
            <w:proofErr w:type="spellStart"/>
            <w:r w:rsidRPr="00074769">
              <w:rPr>
                <w:color w:val="333333"/>
                <w:sz w:val="20"/>
                <w:szCs w:val="20"/>
                <w:shd w:val="clear" w:color="auto" w:fill="FFFFFF"/>
                <w:lang w:val="fr-FR"/>
              </w:rPr>
              <w:t>agriculturii</w:t>
            </w:r>
            <w:proofErr w:type="spellEnd"/>
            <w:r w:rsidRPr="00074769">
              <w:rPr>
                <w:color w:val="333333"/>
                <w:sz w:val="20"/>
                <w:szCs w:val="20"/>
                <w:shd w:val="clear" w:color="auto" w:fill="FFFFFF"/>
                <w:lang w:val="fr-FR"/>
              </w:rPr>
              <w:t xml:space="preserve"> și al </w:t>
            </w:r>
            <w:proofErr w:type="spellStart"/>
            <w:r w:rsidRPr="00074769">
              <w:rPr>
                <w:color w:val="333333"/>
                <w:sz w:val="20"/>
                <w:szCs w:val="20"/>
                <w:shd w:val="clear" w:color="auto" w:fill="FFFFFF"/>
                <w:lang w:val="fr-FR"/>
              </w:rPr>
              <w:t>transporturilor</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defalcat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între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transportul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călători</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cel</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marfă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dacă</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sunt</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disponibile</w:t>
            </w:r>
            <w:proofErr w:type="spellEnd"/>
            <w:r w:rsidRPr="00074769">
              <w:rPr>
                <w:color w:val="333333"/>
                <w:sz w:val="20"/>
                <w:szCs w:val="20"/>
                <w:shd w:val="clear" w:color="auto" w:fill="FFFFFF"/>
                <w:lang w:val="fr-FR"/>
              </w:rPr>
              <w:t xml:space="preserve"> date)] [ktep]</w:t>
            </w:r>
          </w:p>
          <w:p w14:paraId="3C857BFD" w14:textId="68006276" w:rsidR="008F5636" w:rsidRPr="00074769" w:rsidRDefault="008F5636" w:rsidP="000C5A3B">
            <w:pPr>
              <w:pStyle w:val="ti-grseq-1"/>
              <w:numPr>
                <w:ilvl w:val="0"/>
                <w:numId w:val="46"/>
              </w:numPr>
              <w:shd w:val="clear" w:color="auto" w:fill="FFFFFF"/>
              <w:spacing w:before="0" w:beforeAutospacing="0" w:after="0" w:afterAutospacing="0"/>
              <w:ind w:left="357" w:hanging="357"/>
              <w:jc w:val="both"/>
              <w:rPr>
                <w:color w:val="333333"/>
                <w:sz w:val="20"/>
                <w:szCs w:val="20"/>
                <w:shd w:val="clear" w:color="auto" w:fill="FFFFFF"/>
              </w:rPr>
            </w:pPr>
            <w:proofErr w:type="spellStart"/>
            <w:r w:rsidRPr="00074769">
              <w:rPr>
                <w:color w:val="333333"/>
                <w:sz w:val="20"/>
                <w:szCs w:val="20"/>
                <w:shd w:val="clear" w:color="auto" w:fill="FFFFFF"/>
              </w:rPr>
              <w:t>Consumul</w:t>
            </w:r>
            <w:proofErr w:type="spellEnd"/>
            <w:r w:rsidRPr="00074769">
              <w:rPr>
                <w:color w:val="333333"/>
                <w:sz w:val="20"/>
                <w:szCs w:val="20"/>
                <w:shd w:val="clear" w:color="auto" w:fill="FFFFFF"/>
              </w:rPr>
              <w:t xml:space="preserve"> de </w:t>
            </w:r>
            <w:proofErr w:type="spellStart"/>
            <w:r w:rsidRPr="00074769">
              <w:rPr>
                <w:color w:val="333333"/>
                <w:sz w:val="20"/>
                <w:szCs w:val="20"/>
                <w:shd w:val="clear" w:color="auto" w:fill="FFFFFF"/>
              </w:rPr>
              <w:t>energie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finală</w:t>
            </w:r>
            <w:proofErr w:type="spellEnd"/>
            <w:r w:rsidRPr="00074769">
              <w:rPr>
                <w:color w:val="333333"/>
                <w:sz w:val="20"/>
                <w:szCs w:val="20"/>
                <w:shd w:val="clear" w:color="auto" w:fill="FFFFFF"/>
              </w:rPr>
              <w:t xml:space="preserve"> per </w:t>
            </w:r>
            <w:proofErr w:type="spellStart"/>
            <w:r w:rsidRPr="00074769">
              <w:rPr>
                <w:color w:val="333333"/>
                <w:sz w:val="20"/>
                <w:szCs w:val="20"/>
                <w:shd w:val="clear" w:color="auto" w:fill="FFFFFF"/>
              </w:rPr>
              <w:t>combustibil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toate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produsele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energetice</w:t>
            </w:r>
            <w:proofErr w:type="spellEnd"/>
            <w:r w:rsidRPr="00074769">
              <w:rPr>
                <w:color w:val="333333"/>
                <w:sz w:val="20"/>
                <w:szCs w:val="20"/>
                <w:shd w:val="clear" w:color="auto" w:fill="FFFFFF"/>
              </w:rPr>
              <w:t>) [</w:t>
            </w:r>
            <w:proofErr w:type="spellStart"/>
            <w:r w:rsidRPr="00074769">
              <w:rPr>
                <w:color w:val="333333"/>
                <w:sz w:val="20"/>
                <w:szCs w:val="20"/>
                <w:shd w:val="clear" w:color="auto" w:fill="FFFFFF"/>
              </w:rPr>
              <w:t>ktep</w:t>
            </w:r>
            <w:proofErr w:type="spellEnd"/>
            <w:r w:rsidRPr="00074769">
              <w:rPr>
                <w:color w:val="333333"/>
                <w:sz w:val="20"/>
                <w:szCs w:val="20"/>
                <w:shd w:val="clear" w:color="auto" w:fill="FFFFFF"/>
              </w:rPr>
              <w:t>]</w:t>
            </w:r>
          </w:p>
          <w:p w14:paraId="71CE3F8D" w14:textId="229875CD" w:rsidR="008F5636" w:rsidRPr="00074769" w:rsidRDefault="008F5636" w:rsidP="000C5A3B">
            <w:pPr>
              <w:pStyle w:val="ti-grseq-1"/>
              <w:numPr>
                <w:ilvl w:val="0"/>
                <w:numId w:val="46"/>
              </w:numPr>
              <w:shd w:val="clear" w:color="auto" w:fill="FFFFFF"/>
              <w:spacing w:before="0" w:beforeAutospacing="0" w:after="0" w:afterAutospacing="0"/>
              <w:ind w:left="357" w:hanging="357"/>
              <w:jc w:val="both"/>
              <w:rPr>
                <w:color w:val="333333"/>
                <w:sz w:val="20"/>
                <w:szCs w:val="20"/>
                <w:shd w:val="clear" w:color="auto" w:fill="FFFFFF"/>
              </w:rPr>
            </w:pPr>
            <w:proofErr w:type="spellStart"/>
            <w:r w:rsidRPr="00074769">
              <w:rPr>
                <w:color w:val="333333"/>
                <w:sz w:val="20"/>
                <w:szCs w:val="20"/>
                <w:shd w:val="clear" w:color="auto" w:fill="FFFFFF"/>
              </w:rPr>
              <w:t>Consumul</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neenergetic</w:t>
            </w:r>
            <w:proofErr w:type="spellEnd"/>
            <w:r w:rsidRPr="00074769">
              <w:rPr>
                <w:color w:val="333333"/>
                <w:sz w:val="20"/>
                <w:szCs w:val="20"/>
                <w:shd w:val="clear" w:color="auto" w:fill="FFFFFF"/>
              </w:rPr>
              <w:t xml:space="preserve"> final [</w:t>
            </w:r>
            <w:proofErr w:type="spellStart"/>
            <w:r w:rsidRPr="00074769">
              <w:rPr>
                <w:color w:val="333333"/>
                <w:sz w:val="20"/>
                <w:szCs w:val="20"/>
                <w:shd w:val="clear" w:color="auto" w:fill="FFFFFF"/>
              </w:rPr>
              <w:t>ktep</w:t>
            </w:r>
            <w:proofErr w:type="spellEnd"/>
            <w:r w:rsidRPr="00074769">
              <w:rPr>
                <w:color w:val="333333"/>
                <w:sz w:val="20"/>
                <w:szCs w:val="20"/>
                <w:shd w:val="clear" w:color="auto" w:fill="FFFFFF"/>
              </w:rPr>
              <w:t>]</w:t>
            </w:r>
          </w:p>
          <w:p w14:paraId="42D31129" w14:textId="0FDFE4C7" w:rsidR="008F5636" w:rsidRPr="00074769" w:rsidRDefault="008F5636" w:rsidP="000C5A3B">
            <w:pPr>
              <w:pStyle w:val="Normal4"/>
              <w:numPr>
                <w:ilvl w:val="0"/>
                <w:numId w:val="46"/>
              </w:numPr>
              <w:spacing w:before="0" w:beforeAutospacing="0" w:after="0" w:afterAutospacing="0"/>
              <w:ind w:left="357" w:hanging="357"/>
              <w:jc w:val="both"/>
              <w:rPr>
                <w:color w:val="333333"/>
                <w:sz w:val="20"/>
                <w:szCs w:val="20"/>
              </w:rPr>
            </w:pPr>
            <w:r w:rsidRPr="00074769">
              <w:rPr>
                <w:color w:val="333333"/>
                <w:sz w:val="20"/>
                <w:szCs w:val="20"/>
              </w:rPr>
              <w:t>Intensitatea energetică primară la nivelul economiei în ansamblu (consumul de energie primară per PIB [tep/EUR])</w:t>
            </w:r>
          </w:p>
          <w:p w14:paraId="1B58726C" w14:textId="6D67CF4C" w:rsidR="008F5636" w:rsidRPr="00074769" w:rsidRDefault="008F5636" w:rsidP="000C5A3B">
            <w:pPr>
              <w:pStyle w:val="Normal4"/>
              <w:numPr>
                <w:ilvl w:val="0"/>
                <w:numId w:val="46"/>
              </w:numPr>
              <w:spacing w:before="0" w:beforeAutospacing="0" w:after="0" w:afterAutospacing="0"/>
              <w:ind w:left="357" w:hanging="357"/>
              <w:jc w:val="both"/>
              <w:rPr>
                <w:color w:val="333333"/>
                <w:sz w:val="20"/>
                <w:szCs w:val="20"/>
              </w:rPr>
            </w:pPr>
            <w:r w:rsidRPr="00074769">
              <w:rPr>
                <w:color w:val="333333"/>
                <w:sz w:val="20"/>
                <w:szCs w:val="20"/>
                <w:shd w:val="clear" w:color="auto" w:fill="FFFFFF"/>
              </w:rPr>
              <w:t>Intensitatea energetică finală per sector [inclusiv industrial, rezidențial, terțiar și al transporturilor (defalcat între transportul de călători și cel de marfă, dacă sunt disponibile date)]</w:t>
            </w:r>
          </w:p>
          <w:p w14:paraId="4DEC0620" w14:textId="1BA17496"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5.Prețuri</w:t>
            </w:r>
            <w:proofErr w:type="gramEnd"/>
          </w:p>
          <w:p w14:paraId="1C026082" w14:textId="30C69931" w:rsidR="008F5636" w:rsidRPr="00074769" w:rsidRDefault="008F5636" w:rsidP="000C5A3B">
            <w:pPr>
              <w:pStyle w:val="ti-grseq-1"/>
              <w:numPr>
                <w:ilvl w:val="0"/>
                <w:numId w:val="47"/>
              </w:numPr>
              <w:shd w:val="clear" w:color="auto" w:fill="FFFFFF"/>
              <w:spacing w:before="0" w:beforeAutospacing="0" w:after="0" w:afterAutospacing="0"/>
              <w:ind w:left="357" w:hanging="357"/>
              <w:jc w:val="both"/>
              <w:rPr>
                <w:sz w:val="20"/>
                <w:szCs w:val="20"/>
                <w:shd w:val="clear" w:color="auto" w:fill="FFFFFF"/>
                <w:lang w:val="fr-FR"/>
              </w:rPr>
            </w:pPr>
            <w:proofErr w:type="spellStart"/>
            <w:r w:rsidRPr="00074769">
              <w:rPr>
                <w:sz w:val="20"/>
                <w:szCs w:val="20"/>
                <w:shd w:val="clear" w:color="auto" w:fill="FFFFFF"/>
                <w:lang w:val="fr-FR"/>
              </w:rPr>
              <w:t>Prețurile</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energie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electrică</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tip de </w:t>
            </w:r>
            <w:proofErr w:type="spellStart"/>
            <w:r w:rsidRPr="00074769">
              <w:rPr>
                <w:sz w:val="20"/>
                <w:szCs w:val="20"/>
                <w:shd w:val="clear" w:color="auto" w:fill="FFFFFF"/>
                <w:lang w:val="fr-FR"/>
              </w:rPr>
              <w:t>sector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utilizator</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rezidențial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industrial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terțiar</w:t>
            </w:r>
            <w:proofErr w:type="spellEnd"/>
            <w:r w:rsidRPr="00074769">
              <w:rPr>
                <w:sz w:val="20"/>
                <w:szCs w:val="20"/>
                <w:shd w:val="clear" w:color="auto" w:fill="FFFFFF"/>
                <w:lang w:val="fr-FR"/>
              </w:rPr>
              <w:t>)</w:t>
            </w:r>
          </w:p>
          <w:p w14:paraId="4DEFC2EE" w14:textId="25812BF9" w:rsidR="008F5636" w:rsidRPr="00074769" w:rsidRDefault="008F5636" w:rsidP="000C5A3B">
            <w:pPr>
              <w:pStyle w:val="ti-grseq-1"/>
              <w:numPr>
                <w:ilvl w:val="0"/>
                <w:numId w:val="47"/>
              </w:numPr>
              <w:shd w:val="clear" w:color="auto" w:fill="FFFFFF"/>
              <w:spacing w:before="0" w:beforeAutospacing="0" w:after="0" w:afterAutospacing="0"/>
              <w:ind w:left="357" w:hanging="357"/>
              <w:jc w:val="both"/>
              <w:rPr>
                <w:b/>
                <w:bCs/>
                <w:sz w:val="20"/>
                <w:szCs w:val="20"/>
                <w:shd w:val="clear" w:color="auto" w:fill="FFFFFF"/>
                <w:lang w:val="fr-FR"/>
              </w:rPr>
            </w:pPr>
            <w:proofErr w:type="spellStart"/>
            <w:r w:rsidRPr="00074769">
              <w:rPr>
                <w:sz w:val="20"/>
                <w:szCs w:val="20"/>
                <w:shd w:val="clear" w:color="auto" w:fill="FFFFFF"/>
                <w:lang w:val="fr-FR"/>
              </w:rPr>
              <w:t>Prețurile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cu</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amănuntul</w:t>
            </w:r>
            <w:proofErr w:type="spellEnd"/>
            <w:r w:rsidRPr="00074769">
              <w:rPr>
                <w:sz w:val="20"/>
                <w:szCs w:val="20"/>
                <w:shd w:val="clear" w:color="auto" w:fill="FFFFFF"/>
                <w:lang w:val="fr-FR"/>
              </w:rPr>
              <w:t xml:space="preserve"> ale </w:t>
            </w:r>
            <w:proofErr w:type="spellStart"/>
            <w:r w:rsidRPr="00074769">
              <w:rPr>
                <w:sz w:val="20"/>
                <w:szCs w:val="20"/>
                <w:shd w:val="clear" w:color="auto" w:fill="FFFFFF"/>
                <w:lang w:val="fr-FR"/>
              </w:rPr>
              <w:t>combustibililor</w:t>
            </w:r>
            <w:proofErr w:type="spellEnd"/>
            <w:r w:rsidRPr="00074769">
              <w:rPr>
                <w:sz w:val="20"/>
                <w:szCs w:val="20"/>
                <w:shd w:val="clear" w:color="auto" w:fill="FFFFFF"/>
                <w:lang w:val="fr-FR"/>
              </w:rPr>
              <w:t xml:space="preserve"> la </w:t>
            </w:r>
            <w:proofErr w:type="spellStart"/>
            <w:r w:rsidRPr="00074769">
              <w:rPr>
                <w:sz w:val="20"/>
                <w:szCs w:val="20"/>
                <w:shd w:val="clear" w:color="auto" w:fill="FFFFFF"/>
                <w:lang w:val="fr-FR"/>
              </w:rPr>
              <w:t>nivel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național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inclusiv</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impozitele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sursă</w:t>
            </w:r>
            <w:proofErr w:type="spellEnd"/>
            <w:r w:rsidRPr="00074769">
              <w:rPr>
                <w:sz w:val="20"/>
                <w:szCs w:val="20"/>
                <w:shd w:val="clear" w:color="auto" w:fill="FFFFFF"/>
                <w:lang w:val="fr-FR"/>
              </w:rPr>
              <w:t xml:space="preserve"> și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w:t>
            </w:r>
            <w:proofErr w:type="spellEnd"/>
            <w:r w:rsidRPr="00074769">
              <w:rPr>
                <w:sz w:val="20"/>
                <w:szCs w:val="20"/>
                <w:shd w:val="clear" w:color="auto" w:fill="FFFFFF"/>
                <w:lang w:val="fr-FR"/>
              </w:rPr>
              <w:t>) [EUR/ktep]</w:t>
            </w:r>
          </w:p>
          <w:p w14:paraId="6780B4FD" w14:textId="58854E81"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6.Investiții</w:t>
            </w:r>
            <w:proofErr w:type="gramEnd"/>
          </w:p>
          <w:p w14:paraId="0D21969D" w14:textId="6FFA8A22" w:rsidR="008F5636" w:rsidRPr="00074769" w:rsidRDefault="008F5636" w:rsidP="008F5636">
            <w:pPr>
              <w:pStyle w:val="ti-grseq-1"/>
              <w:shd w:val="clear" w:color="auto" w:fill="FFFFFF"/>
              <w:spacing w:before="0" w:beforeAutospacing="0" w:after="0" w:afterAutospacing="0"/>
              <w:jc w:val="both"/>
              <w:rPr>
                <w:sz w:val="20"/>
                <w:szCs w:val="20"/>
                <w:shd w:val="clear" w:color="auto" w:fill="FFFFFF"/>
              </w:rPr>
            </w:pPr>
            <w:proofErr w:type="spellStart"/>
            <w:r w:rsidRPr="00074769">
              <w:rPr>
                <w:sz w:val="20"/>
                <w:szCs w:val="20"/>
                <w:shd w:val="clear" w:color="auto" w:fill="FFFFFF"/>
              </w:rPr>
              <w:t>Costurile</w:t>
            </w:r>
            <w:proofErr w:type="spellEnd"/>
            <w:r w:rsidRPr="00074769">
              <w:rPr>
                <w:sz w:val="20"/>
                <w:szCs w:val="20"/>
                <w:shd w:val="clear" w:color="auto" w:fill="FFFFFF"/>
              </w:rPr>
              <w:t xml:space="preserve"> </w:t>
            </w:r>
            <w:proofErr w:type="spellStart"/>
            <w:r w:rsidRPr="00074769">
              <w:rPr>
                <w:sz w:val="20"/>
                <w:szCs w:val="20"/>
                <w:shd w:val="clear" w:color="auto" w:fill="FFFFFF"/>
              </w:rPr>
              <w:t>investițiilor</w:t>
            </w:r>
            <w:proofErr w:type="spellEnd"/>
            <w:r w:rsidRPr="00074769">
              <w:rPr>
                <w:sz w:val="20"/>
                <w:szCs w:val="20"/>
                <w:shd w:val="clear" w:color="auto" w:fill="FFFFFF"/>
              </w:rPr>
              <w:t xml:space="preserve"> în </w:t>
            </w:r>
            <w:proofErr w:type="spellStart"/>
            <w:r w:rsidRPr="00074769">
              <w:rPr>
                <w:sz w:val="20"/>
                <w:szCs w:val="20"/>
                <w:shd w:val="clear" w:color="auto" w:fill="FFFFFF"/>
              </w:rPr>
              <w:t>sectoarele</w:t>
            </w:r>
            <w:proofErr w:type="spellEnd"/>
            <w:r w:rsidRPr="00074769">
              <w:rPr>
                <w:sz w:val="20"/>
                <w:szCs w:val="20"/>
                <w:shd w:val="clear" w:color="auto" w:fill="FFFFFF"/>
              </w:rPr>
              <w:t xml:space="preserve"> </w:t>
            </w:r>
            <w:proofErr w:type="spellStart"/>
            <w:r w:rsidRPr="00074769">
              <w:rPr>
                <w:sz w:val="20"/>
                <w:szCs w:val="20"/>
                <w:shd w:val="clear" w:color="auto" w:fill="FFFFFF"/>
              </w:rPr>
              <w:t>transformării</w:t>
            </w:r>
            <w:proofErr w:type="spellEnd"/>
            <w:r w:rsidRPr="00074769">
              <w:rPr>
                <w:sz w:val="20"/>
                <w:szCs w:val="20"/>
                <w:shd w:val="clear" w:color="auto" w:fill="FFFFFF"/>
              </w:rPr>
              <w:t xml:space="preserve">, </w:t>
            </w:r>
            <w:proofErr w:type="spellStart"/>
            <w:r w:rsidRPr="00074769">
              <w:rPr>
                <w:sz w:val="20"/>
                <w:szCs w:val="20"/>
                <w:shd w:val="clear" w:color="auto" w:fill="FFFFFF"/>
              </w:rPr>
              <w:t>furnizării</w:t>
            </w:r>
            <w:proofErr w:type="spellEnd"/>
            <w:r w:rsidRPr="00074769">
              <w:rPr>
                <w:sz w:val="20"/>
                <w:szCs w:val="20"/>
                <w:shd w:val="clear" w:color="auto" w:fill="FFFFFF"/>
              </w:rPr>
              <w:t xml:space="preserve">, </w:t>
            </w:r>
            <w:proofErr w:type="spellStart"/>
            <w:r w:rsidRPr="00074769">
              <w:rPr>
                <w:sz w:val="20"/>
                <w:szCs w:val="20"/>
                <w:shd w:val="clear" w:color="auto" w:fill="FFFFFF"/>
              </w:rPr>
              <w:t>transportului</w:t>
            </w:r>
            <w:proofErr w:type="spellEnd"/>
            <w:r w:rsidRPr="00074769">
              <w:rPr>
                <w:sz w:val="20"/>
                <w:szCs w:val="20"/>
                <w:shd w:val="clear" w:color="auto" w:fill="FFFFFF"/>
              </w:rPr>
              <w:t xml:space="preserve"> și </w:t>
            </w:r>
            <w:proofErr w:type="spellStart"/>
            <w:r w:rsidRPr="00074769">
              <w:rPr>
                <w:sz w:val="20"/>
                <w:szCs w:val="20"/>
                <w:shd w:val="clear" w:color="auto" w:fill="FFFFFF"/>
              </w:rPr>
              <w:t>distribuției</w:t>
            </w:r>
            <w:proofErr w:type="spellEnd"/>
            <w:r w:rsidRPr="00074769">
              <w:rPr>
                <w:sz w:val="20"/>
                <w:szCs w:val="20"/>
                <w:shd w:val="clear" w:color="auto" w:fill="FFFFFF"/>
              </w:rPr>
              <w:t xml:space="preserve"> energiei</w:t>
            </w:r>
          </w:p>
          <w:p w14:paraId="79923D19" w14:textId="3C2EE45D" w:rsidR="008F5636" w:rsidRPr="00074769" w:rsidRDefault="008F5636" w:rsidP="008F5636">
            <w:pPr>
              <w:pStyle w:val="ti-grseq-1"/>
              <w:shd w:val="clear" w:color="auto" w:fill="FFFFFF"/>
              <w:spacing w:before="0" w:beforeAutospacing="0" w:after="0" w:afterAutospacing="0"/>
              <w:jc w:val="both"/>
              <w:rPr>
                <w:b/>
                <w:bCs/>
                <w:color w:val="333333"/>
                <w:sz w:val="20"/>
                <w:szCs w:val="20"/>
                <w:shd w:val="clear" w:color="auto" w:fill="FFFFFF"/>
              </w:rPr>
            </w:pPr>
            <w:r w:rsidRPr="00074769">
              <w:rPr>
                <w:b/>
                <w:bCs/>
                <w:color w:val="333333"/>
                <w:sz w:val="20"/>
                <w:szCs w:val="20"/>
                <w:shd w:val="clear" w:color="auto" w:fill="FFFFFF"/>
              </w:rPr>
              <w:t>2.</w:t>
            </w:r>
            <w:proofErr w:type="gramStart"/>
            <w:r w:rsidRPr="00074769">
              <w:rPr>
                <w:b/>
                <w:bCs/>
                <w:color w:val="333333"/>
                <w:sz w:val="20"/>
                <w:szCs w:val="20"/>
                <w:shd w:val="clear" w:color="auto" w:fill="FFFFFF"/>
              </w:rPr>
              <w:t>7.Surse</w:t>
            </w:r>
            <w:proofErr w:type="gramEnd"/>
            <w:r w:rsidRPr="00074769">
              <w:rPr>
                <w:b/>
                <w:bCs/>
                <w:color w:val="333333"/>
                <w:sz w:val="20"/>
                <w:szCs w:val="20"/>
                <w:shd w:val="clear" w:color="auto" w:fill="FFFFFF"/>
              </w:rPr>
              <w:t xml:space="preserve"> </w:t>
            </w:r>
            <w:proofErr w:type="spellStart"/>
            <w:r w:rsidRPr="00074769">
              <w:rPr>
                <w:b/>
                <w:bCs/>
                <w:color w:val="333333"/>
                <w:sz w:val="20"/>
                <w:szCs w:val="20"/>
                <w:shd w:val="clear" w:color="auto" w:fill="FFFFFF"/>
              </w:rPr>
              <w:t>regenerabile</w:t>
            </w:r>
            <w:proofErr w:type="spellEnd"/>
          </w:p>
          <w:p w14:paraId="6DFBA4D1" w14:textId="437339F9" w:rsidR="008F5636" w:rsidRPr="00074769" w:rsidRDefault="008F5636" w:rsidP="000C5A3B">
            <w:pPr>
              <w:pStyle w:val="ti-grseq-1"/>
              <w:numPr>
                <w:ilvl w:val="0"/>
                <w:numId w:val="48"/>
              </w:numPr>
              <w:shd w:val="clear" w:color="auto" w:fill="FFFFFF"/>
              <w:spacing w:before="0" w:beforeAutospacing="0" w:after="0" w:afterAutospacing="0"/>
              <w:ind w:left="357" w:hanging="357"/>
              <w:jc w:val="both"/>
              <w:rPr>
                <w:sz w:val="20"/>
                <w:szCs w:val="20"/>
                <w:shd w:val="clear" w:color="auto" w:fill="FFFFFF"/>
              </w:rPr>
            </w:pPr>
            <w:proofErr w:type="spellStart"/>
            <w:r w:rsidRPr="00074769">
              <w:rPr>
                <w:sz w:val="20"/>
                <w:szCs w:val="20"/>
                <w:shd w:val="clear" w:color="auto" w:fill="FFFFFF"/>
              </w:rPr>
              <w:t>Consumul</w:t>
            </w:r>
            <w:proofErr w:type="spellEnd"/>
            <w:r w:rsidRPr="00074769">
              <w:rPr>
                <w:sz w:val="20"/>
                <w:szCs w:val="20"/>
                <w:shd w:val="clear" w:color="auto" w:fill="FFFFFF"/>
              </w:rPr>
              <w:t xml:space="preserve"> final brut de </w:t>
            </w:r>
            <w:proofErr w:type="spellStart"/>
            <w:r w:rsidRPr="00074769">
              <w:rPr>
                <w:sz w:val="20"/>
                <w:szCs w:val="20"/>
                <w:shd w:val="clear" w:color="auto" w:fill="FFFFFF"/>
              </w:rPr>
              <w:t>energie</w:t>
            </w:r>
            <w:proofErr w:type="spellEnd"/>
            <w:r w:rsidRPr="00074769">
              <w:rPr>
                <w:sz w:val="20"/>
                <w:szCs w:val="20"/>
                <w:shd w:val="clear" w:color="auto" w:fill="FFFFFF"/>
              </w:rPr>
              <w:t xml:space="preserve">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și </w:t>
            </w:r>
            <w:proofErr w:type="spellStart"/>
            <w:r w:rsidRPr="00074769">
              <w:rPr>
                <w:sz w:val="20"/>
                <w:szCs w:val="20"/>
                <w:shd w:val="clear" w:color="auto" w:fill="FFFFFF"/>
              </w:rPr>
              <w:t>ponderea</w:t>
            </w:r>
            <w:proofErr w:type="spellEnd"/>
            <w:r w:rsidRPr="00074769">
              <w:rPr>
                <w:sz w:val="20"/>
                <w:szCs w:val="20"/>
                <w:shd w:val="clear" w:color="auto" w:fill="FFFFFF"/>
              </w:rPr>
              <w:t xml:space="preserve"> energiei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în </w:t>
            </w:r>
            <w:proofErr w:type="spellStart"/>
            <w:r w:rsidRPr="00074769">
              <w:rPr>
                <w:sz w:val="20"/>
                <w:szCs w:val="20"/>
                <w:shd w:val="clear" w:color="auto" w:fill="FFFFFF"/>
              </w:rPr>
              <w:t>consumul</w:t>
            </w:r>
            <w:proofErr w:type="spellEnd"/>
            <w:r w:rsidRPr="00074769">
              <w:rPr>
                <w:sz w:val="20"/>
                <w:szCs w:val="20"/>
                <w:shd w:val="clear" w:color="auto" w:fill="FFFFFF"/>
              </w:rPr>
              <w:t xml:space="preserve"> final brut de </w:t>
            </w:r>
            <w:proofErr w:type="spellStart"/>
            <w:r w:rsidRPr="00074769">
              <w:rPr>
                <w:sz w:val="20"/>
                <w:szCs w:val="20"/>
                <w:shd w:val="clear" w:color="auto" w:fill="FFFFFF"/>
              </w:rPr>
              <w:t>energie</w:t>
            </w:r>
            <w:proofErr w:type="spellEnd"/>
            <w:r w:rsidRPr="00074769">
              <w:rPr>
                <w:sz w:val="20"/>
                <w:szCs w:val="20"/>
                <w:shd w:val="clear" w:color="auto" w:fill="FFFFFF"/>
              </w:rPr>
              <w:t xml:space="preserve"> și per sector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electrică</w:t>
            </w:r>
            <w:proofErr w:type="spellEnd"/>
            <w:r w:rsidRPr="00074769">
              <w:rPr>
                <w:sz w:val="20"/>
                <w:szCs w:val="20"/>
                <w:shd w:val="clear" w:color="auto" w:fill="FFFFFF"/>
              </w:rPr>
              <w:t xml:space="preserve">, </w:t>
            </w:r>
            <w:proofErr w:type="spellStart"/>
            <w:r w:rsidRPr="00074769">
              <w:rPr>
                <w:sz w:val="20"/>
                <w:szCs w:val="20"/>
                <w:shd w:val="clear" w:color="auto" w:fill="FFFFFF"/>
              </w:rPr>
              <w:t>încălzire</w:t>
            </w:r>
            <w:proofErr w:type="spellEnd"/>
            <w:r w:rsidRPr="00074769">
              <w:rPr>
                <w:sz w:val="20"/>
                <w:szCs w:val="20"/>
                <w:shd w:val="clear" w:color="auto" w:fill="FFFFFF"/>
              </w:rPr>
              <w:t xml:space="preserve"> și </w:t>
            </w:r>
            <w:proofErr w:type="spellStart"/>
            <w:r w:rsidRPr="00074769">
              <w:rPr>
                <w:sz w:val="20"/>
                <w:szCs w:val="20"/>
                <w:shd w:val="clear" w:color="auto" w:fill="FFFFFF"/>
              </w:rPr>
              <w:t>răcire</w:t>
            </w:r>
            <w:proofErr w:type="spellEnd"/>
            <w:r w:rsidRPr="00074769">
              <w:rPr>
                <w:sz w:val="20"/>
                <w:szCs w:val="20"/>
                <w:shd w:val="clear" w:color="auto" w:fill="FFFFFF"/>
              </w:rPr>
              <w:t xml:space="preserve">, </w:t>
            </w:r>
            <w:proofErr w:type="spellStart"/>
            <w:r w:rsidRPr="00074769">
              <w:rPr>
                <w:sz w:val="20"/>
                <w:szCs w:val="20"/>
                <w:shd w:val="clear" w:color="auto" w:fill="FFFFFF"/>
              </w:rPr>
              <w:t>transporturi</w:t>
            </w:r>
            <w:proofErr w:type="spellEnd"/>
            <w:r w:rsidRPr="00074769">
              <w:rPr>
                <w:sz w:val="20"/>
                <w:szCs w:val="20"/>
                <w:shd w:val="clear" w:color="auto" w:fill="FFFFFF"/>
              </w:rPr>
              <w:t xml:space="preserve">) și per </w:t>
            </w:r>
            <w:proofErr w:type="spellStart"/>
            <w:r w:rsidRPr="00074769">
              <w:rPr>
                <w:sz w:val="20"/>
                <w:szCs w:val="20"/>
                <w:shd w:val="clear" w:color="auto" w:fill="FFFFFF"/>
              </w:rPr>
              <w:t>tehnologie</w:t>
            </w:r>
            <w:proofErr w:type="spellEnd"/>
          </w:p>
          <w:p w14:paraId="3683EB4A" w14:textId="3A9B864F" w:rsidR="008F5636" w:rsidRPr="00074769" w:rsidRDefault="008F5636" w:rsidP="000C5A3B">
            <w:pPr>
              <w:pStyle w:val="ti-grseq-1"/>
              <w:numPr>
                <w:ilvl w:val="0"/>
                <w:numId w:val="48"/>
              </w:numPr>
              <w:shd w:val="clear" w:color="auto" w:fill="FFFFFF"/>
              <w:spacing w:before="0" w:beforeAutospacing="0" w:after="0" w:afterAutospacing="0"/>
              <w:ind w:left="357" w:hanging="357"/>
              <w:jc w:val="both"/>
              <w:rPr>
                <w:sz w:val="20"/>
                <w:szCs w:val="20"/>
                <w:shd w:val="clear" w:color="auto" w:fill="FFFFFF"/>
              </w:rPr>
            </w:pPr>
            <w:proofErr w:type="spellStart"/>
            <w:r w:rsidRPr="00074769">
              <w:rPr>
                <w:sz w:val="20"/>
                <w:szCs w:val="20"/>
                <w:shd w:val="clear" w:color="auto" w:fill="FFFFFF"/>
              </w:rPr>
              <w:t>Producția</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electrică</w:t>
            </w:r>
            <w:proofErr w:type="spellEnd"/>
            <w:r w:rsidRPr="00074769">
              <w:rPr>
                <w:sz w:val="20"/>
                <w:szCs w:val="20"/>
                <w:shd w:val="clear" w:color="auto" w:fill="FFFFFF"/>
              </w:rPr>
              <w:t xml:space="preserve"> și de </w:t>
            </w:r>
            <w:proofErr w:type="spellStart"/>
            <w:r w:rsidRPr="00074769">
              <w:rPr>
                <w:sz w:val="20"/>
                <w:szCs w:val="20"/>
                <w:shd w:val="clear" w:color="auto" w:fill="FFFFFF"/>
              </w:rPr>
              <w:t>energie</w:t>
            </w:r>
            <w:proofErr w:type="spellEnd"/>
            <w:r w:rsidRPr="00074769">
              <w:rPr>
                <w:sz w:val="20"/>
                <w:szCs w:val="20"/>
                <w:shd w:val="clear" w:color="auto" w:fill="FFFFFF"/>
              </w:rPr>
              <w:t xml:space="preserve"> </w:t>
            </w:r>
            <w:proofErr w:type="spellStart"/>
            <w:r w:rsidRPr="00074769">
              <w:rPr>
                <w:sz w:val="20"/>
                <w:szCs w:val="20"/>
                <w:shd w:val="clear" w:color="auto" w:fill="FFFFFF"/>
              </w:rPr>
              <w:t>termică</w:t>
            </w:r>
            <w:proofErr w:type="spellEnd"/>
            <w:r w:rsidRPr="00074769">
              <w:rPr>
                <w:sz w:val="20"/>
                <w:szCs w:val="20"/>
                <w:shd w:val="clear" w:color="auto" w:fill="FFFFFF"/>
              </w:rPr>
              <w:t xml:space="preserve">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în </w:t>
            </w:r>
            <w:proofErr w:type="spellStart"/>
            <w:r w:rsidRPr="00074769">
              <w:rPr>
                <w:sz w:val="20"/>
                <w:szCs w:val="20"/>
                <w:shd w:val="clear" w:color="auto" w:fill="FFFFFF"/>
              </w:rPr>
              <w:t>clădiri</w:t>
            </w:r>
            <w:proofErr w:type="spellEnd"/>
            <w:r w:rsidRPr="00074769">
              <w:rPr>
                <w:sz w:val="20"/>
                <w:szCs w:val="20"/>
                <w:shd w:val="clear" w:color="auto" w:fill="FFFFFF"/>
              </w:rPr>
              <w:t xml:space="preserve">; </w:t>
            </w:r>
            <w:proofErr w:type="spellStart"/>
            <w:r w:rsidRPr="00074769">
              <w:rPr>
                <w:sz w:val="20"/>
                <w:szCs w:val="20"/>
                <w:shd w:val="clear" w:color="auto" w:fill="FFFFFF"/>
              </w:rPr>
              <w:t>aceasta</w:t>
            </w:r>
            <w:proofErr w:type="spellEnd"/>
            <w:r w:rsidRPr="00074769">
              <w:rPr>
                <w:sz w:val="20"/>
                <w:szCs w:val="20"/>
                <w:shd w:val="clear" w:color="auto" w:fill="FFFFFF"/>
              </w:rPr>
              <w:t xml:space="preserve"> </w:t>
            </w:r>
            <w:proofErr w:type="spellStart"/>
            <w:r w:rsidRPr="00074769">
              <w:rPr>
                <w:sz w:val="20"/>
                <w:szCs w:val="20"/>
                <w:shd w:val="clear" w:color="auto" w:fill="FFFFFF"/>
              </w:rPr>
              <w:t>trebuie</w:t>
            </w:r>
            <w:proofErr w:type="spellEnd"/>
            <w:r w:rsidRPr="00074769">
              <w:rPr>
                <w:sz w:val="20"/>
                <w:szCs w:val="20"/>
                <w:shd w:val="clear" w:color="auto" w:fill="FFFFFF"/>
              </w:rPr>
              <w:t xml:space="preserve"> </w:t>
            </w:r>
            <w:proofErr w:type="spellStart"/>
            <w:r w:rsidRPr="00074769">
              <w:rPr>
                <w:sz w:val="20"/>
                <w:szCs w:val="20"/>
                <w:shd w:val="clear" w:color="auto" w:fill="FFFFFF"/>
              </w:rPr>
              <w:t>să</w:t>
            </w:r>
            <w:proofErr w:type="spellEnd"/>
            <w:r w:rsidRPr="00074769">
              <w:rPr>
                <w:sz w:val="20"/>
                <w:szCs w:val="20"/>
                <w:shd w:val="clear" w:color="auto" w:fill="FFFFFF"/>
              </w:rPr>
              <w:t xml:space="preserve"> </w:t>
            </w:r>
            <w:proofErr w:type="spellStart"/>
            <w:r w:rsidRPr="00074769">
              <w:rPr>
                <w:sz w:val="20"/>
                <w:szCs w:val="20"/>
                <w:shd w:val="clear" w:color="auto" w:fill="FFFFFF"/>
              </w:rPr>
              <w:t>includă</w:t>
            </w:r>
            <w:proofErr w:type="spellEnd"/>
            <w:r w:rsidRPr="00074769">
              <w:rPr>
                <w:sz w:val="20"/>
                <w:szCs w:val="20"/>
                <w:shd w:val="clear" w:color="auto" w:fill="FFFFFF"/>
              </w:rPr>
              <w:t xml:space="preserve">, </w:t>
            </w:r>
            <w:proofErr w:type="spellStart"/>
            <w:r w:rsidRPr="00074769">
              <w:rPr>
                <w:sz w:val="20"/>
                <w:szCs w:val="20"/>
                <w:shd w:val="clear" w:color="auto" w:fill="FFFFFF"/>
              </w:rPr>
              <w:t>dacă</w:t>
            </w:r>
            <w:proofErr w:type="spellEnd"/>
            <w:r w:rsidRPr="00074769">
              <w:rPr>
                <w:sz w:val="20"/>
                <w:szCs w:val="20"/>
                <w:shd w:val="clear" w:color="auto" w:fill="FFFFFF"/>
              </w:rPr>
              <w:t xml:space="preserve"> sunt </w:t>
            </w:r>
            <w:proofErr w:type="spellStart"/>
            <w:r w:rsidRPr="00074769">
              <w:rPr>
                <w:sz w:val="20"/>
                <w:szCs w:val="20"/>
                <w:shd w:val="clear" w:color="auto" w:fill="FFFFFF"/>
              </w:rPr>
              <w:t>disponibile</w:t>
            </w:r>
            <w:proofErr w:type="spellEnd"/>
            <w:r w:rsidRPr="00074769">
              <w:rPr>
                <w:sz w:val="20"/>
                <w:szCs w:val="20"/>
                <w:shd w:val="clear" w:color="auto" w:fill="FFFFFF"/>
              </w:rPr>
              <w:t xml:space="preserve">, date </w:t>
            </w:r>
            <w:proofErr w:type="spellStart"/>
            <w:r w:rsidRPr="00074769">
              <w:rPr>
                <w:sz w:val="20"/>
                <w:szCs w:val="20"/>
                <w:shd w:val="clear" w:color="auto" w:fill="FFFFFF"/>
              </w:rPr>
              <w:t>dezagregate</w:t>
            </w:r>
            <w:proofErr w:type="spellEnd"/>
            <w:r w:rsidRPr="00074769">
              <w:rPr>
                <w:sz w:val="20"/>
                <w:szCs w:val="20"/>
                <w:shd w:val="clear" w:color="auto" w:fill="FFFFFF"/>
              </w:rPr>
              <w:t xml:space="preserve"> cu </w:t>
            </w:r>
            <w:proofErr w:type="spellStart"/>
            <w:r w:rsidRPr="00074769">
              <w:rPr>
                <w:sz w:val="20"/>
                <w:szCs w:val="20"/>
                <w:shd w:val="clear" w:color="auto" w:fill="FFFFFF"/>
              </w:rPr>
              <w:t>privire</w:t>
            </w:r>
            <w:proofErr w:type="spellEnd"/>
            <w:r w:rsidRPr="00074769">
              <w:rPr>
                <w:sz w:val="20"/>
                <w:szCs w:val="20"/>
                <w:shd w:val="clear" w:color="auto" w:fill="FFFFFF"/>
              </w:rPr>
              <w:t xml:space="preserve"> la </w:t>
            </w:r>
            <w:proofErr w:type="spellStart"/>
            <w:r w:rsidRPr="00074769">
              <w:rPr>
                <w:sz w:val="20"/>
                <w:szCs w:val="20"/>
                <w:shd w:val="clear" w:color="auto" w:fill="FFFFFF"/>
              </w:rPr>
              <w:t>energia</w:t>
            </w:r>
            <w:proofErr w:type="spellEnd"/>
            <w:r w:rsidRPr="00074769">
              <w:rPr>
                <w:sz w:val="20"/>
                <w:szCs w:val="20"/>
                <w:shd w:val="clear" w:color="auto" w:fill="FFFFFF"/>
              </w:rPr>
              <w:t xml:space="preserve"> </w:t>
            </w:r>
            <w:proofErr w:type="spellStart"/>
            <w:r w:rsidRPr="00074769">
              <w:rPr>
                <w:sz w:val="20"/>
                <w:szCs w:val="20"/>
                <w:shd w:val="clear" w:color="auto" w:fill="FFFFFF"/>
              </w:rPr>
              <w:t>produsă</w:t>
            </w:r>
            <w:proofErr w:type="spellEnd"/>
            <w:r w:rsidRPr="00074769">
              <w:rPr>
                <w:sz w:val="20"/>
                <w:szCs w:val="20"/>
                <w:shd w:val="clear" w:color="auto" w:fill="FFFFFF"/>
              </w:rPr>
              <w:t xml:space="preserve">, </w:t>
            </w:r>
            <w:proofErr w:type="spellStart"/>
            <w:r w:rsidRPr="00074769">
              <w:rPr>
                <w:sz w:val="20"/>
                <w:szCs w:val="20"/>
                <w:shd w:val="clear" w:color="auto" w:fill="FFFFFF"/>
              </w:rPr>
              <w:t>consumată</w:t>
            </w:r>
            <w:proofErr w:type="spellEnd"/>
            <w:r w:rsidRPr="00074769">
              <w:rPr>
                <w:sz w:val="20"/>
                <w:szCs w:val="20"/>
                <w:shd w:val="clear" w:color="auto" w:fill="FFFFFF"/>
              </w:rPr>
              <w:t xml:space="preserve"> și </w:t>
            </w:r>
            <w:proofErr w:type="spellStart"/>
            <w:r w:rsidRPr="00074769">
              <w:rPr>
                <w:sz w:val="20"/>
                <w:szCs w:val="20"/>
                <w:shd w:val="clear" w:color="auto" w:fill="FFFFFF"/>
              </w:rPr>
              <w:t>introdusă</w:t>
            </w:r>
            <w:proofErr w:type="spellEnd"/>
            <w:r w:rsidRPr="00074769">
              <w:rPr>
                <w:sz w:val="20"/>
                <w:szCs w:val="20"/>
                <w:shd w:val="clear" w:color="auto" w:fill="FFFFFF"/>
              </w:rPr>
              <w:t xml:space="preserve"> în </w:t>
            </w:r>
            <w:proofErr w:type="spellStart"/>
            <w:r w:rsidRPr="00074769">
              <w:rPr>
                <w:sz w:val="20"/>
                <w:szCs w:val="20"/>
                <w:shd w:val="clear" w:color="auto" w:fill="FFFFFF"/>
              </w:rPr>
              <w:t>rețea</w:t>
            </w:r>
            <w:proofErr w:type="spellEnd"/>
            <w:r w:rsidRPr="00074769">
              <w:rPr>
                <w:sz w:val="20"/>
                <w:szCs w:val="20"/>
                <w:shd w:val="clear" w:color="auto" w:fill="FFFFFF"/>
              </w:rPr>
              <w:t xml:space="preserve"> de </w:t>
            </w:r>
            <w:proofErr w:type="spellStart"/>
            <w:r w:rsidRPr="00074769">
              <w:rPr>
                <w:sz w:val="20"/>
                <w:szCs w:val="20"/>
                <w:shd w:val="clear" w:color="auto" w:fill="FFFFFF"/>
              </w:rPr>
              <w:t>sistemele</w:t>
            </w:r>
            <w:proofErr w:type="spellEnd"/>
            <w:r w:rsidRPr="00074769">
              <w:rPr>
                <w:sz w:val="20"/>
                <w:szCs w:val="20"/>
                <w:shd w:val="clear" w:color="auto" w:fill="FFFFFF"/>
              </w:rPr>
              <w:t xml:space="preserve"> </w:t>
            </w:r>
            <w:proofErr w:type="spellStart"/>
            <w:r w:rsidRPr="00074769">
              <w:rPr>
                <w:sz w:val="20"/>
                <w:szCs w:val="20"/>
                <w:shd w:val="clear" w:color="auto" w:fill="FFFFFF"/>
              </w:rPr>
              <w:t>solare</w:t>
            </w:r>
            <w:proofErr w:type="spellEnd"/>
            <w:r w:rsidRPr="00074769">
              <w:rPr>
                <w:sz w:val="20"/>
                <w:szCs w:val="20"/>
                <w:shd w:val="clear" w:color="auto" w:fill="FFFFFF"/>
              </w:rPr>
              <w:t xml:space="preserve"> </w:t>
            </w:r>
            <w:proofErr w:type="spellStart"/>
            <w:r w:rsidRPr="00074769">
              <w:rPr>
                <w:sz w:val="20"/>
                <w:szCs w:val="20"/>
                <w:shd w:val="clear" w:color="auto" w:fill="FFFFFF"/>
              </w:rPr>
              <w:t>fotovoltaice</w:t>
            </w:r>
            <w:proofErr w:type="spellEnd"/>
            <w:r w:rsidRPr="00074769">
              <w:rPr>
                <w:sz w:val="20"/>
                <w:szCs w:val="20"/>
                <w:shd w:val="clear" w:color="auto" w:fill="FFFFFF"/>
              </w:rPr>
              <w:t xml:space="preserve">, </w:t>
            </w:r>
            <w:proofErr w:type="spellStart"/>
            <w:r w:rsidRPr="00074769">
              <w:rPr>
                <w:sz w:val="20"/>
                <w:szCs w:val="20"/>
                <w:shd w:val="clear" w:color="auto" w:fill="FFFFFF"/>
              </w:rPr>
              <w:t>sistemele</w:t>
            </w:r>
            <w:proofErr w:type="spellEnd"/>
            <w:r w:rsidRPr="00074769">
              <w:rPr>
                <w:sz w:val="20"/>
                <w:szCs w:val="20"/>
                <w:shd w:val="clear" w:color="auto" w:fill="FFFFFF"/>
              </w:rPr>
              <w:t xml:space="preserve"> </w:t>
            </w:r>
            <w:proofErr w:type="spellStart"/>
            <w:r w:rsidRPr="00074769">
              <w:rPr>
                <w:sz w:val="20"/>
                <w:szCs w:val="20"/>
                <w:shd w:val="clear" w:color="auto" w:fill="FFFFFF"/>
              </w:rPr>
              <w:t>termice</w:t>
            </w:r>
            <w:proofErr w:type="spellEnd"/>
            <w:r w:rsidRPr="00074769">
              <w:rPr>
                <w:sz w:val="20"/>
                <w:szCs w:val="20"/>
                <w:shd w:val="clear" w:color="auto" w:fill="FFFFFF"/>
              </w:rPr>
              <w:t xml:space="preserve"> </w:t>
            </w:r>
            <w:proofErr w:type="spellStart"/>
            <w:r w:rsidRPr="00074769">
              <w:rPr>
                <w:sz w:val="20"/>
                <w:szCs w:val="20"/>
                <w:shd w:val="clear" w:color="auto" w:fill="FFFFFF"/>
              </w:rPr>
              <w:t>solare</w:t>
            </w:r>
            <w:proofErr w:type="spellEnd"/>
            <w:r w:rsidRPr="00074769">
              <w:rPr>
                <w:sz w:val="20"/>
                <w:szCs w:val="20"/>
                <w:shd w:val="clear" w:color="auto" w:fill="FFFFFF"/>
              </w:rPr>
              <w:t xml:space="preserve">, </w:t>
            </w:r>
            <w:proofErr w:type="spellStart"/>
            <w:r w:rsidRPr="00074769">
              <w:rPr>
                <w:sz w:val="20"/>
                <w:szCs w:val="20"/>
                <w:shd w:val="clear" w:color="auto" w:fill="FFFFFF"/>
              </w:rPr>
              <w:t>biomasă</w:t>
            </w:r>
            <w:proofErr w:type="spellEnd"/>
            <w:r w:rsidRPr="00074769">
              <w:rPr>
                <w:sz w:val="20"/>
                <w:szCs w:val="20"/>
                <w:shd w:val="clear" w:color="auto" w:fill="FFFFFF"/>
              </w:rPr>
              <w:t xml:space="preserve">, </w:t>
            </w:r>
            <w:proofErr w:type="spellStart"/>
            <w:r w:rsidRPr="00074769">
              <w:rPr>
                <w:sz w:val="20"/>
                <w:szCs w:val="20"/>
                <w:shd w:val="clear" w:color="auto" w:fill="FFFFFF"/>
              </w:rPr>
              <w:t>pompele</w:t>
            </w:r>
            <w:proofErr w:type="spellEnd"/>
            <w:r w:rsidRPr="00074769">
              <w:rPr>
                <w:sz w:val="20"/>
                <w:szCs w:val="20"/>
                <w:shd w:val="clear" w:color="auto" w:fill="FFFFFF"/>
              </w:rPr>
              <w:t xml:space="preserve"> de </w:t>
            </w:r>
            <w:proofErr w:type="spellStart"/>
            <w:r w:rsidRPr="00074769">
              <w:rPr>
                <w:sz w:val="20"/>
                <w:szCs w:val="20"/>
                <w:shd w:val="clear" w:color="auto" w:fill="FFFFFF"/>
              </w:rPr>
              <w:t>căldură</w:t>
            </w:r>
            <w:proofErr w:type="spellEnd"/>
            <w:r w:rsidRPr="00074769">
              <w:rPr>
                <w:sz w:val="20"/>
                <w:szCs w:val="20"/>
                <w:shd w:val="clear" w:color="auto" w:fill="FFFFFF"/>
              </w:rPr>
              <w:t xml:space="preserve">, </w:t>
            </w:r>
            <w:proofErr w:type="spellStart"/>
            <w:r w:rsidRPr="00074769">
              <w:rPr>
                <w:sz w:val="20"/>
                <w:szCs w:val="20"/>
                <w:shd w:val="clear" w:color="auto" w:fill="FFFFFF"/>
              </w:rPr>
              <w:t>sistemele</w:t>
            </w:r>
            <w:proofErr w:type="spellEnd"/>
            <w:r w:rsidRPr="00074769">
              <w:rPr>
                <w:sz w:val="20"/>
                <w:szCs w:val="20"/>
                <w:shd w:val="clear" w:color="auto" w:fill="FFFFFF"/>
              </w:rPr>
              <w:t xml:space="preserve"> </w:t>
            </w:r>
            <w:proofErr w:type="spellStart"/>
            <w:r w:rsidRPr="00074769">
              <w:rPr>
                <w:sz w:val="20"/>
                <w:szCs w:val="20"/>
                <w:shd w:val="clear" w:color="auto" w:fill="FFFFFF"/>
              </w:rPr>
              <w:t>geotermale</w:t>
            </w:r>
            <w:proofErr w:type="spellEnd"/>
            <w:r w:rsidRPr="00074769">
              <w:rPr>
                <w:sz w:val="20"/>
                <w:szCs w:val="20"/>
                <w:shd w:val="clear" w:color="auto" w:fill="FFFFFF"/>
              </w:rPr>
              <w:t xml:space="preserve">, precum și de </w:t>
            </w:r>
            <w:proofErr w:type="spellStart"/>
            <w:r w:rsidRPr="00074769">
              <w:rPr>
                <w:sz w:val="20"/>
                <w:szCs w:val="20"/>
                <w:shd w:val="clear" w:color="auto" w:fill="FFFFFF"/>
              </w:rPr>
              <w:t>toate</w:t>
            </w:r>
            <w:proofErr w:type="spellEnd"/>
            <w:r w:rsidRPr="00074769">
              <w:rPr>
                <w:sz w:val="20"/>
                <w:szCs w:val="20"/>
                <w:shd w:val="clear" w:color="auto" w:fill="FFFFFF"/>
              </w:rPr>
              <w:t xml:space="preserve"> </w:t>
            </w:r>
            <w:proofErr w:type="spellStart"/>
            <w:r w:rsidRPr="00074769">
              <w:rPr>
                <w:sz w:val="20"/>
                <w:szCs w:val="20"/>
                <w:shd w:val="clear" w:color="auto" w:fill="FFFFFF"/>
              </w:rPr>
              <w:t>celelalte</w:t>
            </w:r>
            <w:proofErr w:type="spellEnd"/>
            <w:r w:rsidRPr="00074769">
              <w:rPr>
                <w:sz w:val="20"/>
                <w:szCs w:val="20"/>
                <w:shd w:val="clear" w:color="auto" w:fill="FFFFFF"/>
              </w:rPr>
              <w:t xml:space="preserve"> </w:t>
            </w:r>
            <w:proofErr w:type="spellStart"/>
            <w:r w:rsidRPr="00074769">
              <w:rPr>
                <w:sz w:val="20"/>
                <w:szCs w:val="20"/>
                <w:shd w:val="clear" w:color="auto" w:fill="FFFFFF"/>
              </w:rPr>
              <w:t>sisteme</w:t>
            </w:r>
            <w:proofErr w:type="spellEnd"/>
            <w:r w:rsidRPr="00074769">
              <w:rPr>
                <w:sz w:val="20"/>
                <w:szCs w:val="20"/>
                <w:shd w:val="clear" w:color="auto" w:fill="FFFFFF"/>
              </w:rPr>
              <w:t xml:space="preserve"> </w:t>
            </w:r>
            <w:proofErr w:type="spellStart"/>
            <w:r w:rsidRPr="00074769">
              <w:rPr>
                <w:sz w:val="20"/>
                <w:szCs w:val="20"/>
                <w:shd w:val="clear" w:color="auto" w:fill="FFFFFF"/>
              </w:rPr>
              <w:t>descentralizate</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din surse </w:t>
            </w:r>
            <w:proofErr w:type="spellStart"/>
            <w:r w:rsidRPr="00074769">
              <w:rPr>
                <w:sz w:val="20"/>
                <w:szCs w:val="20"/>
                <w:shd w:val="clear" w:color="auto" w:fill="FFFFFF"/>
              </w:rPr>
              <w:t>regenerabile</w:t>
            </w:r>
            <w:proofErr w:type="spellEnd"/>
          </w:p>
          <w:p w14:paraId="7B7C4D00" w14:textId="464E60AC" w:rsidR="008F5636" w:rsidRPr="00074769" w:rsidRDefault="008F5636" w:rsidP="000C5A3B">
            <w:pPr>
              <w:pStyle w:val="ti-grseq-1"/>
              <w:numPr>
                <w:ilvl w:val="0"/>
                <w:numId w:val="48"/>
              </w:numPr>
              <w:shd w:val="clear" w:color="auto" w:fill="FFFFFF"/>
              <w:spacing w:before="0" w:beforeAutospacing="0" w:after="0" w:afterAutospacing="0"/>
              <w:ind w:left="357" w:hanging="357"/>
              <w:jc w:val="both"/>
              <w:rPr>
                <w:b/>
                <w:bCs/>
                <w:sz w:val="20"/>
                <w:szCs w:val="20"/>
                <w:shd w:val="clear" w:color="auto" w:fill="FFFFFF"/>
              </w:rPr>
            </w:pPr>
            <w:proofErr w:type="spellStart"/>
            <w:r w:rsidRPr="00074769">
              <w:rPr>
                <w:sz w:val="20"/>
                <w:szCs w:val="20"/>
                <w:shd w:val="clear" w:color="auto" w:fill="FFFFFF"/>
              </w:rPr>
              <w:t>După</w:t>
            </w:r>
            <w:proofErr w:type="spellEnd"/>
            <w:r w:rsidRPr="00074769">
              <w:rPr>
                <w:sz w:val="20"/>
                <w:szCs w:val="20"/>
                <w:shd w:val="clear" w:color="auto" w:fill="FFFFFF"/>
              </w:rPr>
              <w:t xml:space="preserve"> </w:t>
            </w:r>
            <w:proofErr w:type="spellStart"/>
            <w:r w:rsidRPr="00074769">
              <w:rPr>
                <w:sz w:val="20"/>
                <w:szCs w:val="20"/>
                <w:shd w:val="clear" w:color="auto" w:fill="FFFFFF"/>
              </w:rPr>
              <w:t>caz</w:t>
            </w:r>
            <w:proofErr w:type="spellEnd"/>
            <w:r w:rsidRPr="00074769">
              <w:rPr>
                <w:sz w:val="20"/>
                <w:szCs w:val="20"/>
                <w:shd w:val="clear" w:color="auto" w:fill="FFFFFF"/>
              </w:rPr>
              <w:t xml:space="preserve">, </w:t>
            </w:r>
            <w:proofErr w:type="spellStart"/>
            <w:r w:rsidRPr="00074769">
              <w:rPr>
                <w:sz w:val="20"/>
                <w:szCs w:val="20"/>
                <w:shd w:val="clear" w:color="auto" w:fill="FFFFFF"/>
              </w:rPr>
              <w:t>alte</w:t>
            </w:r>
            <w:proofErr w:type="spellEnd"/>
            <w:r w:rsidRPr="00074769">
              <w:rPr>
                <w:sz w:val="20"/>
                <w:szCs w:val="20"/>
                <w:shd w:val="clear" w:color="auto" w:fill="FFFFFF"/>
              </w:rPr>
              <w:t xml:space="preserve"> </w:t>
            </w:r>
            <w:proofErr w:type="spellStart"/>
            <w:r w:rsidRPr="00074769">
              <w:rPr>
                <w:sz w:val="20"/>
                <w:szCs w:val="20"/>
                <w:shd w:val="clear" w:color="auto" w:fill="FFFFFF"/>
              </w:rPr>
              <w:t>traiectorii</w:t>
            </w:r>
            <w:proofErr w:type="spellEnd"/>
            <w:r w:rsidRPr="00074769">
              <w:rPr>
                <w:sz w:val="20"/>
                <w:szCs w:val="20"/>
                <w:shd w:val="clear" w:color="auto" w:fill="FFFFFF"/>
              </w:rPr>
              <w:t xml:space="preserve"> </w:t>
            </w:r>
            <w:proofErr w:type="spellStart"/>
            <w:r w:rsidRPr="00074769">
              <w:rPr>
                <w:sz w:val="20"/>
                <w:szCs w:val="20"/>
                <w:shd w:val="clear" w:color="auto" w:fill="FFFFFF"/>
              </w:rPr>
              <w:t>naționale</w:t>
            </w:r>
            <w:proofErr w:type="spellEnd"/>
            <w:r w:rsidRPr="00074769">
              <w:rPr>
                <w:sz w:val="20"/>
                <w:szCs w:val="20"/>
                <w:shd w:val="clear" w:color="auto" w:fill="FFFFFF"/>
              </w:rPr>
              <w:t xml:space="preserve">, </w:t>
            </w:r>
            <w:proofErr w:type="spellStart"/>
            <w:r w:rsidRPr="00074769">
              <w:rPr>
                <w:sz w:val="20"/>
                <w:szCs w:val="20"/>
                <w:shd w:val="clear" w:color="auto" w:fill="FFFFFF"/>
              </w:rPr>
              <w:t>inclusiv</w:t>
            </w:r>
            <w:proofErr w:type="spellEnd"/>
            <w:r w:rsidRPr="00074769">
              <w:rPr>
                <w:sz w:val="20"/>
                <w:szCs w:val="20"/>
                <w:shd w:val="clear" w:color="auto" w:fill="FFFFFF"/>
              </w:rPr>
              <w:t xml:space="preserve"> pe termen lung </w:t>
            </w:r>
            <w:proofErr w:type="spellStart"/>
            <w:r w:rsidRPr="00074769">
              <w:rPr>
                <w:sz w:val="20"/>
                <w:szCs w:val="20"/>
                <w:shd w:val="clear" w:color="auto" w:fill="FFFFFF"/>
              </w:rPr>
              <w:t>sau</w:t>
            </w:r>
            <w:proofErr w:type="spellEnd"/>
            <w:r w:rsidRPr="00074769">
              <w:rPr>
                <w:sz w:val="20"/>
                <w:szCs w:val="20"/>
                <w:shd w:val="clear" w:color="auto" w:fill="FFFFFF"/>
              </w:rPr>
              <w:t xml:space="preserve"> </w:t>
            </w:r>
            <w:proofErr w:type="spellStart"/>
            <w:r w:rsidRPr="00074769">
              <w:rPr>
                <w:sz w:val="20"/>
                <w:szCs w:val="20"/>
                <w:shd w:val="clear" w:color="auto" w:fill="FFFFFF"/>
              </w:rPr>
              <w:t>sectoriale</w:t>
            </w:r>
            <w:proofErr w:type="spellEnd"/>
            <w:r w:rsidRPr="00074769">
              <w:rPr>
                <w:sz w:val="20"/>
                <w:szCs w:val="20"/>
                <w:shd w:val="clear" w:color="auto" w:fill="FFFFFF"/>
              </w:rPr>
              <w:t xml:space="preserve"> (</w:t>
            </w:r>
            <w:proofErr w:type="spellStart"/>
            <w:r w:rsidRPr="00074769">
              <w:rPr>
                <w:sz w:val="20"/>
                <w:szCs w:val="20"/>
                <w:shd w:val="clear" w:color="auto" w:fill="FFFFFF"/>
              </w:rPr>
              <w:t>ponderea</w:t>
            </w:r>
            <w:proofErr w:type="spellEnd"/>
            <w:r w:rsidRPr="00074769">
              <w:rPr>
                <w:sz w:val="20"/>
                <w:szCs w:val="20"/>
                <w:shd w:val="clear" w:color="auto" w:fill="FFFFFF"/>
              </w:rPr>
              <w:t xml:space="preserve"> </w:t>
            </w:r>
            <w:proofErr w:type="spellStart"/>
            <w:r w:rsidRPr="00074769">
              <w:rPr>
                <w:sz w:val="20"/>
                <w:szCs w:val="20"/>
                <w:shd w:val="clear" w:color="auto" w:fill="FFFFFF"/>
              </w:rPr>
              <w:t>biocombustibililor</w:t>
            </w:r>
            <w:proofErr w:type="spellEnd"/>
            <w:r w:rsidRPr="00074769">
              <w:rPr>
                <w:sz w:val="20"/>
                <w:szCs w:val="20"/>
                <w:shd w:val="clear" w:color="auto" w:fill="FFFFFF"/>
              </w:rPr>
              <w:t xml:space="preserve"> </w:t>
            </w:r>
            <w:proofErr w:type="spellStart"/>
            <w:r w:rsidRPr="00074769">
              <w:rPr>
                <w:sz w:val="20"/>
                <w:szCs w:val="20"/>
                <w:shd w:val="clear" w:color="auto" w:fill="FFFFFF"/>
              </w:rPr>
              <w:t>avansați</w:t>
            </w:r>
            <w:proofErr w:type="spellEnd"/>
            <w:r w:rsidRPr="00074769">
              <w:rPr>
                <w:sz w:val="20"/>
                <w:szCs w:val="20"/>
                <w:shd w:val="clear" w:color="auto" w:fill="FFFFFF"/>
              </w:rPr>
              <w:t xml:space="preserve"> și de </w:t>
            </w:r>
            <w:proofErr w:type="spellStart"/>
            <w:r w:rsidRPr="00074769">
              <w:rPr>
                <w:sz w:val="20"/>
                <w:szCs w:val="20"/>
                <w:shd w:val="clear" w:color="auto" w:fill="FFFFFF"/>
              </w:rPr>
              <w:t>origine</w:t>
            </w:r>
            <w:proofErr w:type="spellEnd"/>
            <w:r w:rsidRPr="00074769">
              <w:rPr>
                <w:sz w:val="20"/>
                <w:szCs w:val="20"/>
                <w:shd w:val="clear" w:color="auto" w:fill="FFFFFF"/>
              </w:rPr>
              <w:t xml:space="preserve"> </w:t>
            </w:r>
            <w:proofErr w:type="spellStart"/>
            <w:r w:rsidRPr="00074769">
              <w:rPr>
                <w:sz w:val="20"/>
                <w:szCs w:val="20"/>
                <w:shd w:val="clear" w:color="auto" w:fill="FFFFFF"/>
              </w:rPr>
              <w:t>alimentară</w:t>
            </w:r>
            <w:proofErr w:type="spellEnd"/>
            <w:r w:rsidRPr="00074769">
              <w:rPr>
                <w:sz w:val="20"/>
                <w:szCs w:val="20"/>
                <w:shd w:val="clear" w:color="auto" w:fill="FFFFFF"/>
              </w:rPr>
              <w:t xml:space="preserve">, </w:t>
            </w:r>
            <w:proofErr w:type="spellStart"/>
            <w:r w:rsidRPr="00074769">
              <w:rPr>
                <w:sz w:val="20"/>
                <w:szCs w:val="20"/>
                <w:shd w:val="clear" w:color="auto" w:fill="FFFFFF"/>
              </w:rPr>
              <w:t>ponderea</w:t>
            </w:r>
            <w:proofErr w:type="spellEnd"/>
            <w:r w:rsidRPr="00074769">
              <w:rPr>
                <w:sz w:val="20"/>
                <w:szCs w:val="20"/>
                <w:shd w:val="clear" w:color="auto" w:fill="FFFFFF"/>
              </w:rPr>
              <w:t xml:space="preserve"> energiei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în </w:t>
            </w:r>
            <w:proofErr w:type="spellStart"/>
            <w:r w:rsidRPr="00074769">
              <w:rPr>
                <w:sz w:val="20"/>
                <w:szCs w:val="20"/>
                <w:shd w:val="clear" w:color="auto" w:fill="FFFFFF"/>
              </w:rPr>
              <w:t>încălzirea</w:t>
            </w:r>
            <w:proofErr w:type="spellEnd"/>
            <w:r w:rsidRPr="00074769">
              <w:rPr>
                <w:sz w:val="20"/>
                <w:szCs w:val="20"/>
                <w:shd w:val="clear" w:color="auto" w:fill="FFFFFF"/>
              </w:rPr>
              <w:t xml:space="preserve"> </w:t>
            </w:r>
            <w:proofErr w:type="spellStart"/>
            <w:r w:rsidRPr="00074769">
              <w:rPr>
                <w:sz w:val="20"/>
                <w:szCs w:val="20"/>
                <w:shd w:val="clear" w:color="auto" w:fill="FFFFFF"/>
              </w:rPr>
              <w:t>centralizată</w:t>
            </w:r>
            <w:proofErr w:type="spellEnd"/>
            <w:r w:rsidRPr="00074769">
              <w:rPr>
                <w:sz w:val="20"/>
                <w:szCs w:val="20"/>
                <w:shd w:val="clear" w:color="auto" w:fill="FFFFFF"/>
              </w:rPr>
              <w:t xml:space="preserve">, precum și </w:t>
            </w:r>
            <w:proofErr w:type="spellStart"/>
            <w:r w:rsidRPr="00074769">
              <w:rPr>
                <w:sz w:val="20"/>
                <w:szCs w:val="20"/>
                <w:shd w:val="clear" w:color="auto" w:fill="FFFFFF"/>
              </w:rPr>
              <w:t>energia</w:t>
            </w:r>
            <w:proofErr w:type="spellEnd"/>
            <w:r w:rsidRPr="00074769">
              <w:rPr>
                <w:sz w:val="20"/>
                <w:szCs w:val="20"/>
                <w:shd w:val="clear" w:color="auto" w:fill="FFFFFF"/>
              </w:rPr>
              <w:t xml:space="preserve"> din surse </w:t>
            </w:r>
            <w:proofErr w:type="spellStart"/>
            <w:r w:rsidRPr="00074769">
              <w:rPr>
                <w:sz w:val="20"/>
                <w:szCs w:val="20"/>
                <w:shd w:val="clear" w:color="auto" w:fill="FFFFFF"/>
              </w:rPr>
              <w:t>regenerabile</w:t>
            </w:r>
            <w:proofErr w:type="spellEnd"/>
            <w:r w:rsidRPr="00074769">
              <w:rPr>
                <w:sz w:val="20"/>
                <w:szCs w:val="20"/>
                <w:shd w:val="clear" w:color="auto" w:fill="FFFFFF"/>
              </w:rPr>
              <w:t xml:space="preserve"> </w:t>
            </w:r>
            <w:proofErr w:type="spellStart"/>
            <w:r w:rsidRPr="00074769">
              <w:rPr>
                <w:sz w:val="20"/>
                <w:szCs w:val="20"/>
                <w:shd w:val="clear" w:color="auto" w:fill="FFFFFF"/>
              </w:rPr>
              <w:t>produsă</w:t>
            </w:r>
            <w:proofErr w:type="spellEnd"/>
            <w:r w:rsidRPr="00074769">
              <w:rPr>
                <w:sz w:val="20"/>
                <w:szCs w:val="20"/>
                <w:shd w:val="clear" w:color="auto" w:fill="FFFFFF"/>
              </w:rPr>
              <w:t xml:space="preserve"> de </w:t>
            </w:r>
            <w:proofErr w:type="spellStart"/>
            <w:r w:rsidRPr="00074769">
              <w:rPr>
                <w:sz w:val="20"/>
                <w:szCs w:val="20"/>
                <w:shd w:val="clear" w:color="auto" w:fill="FFFFFF"/>
              </w:rPr>
              <w:t>orașe</w:t>
            </w:r>
            <w:proofErr w:type="spellEnd"/>
            <w:r w:rsidRPr="00074769">
              <w:rPr>
                <w:sz w:val="20"/>
                <w:szCs w:val="20"/>
                <w:shd w:val="clear" w:color="auto" w:fill="FFFFFF"/>
              </w:rPr>
              <w:t xml:space="preserve"> și de </w:t>
            </w:r>
            <w:proofErr w:type="spellStart"/>
            <w:r w:rsidRPr="00074769">
              <w:rPr>
                <w:sz w:val="20"/>
                <w:szCs w:val="20"/>
                <w:shd w:val="clear" w:color="auto" w:fill="FFFFFF"/>
              </w:rPr>
              <w:t>comunități</w:t>
            </w:r>
            <w:proofErr w:type="spellEnd"/>
            <w:r w:rsidRPr="00074769">
              <w:rPr>
                <w:sz w:val="20"/>
                <w:szCs w:val="20"/>
                <w:shd w:val="clear" w:color="auto" w:fill="FFFFFF"/>
              </w:rPr>
              <w:t xml:space="preserve"> de </w:t>
            </w:r>
            <w:proofErr w:type="spellStart"/>
            <w:r w:rsidRPr="00074769">
              <w:rPr>
                <w:sz w:val="20"/>
                <w:szCs w:val="20"/>
                <w:shd w:val="clear" w:color="auto" w:fill="FFFFFF"/>
              </w:rPr>
              <w:t>energie</w:t>
            </w:r>
            <w:proofErr w:type="spellEnd"/>
            <w:r w:rsidRPr="00074769">
              <w:rPr>
                <w:sz w:val="20"/>
                <w:szCs w:val="20"/>
                <w:shd w:val="clear" w:color="auto" w:fill="FFFFFF"/>
              </w:rPr>
              <w:t xml:space="preserve"> din surse </w:t>
            </w:r>
            <w:proofErr w:type="spellStart"/>
            <w:r w:rsidRPr="00074769">
              <w:rPr>
                <w:sz w:val="20"/>
                <w:szCs w:val="20"/>
                <w:shd w:val="clear" w:color="auto" w:fill="FFFFFF"/>
              </w:rPr>
              <w:t>regenerabile</w:t>
            </w:r>
            <w:proofErr w:type="spellEnd"/>
            <w:r w:rsidRPr="00074769">
              <w:rPr>
                <w:sz w:val="20"/>
                <w:szCs w:val="20"/>
                <w:shd w:val="clear" w:color="auto" w:fill="FFFFFF"/>
              </w:rPr>
              <w:t>.</w:t>
            </w:r>
          </w:p>
          <w:p w14:paraId="47DF75D5" w14:textId="7C129AA6" w:rsidR="008F5636" w:rsidRPr="00074769" w:rsidRDefault="008F5636" w:rsidP="008F5636">
            <w:pPr>
              <w:pStyle w:val="ti-grseq-1"/>
              <w:shd w:val="clear" w:color="auto" w:fill="FFFFFF"/>
              <w:spacing w:before="0" w:beforeAutospacing="0" w:after="0" w:afterAutospacing="0"/>
              <w:jc w:val="both"/>
              <w:rPr>
                <w:b/>
                <w:bCs/>
                <w:sz w:val="20"/>
                <w:szCs w:val="20"/>
                <w:shd w:val="clear" w:color="auto" w:fill="FFFFFF"/>
                <w:lang w:val="fr-FR"/>
              </w:rPr>
            </w:pPr>
            <w:r w:rsidRPr="00074769">
              <w:rPr>
                <w:b/>
                <w:bCs/>
                <w:sz w:val="20"/>
                <w:szCs w:val="20"/>
                <w:shd w:val="clear" w:color="auto" w:fill="FFFFFF"/>
                <w:lang w:val="fr-FR"/>
              </w:rPr>
              <w:t xml:space="preserve">3.Indicatori </w:t>
            </w:r>
            <w:proofErr w:type="spellStart"/>
            <w:r w:rsidRPr="00074769">
              <w:rPr>
                <w:b/>
                <w:bCs/>
                <w:sz w:val="20"/>
                <w:szCs w:val="20"/>
                <w:shd w:val="clear" w:color="auto" w:fill="FFFFFF"/>
                <w:lang w:val="fr-FR"/>
              </w:rPr>
              <w:t>privind</w:t>
            </w:r>
            <w:proofErr w:type="spellEnd"/>
            <w:r w:rsidRPr="00074769">
              <w:rPr>
                <w:b/>
                <w:bCs/>
                <w:sz w:val="20"/>
                <w:szCs w:val="20"/>
                <w:shd w:val="clear" w:color="auto" w:fill="FFFFFF"/>
                <w:lang w:val="fr-FR"/>
              </w:rPr>
              <w:t xml:space="preserve"> </w:t>
            </w:r>
            <w:proofErr w:type="spellStart"/>
            <w:r w:rsidRPr="00074769">
              <w:rPr>
                <w:b/>
                <w:bCs/>
                <w:sz w:val="20"/>
                <w:szCs w:val="20"/>
                <w:shd w:val="clear" w:color="auto" w:fill="FFFFFF"/>
                <w:lang w:val="fr-FR"/>
              </w:rPr>
              <w:t>emisiile</w:t>
            </w:r>
            <w:proofErr w:type="spellEnd"/>
            <w:r w:rsidRPr="00074769">
              <w:rPr>
                <w:b/>
                <w:bCs/>
                <w:sz w:val="20"/>
                <w:szCs w:val="20"/>
                <w:shd w:val="clear" w:color="auto" w:fill="FFFFFF"/>
                <w:lang w:val="fr-FR"/>
              </w:rPr>
              <w:t xml:space="preserve"> și </w:t>
            </w:r>
            <w:proofErr w:type="spellStart"/>
            <w:r w:rsidRPr="00074769">
              <w:rPr>
                <w:b/>
                <w:bCs/>
                <w:sz w:val="20"/>
                <w:szCs w:val="20"/>
                <w:shd w:val="clear" w:color="auto" w:fill="FFFFFF"/>
                <w:lang w:val="fr-FR"/>
              </w:rPr>
              <w:t>absorbțiile</w:t>
            </w:r>
            <w:proofErr w:type="spellEnd"/>
            <w:r w:rsidRPr="00074769">
              <w:rPr>
                <w:b/>
                <w:bCs/>
                <w:sz w:val="20"/>
                <w:szCs w:val="20"/>
                <w:shd w:val="clear" w:color="auto" w:fill="FFFFFF"/>
                <w:lang w:val="fr-FR"/>
              </w:rPr>
              <w:t xml:space="preserve"> de GES</w:t>
            </w:r>
          </w:p>
          <w:p w14:paraId="70C3C4F1" w14:textId="2D89F9B8" w:rsidR="008F5636" w:rsidRPr="00074769" w:rsidRDefault="008F5636" w:rsidP="000C5A3B">
            <w:pPr>
              <w:pStyle w:val="ti-grseq-1"/>
              <w:numPr>
                <w:ilvl w:val="0"/>
                <w:numId w:val="49"/>
              </w:numPr>
              <w:shd w:val="clear" w:color="auto" w:fill="FFFFFF"/>
              <w:spacing w:before="0" w:beforeAutospacing="0" w:after="0" w:afterAutospacing="0"/>
              <w:ind w:left="414" w:hanging="357"/>
              <w:jc w:val="both"/>
              <w:rPr>
                <w:sz w:val="20"/>
                <w:szCs w:val="20"/>
                <w:shd w:val="clear" w:color="auto" w:fill="FFFFFF"/>
                <w:lang w:val="fr-FR"/>
              </w:rPr>
            </w:pPr>
            <w:proofErr w:type="spellStart"/>
            <w:r w:rsidRPr="00074769">
              <w:rPr>
                <w:sz w:val="20"/>
                <w:szCs w:val="20"/>
                <w:shd w:val="clear" w:color="auto" w:fill="FFFFFF"/>
                <w:lang w:val="fr-FR"/>
              </w:rPr>
              <w:lastRenderedPageBreak/>
              <w:t>Emisiile</w:t>
            </w:r>
            <w:proofErr w:type="spellEnd"/>
            <w:r w:rsidRPr="00074769">
              <w:rPr>
                <w:sz w:val="20"/>
                <w:szCs w:val="20"/>
                <w:shd w:val="clear" w:color="auto" w:fill="FFFFFF"/>
                <w:lang w:val="fr-FR"/>
              </w:rPr>
              <w:t xml:space="preserve"> de GES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politică</w:t>
            </w:r>
            <w:proofErr w:type="spellEnd"/>
            <w:r w:rsidRPr="00074769">
              <w:rPr>
                <w:sz w:val="20"/>
                <w:szCs w:val="20"/>
                <w:shd w:val="clear" w:color="auto" w:fill="FFFFFF"/>
                <w:lang w:val="fr-FR"/>
              </w:rPr>
              <w:t xml:space="preserve"> (EU ETS, </w:t>
            </w:r>
            <w:proofErr w:type="spellStart"/>
            <w:r w:rsidRPr="00074769">
              <w:rPr>
                <w:sz w:val="20"/>
                <w:szCs w:val="20"/>
                <w:shd w:val="clear" w:color="auto" w:fill="FFFFFF"/>
                <w:lang w:val="fr-FR"/>
              </w:rPr>
              <w:t>partajarea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eforturilor</w:t>
            </w:r>
            <w:proofErr w:type="spellEnd"/>
            <w:r w:rsidRPr="00074769">
              <w:rPr>
                <w:sz w:val="20"/>
                <w:szCs w:val="20"/>
                <w:shd w:val="clear" w:color="auto" w:fill="FFFFFF"/>
                <w:lang w:val="fr-FR"/>
              </w:rPr>
              <w:t xml:space="preserve"> și LULUCF)</w:t>
            </w:r>
          </w:p>
          <w:p w14:paraId="213DC0B7" w14:textId="413EFAB3" w:rsidR="008F5636" w:rsidRPr="00074769" w:rsidRDefault="008F5636" w:rsidP="000C5A3B">
            <w:pPr>
              <w:pStyle w:val="ti-grseq-1"/>
              <w:numPr>
                <w:ilvl w:val="0"/>
                <w:numId w:val="49"/>
              </w:numPr>
              <w:shd w:val="clear" w:color="auto" w:fill="FFFFFF"/>
              <w:spacing w:before="0" w:beforeAutospacing="0" w:after="0" w:afterAutospacing="0"/>
              <w:ind w:left="414" w:hanging="357"/>
              <w:jc w:val="both"/>
              <w:rPr>
                <w:sz w:val="20"/>
                <w:szCs w:val="20"/>
                <w:shd w:val="clear" w:color="auto" w:fill="FFFFFF"/>
                <w:lang w:val="fr-FR"/>
              </w:rPr>
            </w:pPr>
            <w:proofErr w:type="spellStart"/>
            <w:r w:rsidRPr="00074769">
              <w:rPr>
                <w:sz w:val="20"/>
                <w:szCs w:val="20"/>
                <w:shd w:val="clear" w:color="auto" w:fill="FFFFFF"/>
                <w:lang w:val="fr-FR"/>
              </w:rPr>
              <w:t>Emisiile</w:t>
            </w:r>
            <w:proofErr w:type="spellEnd"/>
            <w:r w:rsidRPr="00074769">
              <w:rPr>
                <w:sz w:val="20"/>
                <w:szCs w:val="20"/>
                <w:shd w:val="clear" w:color="auto" w:fill="FFFFFF"/>
                <w:lang w:val="fr-FR"/>
              </w:rPr>
              <w:t xml:space="preserve"> de GES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sector</w:t>
            </w:r>
            <w:proofErr w:type="spellEnd"/>
            <w:r w:rsidRPr="00074769">
              <w:rPr>
                <w:sz w:val="20"/>
                <w:szCs w:val="20"/>
                <w:shd w:val="clear" w:color="auto" w:fill="FFFFFF"/>
                <w:lang w:val="fr-FR"/>
              </w:rPr>
              <w:t xml:space="preserve"> IPCC și </w:t>
            </w:r>
            <w:proofErr w:type="spellStart"/>
            <w:r w:rsidRPr="00074769">
              <w:rPr>
                <w:sz w:val="20"/>
                <w:szCs w:val="20"/>
                <w:shd w:val="clear" w:color="auto" w:fill="FFFFFF"/>
                <w:lang w:val="fr-FR"/>
              </w:rPr>
              <w:t>pe</w:t>
            </w:r>
            <w:proofErr w:type="spellEnd"/>
            <w:r w:rsidRPr="00074769">
              <w:rPr>
                <w:sz w:val="20"/>
                <w:szCs w:val="20"/>
                <w:shd w:val="clear" w:color="auto" w:fill="FFFFFF"/>
                <w:lang w:val="fr-FR"/>
              </w:rPr>
              <w:t xml:space="preserve"> gaz (</w:t>
            </w:r>
            <w:proofErr w:type="spellStart"/>
            <w:r w:rsidRPr="00074769">
              <w:rPr>
                <w:sz w:val="20"/>
                <w:szCs w:val="20"/>
                <w:shd w:val="clear" w:color="auto" w:fill="FFFFFF"/>
                <w:lang w:val="fr-FR"/>
              </w:rPr>
              <w:t>acolo</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unde</w:t>
            </w:r>
            <w:proofErr w:type="spellEnd"/>
            <w:r w:rsidRPr="00074769">
              <w:rPr>
                <w:sz w:val="20"/>
                <w:szCs w:val="20"/>
                <w:shd w:val="clear" w:color="auto" w:fill="FFFFFF"/>
                <w:lang w:val="fr-FR"/>
              </w:rPr>
              <w:t xml:space="preserve"> este </w:t>
            </w:r>
            <w:proofErr w:type="spellStart"/>
            <w:r w:rsidRPr="00074769">
              <w:rPr>
                <w:sz w:val="20"/>
                <w:szCs w:val="20"/>
                <w:shd w:val="clear" w:color="auto" w:fill="FFFFFF"/>
                <w:lang w:val="fr-FR"/>
              </w:rPr>
              <w:t>cazul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defalcate</w:t>
            </w:r>
            <w:proofErr w:type="spellEnd"/>
            <w:r w:rsidRPr="00074769">
              <w:rPr>
                <w:sz w:val="20"/>
                <w:szCs w:val="20"/>
                <w:shd w:val="clear" w:color="auto" w:fill="FFFFFF"/>
                <w:lang w:val="fr-FR"/>
              </w:rPr>
              <w:t xml:space="preserve"> în EU ETS și </w:t>
            </w:r>
            <w:proofErr w:type="spellStart"/>
            <w:r w:rsidRPr="00074769">
              <w:rPr>
                <w:sz w:val="20"/>
                <w:szCs w:val="20"/>
                <w:shd w:val="clear" w:color="auto" w:fill="FFFFFF"/>
                <w:lang w:val="fr-FR"/>
              </w:rPr>
              <w:t>sectoarele</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vizate</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partajarea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eforturilor</w:t>
            </w:r>
            <w:proofErr w:type="spellEnd"/>
            <w:r w:rsidRPr="00074769">
              <w:rPr>
                <w:sz w:val="20"/>
                <w:szCs w:val="20"/>
                <w:shd w:val="clear" w:color="auto" w:fill="FFFFFF"/>
                <w:lang w:val="fr-FR"/>
              </w:rPr>
              <w:t>) [tCO</w:t>
            </w:r>
            <w:r w:rsidRPr="00074769">
              <w:rPr>
                <w:rStyle w:val="sub"/>
                <w:sz w:val="20"/>
                <w:szCs w:val="20"/>
                <w:shd w:val="clear" w:color="auto" w:fill="FFFFFF"/>
                <w:vertAlign w:val="subscript"/>
                <w:lang w:val="fr-FR"/>
              </w:rPr>
              <w:t>2</w:t>
            </w:r>
            <w:r w:rsidRPr="00074769">
              <w:rPr>
                <w:sz w:val="20"/>
                <w:szCs w:val="20"/>
                <w:shd w:val="clear" w:color="auto" w:fill="FFFFFF"/>
                <w:lang w:val="fr-FR"/>
              </w:rPr>
              <w:t>eq]</w:t>
            </w:r>
          </w:p>
          <w:p w14:paraId="282477D3" w14:textId="1E433E79" w:rsidR="008F5636" w:rsidRPr="00074769" w:rsidRDefault="008F5636" w:rsidP="000C5A3B">
            <w:pPr>
              <w:pStyle w:val="ti-grseq-1"/>
              <w:numPr>
                <w:ilvl w:val="0"/>
                <w:numId w:val="49"/>
              </w:numPr>
              <w:shd w:val="clear" w:color="auto" w:fill="FFFFFF"/>
              <w:spacing w:before="0" w:beforeAutospacing="0" w:after="0" w:afterAutospacing="0"/>
              <w:ind w:left="414" w:hanging="357"/>
              <w:jc w:val="both"/>
              <w:rPr>
                <w:sz w:val="20"/>
                <w:szCs w:val="20"/>
                <w:shd w:val="clear" w:color="auto" w:fill="FFFFFF"/>
                <w:lang w:val="fr-FR"/>
              </w:rPr>
            </w:pPr>
            <w:proofErr w:type="spellStart"/>
            <w:r w:rsidRPr="00074769">
              <w:rPr>
                <w:sz w:val="20"/>
                <w:szCs w:val="20"/>
                <w:shd w:val="clear" w:color="auto" w:fill="FFFFFF"/>
                <w:lang w:val="fr-FR"/>
              </w:rPr>
              <w:t>Intensitatea</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emisiilor</w:t>
            </w:r>
            <w:proofErr w:type="spellEnd"/>
            <w:r w:rsidRPr="00074769">
              <w:rPr>
                <w:sz w:val="20"/>
                <w:szCs w:val="20"/>
                <w:shd w:val="clear" w:color="auto" w:fill="FFFFFF"/>
                <w:lang w:val="fr-FR"/>
              </w:rPr>
              <w:t xml:space="preserve"> de </w:t>
            </w:r>
            <w:proofErr w:type="spellStart"/>
            <w:r w:rsidRPr="00074769">
              <w:rPr>
                <w:sz w:val="20"/>
                <w:szCs w:val="20"/>
                <w:shd w:val="clear" w:color="auto" w:fill="FFFFFF"/>
                <w:lang w:val="fr-FR"/>
              </w:rPr>
              <w:t>dioxid</w:t>
            </w:r>
            <w:proofErr w:type="spellEnd"/>
            <w:r w:rsidRPr="00074769">
              <w:rPr>
                <w:sz w:val="20"/>
                <w:szCs w:val="20"/>
                <w:shd w:val="clear" w:color="auto" w:fill="FFFFFF"/>
                <w:lang w:val="fr-FR"/>
              </w:rPr>
              <w:t xml:space="preserve"> de carbon la </w:t>
            </w:r>
            <w:proofErr w:type="spellStart"/>
            <w:r w:rsidRPr="00074769">
              <w:rPr>
                <w:sz w:val="20"/>
                <w:szCs w:val="20"/>
                <w:shd w:val="clear" w:color="auto" w:fill="FFFFFF"/>
                <w:lang w:val="fr-FR"/>
              </w:rPr>
              <w:t>nivelul</w:t>
            </w:r>
            <w:proofErr w:type="spellEnd"/>
            <w:r w:rsidRPr="00074769">
              <w:rPr>
                <w:sz w:val="20"/>
                <w:szCs w:val="20"/>
                <w:shd w:val="clear" w:color="auto" w:fill="FFFFFF"/>
                <w:lang w:val="fr-FR"/>
              </w:rPr>
              <w:t xml:space="preserve"> </w:t>
            </w:r>
            <w:proofErr w:type="spellStart"/>
            <w:r w:rsidRPr="00074769">
              <w:rPr>
                <w:sz w:val="20"/>
                <w:szCs w:val="20"/>
                <w:shd w:val="clear" w:color="auto" w:fill="FFFFFF"/>
                <w:lang w:val="fr-FR"/>
              </w:rPr>
              <w:t>economiei</w:t>
            </w:r>
            <w:proofErr w:type="spellEnd"/>
            <w:r w:rsidRPr="00074769">
              <w:rPr>
                <w:sz w:val="20"/>
                <w:szCs w:val="20"/>
                <w:shd w:val="clear" w:color="auto" w:fill="FFFFFF"/>
                <w:lang w:val="fr-FR"/>
              </w:rPr>
              <w:t xml:space="preserve"> în </w:t>
            </w:r>
            <w:proofErr w:type="spellStart"/>
            <w:r w:rsidRPr="00074769">
              <w:rPr>
                <w:sz w:val="20"/>
                <w:szCs w:val="20"/>
                <w:shd w:val="clear" w:color="auto" w:fill="FFFFFF"/>
                <w:lang w:val="fr-FR"/>
              </w:rPr>
              <w:t>ansamblu</w:t>
            </w:r>
            <w:proofErr w:type="spellEnd"/>
            <w:r w:rsidRPr="00074769">
              <w:rPr>
                <w:sz w:val="20"/>
                <w:szCs w:val="20"/>
                <w:shd w:val="clear" w:color="auto" w:fill="FFFFFF"/>
                <w:lang w:val="fr-FR"/>
              </w:rPr>
              <w:t xml:space="preserve"> [tCO</w:t>
            </w:r>
            <w:r w:rsidRPr="00074769">
              <w:rPr>
                <w:rStyle w:val="sub"/>
                <w:sz w:val="20"/>
                <w:szCs w:val="20"/>
                <w:shd w:val="clear" w:color="auto" w:fill="FFFFFF"/>
                <w:vertAlign w:val="subscript"/>
                <w:lang w:val="fr-FR"/>
              </w:rPr>
              <w:t>2</w:t>
            </w:r>
            <w:r w:rsidRPr="00074769">
              <w:rPr>
                <w:sz w:val="20"/>
                <w:szCs w:val="20"/>
                <w:shd w:val="clear" w:color="auto" w:fill="FFFFFF"/>
                <w:lang w:val="fr-FR"/>
              </w:rPr>
              <w:t>eq/PIB]</w:t>
            </w:r>
          </w:p>
          <w:p w14:paraId="14C07224" w14:textId="241B8DB1" w:rsidR="008F5636" w:rsidRPr="00074769" w:rsidRDefault="008F5636" w:rsidP="000C5A3B">
            <w:pPr>
              <w:pStyle w:val="ti-grseq-1"/>
              <w:numPr>
                <w:ilvl w:val="0"/>
                <w:numId w:val="49"/>
              </w:numPr>
              <w:shd w:val="clear" w:color="auto" w:fill="FFFFFF"/>
              <w:spacing w:before="0" w:beforeAutospacing="0" w:after="0" w:afterAutospacing="0"/>
              <w:ind w:left="414" w:hanging="357"/>
              <w:jc w:val="both"/>
              <w:rPr>
                <w:rStyle w:val="sub"/>
                <w:b/>
                <w:bCs/>
                <w:sz w:val="20"/>
                <w:szCs w:val="20"/>
                <w:shd w:val="clear" w:color="auto" w:fill="FFFFFF"/>
                <w:lang w:val="fr-FR"/>
              </w:rPr>
            </w:pPr>
            <w:proofErr w:type="spellStart"/>
            <w:r w:rsidRPr="00074769">
              <w:rPr>
                <w:sz w:val="20"/>
                <w:szCs w:val="20"/>
                <w:shd w:val="clear" w:color="auto" w:fill="FFFFFF"/>
              </w:rPr>
              <w:t>Indicatori</w:t>
            </w:r>
            <w:proofErr w:type="spellEnd"/>
            <w:r w:rsidRPr="00074769">
              <w:rPr>
                <w:sz w:val="20"/>
                <w:szCs w:val="20"/>
                <w:shd w:val="clear" w:color="auto" w:fill="FFFFFF"/>
              </w:rPr>
              <w:t xml:space="preserve"> </w:t>
            </w:r>
            <w:proofErr w:type="spellStart"/>
            <w:r w:rsidRPr="00074769">
              <w:rPr>
                <w:sz w:val="20"/>
                <w:szCs w:val="20"/>
                <w:shd w:val="clear" w:color="auto" w:fill="FFFFFF"/>
              </w:rPr>
              <w:t>privind</w:t>
            </w:r>
            <w:proofErr w:type="spellEnd"/>
            <w:r w:rsidRPr="00074769">
              <w:rPr>
                <w:sz w:val="20"/>
                <w:szCs w:val="20"/>
                <w:shd w:val="clear" w:color="auto" w:fill="FFFFFF"/>
              </w:rPr>
              <w:t xml:space="preserve"> </w:t>
            </w:r>
            <w:proofErr w:type="spellStart"/>
            <w:r w:rsidRPr="00074769">
              <w:rPr>
                <w:sz w:val="20"/>
                <w:szCs w:val="20"/>
                <w:shd w:val="clear" w:color="auto" w:fill="FFFFFF"/>
              </w:rPr>
              <w:t>emisiile</w:t>
            </w:r>
            <w:proofErr w:type="spellEnd"/>
            <w:r w:rsidRPr="00074769">
              <w:rPr>
                <w:sz w:val="20"/>
                <w:szCs w:val="20"/>
                <w:shd w:val="clear" w:color="auto" w:fill="FFFFFF"/>
              </w:rPr>
              <w:t xml:space="preserve"> de CO</w:t>
            </w:r>
            <w:r w:rsidRPr="00074769">
              <w:rPr>
                <w:rStyle w:val="sub"/>
                <w:sz w:val="20"/>
                <w:szCs w:val="20"/>
                <w:shd w:val="clear" w:color="auto" w:fill="FFFFFF"/>
                <w:vertAlign w:val="subscript"/>
              </w:rPr>
              <w:t>2</w:t>
            </w:r>
          </w:p>
          <w:p w14:paraId="501775C6" w14:textId="7A4F5D3A" w:rsidR="008F5636" w:rsidRPr="00074769" w:rsidRDefault="008F5636" w:rsidP="000C5A3B">
            <w:pPr>
              <w:pStyle w:val="ti-grseq-1"/>
              <w:numPr>
                <w:ilvl w:val="0"/>
                <w:numId w:val="50"/>
              </w:numPr>
              <w:shd w:val="clear" w:color="auto" w:fill="FFFFFF"/>
              <w:spacing w:before="0" w:beforeAutospacing="0" w:after="0" w:afterAutospacing="0"/>
              <w:ind w:left="470" w:hanging="357"/>
              <w:jc w:val="both"/>
              <w:rPr>
                <w:color w:val="333333"/>
                <w:sz w:val="20"/>
                <w:szCs w:val="20"/>
                <w:shd w:val="clear" w:color="auto" w:fill="FFFFFF"/>
                <w:lang w:val="fr-FR"/>
              </w:rPr>
            </w:pPr>
            <w:proofErr w:type="spellStart"/>
            <w:r w:rsidRPr="00074769">
              <w:rPr>
                <w:color w:val="333333"/>
                <w:sz w:val="20"/>
                <w:szCs w:val="20"/>
                <w:shd w:val="clear" w:color="auto" w:fill="FFFFFF"/>
                <w:lang w:val="fr-FR"/>
              </w:rPr>
              <w:t>Intensitatea</w:t>
            </w:r>
            <w:proofErr w:type="spellEnd"/>
            <w:r w:rsidRPr="00074769">
              <w:rPr>
                <w:color w:val="333333"/>
                <w:sz w:val="20"/>
                <w:szCs w:val="20"/>
                <w:shd w:val="clear" w:color="auto" w:fill="FFFFFF"/>
                <w:lang w:val="fr-FR"/>
              </w:rPr>
              <w:t xml:space="preserve"> GES la </w:t>
            </w:r>
            <w:proofErr w:type="spellStart"/>
            <w:r w:rsidRPr="00074769">
              <w:rPr>
                <w:color w:val="333333"/>
                <w:sz w:val="20"/>
                <w:szCs w:val="20"/>
                <w:shd w:val="clear" w:color="auto" w:fill="FFFFFF"/>
                <w:lang w:val="fr-FR"/>
              </w:rPr>
              <w:t>nivelul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producției</w:t>
            </w:r>
            <w:proofErr w:type="spellEnd"/>
            <w:r w:rsidRPr="00074769">
              <w:rPr>
                <w:color w:val="333333"/>
                <w:sz w:val="20"/>
                <w:szCs w:val="20"/>
                <w:shd w:val="clear" w:color="auto" w:fill="FFFFFF"/>
                <w:lang w:val="fr-FR"/>
              </w:rPr>
              <w:t xml:space="preserve"> interne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electrică</w:t>
            </w:r>
            <w:proofErr w:type="spellEnd"/>
            <w:r w:rsidRPr="00074769">
              <w:rPr>
                <w:color w:val="333333"/>
                <w:sz w:val="20"/>
                <w:szCs w:val="20"/>
                <w:shd w:val="clear" w:color="auto" w:fill="FFFFFF"/>
                <w:lang w:val="fr-FR"/>
              </w:rPr>
              <w:t xml:space="preserve"> și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termică</w:t>
            </w:r>
            <w:proofErr w:type="spellEnd"/>
            <w:r w:rsidRPr="00074769">
              <w:rPr>
                <w:color w:val="333333"/>
                <w:sz w:val="20"/>
                <w:szCs w:val="20"/>
                <w:shd w:val="clear" w:color="auto" w:fill="FFFFFF"/>
                <w:lang w:val="fr-FR"/>
              </w:rPr>
              <w:t xml:space="preserve"> [tCO</w:t>
            </w:r>
            <w:r w:rsidRPr="00074769">
              <w:rPr>
                <w:rStyle w:val="sub"/>
                <w:color w:val="333333"/>
                <w:sz w:val="20"/>
                <w:szCs w:val="20"/>
                <w:shd w:val="clear" w:color="auto" w:fill="FFFFFF"/>
                <w:vertAlign w:val="subscript"/>
                <w:lang w:val="fr-FR"/>
              </w:rPr>
              <w:t>2</w:t>
            </w:r>
            <w:r w:rsidRPr="00074769">
              <w:rPr>
                <w:color w:val="333333"/>
                <w:sz w:val="20"/>
                <w:szCs w:val="20"/>
                <w:shd w:val="clear" w:color="auto" w:fill="FFFFFF"/>
                <w:lang w:val="fr-FR"/>
              </w:rPr>
              <w:t>eq/MWh]</w:t>
            </w:r>
          </w:p>
          <w:p w14:paraId="51B8746D" w14:textId="711BDF4C" w:rsidR="008F5636" w:rsidRPr="00074769" w:rsidRDefault="008F5636" w:rsidP="000C5A3B">
            <w:pPr>
              <w:pStyle w:val="ti-grseq-1"/>
              <w:numPr>
                <w:ilvl w:val="0"/>
                <w:numId w:val="50"/>
              </w:numPr>
              <w:shd w:val="clear" w:color="auto" w:fill="FFFFFF"/>
              <w:spacing w:before="0" w:beforeAutospacing="0" w:after="0" w:afterAutospacing="0"/>
              <w:ind w:left="470" w:hanging="357"/>
              <w:jc w:val="both"/>
              <w:rPr>
                <w:rStyle w:val="sub"/>
                <w:b/>
                <w:bCs/>
                <w:sz w:val="20"/>
                <w:szCs w:val="20"/>
                <w:shd w:val="clear" w:color="auto" w:fill="FFFFFF"/>
                <w:lang w:val="fr-FR"/>
              </w:rPr>
            </w:pPr>
            <w:proofErr w:type="spellStart"/>
            <w:r w:rsidRPr="00074769">
              <w:rPr>
                <w:color w:val="333333"/>
                <w:sz w:val="20"/>
                <w:szCs w:val="20"/>
                <w:shd w:val="clear" w:color="auto" w:fill="FFFFFF"/>
                <w:lang w:val="fr-FR"/>
              </w:rPr>
              <w:t>Intensitatea</w:t>
            </w:r>
            <w:proofErr w:type="spellEnd"/>
            <w:r w:rsidRPr="00074769">
              <w:rPr>
                <w:color w:val="333333"/>
                <w:sz w:val="20"/>
                <w:szCs w:val="20"/>
                <w:shd w:val="clear" w:color="auto" w:fill="FFFFFF"/>
                <w:lang w:val="fr-FR"/>
              </w:rPr>
              <w:t xml:space="preserve"> GES la </w:t>
            </w:r>
            <w:proofErr w:type="spellStart"/>
            <w:r w:rsidRPr="00074769">
              <w:rPr>
                <w:color w:val="333333"/>
                <w:sz w:val="20"/>
                <w:szCs w:val="20"/>
                <w:shd w:val="clear" w:color="auto" w:fill="FFFFFF"/>
                <w:lang w:val="fr-FR"/>
              </w:rPr>
              <w:t>nivelul</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consumului</w:t>
            </w:r>
            <w:proofErr w:type="spellEnd"/>
            <w:r w:rsidRPr="00074769">
              <w:rPr>
                <w:color w:val="333333"/>
                <w:sz w:val="20"/>
                <w:szCs w:val="20"/>
                <w:shd w:val="clear" w:color="auto" w:fill="FFFFFF"/>
                <w:lang w:val="fr-FR"/>
              </w:rPr>
              <w:t xml:space="preserve"> de </w:t>
            </w:r>
            <w:proofErr w:type="spellStart"/>
            <w:r w:rsidRPr="00074769">
              <w:rPr>
                <w:color w:val="333333"/>
                <w:sz w:val="20"/>
                <w:szCs w:val="20"/>
                <w:shd w:val="clear" w:color="auto" w:fill="FFFFFF"/>
                <w:lang w:val="fr-FR"/>
              </w:rPr>
              <w:t>energie</w:t>
            </w:r>
            <w:proofErr w:type="spellEnd"/>
            <w:r w:rsidRPr="00074769">
              <w:rPr>
                <w:color w:val="333333"/>
                <w:sz w:val="20"/>
                <w:szCs w:val="20"/>
                <w:shd w:val="clear" w:color="auto" w:fill="FFFFFF"/>
                <w:lang w:val="fr-FR"/>
              </w:rPr>
              <w:t xml:space="preserve"> </w:t>
            </w:r>
            <w:proofErr w:type="spellStart"/>
            <w:r w:rsidRPr="00074769">
              <w:rPr>
                <w:color w:val="333333"/>
                <w:sz w:val="20"/>
                <w:szCs w:val="20"/>
                <w:shd w:val="clear" w:color="auto" w:fill="FFFFFF"/>
                <w:lang w:val="fr-FR"/>
              </w:rPr>
              <w:t>finală</w:t>
            </w:r>
            <w:proofErr w:type="spellEnd"/>
            <w:r w:rsidRPr="00074769">
              <w:rPr>
                <w:color w:val="333333"/>
                <w:sz w:val="20"/>
                <w:szCs w:val="20"/>
                <w:shd w:val="clear" w:color="auto" w:fill="FFFFFF"/>
                <w:lang w:val="fr-FR"/>
              </w:rPr>
              <w:t xml:space="preserve"> per </w:t>
            </w:r>
            <w:proofErr w:type="spellStart"/>
            <w:r w:rsidRPr="00074769">
              <w:rPr>
                <w:color w:val="333333"/>
                <w:sz w:val="20"/>
                <w:szCs w:val="20"/>
                <w:shd w:val="clear" w:color="auto" w:fill="FFFFFF"/>
                <w:lang w:val="fr-FR"/>
              </w:rPr>
              <w:t>sector</w:t>
            </w:r>
            <w:proofErr w:type="spellEnd"/>
            <w:r w:rsidRPr="00074769">
              <w:rPr>
                <w:color w:val="333333"/>
                <w:sz w:val="20"/>
                <w:szCs w:val="20"/>
                <w:shd w:val="clear" w:color="auto" w:fill="FFFFFF"/>
                <w:lang w:val="fr-FR"/>
              </w:rPr>
              <w:t xml:space="preserve"> [tCO</w:t>
            </w:r>
            <w:r w:rsidRPr="00074769">
              <w:rPr>
                <w:rStyle w:val="sub"/>
                <w:color w:val="333333"/>
                <w:sz w:val="20"/>
                <w:szCs w:val="20"/>
                <w:shd w:val="clear" w:color="auto" w:fill="FFFFFF"/>
                <w:vertAlign w:val="subscript"/>
                <w:lang w:val="fr-FR"/>
              </w:rPr>
              <w:t>2</w:t>
            </w:r>
            <w:r w:rsidRPr="00074769">
              <w:rPr>
                <w:color w:val="333333"/>
                <w:sz w:val="20"/>
                <w:szCs w:val="20"/>
                <w:shd w:val="clear" w:color="auto" w:fill="FFFFFF"/>
                <w:lang w:val="fr-FR"/>
              </w:rPr>
              <w:t>eq/tep]</w:t>
            </w:r>
          </w:p>
          <w:p w14:paraId="6BBD9D47" w14:textId="547BC5DF" w:rsidR="008F5636" w:rsidRPr="00074769" w:rsidRDefault="008F5636" w:rsidP="000C5A3B">
            <w:pPr>
              <w:pStyle w:val="ti-grseq-1"/>
              <w:numPr>
                <w:ilvl w:val="0"/>
                <w:numId w:val="49"/>
              </w:numPr>
              <w:shd w:val="clear" w:color="auto" w:fill="FFFFFF"/>
              <w:spacing w:before="0" w:beforeAutospacing="0" w:after="0" w:afterAutospacing="0"/>
              <w:ind w:left="414" w:hanging="357"/>
              <w:jc w:val="both"/>
              <w:rPr>
                <w:rStyle w:val="sub"/>
                <w:b/>
                <w:bCs/>
                <w:sz w:val="20"/>
                <w:szCs w:val="20"/>
                <w:shd w:val="clear" w:color="auto" w:fill="FFFFFF"/>
                <w:lang w:val="fr-FR"/>
              </w:rPr>
            </w:pPr>
            <w:proofErr w:type="spellStart"/>
            <w:r w:rsidRPr="00074769">
              <w:rPr>
                <w:color w:val="333333"/>
                <w:sz w:val="20"/>
                <w:szCs w:val="20"/>
                <w:shd w:val="clear" w:color="auto" w:fill="FFFFFF"/>
              </w:rPr>
              <w:t>Parametri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privind</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alte</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emisii</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decât</w:t>
            </w:r>
            <w:proofErr w:type="spellEnd"/>
            <w:r w:rsidRPr="00074769">
              <w:rPr>
                <w:color w:val="333333"/>
                <w:sz w:val="20"/>
                <w:szCs w:val="20"/>
                <w:shd w:val="clear" w:color="auto" w:fill="FFFFFF"/>
              </w:rPr>
              <w:t xml:space="preserve"> </w:t>
            </w:r>
            <w:proofErr w:type="spellStart"/>
            <w:r w:rsidRPr="00074769">
              <w:rPr>
                <w:color w:val="333333"/>
                <w:sz w:val="20"/>
                <w:szCs w:val="20"/>
                <w:shd w:val="clear" w:color="auto" w:fill="FFFFFF"/>
              </w:rPr>
              <w:t>cele</w:t>
            </w:r>
            <w:proofErr w:type="spellEnd"/>
            <w:r w:rsidRPr="00074769">
              <w:rPr>
                <w:color w:val="333333"/>
                <w:sz w:val="20"/>
                <w:szCs w:val="20"/>
                <w:shd w:val="clear" w:color="auto" w:fill="FFFFFF"/>
              </w:rPr>
              <w:t xml:space="preserve"> de CO</w:t>
            </w:r>
            <w:r w:rsidRPr="00074769">
              <w:rPr>
                <w:rStyle w:val="sub"/>
                <w:color w:val="333333"/>
                <w:sz w:val="20"/>
                <w:szCs w:val="20"/>
                <w:shd w:val="clear" w:color="auto" w:fill="FFFFFF"/>
                <w:vertAlign w:val="subscript"/>
              </w:rPr>
              <w:t>2</w:t>
            </w:r>
          </w:p>
          <w:p w14:paraId="6B55729A" w14:textId="15994143"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rPr>
            </w:pPr>
            <w:r w:rsidRPr="00074769">
              <w:rPr>
                <w:color w:val="333333"/>
                <w:sz w:val="20"/>
                <w:szCs w:val="20"/>
              </w:rPr>
              <w:t>Zootehnie: vaci de lapte [1 000 de capete], alte bovine în afara vacilor de lapte [1 000 de capete], ovine [1 000 de capete], porcine [1 000 de capete], păsări de curte [1 000 de capete]</w:t>
            </w:r>
          </w:p>
          <w:p w14:paraId="336960F6" w14:textId="2802392D"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shd w:val="clear" w:color="auto" w:fill="FFFFFF"/>
              </w:rPr>
            </w:pPr>
            <w:r w:rsidRPr="00074769">
              <w:rPr>
                <w:color w:val="333333"/>
                <w:sz w:val="20"/>
                <w:szCs w:val="20"/>
                <w:shd w:val="clear" w:color="auto" w:fill="FFFFFF"/>
              </w:rPr>
              <w:t>Aportul de azot rezultat din aplicarea de îngrășăminte sintetice [kt azot]</w:t>
            </w:r>
          </w:p>
          <w:p w14:paraId="7858411F" w14:textId="60AB92BB"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shd w:val="clear" w:color="auto" w:fill="FFFFFF"/>
              </w:rPr>
            </w:pPr>
            <w:r w:rsidRPr="00074769">
              <w:rPr>
                <w:color w:val="333333"/>
                <w:sz w:val="20"/>
                <w:szCs w:val="20"/>
                <w:shd w:val="clear" w:color="auto" w:fill="FFFFFF"/>
              </w:rPr>
              <w:t>Aportul de azot rezultat din aplicarea de dejecții animaliere [kt azot]</w:t>
            </w:r>
          </w:p>
          <w:p w14:paraId="31290007" w14:textId="5114656C"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shd w:val="clear" w:color="auto" w:fill="FFFFFF"/>
              </w:rPr>
            </w:pPr>
            <w:r w:rsidRPr="00074769">
              <w:rPr>
                <w:color w:val="333333"/>
                <w:sz w:val="20"/>
                <w:szCs w:val="20"/>
                <w:shd w:val="clear" w:color="auto" w:fill="FFFFFF"/>
              </w:rPr>
              <w:t>Azotul fixat prin culturi fixatoare de azot [kt azot]</w:t>
            </w:r>
          </w:p>
          <w:p w14:paraId="20C5F390" w14:textId="331897FA"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rPr>
            </w:pPr>
            <w:r w:rsidRPr="00074769">
              <w:rPr>
                <w:color w:val="333333"/>
                <w:sz w:val="20"/>
                <w:szCs w:val="20"/>
              </w:rPr>
              <w:t>Azotul din reziduurile de culturi agricole care rămân în sol [kt azot]</w:t>
            </w:r>
          </w:p>
          <w:p w14:paraId="518B140E" w14:textId="217C3276"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shd w:val="clear" w:color="auto" w:fill="FFFFFF"/>
              </w:rPr>
            </w:pPr>
            <w:r w:rsidRPr="00074769">
              <w:rPr>
                <w:color w:val="333333"/>
                <w:sz w:val="20"/>
                <w:szCs w:val="20"/>
                <w:shd w:val="clear" w:color="auto" w:fill="FFFFFF"/>
              </w:rPr>
              <w:t>Suprafața de soluri organice cultivate [hectare]</w:t>
            </w:r>
          </w:p>
          <w:p w14:paraId="34A89ABB" w14:textId="7E368822"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shd w:val="clear" w:color="auto" w:fill="FFFFFF"/>
              </w:rPr>
            </w:pPr>
            <w:r w:rsidRPr="00074769">
              <w:rPr>
                <w:color w:val="333333"/>
                <w:sz w:val="20"/>
                <w:szCs w:val="20"/>
                <w:shd w:val="clear" w:color="auto" w:fill="FFFFFF"/>
              </w:rPr>
              <w:t>Generarea de deșeuri municipale solide (DMS)</w:t>
            </w:r>
          </w:p>
          <w:p w14:paraId="0D118008" w14:textId="57DF7F54"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rPr>
            </w:pPr>
            <w:r w:rsidRPr="00074769">
              <w:rPr>
                <w:color w:val="333333"/>
                <w:sz w:val="20"/>
                <w:szCs w:val="20"/>
                <w:shd w:val="clear" w:color="auto" w:fill="FFFFFF"/>
              </w:rPr>
              <w:t>Deșeurile municipale solide (DMS) care ajung în depozitele de deșeuri</w:t>
            </w:r>
          </w:p>
          <w:p w14:paraId="1683D068" w14:textId="36832487" w:rsidR="008F5636" w:rsidRPr="00074769" w:rsidRDefault="008F5636" w:rsidP="000C5A3B">
            <w:pPr>
              <w:pStyle w:val="Normal4"/>
              <w:numPr>
                <w:ilvl w:val="0"/>
                <w:numId w:val="51"/>
              </w:numPr>
              <w:spacing w:before="0" w:beforeAutospacing="0" w:after="0" w:afterAutospacing="0"/>
              <w:ind w:left="470" w:hanging="357"/>
              <w:jc w:val="both"/>
              <w:rPr>
                <w:color w:val="333333"/>
                <w:sz w:val="20"/>
                <w:szCs w:val="20"/>
              </w:rPr>
            </w:pPr>
            <w:r w:rsidRPr="00074769">
              <w:rPr>
                <w:color w:val="333333"/>
                <w:sz w:val="20"/>
                <w:szCs w:val="20"/>
                <w:shd w:val="clear" w:color="auto" w:fill="FFFFFF"/>
              </w:rPr>
              <w:t>Procentul de CH</w:t>
            </w:r>
            <w:r w:rsidRPr="00074769">
              <w:rPr>
                <w:rStyle w:val="sub"/>
                <w:color w:val="333333"/>
                <w:sz w:val="20"/>
                <w:szCs w:val="20"/>
                <w:shd w:val="clear" w:color="auto" w:fill="FFFFFF"/>
                <w:vertAlign w:val="subscript"/>
              </w:rPr>
              <w:t>4</w:t>
            </w:r>
            <w:r w:rsidRPr="00074769">
              <w:rPr>
                <w:color w:val="333333"/>
                <w:sz w:val="20"/>
                <w:szCs w:val="20"/>
                <w:shd w:val="clear" w:color="auto" w:fill="FFFFFF"/>
              </w:rPr>
              <w:t xml:space="preserve"> recuperat din cantitatea totală de CH</w:t>
            </w:r>
            <w:r w:rsidRPr="00074769">
              <w:rPr>
                <w:rStyle w:val="sub"/>
                <w:color w:val="333333"/>
                <w:sz w:val="20"/>
                <w:szCs w:val="20"/>
                <w:shd w:val="clear" w:color="auto" w:fill="FFFFFF"/>
                <w:vertAlign w:val="subscript"/>
              </w:rPr>
              <w:t>4</w:t>
            </w:r>
            <w:r w:rsidRPr="00074769">
              <w:rPr>
                <w:color w:val="333333"/>
                <w:sz w:val="20"/>
                <w:szCs w:val="20"/>
                <w:shd w:val="clear" w:color="auto" w:fill="FFFFFF"/>
              </w:rPr>
              <w:t xml:space="preserve"> generată de depozitele de deșeuri [%]</w:t>
            </w:r>
          </w:p>
          <w:p w14:paraId="00593E8E" w14:textId="77777777" w:rsidR="008F5636" w:rsidRPr="00074769" w:rsidRDefault="008F5636" w:rsidP="008F5636">
            <w:pPr>
              <w:pStyle w:val="ti-grseq-1"/>
              <w:shd w:val="clear" w:color="auto" w:fill="FFFFFF"/>
              <w:spacing w:before="0" w:beforeAutospacing="0" w:after="0" w:afterAutospacing="0"/>
              <w:ind w:left="414"/>
              <w:jc w:val="both"/>
              <w:rPr>
                <w:b/>
                <w:bCs/>
                <w:sz w:val="20"/>
                <w:szCs w:val="20"/>
                <w:shd w:val="clear" w:color="auto" w:fill="FFFFFF"/>
                <w:lang w:val="ro-MD"/>
              </w:rPr>
            </w:pPr>
          </w:p>
          <w:p w14:paraId="37D97A85" w14:textId="26F101EE" w:rsidR="008F5636" w:rsidRPr="00074769" w:rsidRDefault="00000000" w:rsidP="008F5636">
            <w:pPr>
              <w:pStyle w:val="note"/>
              <w:shd w:val="clear" w:color="auto" w:fill="FFFFFF"/>
              <w:spacing w:before="0" w:beforeAutospacing="0" w:after="0" w:afterAutospacing="0"/>
              <w:jc w:val="both"/>
              <w:rPr>
                <w:color w:val="333333"/>
                <w:sz w:val="20"/>
                <w:szCs w:val="20"/>
                <w:lang w:val="ro-MD"/>
              </w:rPr>
            </w:pPr>
            <w:hyperlink r:id="rId86" w:anchor="ntc1-L_2018328RO.01004701-E0001"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w:t>
              </w:r>
              <w:r w:rsidR="008F5636" w:rsidRPr="00074769">
                <w:rPr>
                  <w:rStyle w:val="af6"/>
                  <w:color w:val="337AB7"/>
                  <w:sz w:val="20"/>
                  <w:szCs w:val="20"/>
                  <w:lang w:val="fr-FR"/>
                </w:rPr>
                <w:t>)</w:t>
              </w:r>
              <w:proofErr w:type="spellStart"/>
            </w:hyperlink>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asigure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consecvența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strategiile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termen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lung</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articolului</w:t>
            </w:r>
            <w:proofErr w:type="spellEnd"/>
            <w:r w:rsidR="008F5636" w:rsidRPr="00074769">
              <w:rPr>
                <w:color w:val="333333"/>
                <w:sz w:val="20"/>
                <w:szCs w:val="20"/>
                <w:lang w:val="fr-FR"/>
              </w:rPr>
              <w:t xml:space="preserve"> 15.</w:t>
            </w:r>
          </w:p>
          <w:p w14:paraId="2D3E19C8" w14:textId="3E5B44A1"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87" w:anchor="ntc2-L_2018328RO.01004701-E0002"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w:t>
            </w:r>
            <w:proofErr w:type="spellEnd"/>
            <w:r w:rsidR="008F5636" w:rsidRPr="00074769">
              <w:rPr>
                <w:color w:val="333333"/>
                <w:sz w:val="20"/>
                <w:szCs w:val="20"/>
                <w:lang w:val="fr-FR"/>
              </w:rPr>
              <w:t xml:space="preserve"> (UE) nr. 347/2013 al </w:t>
            </w:r>
            <w:proofErr w:type="spellStart"/>
            <w:r w:rsidR="008F5636" w:rsidRPr="00074769">
              <w:rPr>
                <w:color w:val="333333"/>
                <w:sz w:val="20"/>
                <w:szCs w:val="20"/>
                <w:lang w:val="fr-FR"/>
              </w:rPr>
              <w:t>Parlamentului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European</w:t>
            </w:r>
            <w:proofErr w:type="spellEnd"/>
            <w:r w:rsidR="008F5636" w:rsidRPr="00074769">
              <w:rPr>
                <w:color w:val="333333"/>
                <w:sz w:val="20"/>
                <w:szCs w:val="20"/>
                <w:lang w:val="fr-FR"/>
              </w:rPr>
              <w:t xml:space="preserve"> și al </w:t>
            </w:r>
            <w:proofErr w:type="spellStart"/>
            <w:r w:rsidR="008F5636" w:rsidRPr="00074769">
              <w:rPr>
                <w:color w:val="333333"/>
                <w:sz w:val="20"/>
                <w:szCs w:val="20"/>
                <w:lang w:val="fr-FR"/>
              </w:rPr>
              <w:t>Consiliului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17 </w:t>
            </w:r>
            <w:proofErr w:type="spellStart"/>
            <w:r w:rsidR="008F5636" w:rsidRPr="00074769">
              <w:rPr>
                <w:color w:val="333333"/>
                <w:sz w:val="20"/>
                <w:szCs w:val="20"/>
                <w:lang w:val="fr-FR"/>
              </w:rPr>
              <w:t>aprilie</w:t>
            </w:r>
            <w:proofErr w:type="spellEnd"/>
            <w:r w:rsidR="008F5636" w:rsidRPr="00074769">
              <w:rPr>
                <w:color w:val="333333"/>
                <w:sz w:val="20"/>
                <w:szCs w:val="20"/>
                <w:lang w:val="fr-FR"/>
              </w:rPr>
              <w:t xml:space="preserve"> 2013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liniile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directoare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infrastructurile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energetice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transeuropene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abrogare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Deciziei</w:t>
            </w:r>
            <w:proofErr w:type="spellEnd"/>
            <w:r w:rsidR="008F5636" w:rsidRPr="00074769">
              <w:rPr>
                <w:color w:val="333333"/>
                <w:sz w:val="20"/>
                <w:szCs w:val="20"/>
                <w:lang w:val="fr-FR"/>
              </w:rPr>
              <w:t xml:space="preserve"> nr.1364/2006/CE și de </w:t>
            </w:r>
            <w:proofErr w:type="spellStart"/>
            <w:r w:rsidR="008F5636" w:rsidRPr="00074769">
              <w:rPr>
                <w:color w:val="333333"/>
                <w:sz w:val="20"/>
                <w:szCs w:val="20"/>
                <w:lang w:val="fr-FR"/>
              </w:rPr>
              <w:t>modificare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Regulamentelor</w:t>
            </w:r>
            <w:proofErr w:type="spellEnd"/>
            <w:r w:rsidR="008F5636" w:rsidRPr="00074769">
              <w:rPr>
                <w:color w:val="333333"/>
                <w:sz w:val="20"/>
                <w:szCs w:val="20"/>
                <w:lang w:val="fr-FR"/>
              </w:rPr>
              <w:t xml:space="preserve"> (CE) nr.713/2009, (CE) nr. 714/2009 și (CE) nr.715/2009 (</w:t>
            </w:r>
            <w:hyperlink r:id="rId88" w:history="1">
              <w:r w:rsidR="008F5636" w:rsidRPr="00074769">
                <w:rPr>
                  <w:rStyle w:val="af6"/>
                  <w:color w:val="337AB7"/>
                  <w:sz w:val="20"/>
                  <w:szCs w:val="20"/>
                  <w:lang w:val="fr-FR"/>
                </w:rPr>
                <w:t>JO L115, 25.4.2013, p.39</w:t>
              </w:r>
            </w:hyperlink>
            <w:r w:rsidR="008F5636" w:rsidRPr="00074769">
              <w:rPr>
                <w:color w:val="333333"/>
                <w:sz w:val="20"/>
                <w:szCs w:val="20"/>
                <w:lang w:val="fr-FR"/>
              </w:rPr>
              <w:t>).</w:t>
            </w:r>
          </w:p>
          <w:p w14:paraId="426FE2DA" w14:textId="397C956E"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89" w:anchor="ntc3-L_2018328RO.01004701-E0003"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3</w:t>
              </w:r>
              <w:r w:rsidR="008F5636" w:rsidRPr="00074769">
                <w:rPr>
                  <w:rStyle w:val="af6"/>
                  <w:color w:val="337AB7"/>
                  <w:sz w:val="20"/>
                  <w:szCs w:val="20"/>
                  <w:lang w:val="fr-FR"/>
                </w:rPr>
                <w:t>)</w:t>
              </w:r>
            </w:hyperlink>
            <w:r w:rsidR="008F5636" w:rsidRPr="00074769">
              <w:rPr>
                <w:color w:val="333333"/>
                <w:sz w:val="20"/>
                <w:szCs w:val="20"/>
                <w:lang w:val="fr-FR"/>
              </w:rPr>
              <w:t xml:space="preserve">La </w:t>
            </w:r>
            <w:proofErr w:type="spellStart"/>
            <w:r w:rsidR="008F5636" w:rsidRPr="00074769">
              <w:rPr>
                <w:color w:val="333333"/>
                <w:sz w:val="20"/>
                <w:szCs w:val="20"/>
                <w:lang w:val="fr-FR"/>
              </w:rPr>
              <w:t>planificarea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acestor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măsuri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statele</w:t>
            </w:r>
            <w:proofErr w:type="spellEnd"/>
            <w:r w:rsidR="008F5636" w:rsidRPr="00074769">
              <w:rPr>
                <w:color w:val="333333"/>
                <w:sz w:val="20"/>
                <w:szCs w:val="20"/>
                <w:lang w:val="fr-FR"/>
              </w:rPr>
              <w:t xml:space="preserve"> membre </w:t>
            </w:r>
            <w:proofErr w:type="spellStart"/>
            <w:r w:rsidR="008F5636" w:rsidRPr="00074769">
              <w:rPr>
                <w:color w:val="333333"/>
                <w:sz w:val="20"/>
                <w:szCs w:val="20"/>
                <w:lang w:val="fr-FR"/>
              </w:rPr>
              <w:t>iau</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considerare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sfârșitul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duratei</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viață</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instalațiilor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potențialul</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repowering</w:t>
            </w:r>
            <w:proofErr w:type="spellEnd"/>
            <w:r w:rsidR="008F5636" w:rsidRPr="00074769">
              <w:rPr>
                <w:color w:val="333333"/>
                <w:sz w:val="20"/>
                <w:szCs w:val="20"/>
                <w:lang w:val="fr-FR"/>
              </w:rPr>
              <w:t>.</w:t>
            </w:r>
          </w:p>
          <w:p w14:paraId="595E8CD3" w14:textId="7A3BF5D7"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0" w:anchor="ntc4-L_2018328RO.01004701-E0004"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4</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2a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2010/31/UE.</w:t>
            </w:r>
          </w:p>
          <w:p w14:paraId="1B4D6D5F" w14:textId="686CB14C"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1" w:anchor="ntc5-L_2018328RO.01004701-E0005"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5</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18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04698C83" w14:textId="53065E57"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2" w:anchor="ntc6-L_2018328RO.01004701-E0006"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6</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8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60403D81" w14:textId="69159ECA"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3" w:anchor="ntc7-L_2018328RO.01004701-E0007"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7</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articolele</w:t>
            </w:r>
            <w:proofErr w:type="spellEnd"/>
            <w:r w:rsidR="008F5636" w:rsidRPr="00074769">
              <w:rPr>
                <w:color w:val="333333"/>
                <w:sz w:val="20"/>
                <w:szCs w:val="20"/>
                <w:lang w:val="fr-FR"/>
              </w:rPr>
              <w:t xml:space="preserve"> 12 și 17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1B845562" w14:textId="400755E8"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4" w:anchor="ntc8-L_2018328RO.01004701-E0008"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8</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19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3ECC4A12" w14:textId="5CA35480"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5" w:anchor="ntc9-L_2018328RO.01004701-E0009"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9</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15 </w:t>
            </w:r>
            <w:proofErr w:type="spellStart"/>
            <w:r w:rsidR="008F5636" w:rsidRPr="00074769">
              <w:rPr>
                <w:color w:val="333333"/>
                <w:sz w:val="20"/>
                <w:szCs w:val="20"/>
                <w:lang w:val="fr-FR"/>
              </w:rPr>
              <w:t>alineatul</w:t>
            </w:r>
            <w:proofErr w:type="spellEnd"/>
            <w:r w:rsidR="008F5636" w:rsidRPr="00074769">
              <w:rPr>
                <w:color w:val="333333"/>
                <w:sz w:val="20"/>
                <w:szCs w:val="20"/>
                <w:lang w:val="fr-FR"/>
              </w:rPr>
              <w:t xml:space="preserve"> (2)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3E427A98" w14:textId="1B0DA4D3"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6" w:anchor="ntc10-L_2018328RO.01004701-E0010"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10</w:t>
              </w:r>
              <w:r w:rsidR="008F5636" w:rsidRPr="00074769">
                <w:rPr>
                  <w:rStyle w:val="af6"/>
                  <w:color w:val="337AB7"/>
                  <w:sz w:val="20"/>
                  <w:szCs w:val="20"/>
                  <w:lang w:val="fr-FR"/>
                </w:rPr>
                <w:t>)</w:t>
              </w:r>
              <w:proofErr w:type="spellStart"/>
            </w:hyperlink>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reflecte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principiul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eficiența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energetică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înainte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toate</w:t>
            </w:r>
            <w:proofErr w:type="spellEnd"/>
            <w:r w:rsidR="008F5636" w:rsidRPr="00074769">
              <w:rPr>
                <w:color w:val="333333"/>
                <w:sz w:val="20"/>
                <w:szCs w:val="20"/>
                <w:lang w:val="fr-FR"/>
              </w:rPr>
              <w:t>”.</w:t>
            </w:r>
          </w:p>
          <w:p w14:paraId="1765DBD5" w14:textId="498C9CFC"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7" w:anchor="ntc11-L_2018328RO.01004701-E0011"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11</w:t>
              </w:r>
              <w:r w:rsidR="008F5636" w:rsidRPr="00074769">
                <w:rPr>
                  <w:rStyle w:val="af6"/>
                  <w:color w:val="337AB7"/>
                  <w:sz w:val="20"/>
                  <w:szCs w:val="20"/>
                  <w:lang w:val="fr-FR"/>
                </w:rPr>
                <w:t>)</w:t>
              </w:r>
              <w:proofErr w:type="spellStart"/>
            </w:hyperlink>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asigure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consecvența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acțiune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preventive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urgență</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Regulamentului</w:t>
            </w:r>
            <w:proofErr w:type="spellEnd"/>
            <w:r w:rsidR="008F5636" w:rsidRPr="00074769">
              <w:rPr>
                <w:color w:val="333333"/>
                <w:sz w:val="20"/>
                <w:szCs w:val="20"/>
                <w:lang w:val="fr-FR"/>
              </w:rPr>
              <w:t xml:space="preserve"> (UE) 2017/1938 al </w:t>
            </w:r>
            <w:proofErr w:type="spellStart"/>
            <w:r w:rsidR="008F5636" w:rsidRPr="00074769">
              <w:rPr>
                <w:color w:val="333333"/>
                <w:sz w:val="20"/>
                <w:szCs w:val="20"/>
                <w:lang w:val="fr-FR"/>
              </w:rPr>
              <w:t>Parlamentului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European</w:t>
            </w:r>
            <w:proofErr w:type="spellEnd"/>
            <w:r w:rsidR="008F5636" w:rsidRPr="00074769">
              <w:rPr>
                <w:color w:val="333333"/>
                <w:sz w:val="20"/>
                <w:szCs w:val="20"/>
                <w:lang w:val="fr-FR"/>
              </w:rPr>
              <w:t xml:space="preserve"> și al </w:t>
            </w:r>
            <w:proofErr w:type="spellStart"/>
            <w:r w:rsidR="008F5636" w:rsidRPr="00074769">
              <w:rPr>
                <w:color w:val="333333"/>
                <w:sz w:val="20"/>
                <w:szCs w:val="20"/>
                <w:lang w:val="fr-FR"/>
              </w:rPr>
              <w:t>Consiliului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25 </w:t>
            </w:r>
            <w:proofErr w:type="spellStart"/>
            <w:r w:rsidR="008F5636" w:rsidRPr="00074769">
              <w:rPr>
                <w:color w:val="333333"/>
                <w:sz w:val="20"/>
                <w:szCs w:val="20"/>
                <w:lang w:val="fr-FR"/>
              </w:rPr>
              <w:t>octombrie</w:t>
            </w:r>
            <w:proofErr w:type="spellEnd"/>
            <w:r w:rsidR="008F5636" w:rsidRPr="00074769">
              <w:rPr>
                <w:color w:val="333333"/>
                <w:sz w:val="20"/>
                <w:szCs w:val="20"/>
                <w:lang w:val="fr-FR"/>
              </w:rPr>
              <w:t xml:space="preserve"> 2017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garantare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siguranței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furnizării</w:t>
            </w:r>
            <w:proofErr w:type="spellEnd"/>
            <w:r w:rsidR="008F5636" w:rsidRPr="00074769">
              <w:rPr>
                <w:color w:val="333333"/>
                <w:sz w:val="20"/>
                <w:szCs w:val="20"/>
                <w:lang w:val="fr-FR"/>
              </w:rPr>
              <w:t xml:space="preserve"> de gaze și de </w:t>
            </w:r>
            <w:proofErr w:type="spellStart"/>
            <w:r w:rsidR="008F5636" w:rsidRPr="00074769">
              <w:rPr>
                <w:color w:val="333333"/>
                <w:sz w:val="20"/>
                <w:szCs w:val="20"/>
                <w:lang w:val="fr-FR"/>
              </w:rPr>
              <w:t>abrogare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Regulamentului</w:t>
            </w:r>
            <w:proofErr w:type="spellEnd"/>
            <w:r w:rsidR="008F5636" w:rsidRPr="00074769">
              <w:rPr>
                <w:color w:val="333333"/>
                <w:sz w:val="20"/>
                <w:szCs w:val="20"/>
                <w:lang w:val="fr-FR"/>
              </w:rPr>
              <w:t xml:space="preserve"> (UE) nr.994/2010 (</w:t>
            </w:r>
            <w:hyperlink r:id="rId98" w:history="1">
              <w:r w:rsidR="0074054B" w:rsidRPr="00074769">
                <w:rPr>
                  <w:rStyle w:val="af6"/>
                  <w:color w:val="337AB7"/>
                  <w:sz w:val="20"/>
                  <w:szCs w:val="20"/>
                  <w:lang w:val="fr-FR"/>
                </w:rPr>
                <w:t xml:space="preserve">JO L </w:t>
              </w:r>
              <w:r w:rsidR="008F5636" w:rsidRPr="00074769">
                <w:rPr>
                  <w:rStyle w:val="af6"/>
                  <w:color w:val="337AB7"/>
                  <w:sz w:val="20"/>
                  <w:szCs w:val="20"/>
                  <w:lang w:val="fr-FR"/>
                </w:rPr>
                <w:t>280, 28.10.2017, p.1</w:t>
              </w:r>
            </w:hyperlink>
            <w:r w:rsidR="008F5636" w:rsidRPr="00074769">
              <w:rPr>
                <w:color w:val="333333"/>
                <w:sz w:val="20"/>
                <w:szCs w:val="20"/>
                <w:lang w:val="fr-FR"/>
              </w:rPr>
              <w:t xml:space="preserve">), </w:t>
            </w:r>
            <w:proofErr w:type="spellStart"/>
            <w:r w:rsidR="008F5636" w:rsidRPr="00074769">
              <w:rPr>
                <w:color w:val="333333"/>
                <w:sz w:val="20"/>
                <w:szCs w:val="20"/>
                <w:lang w:val="fr-FR"/>
              </w:rPr>
              <w:t>precum</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pregătire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riscuri</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Regulamentului</w:t>
            </w:r>
            <w:proofErr w:type="spellEnd"/>
            <w:r w:rsidR="008F5636" w:rsidRPr="00074769">
              <w:rPr>
                <w:color w:val="333333"/>
                <w:sz w:val="20"/>
                <w:szCs w:val="20"/>
                <w:lang w:val="fr-FR"/>
              </w:rPr>
              <w:t xml:space="preserve"> (UE) 2018/2001 [</w:t>
            </w:r>
            <w:proofErr w:type="spellStart"/>
            <w:r w:rsidR="008F5636" w:rsidRPr="00074769">
              <w:rPr>
                <w:color w:val="333333"/>
                <w:sz w:val="20"/>
                <w:szCs w:val="20"/>
                <w:lang w:val="fr-FR"/>
              </w:rPr>
              <w:t>propus</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prin</w:t>
            </w:r>
            <w:proofErr w:type="spellEnd"/>
            <w:r w:rsidR="008F5636" w:rsidRPr="00074769">
              <w:rPr>
                <w:color w:val="333333"/>
                <w:sz w:val="20"/>
                <w:szCs w:val="20"/>
                <w:lang w:val="fr-FR"/>
              </w:rPr>
              <w:t xml:space="preserve"> COM(2016) 862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pregătirea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riscuri</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sectorul</w:t>
            </w:r>
            <w:proofErr w:type="spellEnd"/>
            <w:r w:rsidR="008F5636" w:rsidRPr="00074769">
              <w:rPr>
                <w:color w:val="333333"/>
                <w:sz w:val="20"/>
                <w:szCs w:val="20"/>
                <w:lang w:val="fr-FR"/>
              </w:rPr>
              <w:t xml:space="preserve"> energiei </w:t>
            </w:r>
            <w:proofErr w:type="spellStart"/>
            <w:r w:rsidR="008F5636" w:rsidRPr="00074769">
              <w:rPr>
                <w:color w:val="333333"/>
                <w:sz w:val="20"/>
                <w:szCs w:val="20"/>
                <w:lang w:val="fr-FR"/>
              </w:rPr>
              <w:t>electrice</w:t>
            </w:r>
            <w:proofErr w:type="spellEnd"/>
            <w:r w:rsidR="008F5636" w:rsidRPr="00074769">
              <w:rPr>
                <w:color w:val="333333"/>
                <w:sz w:val="20"/>
                <w:szCs w:val="20"/>
                <w:lang w:val="fr-FR"/>
              </w:rPr>
              <w:t xml:space="preserve"> și de </w:t>
            </w:r>
            <w:proofErr w:type="spellStart"/>
            <w:r w:rsidR="008F5636" w:rsidRPr="00074769">
              <w:rPr>
                <w:color w:val="333333"/>
                <w:sz w:val="20"/>
                <w:szCs w:val="20"/>
                <w:lang w:val="fr-FR"/>
              </w:rPr>
              <w:t>abrogare</w:t>
            </w:r>
            <w:proofErr w:type="spellEnd"/>
            <w:r w:rsidR="008F5636" w:rsidRPr="00074769">
              <w:rPr>
                <w:color w:val="333333"/>
                <w:sz w:val="20"/>
                <w:szCs w:val="20"/>
                <w:lang w:val="fr-FR"/>
              </w:rPr>
              <w:t xml:space="preserve"> a Directivei2005/89/CE].</w:t>
            </w:r>
          </w:p>
          <w:p w14:paraId="39AF4036" w14:textId="6CCAD03C"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99" w:anchor="ntc12-L_2018328RO.01004701-E0012"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12</w:t>
              </w:r>
              <w:r w:rsidR="008F5636" w:rsidRPr="00074769">
                <w:rPr>
                  <w:rStyle w:val="af6"/>
                  <w:color w:val="337AB7"/>
                  <w:sz w:val="20"/>
                  <w:szCs w:val="20"/>
                  <w:lang w:val="fr-FR"/>
                </w:rPr>
                <w:t>)</w:t>
              </w:r>
              <w:proofErr w:type="spellStart"/>
            </w:hyperlink>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reflecte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principiul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eficiența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energetică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primul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loc</w:t>
            </w:r>
            <w:proofErr w:type="spellEnd"/>
            <w:r w:rsidR="008F5636" w:rsidRPr="00074769">
              <w:rPr>
                <w:color w:val="333333"/>
                <w:sz w:val="20"/>
                <w:szCs w:val="20"/>
                <w:lang w:val="fr-FR"/>
              </w:rPr>
              <w:t>”.</w:t>
            </w:r>
          </w:p>
          <w:p w14:paraId="133F3C8C" w14:textId="4638995A"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0" w:anchor="ntc13-L_2018328RO.01004701-E0013"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13</w:t>
              </w:r>
              <w:r w:rsidR="008F5636" w:rsidRPr="00074769">
                <w:rPr>
                  <w:rStyle w:val="af6"/>
                  <w:color w:val="337AB7"/>
                  <w:sz w:val="20"/>
                  <w:szCs w:val="20"/>
                  <w:lang w:val="fr-FR"/>
                </w:rPr>
                <w:t>)</w:t>
              </w:r>
            </w:hyperlink>
            <w:r w:rsidR="008F5636" w:rsidRPr="00074769">
              <w:rPr>
                <w:color w:val="333333"/>
                <w:sz w:val="20"/>
                <w:szCs w:val="20"/>
                <w:lang w:val="fr-FR"/>
              </w:rPr>
              <w:t xml:space="preserve">În </w:t>
            </w:r>
            <w:proofErr w:type="spellStart"/>
            <w:r w:rsidR="008F5636" w:rsidRPr="00074769">
              <w:rPr>
                <w:color w:val="333333"/>
                <w:sz w:val="20"/>
                <w:szCs w:val="20"/>
                <w:lang w:val="fr-FR"/>
              </w:rPr>
              <w:t>afara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grupurilor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regionale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proiecte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interes</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comun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instituite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Regulamentului</w:t>
            </w:r>
            <w:proofErr w:type="spellEnd"/>
            <w:r w:rsidR="008F5636" w:rsidRPr="00074769">
              <w:rPr>
                <w:color w:val="333333"/>
                <w:sz w:val="20"/>
                <w:szCs w:val="20"/>
                <w:lang w:val="fr-FR"/>
              </w:rPr>
              <w:t xml:space="preserve"> (UE) nr.347/2013.</w:t>
            </w:r>
          </w:p>
          <w:p w14:paraId="7C029408" w14:textId="1C07E7F1"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1" w:anchor="ntc14-L_2018328RO.01004701-E0014"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14</w:t>
              </w:r>
              <w:r w:rsidR="008F5636" w:rsidRPr="00074769">
                <w:rPr>
                  <w:rStyle w:val="af6"/>
                  <w:color w:val="337AB7"/>
                  <w:sz w:val="20"/>
                  <w:szCs w:val="20"/>
                  <w:lang w:val="fr-FR"/>
                </w:rPr>
                <w:t>)</w:t>
              </w:r>
            </w:hyperlink>
            <w:r w:rsidR="008F5636" w:rsidRPr="00074769">
              <w:rPr>
                <w:color w:val="333333"/>
                <w:sz w:val="20"/>
                <w:szCs w:val="20"/>
                <w:lang w:val="fr-FR"/>
              </w:rPr>
              <w:t xml:space="preserve">În </w:t>
            </w:r>
            <w:proofErr w:type="spellStart"/>
            <w:r w:rsidR="008F5636" w:rsidRPr="00074769">
              <w:rPr>
                <w:color w:val="333333"/>
                <w:sz w:val="20"/>
                <w:szCs w:val="20"/>
                <w:lang w:val="fr-FR"/>
              </w:rPr>
              <w:t>afara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grupurilor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regionale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proiecte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interes</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comun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instituite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Regulamentului</w:t>
            </w:r>
            <w:proofErr w:type="spellEnd"/>
            <w:r w:rsidR="008F5636" w:rsidRPr="00074769">
              <w:rPr>
                <w:color w:val="333333"/>
                <w:sz w:val="20"/>
                <w:szCs w:val="20"/>
                <w:lang w:val="fr-FR"/>
              </w:rPr>
              <w:t xml:space="preserve"> (UE) nr. 347/2013.</w:t>
            </w:r>
          </w:p>
          <w:p w14:paraId="09F5FA8F" w14:textId="1FB45311"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2" w:anchor="ntc15-L_2018328RO.01004701-E0015"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15</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15 </w:t>
            </w:r>
            <w:proofErr w:type="spellStart"/>
            <w:r w:rsidR="008F5636" w:rsidRPr="00074769">
              <w:rPr>
                <w:color w:val="333333"/>
                <w:sz w:val="20"/>
                <w:szCs w:val="20"/>
                <w:lang w:val="fr-FR"/>
              </w:rPr>
              <w:t>alineatul</w:t>
            </w:r>
            <w:proofErr w:type="spellEnd"/>
            <w:r w:rsidR="008F5636" w:rsidRPr="00074769">
              <w:rPr>
                <w:color w:val="333333"/>
                <w:sz w:val="20"/>
                <w:szCs w:val="20"/>
                <w:lang w:val="fr-FR"/>
              </w:rPr>
              <w:t xml:space="preserve"> (8)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3C99F8F8" w14:textId="754A4AFB"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3" w:anchor="ntc16-L_2018328RO.01004701-E0016"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16</w:t>
              </w:r>
              <w:r w:rsidR="008F5636" w:rsidRPr="00074769">
                <w:rPr>
                  <w:rStyle w:val="af6"/>
                  <w:color w:val="337AB7"/>
                  <w:sz w:val="20"/>
                  <w:szCs w:val="20"/>
                  <w:lang w:val="fr-FR"/>
                </w:rPr>
                <w:t>)</w:t>
              </w:r>
            </w:hyperlink>
            <w:r w:rsidR="008F5636" w:rsidRPr="00074769">
              <w:rPr>
                <w:color w:val="333333"/>
                <w:sz w:val="20"/>
                <w:szCs w:val="20"/>
                <w:lang w:val="fr-FR"/>
              </w:rPr>
              <w:t xml:space="preserve">A se </w:t>
            </w:r>
            <w:proofErr w:type="spellStart"/>
            <w:r w:rsidR="008F5636" w:rsidRPr="00074769">
              <w:rPr>
                <w:color w:val="333333"/>
                <w:sz w:val="20"/>
                <w:szCs w:val="20"/>
                <w:lang w:val="fr-FR"/>
              </w:rPr>
              <w:t>vedea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partea</w:t>
            </w:r>
            <w:proofErr w:type="spellEnd"/>
            <w:r w:rsidR="008F5636" w:rsidRPr="00074769">
              <w:rPr>
                <w:color w:val="333333"/>
                <w:sz w:val="20"/>
                <w:szCs w:val="20"/>
                <w:lang w:val="fr-FR"/>
              </w:rPr>
              <w:t xml:space="preserve"> 2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o </w:t>
            </w:r>
            <w:proofErr w:type="spellStart"/>
            <w:r w:rsidR="008F5636" w:rsidRPr="00074769">
              <w:rPr>
                <w:color w:val="333333"/>
                <w:sz w:val="20"/>
                <w:szCs w:val="20"/>
                <w:lang w:val="fr-FR"/>
              </w:rPr>
              <w:t>listă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detaliată</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parametrilor</w:t>
            </w:r>
            <w:proofErr w:type="spellEnd"/>
            <w:r w:rsidR="008F5636" w:rsidRPr="00074769">
              <w:rPr>
                <w:color w:val="333333"/>
                <w:sz w:val="20"/>
                <w:szCs w:val="20"/>
                <w:lang w:val="fr-FR"/>
              </w:rPr>
              <w:t xml:space="preserve"> și a </w:t>
            </w:r>
            <w:proofErr w:type="spellStart"/>
            <w:r w:rsidR="008F5636" w:rsidRPr="00074769">
              <w:rPr>
                <w:color w:val="333333"/>
                <w:sz w:val="20"/>
                <w:szCs w:val="20"/>
                <w:lang w:val="fr-FR"/>
              </w:rPr>
              <w:t>variabilelor</w:t>
            </w:r>
            <w:proofErr w:type="spellEnd"/>
            <w:r w:rsidR="008F5636" w:rsidRPr="00074769">
              <w:rPr>
                <w:color w:val="333333"/>
                <w:sz w:val="20"/>
                <w:szCs w:val="20"/>
                <w:lang w:val="fr-FR"/>
              </w:rPr>
              <w:t xml:space="preserve"> care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raportate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secțiunea</w:t>
            </w:r>
            <w:proofErr w:type="spellEnd"/>
            <w:r w:rsidR="008F5636" w:rsidRPr="00074769">
              <w:rPr>
                <w:color w:val="333333"/>
                <w:sz w:val="20"/>
                <w:szCs w:val="20"/>
                <w:lang w:val="fr-FR"/>
              </w:rPr>
              <w:t xml:space="preserve"> B a </w:t>
            </w:r>
            <w:proofErr w:type="spellStart"/>
            <w:r w:rsidR="008F5636" w:rsidRPr="00074769">
              <w:rPr>
                <w:color w:val="333333"/>
                <w:sz w:val="20"/>
                <w:szCs w:val="20"/>
                <w:lang w:val="fr-FR"/>
              </w:rPr>
              <w:t>planului</w:t>
            </w:r>
            <w:proofErr w:type="spellEnd"/>
            <w:r w:rsidR="008F5636" w:rsidRPr="00074769">
              <w:rPr>
                <w:color w:val="333333"/>
                <w:sz w:val="20"/>
                <w:szCs w:val="20"/>
                <w:lang w:val="fr-FR"/>
              </w:rPr>
              <w:t>.</w:t>
            </w:r>
          </w:p>
          <w:p w14:paraId="79F124B2" w14:textId="08A9678F"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4" w:anchor="ntc17-L_2018328RO.01004701-E0017"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17</w:t>
              </w:r>
              <w:r w:rsidR="008F5636" w:rsidRPr="00074769">
                <w:rPr>
                  <w:rStyle w:val="af6"/>
                  <w:color w:val="337AB7"/>
                  <w:sz w:val="20"/>
                  <w:szCs w:val="20"/>
                  <w:lang w:val="fr-FR"/>
                </w:rPr>
                <w:t>)</w:t>
              </w:r>
              <w:proofErr w:type="spellStart"/>
            </w:hyperlink>
            <w:r w:rsidR="008F5636" w:rsidRPr="00074769">
              <w:rPr>
                <w:color w:val="333333"/>
                <w:sz w:val="20"/>
                <w:szCs w:val="20"/>
                <w:lang w:val="fr-FR"/>
              </w:rPr>
              <w:t>Situația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actuală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reflecte</w:t>
            </w:r>
            <w:proofErr w:type="spellEnd"/>
            <w:r w:rsidR="008F5636" w:rsidRPr="00074769">
              <w:rPr>
                <w:color w:val="333333"/>
                <w:sz w:val="20"/>
                <w:szCs w:val="20"/>
                <w:lang w:val="fr-FR"/>
              </w:rPr>
              <w:t xml:space="preserve"> data </w:t>
            </w:r>
            <w:proofErr w:type="spellStart"/>
            <w:r w:rsidR="008F5636" w:rsidRPr="00074769">
              <w:rPr>
                <w:color w:val="333333"/>
                <w:sz w:val="20"/>
                <w:szCs w:val="20"/>
                <w:lang w:val="fr-FR"/>
              </w:rPr>
              <w:t>prezentării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cea mai </w:t>
            </w:r>
            <w:proofErr w:type="spellStart"/>
            <w:r w:rsidR="008F5636" w:rsidRPr="00074769">
              <w:rPr>
                <w:color w:val="333333"/>
                <w:sz w:val="20"/>
                <w:szCs w:val="20"/>
                <w:lang w:val="fr-FR"/>
              </w:rPr>
              <w:t>recentă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dată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disponibilă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cuprind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puse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aplicare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adoptate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adoptate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sunt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care a </w:t>
            </w:r>
            <w:proofErr w:type="spellStart"/>
            <w:r w:rsidR="008F5636" w:rsidRPr="00074769">
              <w:rPr>
                <w:color w:val="333333"/>
                <w:sz w:val="20"/>
                <w:szCs w:val="20"/>
                <w:lang w:val="fr-FR"/>
              </w:rPr>
              <w:t>fost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luată</w:t>
            </w:r>
            <w:proofErr w:type="spellEnd"/>
            <w:r w:rsidR="008F5636" w:rsidRPr="00074769">
              <w:rPr>
                <w:color w:val="333333"/>
                <w:sz w:val="20"/>
                <w:szCs w:val="20"/>
                <w:lang w:val="fr-FR"/>
              </w:rPr>
              <w:t xml:space="preserve"> o </w:t>
            </w:r>
            <w:proofErr w:type="spellStart"/>
            <w:r w:rsidR="008F5636" w:rsidRPr="00074769">
              <w:rPr>
                <w:color w:val="333333"/>
                <w:sz w:val="20"/>
                <w:szCs w:val="20"/>
                <w:lang w:val="fr-FR"/>
              </w:rPr>
              <w:t>decizie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guvernamentală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oficială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până</w:t>
            </w:r>
            <w:proofErr w:type="spellEnd"/>
            <w:r w:rsidR="008F5636" w:rsidRPr="00074769">
              <w:rPr>
                <w:color w:val="333333"/>
                <w:sz w:val="20"/>
                <w:szCs w:val="20"/>
                <w:lang w:val="fr-FR"/>
              </w:rPr>
              <w:t xml:space="preserve"> la data </w:t>
            </w:r>
            <w:proofErr w:type="spellStart"/>
            <w:r w:rsidR="008F5636" w:rsidRPr="00074769">
              <w:rPr>
                <w:color w:val="333333"/>
                <w:sz w:val="20"/>
                <w:szCs w:val="20"/>
                <w:lang w:val="fr-FR"/>
              </w:rPr>
              <w:t>prezentării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care există un </w:t>
            </w:r>
            <w:proofErr w:type="spellStart"/>
            <w:r w:rsidR="008F5636" w:rsidRPr="00074769">
              <w:rPr>
                <w:color w:val="333333"/>
                <w:sz w:val="20"/>
                <w:szCs w:val="20"/>
                <w:lang w:val="fr-FR"/>
              </w:rPr>
              <w:t>angajament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clar</w:t>
            </w:r>
            <w:proofErr w:type="spellEnd"/>
            <w:r w:rsidR="008F5636" w:rsidRPr="00074769">
              <w:rPr>
                <w:color w:val="333333"/>
                <w:sz w:val="20"/>
                <w:szCs w:val="20"/>
                <w:lang w:val="fr-FR"/>
              </w:rPr>
              <w:t xml:space="preserve"> </w:t>
            </w:r>
            <w:proofErr w:type="gramStart"/>
            <w:r w:rsidR="008F5636" w:rsidRPr="00074769">
              <w:rPr>
                <w:color w:val="333333"/>
                <w:sz w:val="20"/>
                <w:szCs w:val="20"/>
                <w:lang w:val="fr-FR"/>
              </w:rPr>
              <w:t>de a</w:t>
            </w:r>
            <w:proofErr w:type="gramEnd"/>
            <w:r w:rsidR="008F5636" w:rsidRPr="00074769">
              <w:rPr>
                <w:color w:val="333333"/>
                <w:sz w:val="20"/>
                <w:szCs w:val="20"/>
                <w:lang w:val="fr-FR"/>
              </w:rPr>
              <w:t xml:space="preserve"> </w:t>
            </w:r>
            <w:proofErr w:type="spellStart"/>
            <w:r w:rsidR="008F5636" w:rsidRPr="00074769">
              <w:rPr>
                <w:color w:val="333333"/>
                <w:sz w:val="20"/>
                <w:szCs w:val="20"/>
                <w:lang w:val="fr-FR"/>
              </w:rPr>
              <w:t>proceda</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punerea</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aplicare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puse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aplicare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sunt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care, la data </w:t>
            </w:r>
            <w:proofErr w:type="spellStart"/>
            <w:r w:rsidR="008F5636" w:rsidRPr="00074769">
              <w:rPr>
                <w:color w:val="333333"/>
                <w:sz w:val="20"/>
                <w:szCs w:val="20"/>
                <w:lang w:val="fr-FR"/>
              </w:rPr>
              <w:t>prezentării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integrat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energia</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clima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raportului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intermediar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integrat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energia</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clima</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aplică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una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mai </w:t>
            </w:r>
            <w:proofErr w:type="spellStart"/>
            <w:r w:rsidR="008F5636" w:rsidRPr="00074769">
              <w:rPr>
                <w:color w:val="333333"/>
                <w:sz w:val="20"/>
                <w:szCs w:val="20"/>
                <w:lang w:val="fr-FR"/>
              </w:rPr>
              <w:t>multe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dintre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următoarele</w:t>
            </w:r>
            <w:proofErr w:type="spellEnd"/>
            <w:r w:rsidR="008F5636" w:rsidRPr="00074769">
              <w:rPr>
                <w:color w:val="333333"/>
                <w:sz w:val="20"/>
                <w:szCs w:val="20"/>
                <w:lang w:val="fr-FR"/>
              </w:rPr>
              <w:t xml:space="preserve"> </w:t>
            </w:r>
            <w:proofErr w:type="spellStart"/>
            <w:proofErr w:type="gramStart"/>
            <w:r w:rsidR="008F5636" w:rsidRPr="00074769">
              <w:rPr>
                <w:color w:val="333333"/>
                <w:sz w:val="20"/>
                <w:szCs w:val="20"/>
                <w:lang w:val="fr-FR"/>
              </w:rPr>
              <w:t>situații</w:t>
            </w:r>
            <w:proofErr w:type="spellEnd"/>
            <w:r w:rsidR="008F5636" w:rsidRPr="00074769">
              <w:rPr>
                <w:color w:val="333333"/>
                <w:sz w:val="20"/>
                <w:szCs w:val="20"/>
                <w:lang w:val="fr-FR"/>
              </w:rPr>
              <w:t>:</w:t>
            </w:r>
            <w:proofErr w:type="gramEnd"/>
            <w:r w:rsidR="008F5636" w:rsidRPr="00074769">
              <w:rPr>
                <w:color w:val="333333"/>
                <w:sz w:val="20"/>
                <w:szCs w:val="20"/>
                <w:lang w:val="fr-FR"/>
              </w:rPr>
              <w:t xml:space="preserve"> </w:t>
            </w:r>
            <w:proofErr w:type="spellStart"/>
            <w:r w:rsidR="008F5636" w:rsidRPr="00074769">
              <w:rPr>
                <w:color w:val="333333"/>
                <w:sz w:val="20"/>
                <w:szCs w:val="20"/>
                <w:lang w:val="fr-FR"/>
              </w:rPr>
              <w:t>legislația</w:t>
            </w:r>
            <w:proofErr w:type="spellEnd"/>
            <w:r w:rsidR="008F5636" w:rsidRPr="00074769">
              <w:rPr>
                <w:color w:val="333333"/>
                <w:sz w:val="20"/>
                <w:szCs w:val="20"/>
                <w:lang w:val="fr-FR"/>
              </w:rPr>
              <w:t xml:space="preserve"> națională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europeană</w:t>
            </w:r>
            <w:proofErr w:type="spellEnd"/>
            <w:r w:rsidR="008F5636" w:rsidRPr="00074769">
              <w:rPr>
                <w:color w:val="333333"/>
                <w:sz w:val="20"/>
                <w:szCs w:val="20"/>
                <w:lang w:val="fr-FR"/>
              </w:rPr>
              <w:t xml:space="preserve"> direct </w:t>
            </w:r>
            <w:proofErr w:type="spellStart"/>
            <w:r w:rsidR="008F5636" w:rsidRPr="00074769">
              <w:rPr>
                <w:color w:val="333333"/>
                <w:sz w:val="20"/>
                <w:szCs w:val="20"/>
                <w:lang w:val="fr-FR"/>
              </w:rPr>
              <w:t>aplicabilă</w:t>
            </w:r>
            <w:proofErr w:type="spellEnd"/>
            <w:r w:rsidR="008F5636" w:rsidRPr="00074769">
              <w:rPr>
                <w:color w:val="333333"/>
                <w:sz w:val="20"/>
                <w:szCs w:val="20"/>
                <w:lang w:val="fr-FR"/>
              </w:rPr>
              <w:t xml:space="preserve"> este în </w:t>
            </w:r>
            <w:proofErr w:type="spellStart"/>
            <w:r w:rsidR="008F5636" w:rsidRPr="00074769">
              <w:rPr>
                <w:color w:val="333333"/>
                <w:sz w:val="20"/>
                <w:szCs w:val="20"/>
                <w:lang w:val="fr-FR"/>
              </w:rPr>
              <w:t>vigoare</w:t>
            </w:r>
            <w:proofErr w:type="spellEnd"/>
            <w:r w:rsidR="008F5636" w:rsidRPr="00074769">
              <w:rPr>
                <w:color w:val="333333"/>
                <w:sz w:val="20"/>
                <w:szCs w:val="20"/>
                <w:lang w:val="fr-FR"/>
              </w:rPr>
              <w:t xml:space="preserve">, au </w:t>
            </w:r>
            <w:proofErr w:type="spellStart"/>
            <w:r w:rsidR="008F5636" w:rsidRPr="00074769">
              <w:rPr>
                <w:color w:val="333333"/>
                <w:sz w:val="20"/>
                <w:szCs w:val="20"/>
                <w:lang w:val="fr-FR"/>
              </w:rPr>
              <w:t>fost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stabilite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unul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mai </w:t>
            </w:r>
            <w:proofErr w:type="spellStart"/>
            <w:r w:rsidR="008F5636" w:rsidRPr="00074769">
              <w:rPr>
                <w:color w:val="333333"/>
                <w:sz w:val="20"/>
                <w:szCs w:val="20"/>
                <w:lang w:val="fr-FR"/>
              </w:rPr>
              <w:t>multe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acorduri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voluntare</w:t>
            </w:r>
            <w:proofErr w:type="spellEnd"/>
            <w:r w:rsidR="008F5636" w:rsidRPr="00074769">
              <w:rPr>
                <w:color w:val="333333"/>
                <w:sz w:val="20"/>
                <w:szCs w:val="20"/>
                <w:lang w:val="fr-FR"/>
              </w:rPr>
              <w:t xml:space="preserve">, au </w:t>
            </w:r>
            <w:proofErr w:type="spellStart"/>
            <w:r w:rsidR="008F5636" w:rsidRPr="00074769">
              <w:rPr>
                <w:color w:val="333333"/>
                <w:sz w:val="20"/>
                <w:szCs w:val="20"/>
                <w:lang w:val="fr-FR"/>
              </w:rPr>
              <w:t>fost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alocate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resurse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financiare</w:t>
            </w:r>
            <w:proofErr w:type="spellEnd"/>
            <w:r w:rsidR="008F5636" w:rsidRPr="00074769">
              <w:rPr>
                <w:color w:val="333333"/>
                <w:sz w:val="20"/>
                <w:szCs w:val="20"/>
                <w:lang w:val="fr-FR"/>
              </w:rPr>
              <w:t xml:space="preserve">, au </w:t>
            </w:r>
            <w:proofErr w:type="spellStart"/>
            <w:r w:rsidR="008F5636" w:rsidRPr="00074769">
              <w:rPr>
                <w:color w:val="333333"/>
                <w:sz w:val="20"/>
                <w:szCs w:val="20"/>
                <w:lang w:val="fr-FR"/>
              </w:rPr>
              <w:t>fost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mobilizate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resurse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umane</w:t>
            </w:r>
            <w:proofErr w:type="spellEnd"/>
            <w:r w:rsidR="008F5636" w:rsidRPr="00074769">
              <w:rPr>
                <w:color w:val="333333"/>
                <w:sz w:val="20"/>
                <w:szCs w:val="20"/>
                <w:lang w:val="fr-FR"/>
              </w:rPr>
              <w:t>.</w:t>
            </w:r>
          </w:p>
          <w:p w14:paraId="3319C25E" w14:textId="31FC2240"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5" w:anchor="ntc18-L_2018328RO.01004701-E0018"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18</w:t>
              </w:r>
              <w:r w:rsidR="008F5636" w:rsidRPr="00074769">
                <w:rPr>
                  <w:rStyle w:val="af6"/>
                  <w:color w:val="337AB7"/>
                  <w:sz w:val="20"/>
                  <w:szCs w:val="20"/>
                  <w:lang w:val="fr-FR"/>
                </w:rPr>
                <w:t>)</w:t>
              </w:r>
              <w:proofErr w:type="spellStart"/>
            </w:hyperlink>
            <w:r w:rsidR="008F5636" w:rsidRPr="00074769">
              <w:rPr>
                <w:color w:val="333333"/>
                <w:sz w:val="20"/>
                <w:szCs w:val="20"/>
                <w:lang w:val="fr-FR"/>
              </w:rPr>
              <w:t>Selectarea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factorilor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exogeni</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poate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baza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ipotezele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formulate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scenariul</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referință</w:t>
            </w:r>
            <w:proofErr w:type="spellEnd"/>
            <w:r w:rsidR="008F5636" w:rsidRPr="00074769">
              <w:rPr>
                <w:color w:val="333333"/>
                <w:sz w:val="20"/>
                <w:szCs w:val="20"/>
                <w:lang w:val="fr-FR"/>
              </w:rPr>
              <w:t xml:space="preserve"> al UE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2016 </w:t>
            </w:r>
            <w:proofErr w:type="spellStart"/>
            <w:r w:rsidR="008F5636" w:rsidRPr="00074769">
              <w:rPr>
                <w:color w:val="333333"/>
                <w:sz w:val="20"/>
                <w:szCs w:val="20"/>
                <w:lang w:val="fr-FR"/>
              </w:rPr>
              <w:t>sau</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alte</w:t>
            </w:r>
            <w:proofErr w:type="spellEnd"/>
            <w:r w:rsidR="008F5636" w:rsidRPr="00074769">
              <w:rPr>
                <w:color w:val="333333"/>
                <w:sz w:val="20"/>
                <w:szCs w:val="20"/>
                <w:lang w:val="fr-FR"/>
              </w:rPr>
              <w:t xml:space="preserve"> scenarii de </w:t>
            </w:r>
            <w:proofErr w:type="spellStart"/>
            <w:r w:rsidR="008F5636" w:rsidRPr="00074769">
              <w:rPr>
                <w:color w:val="333333"/>
                <w:sz w:val="20"/>
                <w:szCs w:val="20"/>
                <w:lang w:val="fr-FR"/>
              </w:rPr>
              <w:t>politică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ulterioare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aceleași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variabile</w:t>
            </w:r>
            <w:proofErr w:type="spellEnd"/>
            <w:r w:rsidR="008F5636" w:rsidRPr="00074769">
              <w:rPr>
                <w:color w:val="333333"/>
                <w:sz w:val="20"/>
                <w:szCs w:val="20"/>
                <w:lang w:val="fr-FR"/>
              </w:rPr>
              <w:t xml:space="preserve">. </w:t>
            </w:r>
            <w:r w:rsidR="008F5636" w:rsidRPr="00074769">
              <w:rPr>
                <w:color w:val="333333"/>
                <w:sz w:val="20"/>
                <w:szCs w:val="20"/>
                <w:lang w:val="fr-FR"/>
              </w:rPr>
              <w:lastRenderedPageBreak/>
              <w:t xml:space="preserve">În plus, </w:t>
            </w:r>
            <w:proofErr w:type="spellStart"/>
            <w:r w:rsidR="008F5636" w:rsidRPr="00074769">
              <w:rPr>
                <w:color w:val="333333"/>
                <w:sz w:val="20"/>
                <w:szCs w:val="20"/>
                <w:lang w:val="fr-FR"/>
              </w:rPr>
              <w:t>rezultatele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specifice</w:t>
            </w:r>
            <w:proofErr w:type="spellEnd"/>
            <w:r w:rsidR="008F5636" w:rsidRPr="00074769">
              <w:rPr>
                <w:color w:val="333333"/>
                <w:sz w:val="20"/>
                <w:szCs w:val="20"/>
                <w:lang w:val="fr-FR"/>
              </w:rPr>
              <w:t xml:space="preserve"> ale </w:t>
            </w:r>
            <w:proofErr w:type="spellStart"/>
            <w:r w:rsidR="008F5636" w:rsidRPr="00074769">
              <w:rPr>
                <w:color w:val="333333"/>
                <w:sz w:val="20"/>
                <w:szCs w:val="20"/>
                <w:lang w:val="fr-FR"/>
              </w:rPr>
              <w:t>statelor</w:t>
            </w:r>
            <w:proofErr w:type="spellEnd"/>
            <w:r w:rsidR="008F5636" w:rsidRPr="00074769">
              <w:rPr>
                <w:color w:val="333333"/>
                <w:sz w:val="20"/>
                <w:szCs w:val="20"/>
                <w:lang w:val="fr-FR"/>
              </w:rPr>
              <w:t xml:space="preserve"> membre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scenariul</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referință</w:t>
            </w:r>
            <w:proofErr w:type="spellEnd"/>
            <w:r w:rsidR="008F5636" w:rsidRPr="00074769">
              <w:rPr>
                <w:color w:val="333333"/>
                <w:sz w:val="20"/>
                <w:szCs w:val="20"/>
                <w:lang w:val="fr-FR"/>
              </w:rPr>
              <w:t xml:space="preserve"> al UE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2016, </w:t>
            </w:r>
            <w:proofErr w:type="spellStart"/>
            <w:r w:rsidR="008F5636" w:rsidRPr="00074769">
              <w:rPr>
                <w:color w:val="333333"/>
                <w:sz w:val="20"/>
                <w:szCs w:val="20"/>
                <w:lang w:val="fr-FR"/>
              </w:rPr>
              <w:t>precum</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rezultatele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scenariilor</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politică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ulterioare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putea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constitui</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asemenea</w:t>
            </w:r>
            <w:proofErr w:type="spellEnd"/>
            <w:r w:rsidR="008F5636" w:rsidRPr="00074769">
              <w:rPr>
                <w:color w:val="333333"/>
                <w:sz w:val="20"/>
                <w:szCs w:val="20"/>
                <w:lang w:val="fr-FR"/>
              </w:rPr>
              <w:t xml:space="preserve">, o </w:t>
            </w:r>
            <w:proofErr w:type="spellStart"/>
            <w:r w:rsidR="008F5636" w:rsidRPr="00074769">
              <w:rPr>
                <w:color w:val="333333"/>
                <w:sz w:val="20"/>
                <w:szCs w:val="20"/>
                <w:lang w:val="fr-FR"/>
              </w:rPr>
              <w:t>sursă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utilă</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informații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elaborarea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prognozelor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contextul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politicilor</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și a </w:t>
            </w:r>
            <w:proofErr w:type="spellStart"/>
            <w:r w:rsidR="008F5636" w:rsidRPr="00074769">
              <w:rPr>
                <w:color w:val="333333"/>
                <w:sz w:val="20"/>
                <w:szCs w:val="20"/>
                <w:lang w:val="fr-FR"/>
              </w:rPr>
              <w:t>evaluărilor</w:t>
            </w:r>
            <w:proofErr w:type="spellEnd"/>
            <w:r w:rsidR="008F5636" w:rsidRPr="00074769">
              <w:rPr>
                <w:color w:val="333333"/>
                <w:sz w:val="20"/>
                <w:szCs w:val="20"/>
                <w:lang w:val="fr-FR"/>
              </w:rPr>
              <w:t xml:space="preserve"> </w:t>
            </w:r>
            <w:proofErr w:type="gramStart"/>
            <w:r w:rsidR="008F5636" w:rsidRPr="00074769">
              <w:rPr>
                <w:color w:val="333333"/>
                <w:sz w:val="20"/>
                <w:szCs w:val="20"/>
                <w:lang w:val="fr-FR"/>
              </w:rPr>
              <w:t>de impact</w:t>
            </w:r>
            <w:proofErr w:type="gramEnd"/>
            <w:r w:rsidR="008F5636" w:rsidRPr="00074769">
              <w:rPr>
                <w:color w:val="333333"/>
                <w:sz w:val="20"/>
                <w:szCs w:val="20"/>
                <w:lang w:val="fr-FR"/>
              </w:rPr>
              <w:t>.</w:t>
            </w:r>
          </w:p>
          <w:p w14:paraId="7E4253CE" w14:textId="72D822D6"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6" w:anchor="ntc19-L_2018328RO.01004701-E0019"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19</w:t>
              </w:r>
              <w:r w:rsidR="008F5636" w:rsidRPr="00074769">
                <w:rPr>
                  <w:rStyle w:val="af6"/>
                  <w:color w:val="337AB7"/>
                  <w:sz w:val="20"/>
                  <w:szCs w:val="20"/>
                  <w:lang w:val="fr-FR"/>
                </w:rPr>
                <w:t>)</w:t>
              </w:r>
            </w:hyperlink>
            <w:r w:rsidR="008F5636" w:rsidRPr="00074769">
              <w:rPr>
                <w:color w:val="333333"/>
                <w:sz w:val="20"/>
                <w:szCs w:val="20"/>
                <w:lang w:val="fr-FR"/>
              </w:rPr>
              <w:t xml:space="preserve">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articolul</w:t>
            </w:r>
            <w:proofErr w:type="spellEnd"/>
            <w:r w:rsidR="008F5636" w:rsidRPr="00074769">
              <w:rPr>
                <w:color w:val="333333"/>
                <w:sz w:val="20"/>
                <w:szCs w:val="20"/>
                <w:lang w:val="fr-FR"/>
              </w:rPr>
              <w:t xml:space="preserve"> 14 </w:t>
            </w:r>
            <w:proofErr w:type="spellStart"/>
            <w:r w:rsidR="008F5636" w:rsidRPr="00074769">
              <w:rPr>
                <w:color w:val="333333"/>
                <w:sz w:val="20"/>
                <w:szCs w:val="20"/>
                <w:lang w:val="fr-FR"/>
              </w:rPr>
              <w:t>alineatul</w:t>
            </w:r>
            <w:proofErr w:type="spellEnd"/>
            <w:r w:rsidR="008F5636" w:rsidRPr="00074769">
              <w:rPr>
                <w:color w:val="333333"/>
                <w:sz w:val="20"/>
                <w:szCs w:val="20"/>
                <w:lang w:val="fr-FR"/>
              </w:rPr>
              <w:t xml:space="preserve"> (1)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Directiva</w:t>
            </w:r>
            <w:proofErr w:type="spellEnd"/>
            <w:r w:rsidR="008F5636" w:rsidRPr="00074769">
              <w:rPr>
                <w:color w:val="333333"/>
                <w:sz w:val="20"/>
                <w:szCs w:val="20"/>
                <w:lang w:val="fr-FR"/>
              </w:rPr>
              <w:t xml:space="preserve"> 2012/27/UE.</w:t>
            </w:r>
          </w:p>
          <w:p w14:paraId="519606DD" w14:textId="0C1A772C"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7" w:anchor="ntc20-L_2018328RO.01004701-E0020"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20</w:t>
              </w:r>
              <w:r w:rsidR="008F5636" w:rsidRPr="00074769">
                <w:rPr>
                  <w:rStyle w:val="af6"/>
                  <w:color w:val="337AB7"/>
                  <w:sz w:val="20"/>
                  <w:szCs w:val="20"/>
                  <w:lang w:val="fr-FR"/>
                </w:rPr>
                <w:t>)</w:t>
              </w:r>
              <w:proofErr w:type="spellStart"/>
            </w:hyperlink>
            <w:r w:rsidR="008F5636" w:rsidRPr="00074769">
              <w:rPr>
                <w:color w:val="333333"/>
                <w:sz w:val="20"/>
                <w:szCs w:val="20"/>
                <w:lang w:val="fr-FR"/>
              </w:rPr>
              <w:t>Această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statu-quo</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referință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constituie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baza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obiectivului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consumul</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energie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primară</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finală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2030 care este </w:t>
            </w:r>
            <w:proofErr w:type="spellStart"/>
            <w:r w:rsidR="008F5636" w:rsidRPr="00074769">
              <w:rPr>
                <w:color w:val="333333"/>
                <w:sz w:val="20"/>
                <w:szCs w:val="20"/>
                <w:lang w:val="fr-FR"/>
              </w:rPr>
              <w:t>descris</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punctul</w:t>
            </w:r>
            <w:proofErr w:type="spellEnd"/>
            <w:r w:rsidR="008F5636" w:rsidRPr="00074769">
              <w:rPr>
                <w:color w:val="333333"/>
                <w:sz w:val="20"/>
                <w:szCs w:val="20"/>
                <w:lang w:val="fr-FR"/>
              </w:rPr>
              <w:t xml:space="preserve"> 2.3 și a </w:t>
            </w:r>
            <w:proofErr w:type="spellStart"/>
            <w:r w:rsidR="008F5636" w:rsidRPr="00074769">
              <w:rPr>
                <w:color w:val="333333"/>
                <w:sz w:val="20"/>
                <w:szCs w:val="20"/>
                <w:lang w:val="fr-FR"/>
              </w:rPr>
              <w:t>factorilor</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conversie</w:t>
            </w:r>
            <w:proofErr w:type="spellEnd"/>
            <w:r w:rsidR="008F5636" w:rsidRPr="00074769">
              <w:rPr>
                <w:color w:val="333333"/>
                <w:sz w:val="20"/>
                <w:szCs w:val="20"/>
                <w:lang w:val="fr-FR"/>
              </w:rPr>
              <w:t>.</w:t>
            </w:r>
          </w:p>
          <w:p w14:paraId="03921E09" w14:textId="525A2186"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8" w:anchor="ntc21-L_2018328RO.01004701-E0021"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21</w:t>
              </w:r>
              <w:r w:rsidR="008F5636" w:rsidRPr="00074769">
                <w:rPr>
                  <w:rStyle w:val="af6"/>
                  <w:color w:val="337AB7"/>
                  <w:sz w:val="20"/>
                  <w:szCs w:val="20"/>
                  <w:lang w:val="fr-FR"/>
                </w:rPr>
                <w:t>)</w:t>
              </w:r>
            </w:hyperlink>
            <w:r w:rsidR="008F5636" w:rsidRPr="00074769">
              <w:rPr>
                <w:color w:val="333333"/>
                <w:sz w:val="20"/>
                <w:szCs w:val="20"/>
                <w:lang w:val="fr-FR"/>
              </w:rPr>
              <w:t xml:space="preserve">Cu </w:t>
            </w:r>
            <w:proofErr w:type="spellStart"/>
            <w:r w:rsidR="008F5636" w:rsidRPr="00074769">
              <w:rPr>
                <w:color w:val="333333"/>
                <w:sz w:val="20"/>
                <w:szCs w:val="20"/>
                <w:lang w:val="fr-FR"/>
              </w:rPr>
              <w:t>referire</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prezentări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generale</w:t>
            </w:r>
            <w:proofErr w:type="spellEnd"/>
            <w:r w:rsidR="008F5636" w:rsidRPr="00074769">
              <w:rPr>
                <w:color w:val="333333"/>
                <w:sz w:val="20"/>
                <w:szCs w:val="20"/>
                <w:lang w:val="fr-FR"/>
              </w:rPr>
              <w:t xml:space="preserve"> ale </w:t>
            </w:r>
            <w:proofErr w:type="spellStart"/>
            <w:r w:rsidR="008F5636" w:rsidRPr="00074769">
              <w:rPr>
                <w:color w:val="333333"/>
                <w:sz w:val="20"/>
                <w:szCs w:val="20"/>
                <w:lang w:val="fr-FR"/>
              </w:rPr>
              <w:t>infrastructurii</w:t>
            </w:r>
            <w:proofErr w:type="spellEnd"/>
            <w:r w:rsidR="008F5636" w:rsidRPr="00074769">
              <w:rPr>
                <w:color w:val="333333"/>
                <w:sz w:val="20"/>
                <w:szCs w:val="20"/>
                <w:lang w:val="fr-FR"/>
              </w:rPr>
              <w:t xml:space="preserve"> de transport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realizate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operatorii</w:t>
            </w:r>
            <w:proofErr w:type="spellEnd"/>
            <w:r w:rsidR="008F5636" w:rsidRPr="00074769">
              <w:rPr>
                <w:color w:val="333333"/>
                <w:sz w:val="20"/>
                <w:szCs w:val="20"/>
                <w:lang w:val="fr-FR"/>
              </w:rPr>
              <w:t xml:space="preserve"> de transport și de </w:t>
            </w:r>
            <w:proofErr w:type="spellStart"/>
            <w:r w:rsidR="008F5636" w:rsidRPr="00074769">
              <w:rPr>
                <w:color w:val="333333"/>
                <w:sz w:val="20"/>
                <w:szCs w:val="20"/>
                <w:lang w:val="fr-FR"/>
              </w:rPr>
              <w:t>sistem</w:t>
            </w:r>
            <w:proofErr w:type="spellEnd"/>
            <w:r w:rsidR="008F5636" w:rsidRPr="00074769">
              <w:rPr>
                <w:color w:val="333333"/>
                <w:sz w:val="20"/>
                <w:szCs w:val="20"/>
                <w:lang w:val="fr-FR"/>
              </w:rPr>
              <w:t xml:space="preserve"> (OTS).</w:t>
            </w:r>
          </w:p>
          <w:p w14:paraId="1796F944" w14:textId="1CFA0DC6"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09" w:anchor="ntc22-L_2018328RO.01004701-E0022"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22</w:t>
              </w:r>
              <w:r w:rsidR="008F5636" w:rsidRPr="00074769">
                <w:rPr>
                  <w:rStyle w:val="af6"/>
                  <w:color w:val="337AB7"/>
                  <w:sz w:val="20"/>
                  <w:szCs w:val="20"/>
                  <w:lang w:val="fr-FR"/>
                </w:rPr>
                <w:t>)</w:t>
              </w:r>
            </w:hyperlink>
            <w:r w:rsidR="008F5636" w:rsidRPr="00074769">
              <w:rPr>
                <w:color w:val="333333"/>
                <w:sz w:val="20"/>
                <w:szCs w:val="20"/>
                <w:lang w:val="fr-FR"/>
              </w:rPr>
              <w:t xml:space="preserve">Cu </w:t>
            </w:r>
            <w:proofErr w:type="spellStart"/>
            <w:r w:rsidR="008F5636" w:rsidRPr="00074769">
              <w:rPr>
                <w:color w:val="333333"/>
                <w:sz w:val="20"/>
                <w:szCs w:val="20"/>
                <w:lang w:val="fr-FR"/>
              </w:rPr>
              <w:t>referire</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dezvoltare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rețelelor</w:t>
            </w:r>
            <w:proofErr w:type="spellEnd"/>
            <w:r w:rsidR="008F5636" w:rsidRPr="00074769">
              <w:rPr>
                <w:color w:val="333333"/>
                <w:sz w:val="20"/>
                <w:szCs w:val="20"/>
                <w:lang w:val="fr-FR"/>
              </w:rPr>
              <w:t xml:space="preserve"> și la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regionale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investiții</w:t>
            </w:r>
            <w:proofErr w:type="spellEnd"/>
            <w:r w:rsidR="008F5636" w:rsidRPr="00074769">
              <w:rPr>
                <w:color w:val="333333"/>
                <w:sz w:val="20"/>
                <w:szCs w:val="20"/>
                <w:lang w:val="fr-FR"/>
              </w:rPr>
              <w:t xml:space="preserve"> ale OTS.</w:t>
            </w:r>
          </w:p>
          <w:p w14:paraId="15E56FCF" w14:textId="5B15BC83"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0" w:anchor="ntc23-L_2018328RO.01004701-E0023"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23</w:t>
              </w:r>
              <w:r w:rsidR="008F5636" w:rsidRPr="00074769">
                <w:rPr>
                  <w:rStyle w:val="af6"/>
                  <w:color w:val="337AB7"/>
                  <w:sz w:val="20"/>
                  <w:szCs w:val="20"/>
                  <w:lang w:val="fr-FR"/>
                </w:rPr>
                <w:t>)</w:t>
              </w:r>
            </w:hyperlink>
            <w:r w:rsidR="008F5636" w:rsidRPr="00074769">
              <w:rPr>
                <w:color w:val="333333"/>
                <w:sz w:val="20"/>
                <w:szCs w:val="20"/>
                <w:lang w:val="fr-FR"/>
              </w:rPr>
              <w:t xml:space="preserve">Cu </w:t>
            </w:r>
            <w:proofErr w:type="spellStart"/>
            <w:r w:rsidR="008F5636" w:rsidRPr="00074769">
              <w:rPr>
                <w:color w:val="333333"/>
                <w:sz w:val="20"/>
                <w:szCs w:val="20"/>
                <w:lang w:val="fr-FR"/>
              </w:rPr>
              <w:t>referire</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prezentări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generale</w:t>
            </w:r>
            <w:proofErr w:type="spellEnd"/>
            <w:r w:rsidR="008F5636" w:rsidRPr="00074769">
              <w:rPr>
                <w:color w:val="333333"/>
                <w:sz w:val="20"/>
                <w:szCs w:val="20"/>
                <w:lang w:val="fr-FR"/>
              </w:rPr>
              <w:t xml:space="preserve"> ale </w:t>
            </w:r>
            <w:proofErr w:type="spellStart"/>
            <w:r w:rsidR="008F5636" w:rsidRPr="00074769">
              <w:rPr>
                <w:color w:val="333333"/>
                <w:sz w:val="20"/>
                <w:szCs w:val="20"/>
                <w:lang w:val="fr-FR"/>
              </w:rPr>
              <w:t>infrastructurii</w:t>
            </w:r>
            <w:proofErr w:type="spellEnd"/>
            <w:r w:rsidR="008F5636" w:rsidRPr="00074769">
              <w:rPr>
                <w:color w:val="333333"/>
                <w:sz w:val="20"/>
                <w:szCs w:val="20"/>
                <w:lang w:val="fr-FR"/>
              </w:rPr>
              <w:t xml:space="preserve"> de transport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realizate</w:t>
            </w:r>
            <w:proofErr w:type="spellEnd"/>
            <w:r w:rsidR="008F5636" w:rsidRPr="00074769">
              <w:rPr>
                <w:color w:val="333333"/>
                <w:sz w:val="20"/>
                <w:szCs w:val="20"/>
                <w:lang w:val="fr-FR"/>
              </w:rPr>
              <w:t xml:space="preserve"> de OTS.</w:t>
            </w:r>
          </w:p>
          <w:p w14:paraId="1DFF2454" w14:textId="6438D96D"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1" w:anchor="ntc24-L_2018328RO.01004701-E0024"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24</w:t>
              </w:r>
              <w:r w:rsidR="008F5636" w:rsidRPr="00074769">
                <w:rPr>
                  <w:rStyle w:val="af6"/>
                  <w:color w:val="337AB7"/>
                  <w:sz w:val="20"/>
                  <w:szCs w:val="20"/>
                  <w:lang w:val="fr-FR"/>
                </w:rPr>
                <w:t>)</w:t>
              </w:r>
            </w:hyperlink>
            <w:r w:rsidR="008F5636" w:rsidRPr="00074769">
              <w:rPr>
                <w:color w:val="333333"/>
                <w:sz w:val="20"/>
                <w:szCs w:val="20"/>
                <w:lang w:val="fr-FR"/>
              </w:rPr>
              <w:t xml:space="preserve">Cu </w:t>
            </w:r>
            <w:proofErr w:type="spellStart"/>
            <w:r w:rsidR="008F5636" w:rsidRPr="00074769">
              <w:rPr>
                <w:color w:val="333333"/>
                <w:sz w:val="20"/>
                <w:szCs w:val="20"/>
                <w:lang w:val="fr-FR"/>
              </w:rPr>
              <w:t>referire</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dezvoltare</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rețelelor</w:t>
            </w:r>
            <w:proofErr w:type="spellEnd"/>
            <w:r w:rsidR="008F5636" w:rsidRPr="00074769">
              <w:rPr>
                <w:color w:val="333333"/>
                <w:sz w:val="20"/>
                <w:szCs w:val="20"/>
                <w:lang w:val="fr-FR"/>
              </w:rPr>
              <w:t xml:space="preserve"> și la </w:t>
            </w:r>
            <w:proofErr w:type="spellStart"/>
            <w:r w:rsidR="008F5636" w:rsidRPr="00074769">
              <w:rPr>
                <w:color w:val="333333"/>
                <w:sz w:val="20"/>
                <w:szCs w:val="20"/>
                <w:lang w:val="fr-FR"/>
              </w:rPr>
              <w:t>planurile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regionale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investiții</w:t>
            </w:r>
            <w:proofErr w:type="spellEnd"/>
            <w:r w:rsidR="008F5636" w:rsidRPr="00074769">
              <w:rPr>
                <w:color w:val="333333"/>
                <w:sz w:val="20"/>
                <w:szCs w:val="20"/>
                <w:lang w:val="fr-FR"/>
              </w:rPr>
              <w:t xml:space="preserve"> ale OTS.</w:t>
            </w:r>
          </w:p>
          <w:p w14:paraId="602172F8" w14:textId="0F3D12F9"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2" w:anchor="ntc25-L_2018328RO.01004701-E0025"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25</w:t>
              </w:r>
              <w:r w:rsidR="008F5636" w:rsidRPr="00074769">
                <w:rPr>
                  <w:rStyle w:val="af6"/>
                  <w:color w:val="337AB7"/>
                  <w:sz w:val="20"/>
                  <w:szCs w:val="20"/>
                  <w:lang w:val="fr-FR"/>
                </w:rPr>
                <w:t>)</w:t>
              </w:r>
              <w:proofErr w:type="spellStart"/>
            </w:hyperlink>
            <w:r w:rsidR="008F5636" w:rsidRPr="00074769">
              <w:rPr>
                <w:color w:val="333333"/>
                <w:sz w:val="20"/>
                <w:szCs w:val="20"/>
                <w:lang w:val="fr-FR"/>
              </w:rPr>
              <w:t>Politicile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planificate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sunt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opțiuni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aflate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discuție</w:t>
            </w:r>
            <w:proofErr w:type="spellEnd"/>
            <w:r w:rsidR="008F5636" w:rsidRPr="00074769">
              <w:rPr>
                <w:color w:val="333333"/>
                <w:sz w:val="20"/>
                <w:szCs w:val="20"/>
                <w:lang w:val="fr-FR"/>
              </w:rPr>
              <w:t xml:space="preserve"> care au o </w:t>
            </w:r>
            <w:proofErr w:type="spellStart"/>
            <w:r w:rsidR="008F5636" w:rsidRPr="00074769">
              <w:rPr>
                <w:color w:val="333333"/>
                <w:sz w:val="20"/>
                <w:szCs w:val="20"/>
                <w:lang w:val="fr-FR"/>
              </w:rPr>
              <w:t>șansă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reală</w:t>
            </w:r>
            <w:proofErr w:type="spellEnd"/>
            <w:r w:rsidR="008F5636" w:rsidRPr="00074769">
              <w:rPr>
                <w:color w:val="333333"/>
                <w:sz w:val="20"/>
                <w:szCs w:val="20"/>
                <w:lang w:val="fr-FR"/>
              </w:rPr>
              <w:t xml:space="preserve"> </w:t>
            </w:r>
            <w:proofErr w:type="gramStart"/>
            <w:r w:rsidR="008F5636" w:rsidRPr="00074769">
              <w:rPr>
                <w:color w:val="333333"/>
                <w:sz w:val="20"/>
                <w:szCs w:val="20"/>
                <w:lang w:val="fr-FR"/>
              </w:rPr>
              <w:t>de a</w:t>
            </w:r>
            <w:proofErr w:type="gramEnd"/>
            <w:r w:rsidR="008F5636" w:rsidRPr="00074769">
              <w:rPr>
                <w:color w:val="333333"/>
                <w:sz w:val="20"/>
                <w:szCs w:val="20"/>
                <w:lang w:val="fr-FR"/>
              </w:rPr>
              <w:t xml:space="preserve"> fi </w:t>
            </w:r>
            <w:proofErr w:type="spellStart"/>
            <w:r w:rsidR="008F5636" w:rsidRPr="00074769">
              <w:rPr>
                <w:color w:val="333333"/>
                <w:sz w:val="20"/>
                <w:szCs w:val="20"/>
                <w:lang w:val="fr-FR"/>
              </w:rPr>
              <w:t>adoptate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puse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aplicare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după</w:t>
            </w:r>
            <w:proofErr w:type="spellEnd"/>
            <w:r w:rsidR="008F5636" w:rsidRPr="00074769">
              <w:rPr>
                <w:color w:val="333333"/>
                <w:sz w:val="20"/>
                <w:szCs w:val="20"/>
                <w:lang w:val="fr-FR"/>
              </w:rPr>
              <w:t xml:space="preserve"> data </w:t>
            </w:r>
            <w:proofErr w:type="spellStart"/>
            <w:r w:rsidR="008F5636" w:rsidRPr="00074769">
              <w:rPr>
                <w:color w:val="333333"/>
                <w:sz w:val="20"/>
                <w:szCs w:val="20"/>
                <w:lang w:val="fr-FR"/>
              </w:rPr>
              <w:t>prezentării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național</w:t>
            </w:r>
            <w:proofErr w:type="spellEnd"/>
            <w:r w:rsidR="008F5636" w:rsidRPr="00074769">
              <w:rPr>
                <w:color w:val="333333"/>
                <w:sz w:val="20"/>
                <w:szCs w:val="20"/>
                <w:lang w:val="fr-FR"/>
              </w:rPr>
              <w:t xml:space="preserve">. Prin </w:t>
            </w:r>
            <w:proofErr w:type="spellStart"/>
            <w:r w:rsidR="008F5636" w:rsidRPr="00074769">
              <w:rPr>
                <w:color w:val="333333"/>
                <w:sz w:val="20"/>
                <w:szCs w:val="20"/>
                <w:lang w:val="fr-FR"/>
              </w:rPr>
              <w:t>urmare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rezultate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temeiul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punctului</w:t>
            </w:r>
            <w:proofErr w:type="spellEnd"/>
            <w:r w:rsidR="008F5636" w:rsidRPr="00074769">
              <w:rPr>
                <w:color w:val="333333"/>
                <w:sz w:val="20"/>
                <w:szCs w:val="20"/>
                <w:lang w:val="fr-FR"/>
              </w:rPr>
              <w:t xml:space="preserve"> 5.1. </w:t>
            </w:r>
            <w:proofErr w:type="spellStart"/>
            <w:proofErr w:type="gramStart"/>
            <w:r w:rsidR="008F5636" w:rsidRPr="00074769">
              <w:rPr>
                <w:color w:val="333333"/>
                <w:sz w:val="20"/>
                <w:szCs w:val="20"/>
                <w:lang w:val="fr-FR"/>
              </w:rPr>
              <w:t>subpunctul</w:t>
            </w:r>
            <w:proofErr w:type="spellEnd"/>
            <w:proofErr w:type="gramEnd"/>
            <w:r w:rsidR="008F5636" w:rsidRPr="00074769">
              <w:rPr>
                <w:color w:val="333333"/>
                <w:sz w:val="20"/>
                <w:szCs w:val="20"/>
                <w:lang w:val="fr-FR"/>
              </w:rPr>
              <w:t xml:space="preserve"> (i) </w:t>
            </w:r>
            <w:proofErr w:type="spellStart"/>
            <w:r w:rsidR="008F5636" w:rsidRPr="00074769">
              <w:rPr>
                <w:color w:val="333333"/>
                <w:sz w:val="20"/>
                <w:szCs w:val="20"/>
                <w:lang w:val="fr-FR"/>
              </w:rPr>
              <w:t>includ</w:t>
            </w:r>
            <w:proofErr w:type="spellEnd"/>
            <w:r w:rsidR="008F5636" w:rsidRPr="00074769">
              <w:rPr>
                <w:color w:val="333333"/>
                <w:sz w:val="20"/>
                <w:szCs w:val="20"/>
                <w:lang w:val="fr-FR"/>
              </w:rPr>
              <w:t xml:space="preserve"> nu </w:t>
            </w:r>
            <w:proofErr w:type="spellStart"/>
            <w:r w:rsidR="008F5636" w:rsidRPr="00074769">
              <w:rPr>
                <w:color w:val="333333"/>
                <w:sz w:val="20"/>
                <w:szCs w:val="20"/>
                <w:lang w:val="fr-FR"/>
              </w:rPr>
              <w:t>numai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puse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aplicare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adoptate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contextul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politicilor</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existente</w:t>
            </w:r>
            <w:proofErr w:type="spellEnd"/>
            <w:r w:rsidR="008F5636" w:rsidRPr="00074769">
              <w:rPr>
                <w:color w:val="333333"/>
                <w:sz w:val="20"/>
                <w:szCs w:val="20"/>
                <w:lang w:val="fr-FR"/>
              </w:rPr>
              <w:t xml:space="preserve">), ci și </w:t>
            </w:r>
            <w:proofErr w:type="spellStart"/>
            <w:r w:rsidR="008F5636" w:rsidRPr="00074769">
              <w:rPr>
                <w:color w:val="333333"/>
                <w:sz w:val="20"/>
                <w:szCs w:val="20"/>
                <w:lang w:val="fr-FR"/>
              </w:rPr>
              <w:t>politici</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măsuri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planificate</w:t>
            </w:r>
            <w:proofErr w:type="spellEnd"/>
            <w:r w:rsidR="008F5636" w:rsidRPr="00074769">
              <w:rPr>
                <w:color w:val="333333"/>
                <w:sz w:val="20"/>
                <w:szCs w:val="20"/>
                <w:lang w:val="fr-FR"/>
              </w:rPr>
              <w:t>.</w:t>
            </w:r>
          </w:p>
          <w:p w14:paraId="7E4486BB" w14:textId="59927971"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3" w:anchor="ntc26-L_2018328RO.01004701-E0026"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26</w:t>
              </w:r>
              <w:r w:rsidR="008F5636" w:rsidRPr="00074769">
                <w:rPr>
                  <w:rStyle w:val="af6"/>
                  <w:color w:val="337AB7"/>
                  <w:sz w:val="20"/>
                  <w:szCs w:val="20"/>
                  <w:lang w:val="fr-FR"/>
                </w:rPr>
                <w:t>)</w:t>
              </w:r>
              <w:proofErr w:type="spellStart"/>
            </w:hyperlink>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planul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referitor</w:t>
            </w:r>
            <w:proofErr w:type="spellEnd"/>
            <w:r w:rsidR="008F5636" w:rsidRPr="00074769">
              <w:rPr>
                <w:color w:val="333333"/>
                <w:sz w:val="20"/>
                <w:szCs w:val="20"/>
                <w:lang w:val="fr-FR"/>
              </w:rPr>
              <w:t xml:space="preserve"> la perioada 2021-</w:t>
            </w:r>
            <w:proofErr w:type="gramStart"/>
            <w:r w:rsidR="008F5636" w:rsidRPr="00074769">
              <w:rPr>
                <w:color w:val="333333"/>
                <w:sz w:val="20"/>
                <w:szCs w:val="20"/>
                <w:lang w:val="fr-FR"/>
              </w:rPr>
              <w:t>2030:</w:t>
            </w:r>
            <w:proofErr w:type="gram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fiecare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parametru</w:t>
            </w:r>
            <w:proofErr w:type="spellEnd"/>
            <w:r w:rsidR="008F5636" w:rsidRPr="00074769">
              <w:rPr>
                <w:color w:val="333333"/>
                <w:sz w:val="20"/>
                <w:szCs w:val="20"/>
                <w:lang w:val="fr-FR"/>
              </w:rPr>
              <w:t>/</w:t>
            </w:r>
            <w:proofErr w:type="spellStart"/>
            <w:r w:rsidR="008F5636" w:rsidRPr="00074769">
              <w:rPr>
                <w:color w:val="333333"/>
                <w:sz w:val="20"/>
                <w:szCs w:val="20"/>
                <w:lang w:val="fr-FR"/>
              </w:rPr>
              <w:t>variabilă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listă</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raportează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atât</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secțiunea</w:t>
            </w:r>
            <w:proofErr w:type="spellEnd"/>
            <w:r w:rsidR="008F5636" w:rsidRPr="00074769">
              <w:rPr>
                <w:color w:val="333333"/>
                <w:sz w:val="20"/>
                <w:szCs w:val="20"/>
                <w:lang w:val="fr-FR"/>
              </w:rPr>
              <w:t xml:space="preserve"> 4, </w:t>
            </w:r>
            <w:proofErr w:type="spellStart"/>
            <w:r w:rsidR="008F5636" w:rsidRPr="00074769">
              <w:rPr>
                <w:color w:val="333333"/>
                <w:sz w:val="20"/>
                <w:szCs w:val="20"/>
                <w:lang w:val="fr-FR"/>
              </w:rPr>
              <w:t>cât</w:t>
            </w:r>
            <w:proofErr w:type="spellEnd"/>
            <w:r w:rsidR="008F5636" w:rsidRPr="00074769">
              <w:rPr>
                <w:color w:val="333333"/>
                <w:sz w:val="20"/>
                <w:szCs w:val="20"/>
                <w:lang w:val="fr-FR"/>
              </w:rPr>
              <w:t xml:space="preserve"> și în </w:t>
            </w:r>
            <w:proofErr w:type="spellStart"/>
            <w:r w:rsidR="008F5636" w:rsidRPr="00074769">
              <w:rPr>
                <w:color w:val="333333"/>
                <w:sz w:val="20"/>
                <w:szCs w:val="20"/>
                <w:lang w:val="fr-FR"/>
              </w:rPr>
              <w:t>secțiunea</w:t>
            </w:r>
            <w:proofErr w:type="spellEnd"/>
            <w:r w:rsidR="008F5636" w:rsidRPr="00074769">
              <w:rPr>
                <w:color w:val="333333"/>
                <w:sz w:val="20"/>
                <w:szCs w:val="20"/>
                <w:lang w:val="ro-MD"/>
              </w:rPr>
              <w:t xml:space="preserve"> </w:t>
            </w:r>
            <w:r w:rsidR="008F5636" w:rsidRPr="00074769">
              <w:rPr>
                <w:color w:val="333333"/>
                <w:sz w:val="20"/>
                <w:szCs w:val="20"/>
                <w:lang w:val="fr-FR"/>
              </w:rPr>
              <w:t xml:space="preserve">5, </w:t>
            </w:r>
            <w:proofErr w:type="spellStart"/>
            <w:r w:rsidR="008F5636" w:rsidRPr="00074769">
              <w:rPr>
                <w:color w:val="333333"/>
                <w:sz w:val="20"/>
                <w:szCs w:val="20"/>
                <w:lang w:val="fr-FR"/>
              </w:rPr>
              <w:t>tendințele</w:t>
            </w:r>
            <w:proofErr w:type="spellEnd"/>
            <w:r w:rsidR="008F5636" w:rsidRPr="00074769">
              <w:rPr>
                <w:color w:val="333333"/>
                <w:sz w:val="20"/>
                <w:szCs w:val="20"/>
                <w:lang w:val="fr-FR"/>
              </w:rPr>
              <w:t xml:space="preserve"> în perioada 2005-2040 (2005-2050, </w:t>
            </w:r>
            <w:proofErr w:type="spellStart"/>
            <w:r w:rsidR="008F5636" w:rsidRPr="00074769">
              <w:rPr>
                <w:color w:val="333333"/>
                <w:sz w:val="20"/>
                <w:szCs w:val="20"/>
                <w:lang w:val="fr-FR"/>
              </w:rPr>
              <w:t>dacă</w:t>
            </w:r>
            <w:proofErr w:type="spellEnd"/>
            <w:r w:rsidR="008F5636" w:rsidRPr="00074769">
              <w:rPr>
                <w:color w:val="333333"/>
                <w:sz w:val="20"/>
                <w:szCs w:val="20"/>
                <w:lang w:val="fr-FR"/>
              </w:rPr>
              <w:t xml:space="preserve"> este </w:t>
            </w:r>
            <w:proofErr w:type="spellStart"/>
            <w:r w:rsidR="008F5636" w:rsidRPr="00074769">
              <w:rPr>
                <w:color w:val="333333"/>
                <w:sz w:val="20"/>
                <w:szCs w:val="20"/>
                <w:lang w:val="fr-FR"/>
              </w:rPr>
              <w:t>cazul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inclusiv</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anul 2030, în </w:t>
            </w:r>
            <w:proofErr w:type="spellStart"/>
            <w:r w:rsidR="008F5636" w:rsidRPr="00074769">
              <w:rPr>
                <w:color w:val="333333"/>
                <w:sz w:val="20"/>
                <w:szCs w:val="20"/>
                <w:lang w:val="fr-FR"/>
              </w:rPr>
              <w:t>intervale</w:t>
            </w:r>
            <w:proofErr w:type="spellEnd"/>
            <w:r w:rsidR="008F5636" w:rsidRPr="00074769">
              <w:rPr>
                <w:color w:val="333333"/>
                <w:sz w:val="20"/>
                <w:szCs w:val="20"/>
                <w:lang w:val="fr-FR"/>
              </w:rPr>
              <w:t xml:space="preserve"> de </w:t>
            </w:r>
            <w:proofErr w:type="spellStart"/>
            <w:r w:rsidR="008F5636" w:rsidRPr="00074769">
              <w:rPr>
                <w:color w:val="333333"/>
                <w:sz w:val="20"/>
                <w:szCs w:val="20"/>
                <w:lang w:val="fr-FR"/>
              </w:rPr>
              <w:t>cinci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ani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indicat</w:t>
            </w:r>
            <w:proofErr w:type="spellEnd"/>
            <w:r w:rsidR="008F5636" w:rsidRPr="00074769">
              <w:rPr>
                <w:color w:val="333333"/>
                <w:sz w:val="20"/>
                <w:szCs w:val="20"/>
                <w:lang w:val="fr-FR"/>
              </w:rPr>
              <w:t xml:space="preserve"> un </w:t>
            </w:r>
            <w:proofErr w:type="spellStart"/>
            <w:r w:rsidR="008F5636" w:rsidRPr="00074769">
              <w:rPr>
                <w:color w:val="333333"/>
                <w:sz w:val="20"/>
                <w:szCs w:val="20"/>
                <w:lang w:val="fr-FR"/>
              </w:rPr>
              <w:t>parametru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bazat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ipoteze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exogene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raport</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rezultatele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modelării</w:t>
            </w:r>
            <w:proofErr w:type="spellEnd"/>
            <w:r w:rsidR="008F5636" w:rsidRPr="00074769">
              <w:rPr>
                <w:color w:val="333333"/>
                <w:sz w:val="20"/>
                <w:szCs w:val="20"/>
                <w:lang w:val="fr-FR"/>
              </w:rPr>
              <w:t>.</w:t>
            </w:r>
          </w:p>
          <w:p w14:paraId="25F1B0B1" w14:textId="29E7B479"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4" w:anchor="ntc27-L_2018328RO.01004701-E0027"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27</w:t>
              </w:r>
              <w:r w:rsidR="008F5636" w:rsidRPr="00074769">
                <w:rPr>
                  <w:rStyle w:val="af6"/>
                  <w:color w:val="337AB7"/>
                  <w:sz w:val="20"/>
                  <w:szCs w:val="20"/>
                  <w:lang w:val="fr-FR"/>
                </w:rPr>
                <w:t>)</w:t>
              </w:r>
            </w:hyperlink>
            <w:r w:rsidR="008F5636" w:rsidRPr="00074769">
              <w:rPr>
                <w:color w:val="333333"/>
                <w:sz w:val="20"/>
                <w:szCs w:val="20"/>
                <w:lang w:val="fr-FR"/>
              </w:rPr>
              <w:t xml:space="preserve">În </w:t>
            </w:r>
            <w:proofErr w:type="spellStart"/>
            <w:r w:rsidR="008F5636" w:rsidRPr="00074769">
              <w:rPr>
                <w:color w:val="333333"/>
                <w:sz w:val="20"/>
                <w:szCs w:val="20"/>
                <w:lang w:val="fr-FR"/>
              </w:rPr>
              <w:t>măsura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posibilului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datele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prognozele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raportate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trebuie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bazeze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să</w:t>
            </w:r>
            <w:proofErr w:type="spellEnd"/>
            <w:r w:rsidR="008F5636" w:rsidRPr="00074769">
              <w:rPr>
                <w:color w:val="333333"/>
                <w:sz w:val="20"/>
                <w:szCs w:val="20"/>
                <w:lang w:val="fr-FR"/>
              </w:rPr>
              <w:t xml:space="preserve"> fie </w:t>
            </w:r>
            <w:proofErr w:type="spellStart"/>
            <w:r w:rsidR="008F5636" w:rsidRPr="00074769">
              <w:rPr>
                <w:color w:val="333333"/>
                <w:sz w:val="20"/>
                <w:szCs w:val="20"/>
                <w:lang w:val="fr-FR"/>
              </w:rPr>
              <w:t>consecvente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datele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metodologia</w:t>
            </w:r>
            <w:proofErr w:type="spellEnd"/>
            <w:r w:rsidR="008F5636" w:rsidRPr="00074769">
              <w:rPr>
                <w:color w:val="333333"/>
                <w:sz w:val="20"/>
                <w:szCs w:val="20"/>
                <w:lang w:val="fr-FR"/>
              </w:rPr>
              <w:t xml:space="preserve"> EUROSTAT </w:t>
            </w:r>
            <w:proofErr w:type="spellStart"/>
            <w:r w:rsidR="008F5636" w:rsidRPr="00074769">
              <w:rPr>
                <w:color w:val="333333"/>
                <w:sz w:val="20"/>
                <w:szCs w:val="20"/>
                <w:lang w:val="fr-FR"/>
              </w:rPr>
              <w:t>utilizate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raportarea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statisticilor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europene</w:t>
            </w:r>
            <w:proofErr w:type="spellEnd"/>
            <w:r w:rsidR="008F5636" w:rsidRPr="00074769">
              <w:rPr>
                <w:color w:val="333333"/>
                <w:sz w:val="20"/>
                <w:szCs w:val="20"/>
                <w:lang w:val="fr-FR"/>
              </w:rPr>
              <w:t xml:space="preserve"> în </w:t>
            </w:r>
            <w:proofErr w:type="spellStart"/>
            <w:r w:rsidR="008F5636" w:rsidRPr="00074769">
              <w:rPr>
                <w:color w:val="333333"/>
                <w:sz w:val="20"/>
                <w:szCs w:val="20"/>
                <w:lang w:val="fr-FR"/>
              </w:rPr>
              <w:t>actele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legislative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sectoriale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relevante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deoarece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statisticile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europene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constituie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sursa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primară</w:t>
            </w:r>
            <w:proofErr w:type="spellEnd"/>
            <w:r w:rsidR="008F5636" w:rsidRPr="00074769">
              <w:rPr>
                <w:color w:val="333333"/>
                <w:sz w:val="20"/>
                <w:szCs w:val="20"/>
                <w:lang w:val="fr-FR"/>
              </w:rPr>
              <w:t xml:space="preserve"> a </w:t>
            </w:r>
            <w:proofErr w:type="spellStart"/>
            <w:r w:rsidR="008F5636" w:rsidRPr="00074769">
              <w:rPr>
                <w:color w:val="333333"/>
                <w:sz w:val="20"/>
                <w:szCs w:val="20"/>
                <w:lang w:val="fr-FR"/>
              </w:rPr>
              <w:t>datelor</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statistice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utilizate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raportare</w:t>
            </w:r>
            <w:proofErr w:type="spellEnd"/>
            <w:r w:rsidR="008F5636" w:rsidRPr="00074769">
              <w:rPr>
                <w:color w:val="333333"/>
                <w:sz w:val="20"/>
                <w:szCs w:val="20"/>
                <w:lang w:val="fr-FR"/>
              </w:rPr>
              <w:t xml:space="preserve"> și </w:t>
            </w:r>
            <w:proofErr w:type="spellStart"/>
            <w:r w:rsidR="008F5636" w:rsidRPr="00074769">
              <w:rPr>
                <w:color w:val="333333"/>
                <w:sz w:val="20"/>
                <w:szCs w:val="20"/>
                <w:lang w:val="fr-FR"/>
              </w:rPr>
              <w:t>monitorizare</w:t>
            </w:r>
            <w:proofErr w:type="spellEnd"/>
            <w:r w:rsidR="008F5636" w:rsidRPr="00074769">
              <w:rPr>
                <w:color w:val="333333"/>
                <w:sz w:val="20"/>
                <w:szCs w:val="20"/>
                <w:lang w:val="fr-FR"/>
              </w:rPr>
              <w:t xml:space="preserve">, în conformitate </w:t>
            </w:r>
            <w:proofErr w:type="spellStart"/>
            <w:r w:rsidR="008F5636" w:rsidRPr="00074769">
              <w:rPr>
                <w:color w:val="333333"/>
                <w:sz w:val="20"/>
                <w:szCs w:val="20"/>
                <w:lang w:val="fr-FR"/>
              </w:rPr>
              <w:t>cu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Regulamentul</w:t>
            </w:r>
            <w:proofErr w:type="spellEnd"/>
            <w:r w:rsidR="008F5636" w:rsidRPr="00074769">
              <w:rPr>
                <w:color w:val="333333"/>
                <w:sz w:val="20"/>
                <w:szCs w:val="20"/>
                <w:lang w:val="fr-FR"/>
              </w:rPr>
              <w:t xml:space="preserve"> (CE) nr. 223/2009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statisticile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europene</w:t>
            </w:r>
            <w:proofErr w:type="spellEnd"/>
            <w:r w:rsidR="008F5636" w:rsidRPr="00074769">
              <w:rPr>
                <w:color w:val="333333"/>
                <w:sz w:val="20"/>
                <w:szCs w:val="20"/>
                <w:lang w:val="fr-FR"/>
              </w:rPr>
              <w:t>.</w:t>
            </w:r>
          </w:p>
          <w:p w14:paraId="44143A69" w14:textId="0CBC5296"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5" w:anchor="ntc28-L_2018328RO.01004701-E0028"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28</w:t>
              </w:r>
              <w:r w:rsidR="008F5636" w:rsidRPr="00074769">
                <w:rPr>
                  <w:rStyle w:val="af6"/>
                  <w:color w:val="337AB7"/>
                  <w:sz w:val="20"/>
                  <w:szCs w:val="20"/>
                  <w:lang w:val="fr-FR"/>
                </w:rPr>
                <w:t>)</w:t>
              </w:r>
              <w:proofErr w:type="spellStart"/>
            </w:hyperlink>
            <w:proofErr w:type="gramStart"/>
            <w:r w:rsidR="008F5636" w:rsidRPr="00074769">
              <w:rPr>
                <w:color w:val="333333"/>
                <w:sz w:val="20"/>
                <w:szCs w:val="20"/>
                <w:lang w:val="fr-FR"/>
              </w:rPr>
              <w:t>Notă</w:t>
            </w:r>
            <w:proofErr w:type="spellEnd"/>
            <w:r w:rsidR="008F5636" w:rsidRPr="00074769">
              <w:rPr>
                <w:color w:val="333333"/>
                <w:sz w:val="20"/>
                <w:szCs w:val="20"/>
                <w:lang w:val="fr-FR"/>
              </w:rPr>
              <w:t>:</w:t>
            </w:r>
            <w:proofErr w:type="gramEnd"/>
            <w:r w:rsidR="008F5636" w:rsidRPr="00074769">
              <w:rPr>
                <w:color w:val="333333"/>
                <w:sz w:val="20"/>
                <w:szCs w:val="20"/>
                <w:lang w:val="fr-FR"/>
              </w:rPr>
              <w:t xml:space="preserve"> </w:t>
            </w:r>
            <w:proofErr w:type="spellStart"/>
            <w:r w:rsidR="008F5636" w:rsidRPr="00074769">
              <w:rPr>
                <w:color w:val="333333"/>
                <w:sz w:val="20"/>
                <w:szCs w:val="20"/>
                <w:lang w:val="fr-FR"/>
              </w:rPr>
              <w:t>toate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prognozele</w:t>
            </w:r>
            <w:proofErr w:type="spellEnd"/>
            <w:r w:rsidR="008F5636" w:rsidRPr="00074769">
              <w:rPr>
                <w:color w:val="333333"/>
                <w:sz w:val="20"/>
                <w:szCs w:val="20"/>
                <w:lang w:val="fr-FR"/>
              </w:rPr>
              <w:t xml:space="preserve"> se </w:t>
            </w:r>
            <w:proofErr w:type="spellStart"/>
            <w:r w:rsidR="008F5636" w:rsidRPr="00074769">
              <w:rPr>
                <w:color w:val="333333"/>
                <w:sz w:val="20"/>
                <w:szCs w:val="20"/>
                <w:lang w:val="fr-FR"/>
              </w:rPr>
              <w:t>realizează</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baza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prețurilor</w:t>
            </w:r>
            <w:proofErr w:type="spellEnd"/>
            <w:r w:rsidR="008F5636" w:rsidRPr="00074769">
              <w:rPr>
                <w:color w:val="333333"/>
                <w:sz w:val="20"/>
                <w:szCs w:val="20"/>
                <w:lang w:val="fr-FR"/>
              </w:rPr>
              <w:t xml:space="preserve"> constante (</w:t>
            </w:r>
            <w:proofErr w:type="spellStart"/>
            <w:r w:rsidR="008F5636" w:rsidRPr="00074769">
              <w:rPr>
                <w:color w:val="333333"/>
                <w:sz w:val="20"/>
                <w:szCs w:val="20"/>
                <w:lang w:val="fr-FR"/>
              </w:rPr>
              <w:t>prețuri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din</w:t>
            </w:r>
            <w:proofErr w:type="spellEnd"/>
            <w:r w:rsidR="008F5636" w:rsidRPr="00074769">
              <w:rPr>
                <w:color w:val="333333"/>
                <w:sz w:val="20"/>
                <w:szCs w:val="20"/>
                <w:lang w:val="fr-FR"/>
              </w:rPr>
              <w:t xml:space="preserve"> 2016 </w:t>
            </w:r>
            <w:proofErr w:type="spellStart"/>
            <w:r w:rsidR="008F5636" w:rsidRPr="00074769">
              <w:rPr>
                <w:color w:val="333333"/>
                <w:sz w:val="20"/>
                <w:szCs w:val="20"/>
                <w:lang w:val="fr-FR"/>
              </w:rPr>
              <w:t>utilizate</w:t>
            </w:r>
            <w:proofErr w:type="spellEnd"/>
            <w:r w:rsidR="008F5636" w:rsidRPr="00074769">
              <w:rPr>
                <w:color w:val="333333"/>
                <w:sz w:val="20"/>
                <w:szCs w:val="20"/>
                <w:lang w:val="fr-FR"/>
              </w:rPr>
              <w:t xml:space="preserve"> ca an de </w:t>
            </w:r>
            <w:proofErr w:type="spellStart"/>
            <w:r w:rsidR="008F5636" w:rsidRPr="00074769">
              <w:rPr>
                <w:color w:val="333333"/>
                <w:sz w:val="20"/>
                <w:szCs w:val="20"/>
                <w:lang w:val="fr-FR"/>
              </w:rPr>
              <w:t>referință</w:t>
            </w:r>
            <w:proofErr w:type="spellEnd"/>
            <w:r w:rsidR="008F5636" w:rsidRPr="00074769">
              <w:rPr>
                <w:color w:val="333333"/>
                <w:sz w:val="20"/>
                <w:szCs w:val="20"/>
                <w:lang w:val="fr-FR"/>
              </w:rPr>
              <w:t>).</w:t>
            </w:r>
          </w:p>
          <w:p w14:paraId="022B96C2" w14:textId="7F83E18B" w:rsidR="008F5636" w:rsidRPr="00074769" w:rsidRDefault="00000000" w:rsidP="008F5636">
            <w:pPr>
              <w:pStyle w:val="note"/>
              <w:shd w:val="clear" w:color="auto" w:fill="FFFFFF"/>
              <w:spacing w:before="0" w:beforeAutospacing="0" w:after="0" w:afterAutospacing="0"/>
              <w:jc w:val="both"/>
              <w:rPr>
                <w:color w:val="333333"/>
                <w:sz w:val="20"/>
                <w:szCs w:val="20"/>
                <w:lang w:val="fr-FR"/>
              </w:rPr>
            </w:pPr>
            <w:hyperlink r:id="rId116" w:anchor="ntc29-L_2018328RO.01004701-E0029" w:history="1">
              <w:r w:rsidR="008F5636" w:rsidRPr="00074769">
                <w:rPr>
                  <w:rStyle w:val="af6"/>
                  <w:color w:val="337AB7"/>
                  <w:sz w:val="20"/>
                  <w:szCs w:val="20"/>
                  <w:lang w:val="fr-FR"/>
                </w:rPr>
                <w:t>(</w:t>
              </w:r>
              <w:r w:rsidR="008F5636" w:rsidRPr="00074769">
                <w:rPr>
                  <w:rStyle w:val="super"/>
                  <w:color w:val="337AB7"/>
                  <w:sz w:val="20"/>
                  <w:szCs w:val="20"/>
                  <w:vertAlign w:val="superscript"/>
                  <w:lang w:val="fr-FR"/>
                </w:rPr>
                <w:t>29</w:t>
              </w:r>
              <w:r w:rsidR="008F5636" w:rsidRPr="00074769">
                <w:rPr>
                  <w:rStyle w:val="af6"/>
                  <w:color w:val="337AB7"/>
                  <w:sz w:val="20"/>
                  <w:szCs w:val="20"/>
                  <w:lang w:val="fr-FR"/>
                </w:rPr>
                <w:t>)</w:t>
              </w:r>
              <w:proofErr w:type="spellStart"/>
            </w:hyperlink>
            <w:r w:rsidR="008F5636" w:rsidRPr="00074769">
              <w:rPr>
                <w:color w:val="333333"/>
                <w:sz w:val="20"/>
                <w:szCs w:val="20"/>
                <w:lang w:val="fr-FR"/>
              </w:rPr>
              <w:t>Comisia</w:t>
            </w:r>
            <w:proofErr w:type="spellEnd"/>
            <w:r w:rsidR="008F5636" w:rsidRPr="00074769">
              <w:rPr>
                <w:color w:val="333333"/>
                <w:sz w:val="20"/>
                <w:szCs w:val="20"/>
                <w:lang w:val="fr-FR"/>
              </w:rPr>
              <w:t xml:space="preserve"> va </w:t>
            </w:r>
            <w:proofErr w:type="spellStart"/>
            <w:r w:rsidR="008F5636" w:rsidRPr="00074769">
              <w:rPr>
                <w:color w:val="333333"/>
                <w:sz w:val="20"/>
                <w:szCs w:val="20"/>
                <w:lang w:val="fr-FR"/>
              </w:rPr>
              <w:t>furniza</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recomandări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privind</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parametrii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esențiali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prognoze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referitori</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cel</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puțin</w:t>
            </w:r>
            <w:proofErr w:type="spellEnd"/>
            <w:r w:rsidR="008F5636" w:rsidRPr="00074769">
              <w:rPr>
                <w:color w:val="333333"/>
                <w:sz w:val="20"/>
                <w:szCs w:val="20"/>
                <w:lang w:val="fr-FR"/>
              </w:rPr>
              <w:t xml:space="preserve"> la </w:t>
            </w:r>
            <w:proofErr w:type="spellStart"/>
            <w:r w:rsidR="008F5636" w:rsidRPr="00074769">
              <w:rPr>
                <w:color w:val="333333"/>
                <w:sz w:val="20"/>
                <w:szCs w:val="20"/>
                <w:lang w:val="fr-FR"/>
              </w:rPr>
              <w:t>prețurile</w:t>
            </w:r>
            <w:proofErr w:type="spellEnd"/>
            <w:r w:rsidR="008F5636" w:rsidRPr="00074769">
              <w:rPr>
                <w:color w:val="333333"/>
                <w:sz w:val="20"/>
                <w:szCs w:val="20"/>
                <w:lang w:val="fr-FR"/>
              </w:rPr>
              <w:t xml:space="preserve"> </w:t>
            </w:r>
            <w:proofErr w:type="gramStart"/>
            <w:r w:rsidR="008F5636" w:rsidRPr="00074769">
              <w:rPr>
                <w:color w:val="333333"/>
                <w:sz w:val="20"/>
                <w:szCs w:val="20"/>
                <w:lang w:val="fr-FR"/>
              </w:rPr>
              <w:t xml:space="preserve">de </w:t>
            </w:r>
            <w:r w:rsidR="008F5636" w:rsidRPr="00074769">
              <w:rPr>
                <w:color w:val="333333"/>
                <w:sz w:val="20"/>
                <w:szCs w:val="20"/>
                <w:lang w:val="fr-FR"/>
              </w:rPr>
              <w:lastRenderedPageBreak/>
              <w:t>import</w:t>
            </w:r>
            <w:proofErr w:type="gramEnd"/>
            <w:r w:rsidR="008F5636" w:rsidRPr="00074769">
              <w:rPr>
                <w:color w:val="333333"/>
                <w:sz w:val="20"/>
                <w:szCs w:val="20"/>
                <w:lang w:val="fr-FR"/>
              </w:rPr>
              <w:t xml:space="preserve"> </w:t>
            </w:r>
            <w:proofErr w:type="spellStart"/>
            <w:r w:rsidR="008F5636" w:rsidRPr="00074769">
              <w:rPr>
                <w:color w:val="333333"/>
                <w:sz w:val="20"/>
                <w:szCs w:val="20"/>
                <w:lang w:val="fr-FR"/>
              </w:rPr>
              <w:t>pentru</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petrol</w:t>
            </w:r>
            <w:proofErr w:type="spellEnd"/>
            <w:r w:rsidR="008F5636" w:rsidRPr="00074769">
              <w:rPr>
                <w:color w:val="333333"/>
                <w:sz w:val="20"/>
                <w:szCs w:val="20"/>
                <w:lang w:val="fr-FR"/>
              </w:rPr>
              <w:t xml:space="preserve">, gaz și </w:t>
            </w:r>
            <w:proofErr w:type="spellStart"/>
            <w:r w:rsidR="008F5636" w:rsidRPr="00074769">
              <w:rPr>
                <w:color w:val="333333"/>
                <w:sz w:val="20"/>
                <w:szCs w:val="20"/>
                <w:lang w:val="fr-FR"/>
              </w:rPr>
              <w:t>cărbune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precum</w:t>
            </w:r>
            <w:proofErr w:type="spellEnd"/>
            <w:r w:rsidR="008F5636" w:rsidRPr="00074769">
              <w:rPr>
                <w:color w:val="333333"/>
                <w:sz w:val="20"/>
                <w:szCs w:val="20"/>
                <w:lang w:val="fr-FR"/>
              </w:rPr>
              <w:t xml:space="preserve"> și la </w:t>
            </w:r>
            <w:proofErr w:type="spellStart"/>
            <w:r w:rsidR="008F5636" w:rsidRPr="00074769">
              <w:rPr>
                <w:color w:val="333333"/>
                <w:sz w:val="20"/>
                <w:szCs w:val="20"/>
                <w:lang w:val="fr-FR"/>
              </w:rPr>
              <w:t>prețurile</w:t>
            </w:r>
            <w:proofErr w:type="spellEnd"/>
            <w:r w:rsidR="008F5636" w:rsidRPr="00074769">
              <w:rPr>
                <w:color w:val="333333"/>
                <w:sz w:val="20"/>
                <w:szCs w:val="20"/>
                <w:lang w:val="fr-FR"/>
              </w:rPr>
              <w:t xml:space="preserve"> </w:t>
            </w:r>
            <w:proofErr w:type="spellStart"/>
            <w:r w:rsidR="008F5636" w:rsidRPr="00074769">
              <w:rPr>
                <w:color w:val="333333"/>
                <w:sz w:val="20"/>
                <w:szCs w:val="20"/>
                <w:lang w:val="fr-FR"/>
              </w:rPr>
              <w:t>dioxidului</w:t>
            </w:r>
            <w:proofErr w:type="spellEnd"/>
            <w:r w:rsidR="008F5636" w:rsidRPr="00074769">
              <w:rPr>
                <w:color w:val="333333"/>
                <w:sz w:val="20"/>
                <w:szCs w:val="20"/>
                <w:lang w:val="fr-FR"/>
              </w:rPr>
              <w:t xml:space="preserve"> de carbon în cadrul EU ETS.</w:t>
            </w:r>
          </w:p>
        </w:tc>
        <w:tc>
          <w:tcPr>
            <w:tcW w:w="4440" w:type="dxa"/>
          </w:tcPr>
          <w:p w14:paraId="5D433351" w14:textId="59C5491B" w:rsidR="008F5636" w:rsidRPr="0004724A" w:rsidRDefault="008F5636" w:rsidP="00070197">
            <w:pPr>
              <w:pStyle w:val="ti-grseq-1"/>
              <w:shd w:val="clear" w:color="auto" w:fill="FFFFFF"/>
              <w:spacing w:before="0" w:beforeAutospacing="0" w:after="0" w:afterAutospacing="0"/>
              <w:rPr>
                <w:sz w:val="20"/>
                <w:szCs w:val="20"/>
                <w:shd w:val="clear" w:color="auto" w:fill="FFFFFF"/>
                <w:lang w:val="ro-MD"/>
              </w:rPr>
            </w:pPr>
          </w:p>
        </w:tc>
        <w:tc>
          <w:tcPr>
            <w:tcW w:w="1276" w:type="dxa"/>
          </w:tcPr>
          <w:p w14:paraId="2726CD12" w14:textId="26CC528C" w:rsidR="008F5636" w:rsidRPr="00C951E7" w:rsidRDefault="00B67A53" w:rsidP="008F5636">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8F5636" w:rsidRPr="00C951E7">
              <w:rPr>
                <w:rFonts w:ascii="Times New Roman" w:hAnsi="Times New Roman"/>
                <w:bCs/>
                <w:color w:val="000000" w:themeColor="text1"/>
                <w:sz w:val="20"/>
                <w:szCs w:val="20"/>
                <w:lang w:val="ro-RO"/>
              </w:rPr>
              <w:t>ompatibil</w:t>
            </w:r>
          </w:p>
          <w:p w14:paraId="76149606" w14:textId="77777777" w:rsidR="008F5636" w:rsidRPr="00E010A5" w:rsidRDefault="008F5636" w:rsidP="008F5636">
            <w:pPr>
              <w:pStyle w:val="ColorfulList-Accent11"/>
              <w:spacing w:after="0" w:line="240" w:lineRule="auto"/>
              <w:ind w:left="0"/>
              <w:jc w:val="both"/>
              <w:rPr>
                <w:lang w:val="fr-FR"/>
              </w:rPr>
            </w:pPr>
          </w:p>
        </w:tc>
        <w:tc>
          <w:tcPr>
            <w:tcW w:w="1276" w:type="dxa"/>
          </w:tcPr>
          <w:p w14:paraId="0ECC4EBB" w14:textId="77777777" w:rsidR="008F5636" w:rsidRPr="00E010A5" w:rsidRDefault="008F5636" w:rsidP="008F5636">
            <w:pPr>
              <w:pStyle w:val="ColorfulList-Accent11"/>
              <w:spacing w:after="0" w:line="240" w:lineRule="auto"/>
              <w:ind w:left="0"/>
              <w:jc w:val="both"/>
              <w:rPr>
                <w:lang w:val="fr-FR"/>
              </w:rPr>
            </w:pPr>
          </w:p>
        </w:tc>
        <w:tc>
          <w:tcPr>
            <w:tcW w:w="1701" w:type="dxa"/>
          </w:tcPr>
          <w:p w14:paraId="64E960EE" w14:textId="77777777" w:rsidR="005D5B0E" w:rsidRPr="003C74D7" w:rsidRDefault="005D5B0E" w:rsidP="005D5B0E">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în </w:t>
            </w:r>
          </w:p>
          <w:p w14:paraId="68387AA0" w14:textId="77777777" w:rsidR="005D5B0E" w:rsidRDefault="005D5B0E" w:rsidP="005D5B0E">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28912FF4" w14:textId="77777777" w:rsidR="005D5B0E" w:rsidRDefault="005D5B0E" w:rsidP="00F10EF8">
            <w:pPr>
              <w:autoSpaceDE w:val="0"/>
              <w:spacing w:after="0" w:line="240" w:lineRule="auto"/>
              <w:rPr>
                <w:rFonts w:ascii="Times New Roman" w:hAnsi="Times New Roman"/>
                <w:sz w:val="20"/>
                <w:szCs w:val="20"/>
                <w:lang w:val="ro-RO" w:eastAsia="zh-CN"/>
              </w:rPr>
            </w:pPr>
          </w:p>
          <w:p w14:paraId="4D55855A" w14:textId="67EA74D6" w:rsidR="00F10EF8" w:rsidRPr="00D71AA7" w:rsidRDefault="00F10EF8" w:rsidP="00F10EF8">
            <w:pPr>
              <w:autoSpaceDE w:val="0"/>
              <w:spacing w:after="0" w:line="240" w:lineRule="auto"/>
              <w:rPr>
                <w:rFonts w:ascii="Times New Roman" w:hAnsi="Times New Roman"/>
                <w:sz w:val="20"/>
                <w:szCs w:val="20"/>
                <w:lang w:val="ro-RO" w:eastAsia="ru-RU"/>
              </w:rPr>
            </w:pPr>
            <w:r w:rsidRPr="00D71AA7">
              <w:rPr>
                <w:rFonts w:ascii="Times New Roman" w:hAnsi="Times New Roman"/>
                <w:sz w:val="20"/>
                <w:szCs w:val="20"/>
                <w:lang w:val="ro-RO" w:eastAsia="zh-CN"/>
              </w:rPr>
              <w:t xml:space="preserve">Prevederile </w:t>
            </w:r>
            <w:r>
              <w:rPr>
                <w:rFonts w:ascii="Times New Roman" w:hAnsi="Times New Roman"/>
                <w:sz w:val="20"/>
                <w:szCs w:val="20"/>
                <w:lang w:val="ro-RO" w:eastAsia="zh-CN"/>
              </w:rPr>
              <w:t xml:space="preserve">privind Planul SET </w:t>
            </w:r>
            <w:r w:rsidRPr="00D71AA7">
              <w:rPr>
                <w:rFonts w:ascii="Times New Roman" w:hAnsi="Times New Roman"/>
                <w:sz w:val="20"/>
                <w:szCs w:val="20"/>
                <w:lang w:val="ro-RO" w:eastAsia="zh-CN"/>
              </w:rPr>
              <w:t xml:space="preserve">nu pot fi transpuse deoarece </w:t>
            </w:r>
          </w:p>
          <w:p w14:paraId="64E99AB8" w14:textId="727AB123" w:rsidR="00F10EF8" w:rsidRPr="00D71AA7" w:rsidRDefault="00F10EF8" w:rsidP="00F10EF8">
            <w:pPr>
              <w:autoSpaceDE w:val="0"/>
              <w:spacing w:after="0" w:line="240" w:lineRule="auto"/>
              <w:rPr>
                <w:rFonts w:ascii="Times New Roman" w:hAnsi="Times New Roman"/>
                <w:sz w:val="20"/>
                <w:szCs w:val="20"/>
                <w:lang w:val="ro-RO" w:eastAsia="zh-CN"/>
              </w:rPr>
            </w:pPr>
            <w:r w:rsidRPr="00D71AA7">
              <w:rPr>
                <w:rFonts w:ascii="Times New Roman" w:hAnsi="Times New Roman"/>
                <w:sz w:val="20"/>
                <w:szCs w:val="20"/>
                <w:lang w:val="ro-RO" w:eastAsia="ru-RU"/>
              </w:rPr>
              <w:t xml:space="preserve">nu </w:t>
            </w:r>
            <w:r>
              <w:rPr>
                <w:rFonts w:ascii="Times New Roman" w:hAnsi="Times New Roman"/>
                <w:sz w:val="20"/>
                <w:szCs w:val="20"/>
                <w:lang w:val="ro-RO" w:eastAsia="ru-RU"/>
              </w:rPr>
              <w:t>sunt</w:t>
            </w:r>
            <w:r w:rsidRPr="00D71AA7">
              <w:rPr>
                <w:rFonts w:ascii="Times New Roman" w:hAnsi="Times New Roman"/>
                <w:sz w:val="20"/>
                <w:szCs w:val="20"/>
                <w:lang w:val="ro-RO" w:eastAsia="ru-RU"/>
              </w:rPr>
              <w:t xml:space="preserve"> prevăzut</w:t>
            </w:r>
            <w:r>
              <w:rPr>
                <w:rFonts w:ascii="Times New Roman" w:hAnsi="Times New Roman"/>
                <w:sz w:val="20"/>
                <w:szCs w:val="20"/>
                <w:lang w:val="ro-RO" w:eastAsia="ru-RU"/>
              </w:rPr>
              <w:t>e</w:t>
            </w:r>
            <w:r w:rsidRPr="00D71AA7">
              <w:rPr>
                <w:rFonts w:ascii="Times New Roman" w:hAnsi="Times New Roman"/>
                <w:sz w:val="20"/>
                <w:szCs w:val="20"/>
                <w:lang w:val="ro-RO" w:eastAsia="ru-RU"/>
              </w:rPr>
              <w:t xml:space="preserve"> în </w:t>
            </w:r>
            <w:proofErr w:type="spellStart"/>
            <w:r w:rsidRPr="00D71AA7">
              <w:rPr>
                <w:rFonts w:ascii="Times New Roman" w:hAnsi="Times New Roman"/>
                <w:sz w:val="20"/>
                <w:szCs w:val="20"/>
              </w:rPr>
              <w:t>Regulamentul</w:t>
            </w:r>
            <w:proofErr w:type="spellEnd"/>
            <w:r w:rsidRPr="00D71AA7">
              <w:rPr>
                <w:rFonts w:ascii="Times New Roman" w:hAnsi="Times New Roman"/>
                <w:sz w:val="20"/>
                <w:szCs w:val="20"/>
              </w:rPr>
              <w:t xml:space="preserve"> (UE)</w:t>
            </w:r>
            <w:r w:rsidRPr="00D71AA7">
              <w:rPr>
                <w:rFonts w:ascii="Roboto" w:hAnsi="Roboto"/>
                <w:b/>
                <w:bCs/>
                <w:sz w:val="20"/>
                <w:szCs w:val="20"/>
                <w:shd w:val="clear" w:color="auto" w:fill="FFFFFF"/>
              </w:rPr>
              <w:t xml:space="preserve"> </w:t>
            </w:r>
            <w:r w:rsidRPr="00D71AA7">
              <w:rPr>
                <w:rFonts w:ascii="Times New Roman" w:hAnsi="Times New Roman"/>
                <w:sz w:val="20"/>
                <w:szCs w:val="20"/>
                <w:shd w:val="clear" w:color="auto" w:fill="FFFFFF"/>
              </w:rPr>
              <w:t>2018/1999</w:t>
            </w:r>
          </w:p>
          <w:p w14:paraId="4EF51ACC" w14:textId="70E17A8E" w:rsidR="008F5636" w:rsidRPr="003274E5" w:rsidRDefault="00F10EF8" w:rsidP="00F10EF8">
            <w:pPr>
              <w:pStyle w:val="ColorfulList-Accent11"/>
              <w:spacing w:after="0" w:line="240" w:lineRule="auto"/>
              <w:ind w:left="0"/>
              <w:jc w:val="both"/>
              <w:rPr>
                <w:lang w:val="ro-RO"/>
              </w:rPr>
            </w:pPr>
            <w:r w:rsidRPr="00774576">
              <w:rPr>
                <w:rFonts w:ascii="Times New Roman" w:hAnsi="Times New Roman"/>
                <w:sz w:val="20"/>
                <w:szCs w:val="20"/>
                <w:lang w:val="ro-RO"/>
              </w:rPr>
              <w:t>în varianta adaptată și aprobată prin Decizia Consiliului Ministerial al Comunității Energetice nr. 2021/14/MC-</w:t>
            </w:r>
            <w:proofErr w:type="spellStart"/>
            <w:r w:rsidRPr="00774576">
              <w:rPr>
                <w:rFonts w:ascii="Times New Roman" w:hAnsi="Times New Roman"/>
                <w:sz w:val="20"/>
                <w:szCs w:val="20"/>
                <w:lang w:val="ro-RO"/>
              </w:rPr>
              <w:t>EnC</w:t>
            </w:r>
            <w:proofErr w:type="spellEnd"/>
            <w:r w:rsidRPr="00774576">
              <w:rPr>
                <w:rFonts w:ascii="Times New Roman" w:hAnsi="Times New Roman"/>
                <w:sz w:val="20"/>
                <w:szCs w:val="20"/>
                <w:lang w:val="ro-RO"/>
              </w:rPr>
              <w:t xml:space="preserve"> și </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tc>
        <w:tc>
          <w:tcPr>
            <w:tcW w:w="1460" w:type="dxa"/>
          </w:tcPr>
          <w:p w14:paraId="7F9D6A67" w14:textId="5692FE9D" w:rsidR="00B67A53" w:rsidRPr="003F755D" w:rsidRDefault="00B67A53" w:rsidP="00B67A53">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0074054B" w:rsidRPr="00A81801">
              <w:rPr>
                <w:rFonts w:ascii="Times New Roman" w:hAnsi="Times New Roman"/>
                <w:color w:val="000000" w:themeColor="text1"/>
                <w:sz w:val="20"/>
                <w:szCs w:val="20"/>
              </w:rPr>
              <w:t>Energiei</w:t>
            </w:r>
          </w:p>
          <w:p w14:paraId="2C11ED29" w14:textId="77777777" w:rsidR="008F5636" w:rsidRPr="003274E5" w:rsidRDefault="008F5636" w:rsidP="008F5636">
            <w:pPr>
              <w:pStyle w:val="ColorfulList-Accent11"/>
              <w:spacing w:after="0" w:line="240" w:lineRule="auto"/>
              <w:ind w:left="0"/>
              <w:jc w:val="both"/>
              <w:rPr>
                <w:lang w:val="ro-RO"/>
              </w:rPr>
            </w:pPr>
          </w:p>
        </w:tc>
      </w:tr>
      <w:tr w:rsidR="008F5636" w:rsidRPr="00263A32" w14:paraId="20B19B36" w14:textId="77777777" w:rsidTr="00A90105">
        <w:tc>
          <w:tcPr>
            <w:tcW w:w="4945" w:type="dxa"/>
          </w:tcPr>
          <w:p w14:paraId="5909D8D6" w14:textId="77777777" w:rsidR="008F5636" w:rsidRPr="00885364" w:rsidRDefault="008F5636" w:rsidP="008F5636">
            <w:pPr>
              <w:pStyle w:val="doc-ti"/>
              <w:shd w:val="clear" w:color="auto" w:fill="FFFFFF"/>
              <w:spacing w:before="0" w:beforeAutospacing="0" w:after="0" w:afterAutospacing="0"/>
              <w:jc w:val="center"/>
              <w:rPr>
                <w:b/>
                <w:bCs/>
                <w:color w:val="333333"/>
                <w:sz w:val="20"/>
                <w:szCs w:val="20"/>
                <w:lang w:val="ro-MD"/>
              </w:rPr>
            </w:pPr>
            <w:r w:rsidRPr="00885364">
              <w:rPr>
                <w:b/>
                <w:bCs/>
                <w:color w:val="333333"/>
                <w:sz w:val="20"/>
                <w:szCs w:val="20"/>
                <w:lang w:val="fr-FR"/>
              </w:rPr>
              <w:lastRenderedPageBreak/>
              <w:t>ANEXA II</w:t>
            </w:r>
          </w:p>
          <w:p w14:paraId="69D07A6F" w14:textId="73F2548E" w:rsidR="008F5636" w:rsidRPr="00885364" w:rsidRDefault="008F5636" w:rsidP="008F5636">
            <w:pPr>
              <w:pStyle w:val="ti-grseq-1"/>
              <w:shd w:val="clear" w:color="auto" w:fill="FFFFFF"/>
              <w:spacing w:before="0" w:beforeAutospacing="0" w:after="0" w:afterAutospacing="0"/>
              <w:jc w:val="both"/>
              <w:rPr>
                <w:b/>
                <w:bCs/>
                <w:color w:val="333333"/>
                <w:sz w:val="20"/>
                <w:szCs w:val="20"/>
                <w:lang w:val="fr-FR"/>
              </w:rPr>
            </w:pPr>
            <w:r w:rsidRPr="00885364">
              <w:rPr>
                <w:rStyle w:val="bold"/>
                <w:b/>
                <w:bCs/>
                <w:color w:val="333333"/>
                <w:sz w:val="20"/>
                <w:szCs w:val="20"/>
                <w:lang w:val="fr-FR"/>
              </w:rPr>
              <w:t>CONTRIBUȚIILE NAȚIONALE LA PONDEREA ENERGIEI DIN SURSE REGENERABILE ÎN CONSUMUL FINAL BRUT DE ENERGIE DIN 2030</w:t>
            </w:r>
          </w:p>
          <w:p w14:paraId="0A396BC6" w14:textId="77777777" w:rsidR="008F5636" w:rsidRPr="00885364"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885364">
              <w:rPr>
                <w:rFonts w:ascii="Times New Roman" w:hAnsi="Times New Roman"/>
                <w:sz w:val="20"/>
                <w:szCs w:val="20"/>
                <w:shd w:val="clear" w:color="auto" w:fill="FFFFFF"/>
                <w:lang w:val="fr-FR"/>
              </w:rPr>
              <w:t xml:space="preserve">1.Următoarea </w:t>
            </w:r>
            <w:proofErr w:type="spellStart"/>
            <w:r w:rsidRPr="00885364">
              <w:rPr>
                <w:rFonts w:ascii="Times New Roman" w:hAnsi="Times New Roman"/>
                <w:sz w:val="20"/>
                <w:szCs w:val="20"/>
                <w:shd w:val="clear" w:color="auto" w:fill="FFFFFF"/>
                <w:lang w:val="fr-FR"/>
              </w:rPr>
              <w:t>formulă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orientativă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reprezintă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criteriile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obiective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menționate</w:t>
            </w:r>
            <w:proofErr w:type="spellEnd"/>
            <w:r w:rsidRPr="00885364">
              <w:rPr>
                <w:rFonts w:ascii="Times New Roman" w:hAnsi="Times New Roman"/>
                <w:sz w:val="20"/>
                <w:szCs w:val="20"/>
                <w:shd w:val="clear" w:color="auto" w:fill="FFFFFF"/>
                <w:lang w:val="fr-FR"/>
              </w:rPr>
              <w:t xml:space="preserve"> la </w:t>
            </w:r>
            <w:proofErr w:type="spellStart"/>
            <w:r w:rsidRPr="00885364">
              <w:rPr>
                <w:rFonts w:ascii="Times New Roman" w:hAnsi="Times New Roman"/>
                <w:sz w:val="20"/>
                <w:szCs w:val="20"/>
                <w:shd w:val="clear" w:color="auto" w:fill="FFFFFF"/>
                <w:lang w:val="fr-FR"/>
              </w:rPr>
              <w:t>articolul</w:t>
            </w:r>
            <w:proofErr w:type="spellEnd"/>
            <w:r w:rsidRPr="00885364">
              <w:rPr>
                <w:rFonts w:ascii="Times New Roman" w:hAnsi="Times New Roman"/>
                <w:sz w:val="20"/>
                <w:szCs w:val="20"/>
                <w:shd w:val="clear" w:color="auto" w:fill="FFFFFF"/>
                <w:lang w:val="fr-FR"/>
              </w:rPr>
              <w:t xml:space="preserve"> 5 </w:t>
            </w:r>
            <w:proofErr w:type="spellStart"/>
            <w:r w:rsidRPr="00885364">
              <w:rPr>
                <w:rFonts w:ascii="Times New Roman" w:hAnsi="Times New Roman"/>
                <w:sz w:val="20"/>
                <w:szCs w:val="20"/>
                <w:shd w:val="clear" w:color="auto" w:fill="FFFFFF"/>
                <w:lang w:val="fr-FR"/>
              </w:rPr>
              <w:t>alineatul</w:t>
            </w:r>
            <w:proofErr w:type="spellEnd"/>
            <w:r w:rsidRPr="00885364">
              <w:rPr>
                <w:rFonts w:ascii="Times New Roman" w:hAnsi="Times New Roman"/>
                <w:sz w:val="20"/>
                <w:szCs w:val="20"/>
                <w:shd w:val="clear" w:color="auto" w:fill="FFFFFF"/>
                <w:lang w:val="fr-FR"/>
              </w:rPr>
              <w:t xml:space="preserve"> (1) litera (e) </w:t>
            </w:r>
            <w:proofErr w:type="spellStart"/>
            <w:r w:rsidRPr="00885364">
              <w:rPr>
                <w:rFonts w:ascii="Times New Roman" w:hAnsi="Times New Roman"/>
                <w:sz w:val="20"/>
                <w:szCs w:val="20"/>
                <w:shd w:val="clear" w:color="auto" w:fill="FFFFFF"/>
                <w:lang w:val="fr-FR"/>
              </w:rPr>
              <w:t>punctele</w:t>
            </w:r>
            <w:proofErr w:type="spellEnd"/>
            <w:r w:rsidRPr="00885364">
              <w:rPr>
                <w:rFonts w:ascii="Times New Roman" w:hAnsi="Times New Roman"/>
                <w:sz w:val="20"/>
                <w:szCs w:val="20"/>
                <w:shd w:val="clear" w:color="auto" w:fill="FFFFFF"/>
                <w:lang w:val="fr-FR"/>
              </w:rPr>
              <w:t xml:space="preserve"> (i)-(v), </w:t>
            </w:r>
            <w:proofErr w:type="spellStart"/>
            <w:r w:rsidRPr="00885364">
              <w:rPr>
                <w:rFonts w:ascii="Times New Roman" w:hAnsi="Times New Roman"/>
                <w:sz w:val="20"/>
                <w:szCs w:val="20"/>
                <w:shd w:val="clear" w:color="auto" w:fill="FFFFFF"/>
                <w:lang w:val="fr-FR"/>
              </w:rPr>
              <w:t>fiecare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exprimat</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puncte</w:t>
            </w:r>
            <w:proofErr w:type="spellEnd"/>
            <w:r w:rsidRPr="00885364">
              <w:rPr>
                <w:rFonts w:ascii="Times New Roman" w:hAnsi="Times New Roman"/>
                <w:sz w:val="20"/>
                <w:szCs w:val="20"/>
                <w:shd w:val="clear" w:color="auto" w:fill="FFFFFF"/>
                <w:lang w:val="fr-FR"/>
              </w:rPr>
              <w:t xml:space="preserve"> </w:t>
            </w:r>
            <w:proofErr w:type="spellStart"/>
            <w:proofErr w:type="gramStart"/>
            <w:r w:rsidRPr="00885364">
              <w:rPr>
                <w:rFonts w:ascii="Times New Roman" w:hAnsi="Times New Roman"/>
                <w:sz w:val="20"/>
                <w:szCs w:val="20"/>
                <w:shd w:val="clear" w:color="auto" w:fill="FFFFFF"/>
                <w:lang w:val="fr-FR"/>
              </w:rPr>
              <w:t>procentuale</w:t>
            </w:r>
            <w:proofErr w:type="spellEnd"/>
            <w:r w:rsidRPr="00885364">
              <w:rPr>
                <w:rFonts w:ascii="Times New Roman" w:hAnsi="Times New Roman"/>
                <w:sz w:val="20"/>
                <w:szCs w:val="20"/>
                <w:shd w:val="clear" w:color="auto" w:fill="FFFFFF"/>
                <w:lang w:val="fr-FR"/>
              </w:rPr>
              <w:t>:</w:t>
            </w:r>
            <w:proofErr w:type="gramEnd"/>
          </w:p>
          <w:p w14:paraId="4E06A5E0" w14:textId="77777777" w:rsidR="008F5636" w:rsidRPr="00885364" w:rsidRDefault="008F5636" w:rsidP="000C5A3B">
            <w:pPr>
              <w:pStyle w:val="ColorfulList-Accent11"/>
              <w:numPr>
                <w:ilvl w:val="0"/>
                <w:numId w:val="52"/>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885364">
              <w:rPr>
                <w:rFonts w:ascii="Times New Roman" w:hAnsi="Times New Roman"/>
                <w:sz w:val="20"/>
                <w:szCs w:val="20"/>
                <w:shd w:val="clear" w:color="auto" w:fill="FFFFFF"/>
                <w:lang w:val="fr-FR"/>
              </w:rPr>
              <w:t>obiectivul</w:t>
            </w:r>
            <w:proofErr w:type="spellEnd"/>
            <w:proofErr w:type="gram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național</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obligatoriu</w:t>
            </w:r>
            <w:proofErr w:type="spellEnd"/>
            <w:r w:rsidRPr="00885364">
              <w:rPr>
                <w:rFonts w:ascii="Times New Roman" w:hAnsi="Times New Roman"/>
                <w:sz w:val="20"/>
                <w:szCs w:val="20"/>
                <w:shd w:val="clear" w:color="auto" w:fill="FFFFFF"/>
                <w:lang w:val="fr-FR"/>
              </w:rPr>
              <w:t xml:space="preserve"> al </w:t>
            </w:r>
            <w:proofErr w:type="spellStart"/>
            <w:r w:rsidRPr="00885364">
              <w:rPr>
                <w:rFonts w:ascii="Times New Roman" w:hAnsi="Times New Roman"/>
                <w:sz w:val="20"/>
                <w:szCs w:val="20"/>
                <w:shd w:val="clear" w:color="auto" w:fill="FFFFFF"/>
                <w:lang w:val="fr-FR"/>
              </w:rPr>
              <w:t>statului</w:t>
            </w:r>
            <w:proofErr w:type="spellEnd"/>
            <w:r w:rsidRPr="00885364">
              <w:rPr>
                <w:rFonts w:ascii="Times New Roman" w:hAnsi="Times New Roman"/>
                <w:sz w:val="20"/>
                <w:szCs w:val="20"/>
                <w:shd w:val="clear" w:color="auto" w:fill="FFFFFF"/>
                <w:lang w:val="fr-FR"/>
              </w:rPr>
              <w:t xml:space="preserve"> membru </w:t>
            </w:r>
            <w:proofErr w:type="spellStart"/>
            <w:r w:rsidRPr="00885364">
              <w:rPr>
                <w:rFonts w:ascii="Times New Roman" w:hAnsi="Times New Roman"/>
                <w:sz w:val="20"/>
                <w:szCs w:val="20"/>
                <w:shd w:val="clear" w:color="auto" w:fill="FFFFFF"/>
                <w:lang w:val="fr-FR"/>
              </w:rPr>
              <w:t>pentru</w:t>
            </w:r>
            <w:proofErr w:type="spellEnd"/>
            <w:r w:rsidRPr="00885364">
              <w:rPr>
                <w:rFonts w:ascii="Times New Roman" w:hAnsi="Times New Roman"/>
                <w:sz w:val="20"/>
                <w:szCs w:val="20"/>
                <w:shd w:val="clear" w:color="auto" w:fill="FFFFFF"/>
                <w:lang w:val="fr-FR"/>
              </w:rPr>
              <w:t xml:space="preserve"> 2020 </w:t>
            </w:r>
            <w:proofErr w:type="spellStart"/>
            <w:r w:rsidRPr="00885364">
              <w:rPr>
                <w:rFonts w:ascii="Times New Roman" w:hAnsi="Times New Roman"/>
                <w:sz w:val="20"/>
                <w:szCs w:val="20"/>
                <w:shd w:val="clear" w:color="auto" w:fill="FFFFFF"/>
                <w:lang w:val="fr-FR"/>
              </w:rPr>
              <w:t>stabilit</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coloana</w:t>
            </w:r>
            <w:proofErr w:type="spellEnd"/>
            <w:r w:rsidRPr="00885364">
              <w:rPr>
                <w:rFonts w:ascii="Times New Roman" w:hAnsi="Times New Roman"/>
                <w:sz w:val="20"/>
                <w:szCs w:val="20"/>
                <w:shd w:val="clear" w:color="auto" w:fill="FFFFFF"/>
                <w:lang w:val="fr-FR"/>
              </w:rPr>
              <w:t xml:space="preserve"> a </w:t>
            </w:r>
            <w:proofErr w:type="spellStart"/>
            <w:r w:rsidRPr="00885364">
              <w:rPr>
                <w:rFonts w:ascii="Times New Roman" w:hAnsi="Times New Roman"/>
                <w:sz w:val="20"/>
                <w:szCs w:val="20"/>
                <w:shd w:val="clear" w:color="auto" w:fill="FFFFFF"/>
                <w:lang w:val="fr-FR"/>
              </w:rPr>
              <w:t>treia</w:t>
            </w:r>
            <w:proofErr w:type="spellEnd"/>
            <w:r w:rsidRPr="00885364">
              <w:rPr>
                <w:rFonts w:ascii="Times New Roman" w:hAnsi="Times New Roman"/>
                <w:sz w:val="20"/>
                <w:szCs w:val="20"/>
                <w:shd w:val="clear" w:color="auto" w:fill="FFFFFF"/>
                <w:lang w:val="fr-FR"/>
              </w:rPr>
              <w:t xml:space="preserve"> a </w:t>
            </w:r>
            <w:proofErr w:type="spellStart"/>
            <w:r w:rsidRPr="00885364">
              <w:rPr>
                <w:rFonts w:ascii="Times New Roman" w:hAnsi="Times New Roman"/>
                <w:sz w:val="20"/>
                <w:szCs w:val="20"/>
                <w:shd w:val="clear" w:color="auto" w:fill="FFFFFF"/>
                <w:lang w:val="fr-FR"/>
              </w:rPr>
              <w:t>tabelului</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din</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anexa</w:t>
            </w:r>
            <w:proofErr w:type="spellEnd"/>
            <w:r w:rsidRPr="00885364">
              <w:rPr>
                <w:rFonts w:ascii="Times New Roman" w:hAnsi="Times New Roman"/>
                <w:sz w:val="20"/>
                <w:szCs w:val="20"/>
                <w:shd w:val="clear" w:color="auto" w:fill="FFFFFF"/>
                <w:lang w:val="fr-FR"/>
              </w:rPr>
              <w:t xml:space="preserve"> I la </w:t>
            </w:r>
            <w:proofErr w:type="spellStart"/>
            <w:r w:rsidRPr="00885364">
              <w:rPr>
                <w:rFonts w:ascii="Times New Roman" w:hAnsi="Times New Roman"/>
                <w:sz w:val="20"/>
                <w:szCs w:val="20"/>
                <w:shd w:val="clear" w:color="auto" w:fill="FFFFFF"/>
                <w:lang w:val="fr-FR"/>
              </w:rPr>
              <w:t>Directiva</w:t>
            </w:r>
            <w:proofErr w:type="spellEnd"/>
            <w:r w:rsidRPr="00885364">
              <w:rPr>
                <w:rFonts w:ascii="Times New Roman" w:hAnsi="Times New Roman"/>
                <w:sz w:val="20"/>
                <w:szCs w:val="20"/>
                <w:shd w:val="clear" w:color="auto" w:fill="FFFFFF"/>
                <w:lang w:val="fr-FR"/>
              </w:rPr>
              <w:t xml:space="preserve"> (UE) 2018/2001;</w:t>
            </w:r>
          </w:p>
          <w:p w14:paraId="282610D1" w14:textId="77777777" w:rsidR="008F5636" w:rsidRPr="00885364" w:rsidRDefault="008F5636" w:rsidP="000C5A3B">
            <w:pPr>
              <w:pStyle w:val="ColorfulList-Accent11"/>
              <w:numPr>
                <w:ilvl w:val="0"/>
                <w:numId w:val="52"/>
              </w:numPr>
              <w:spacing w:after="0" w:line="240" w:lineRule="auto"/>
              <w:ind w:left="470" w:hanging="357"/>
              <w:jc w:val="both"/>
              <w:rPr>
                <w:rFonts w:ascii="Times New Roman" w:hAnsi="Times New Roman"/>
                <w:sz w:val="20"/>
                <w:szCs w:val="20"/>
                <w:shd w:val="clear" w:color="auto" w:fill="FFFFFF"/>
                <w:lang w:val="fr-FR"/>
              </w:rPr>
            </w:pPr>
            <w:proofErr w:type="spellStart"/>
            <w:r w:rsidRPr="00885364">
              <w:rPr>
                <w:rFonts w:ascii="Times New Roman" w:hAnsi="Times New Roman"/>
                <w:sz w:val="20"/>
                <w:szCs w:val="20"/>
                <w:shd w:val="clear" w:color="auto" w:fill="FFFFFF"/>
              </w:rPr>
              <w:t>contribuție</w:t>
            </w:r>
            <w:proofErr w:type="spellEnd"/>
            <w:r w:rsidRPr="00885364">
              <w:rPr>
                <w:rFonts w:ascii="Times New Roman" w:hAnsi="Times New Roman"/>
                <w:sz w:val="20"/>
                <w:szCs w:val="20"/>
                <w:shd w:val="clear" w:color="auto" w:fill="FFFFFF"/>
              </w:rPr>
              <w:t xml:space="preserve"> </w:t>
            </w:r>
            <w:proofErr w:type="spellStart"/>
            <w:r w:rsidRPr="00885364">
              <w:rPr>
                <w:rFonts w:ascii="Times New Roman" w:hAnsi="Times New Roman"/>
                <w:sz w:val="20"/>
                <w:szCs w:val="20"/>
                <w:shd w:val="clear" w:color="auto" w:fill="FFFFFF"/>
              </w:rPr>
              <w:t>forfetară</w:t>
            </w:r>
            <w:proofErr w:type="spellEnd"/>
            <w:r w:rsidRPr="00885364">
              <w:rPr>
                <w:rFonts w:ascii="Times New Roman" w:hAnsi="Times New Roman"/>
                <w:sz w:val="20"/>
                <w:szCs w:val="20"/>
                <w:shd w:val="clear" w:color="auto" w:fill="FFFFFF"/>
              </w:rPr>
              <w:t xml:space="preserve"> (</w:t>
            </w:r>
            <w:proofErr w:type="spellStart"/>
            <w:r w:rsidRPr="00885364">
              <w:rPr>
                <w:rFonts w:ascii="Times New Roman" w:hAnsi="Times New Roman"/>
                <w:sz w:val="20"/>
                <w:szCs w:val="20"/>
                <w:shd w:val="clear" w:color="auto" w:fill="FFFFFF"/>
              </w:rPr>
              <w:t>C</w:t>
            </w:r>
            <w:r w:rsidRPr="00885364">
              <w:rPr>
                <w:rStyle w:val="sub"/>
                <w:rFonts w:ascii="Times New Roman" w:hAnsi="Times New Roman"/>
                <w:sz w:val="20"/>
                <w:szCs w:val="20"/>
                <w:shd w:val="clear" w:color="auto" w:fill="FFFFFF"/>
                <w:vertAlign w:val="subscript"/>
              </w:rPr>
              <w:t>forfetar</w:t>
            </w:r>
            <w:proofErr w:type="spellEnd"/>
            <w:proofErr w:type="gramStart"/>
            <w:r w:rsidRPr="00885364">
              <w:rPr>
                <w:rFonts w:ascii="Times New Roman" w:hAnsi="Times New Roman"/>
                <w:sz w:val="20"/>
                <w:szCs w:val="20"/>
                <w:shd w:val="clear" w:color="auto" w:fill="FFFFFF"/>
              </w:rPr>
              <w:t>);</w:t>
            </w:r>
            <w:proofErr w:type="gramEnd"/>
          </w:p>
          <w:p w14:paraId="41098C4C" w14:textId="77777777" w:rsidR="008F5636" w:rsidRPr="00885364" w:rsidRDefault="008F5636" w:rsidP="000C5A3B">
            <w:pPr>
              <w:pStyle w:val="ColorfulList-Accent11"/>
              <w:numPr>
                <w:ilvl w:val="0"/>
                <w:numId w:val="52"/>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885364">
              <w:rPr>
                <w:rFonts w:ascii="Times New Roman" w:hAnsi="Times New Roman"/>
                <w:sz w:val="20"/>
                <w:szCs w:val="20"/>
                <w:lang w:val="fr-FR"/>
              </w:rPr>
              <w:t>contribuție</w:t>
            </w:r>
            <w:proofErr w:type="spellEnd"/>
            <w:proofErr w:type="gram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bazată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pe</w:t>
            </w:r>
            <w:proofErr w:type="spellEnd"/>
            <w:r w:rsidRPr="00885364">
              <w:rPr>
                <w:rFonts w:ascii="Times New Roman" w:hAnsi="Times New Roman"/>
                <w:sz w:val="20"/>
                <w:szCs w:val="20"/>
                <w:lang w:val="fr-FR"/>
              </w:rPr>
              <w:t xml:space="preserve"> PIB-</w:t>
            </w:r>
            <w:proofErr w:type="spellStart"/>
            <w:r w:rsidRPr="00885364">
              <w:rPr>
                <w:rFonts w:ascii="Times New Roman" w:hAnsi="Times New Roman"/>
                <w:sz w:val="20"/>
                <w:szCs w:val="20"/>
                <w:lang w:val="fr-FR"/>
              </w:rPr>
              <w:t>ul</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pe</w:t>
            </w:r>
            <w:proofErr w:type="spellEnd"/>
            <w:r w:rsidRPr="00885364">
              <w:rPr>
                <w:rFonts w:ascii="Times New Roman" w:hAnsi="Times New Roman"/>
                <w:sz w:val="20"/>
                <w:szCs w:val="20"/>
                <w:lang w:val="fr-FR"/>
              </w:rPr>
              <w:t xml:space="preserve"> cap de </w:t>
            </w:r>
            <w:proofErr w:type="spellStart"/>
            <w:r w:rsidRPr="00885364">
              <w:rPr>
                <w:rFonts w:ascii="Times New Roman" w:hAnsi="Times New Roman"/>
                <w:sz w:val="20"/>
                <w:szCs w:val="20"/>
                <w:lang w:val="fr-FR"/>
              </w:rPr>
              <w:t>locuitor</w:t>
            </w:r>
            <w:proofErr w:type="spellEnd"/>
            <w:r w:rsidRPr="00885364">
              <w:rPr>
                <w:rFonts w:ascii="Times New Roman" w:hAnsi="Times New Roman"/>
                <w:sz w:val="20"/>
                <w:szCs w:val="20"/>
                <w:lang w:val="fr-FR"/>
              </w:rPr>
              <w:t xml:space="preserve"> (C</w:t>
            </w:r>
            <w:r w:rsidRPr="00885364">
              <w:rPr>
                <w:rStyle w:val="sub"/>
                <w:rFonts w:ascii="Times New Roman" w:hAnsi="Times New Roman"/>
                <w:sz w:val="20"/>
                <w:szCs w:val="20"/>
                <w:vertAlign w:val="subscript"/>
                <w:lang w:val="fr-FR"/>
              </w:rPr>
              <w:t>PIB</w:t>
            </w:r>
            <w:r w:rsidRPr="00885364">
              <w:rPr>
                <w:rFonts w:ascii="Times New Roman" w:hAnsi="Times New Roman"/>
                <w:sz w:val="20"/>
                <w:szCs w:val="20"/>
                <w:lang w:val="fr-FR"/>
              </w:rPr>
              <w:t>);</w:t>
            </w:r>
          </w:p>
          <w:p w14:paraId="0126DEE7" w14:textId="56A63344" w:rsidR="008F5636" w:rsidRPr="00885364" w:rsidRDefault="008F5636" w:rsidP="000C5A3B">
            <w:pPr>
              <w:pStyle w:val="ColorfulList-Accent11"/>
              <w:numPr>
                <w:ilvl w:val="0"/>
                <w:numId w:val="52"/>
              </w:numPr>
              <w:spacing w:after="0" w:line="240" w:lineRule="auto"/>
              <w:ind w:left="470" w:hanging="357"/>
              <w:jc w:val="both"/>
              <w:rPr>
                <w:rFonts w:ascii="Times New Roman" w:hAnsi="Times New Roman"/>
                <w:sz w:val="20"/>
                <w:szCs w:val="20"/>
                <w:shd w:val="clear" w:color="auto" w:fill="FFFFFF"/>
                <w:lang w:val="fr-FR"/>
              </w:rPr>
            </w:pPr>
            <w:proofErr w:type="spellStart"/>
            <w:r w:rsidRPr="00885364">
              <w:rPr>
                <w:rFonts w:ascii="Times New Roman" w:hAnsi="Times New Roman"/>
                <w:sz w:val="20"/>
                <w:szCs w:val="20"/>
                <w:shd w:val="clear" w:color="auto" w:fill="FFFFFF"/>
              </w:rPr>
              <w:t>contribuție</w:t>
            </w:r>
            <w:proofErr w:type="spellEnd"/>
            <w:r w:rsidRPr="00885364">
              <w:rPr>
                <w:rFonts w:ascii="Times New Roman" w:hAnsi="Times New Roman"/>
                <w:sz w:val="20"/>
                <w:szCs w:val="20"/>
                <w:shd w:val="clear" w:color="auto" w:fill="FFFFFF"/>
              </w:rPr>
              <w:t xml:space="preserve"> </w:t>
            </w:r>
            <w:proofErr w:type="spellStart"/>
            <w:r w:rsidRPr="00885364">
              <w:rPr>
                <w:rFonts w:ascii="Times New Roman" w:hAnsi="Times New Roman"/>
                <w:sz w:val="20"/>
                <w:szCs w:val="20"/>
                <w:shd w:val="clear" w:color="auto" w:fill="FFFFFF"/>
              </w:rPr>
              <w:t>bazată</w:t>
            </w:r>
            <w:proofErr w:type="spellEnd"/>
            <w:r w:rsidRPr="00885364">
              <w:rPr>
                <w:rFonts w:ascii="Times New Roman" w:hAnsi="Times New Roman"/>
                <w:sz w:val="20"/>
                <w:szCs w:val="20"/>
                <w:shd w:val="clear" w:color="auto" w:fill="FFFFFF"/>
              </w:rPr>
              <w:t xml:space="preserve"> pe </w:t>
            </w:r>
            <w:proofErr w:type="spellStart"/>
            <w:r w:rsidRPr="00885364">
              <w:rPr>
                <w:rFonts w:ascii="Times New Roman" w:hAnsi="Times New Roman"/>
                <w:sz w:val="20"/>
                <w:szCs w:val="20"/>
                <w:shd w:val="clear" w:color="auto" w:fill="FFFFFF"/>
              </w:rPr>
              <w:t>potențial</w:t>
            </w:r>
            <w:proofErr w:type="spellEnd"/>
            <w:r w:rsidRPr="00885364">
              <w:rPr>
                <w:rFonts w:ascii="Times New Roman" w:hAnsi="Times New Roman"/>
                <w:sz w:val="20"/>
                <w:szCs w:val="20"/>
                <w:shd w:val="clear" w:color="auto" w:fill="FFFFFF"/>
              </w:rPr>
              <w:t xml:space="preserve"> (</w:t>
            </w:r>
            <w:proofErr w:type="spellStart"/>
            <w:r w:rsidRPr="00885364">
              <w:rPr>
                <w:rFonts w:ascii="Times New Roman" w:hAnsi="Times New Roman"/>
                <w:sz w:val="20"/>
                <w:szCs w:val="20"/>
                <w:shd w:val="clear" w:color="auto" w:fill="FFFFFF"/>
              </w:rPr>
              <w:t>C</w:t>
            </w:r>
            <w:r w:rsidRPr="00885364">
              <w:rPr>
                <w:rStyle w:val="sub"/>
                <w:rFonts w:ascii="Times New Roman" w:hAnsi="Times New Roman"/>
                <w:sz w:val="20"/>
                <w:szCs w:val="20"/>
                <w:shd w:val="clear" w:color="auto" w:fill="FFFFFF"/>
                <w:vertAlign w:val="subscript"/>
              </w:rPr>
              <w:t>potențial</w:t>
            </w:r>
            <w:proofErr w:type="spellEnd"/>
            <w:proofErr w:type="gramStart"/>
            <w:r w:rsidRPr="00885364">
              <w:rPr>
                <w:rFonts w:ascii="Times New Roman" w:hAnsi="Times New Roman"/>
                <w:sz w:val="20"/>
                <w:szCs w:val="20"/>
                <w:shd w:val="clear" w:color="auto" w:fill="FFFFFF"/>
              </w:rPr>
              <w:t>);</w:t>
            </w:r>
            <w:proofErr w:type="gramEnd"/>
          </w:p>
          <w:p w14:paraId="3C8CC1BB" w14:textId="77777777" w:rsidR="008F5636" w:rsidRPr="00885364" w:rsidRDefault="008F5636" w:rsidP="000C5A3B">
            <w:pPr>
              <w:pStyle w:val="ColorfulList-Accent11"/>
              <w:numPr>
                <w:ilvl w:val="0"/>
                <w:numId w:val="52"/>
              </w:numPr>
              <w:spacing w:after="0" w:line="240" w:lineRule="auto"/>
              <w:ind w:left="470" w:hanging="357"/>
              <w:jc w:val="both"/>
              <w:rPr>
                <w:rFonts w:ascii="Times New Roman" w:hAnsi="Times New Roman"/>
                <w:sz w:val="20"/>
                <w:szCs w:val="20"/>
                <w:lang w:val="fr-FR"/>
              </w:rPr>
            </w:pPr>
            <w:proofErr w:type="gramStart"/>
            <w:r w:rsidRPr="00885364">
              <w:rPr>
                <w:rFonts w:ascii="Times New Roman" w:hAnsi="Times New Roman"/>
                <w:sz w:val="20"/>
                <w:szCs w:val="20"/>
                <w:shd w:val="clear" w:color="auto" w:fill="FFFFFF"/>
                <w:lang w:val="fr-FR"/>
              </w:rPr>
              <w:t>o</w:t>
            </w:r>
            <w:proofErr w:type="gram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contribuție</w:t>
            </w:r>
            <w:proofErr w:type="spellEnd"/>
            <w:r w:rsidRPr="00885364">
              <w:rPr>
                <w:rFonts w:ascii="Times New Roman" w:hAnsi="Times New Roman"/>
                <w:sz w:val="20"/>
                <w:szCs w:val="20"/>
                <w:shd w:val="clear" w:color="auto" w:fill="FFFFFF"/>
                <w:lang w:val="fr-FR"/>
              </w:rPr>
              <w:t xml:space="preserve"> care </w:t>
            </w:r>
            <w:proofErr w:type="spellStart"/>
            <w:r w:rsidRPr="00885364">
              <w:rPr>
                <w:rFonts w:ascii="Times New Roman" w:hAnsi="Times New Roman"/>
                <w:sz w:val="20"/>
                <w:szCs w:val="20"/>
                <w:shd w:val="clear" w:color="auto" w:fill="FFFFFF"/>
                <w:lang w:val="fr-FR"/>
              </w:rPr>
              <w:t>reflectă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nivelul</w:t>
            </w:r>
            <w:proofErr w:type="spellEnd"/>
            <w:r w:rsidRPr="00885364">
              <w:rPr>
                <w:rFonts w:ascii="Times New Roman" w:hAnsi="Times New Roman"/>
                <w:sz w:val="20"/>
                <w:szCs w:val="20"/>
                <w:shd w:val="clear" w:color="auto" w:fill="FFFFFF"/>
                <w:lang w:val="fr-FR"/>
              </w:rPr>
              <w:t xml:space="preserve"> de </w:t>
            </w:r>
            <w:proofErr w:type="spellStart"/>
            <w:r w:rsidRPr="00885364">
              <w:rPr>
                <w:rFonts w:ascii="Times New Roman" w:hAnsi="Times New Roman"/>
                <w:sz w:val="20"/>
                <w:szCs w:val="20"/>
                <w:shd w:val="clear" w:color="auto" w:fill="FFFFFF"/>
                <w:lang w:val="fr-FR"/>
              </w:rPr>
              <w:t>interconectare</w:t>
            </w:r>
            <w:proofErr w:type="spellEnd"/>
            <w:r w:rsidRPr="00885364">
              <w:rPr>
                <w:rFonts w:ascii="Times New Roman" w:hAnsi="Times New Roman"/>
                <w:sz w:val="20"/>
                <w:szCs w:val="20"/>
                <w:shd w:val="clear" w:color="auto" w:fill="FFFFFF"/>
                <w:lang w:val="fr-FR"/>
              </w:rPr>
              <w:t xml:space="preserve"> al </w:t>
            </w:r>
            <w:proofErr w:type="spellStart"/>
            <w:r w:rsidRPr="00885364">
              <w:rPr>
                <w:rFonts w:ascii="Times New Roman" w:hAnsi="Times New Roman"/>
                <w:sz w:val="20"/>
                <w:szCs w:val="20"/>
                <w:shd w:val="clear" w:color="auto" w:fill="FFFFFF"/>
                <w:lang w:val="fr-FR"/>
              </w:rPr>
              <w:t>statului</w:t>
            </w:r>
            <w:proofErr w:type="spellEnd"/>
            <w:r w:rsidRPr="00885364">
              <w:rPr>
                <w:rFonts w:ascii="Times New Roman" w:hAnsi="Times New Roman"/>
                <w:sz w:val="20"/>
                <w:szCs w:val="20"/>
                <w:shd w:val="clear" w:color="auto" w:fill="FFFFFF"/>
                <w:lang w:val="fr-FR"/>
              </w:rPr>
              <w:t xml:space="preserve"> membru (</w:t>
            </w:r>
            <w:proofErr w:type="spellStart"/>
            <w:r w:rsidRPr="00885364">
              <w:rPr>
                <w:rFonts w:ascii="Times New Roman" w:hAnsi="Times New Roman"/>
                <w:sz w:val="20"/>
                <w:szCs w:val="20"/>
                <w:shd w:val="clear" w:color="auto" w:fill="FFFFFF"/>
                <w:lang w:val="fr-FR"/>
              </w:rPr>
              <w:t>C</w:t>
            </w:r>
            <w:r w:rsidRPr="00885364">
              <w:rPr>
                <w:rStyle w:val="sub"/>
                <w:rFonts w:ascii="Times New Roman" w:hAnsi="Times New Roman"/>
                <w:sz w:val="20"/>
                <w:szCs w:val="20"/>
                <w:shd w:val="clear" w:color="auto" w:fill="FFFFFF"/>
                <w:vertAlign w:val="subscript"/>
                <w:lang w:val="fr-FR"/>
              </w:rPr>
              <w:t>interco</w:t>
            </w:r>
            <w:proofErr w:type="spellEnd"/>
            <w:r w:rsidRPr="00885364">
              <w:rPr>
                <w:rFonts w:ascii="Times New Roman" w:hAnsi="Times New Roman"/>
                <w:sz w:val="20"/>
                <w:szCs w:val="20"/>
                <w:shd w:val="clear" w:color="auto" w:fill="FFFFFF"/>
                <w:lang w:val="fr-FR"/>
              </w:rPr>
              <w:t>).</w:t>
            </w:r>
          </w:p>
          <w:p w14:paraId="083CC9D8" w14:textId="5AECFD27" w:rsidR="008F5636" w:rsidRPr="00885364"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885364">
              <w:rPr>
                <w:rFonts w:ascii="Times New Roman" w:hAnsi="Times New Roman"/>
                <w:sz w:val="20"/>
                <w:szCs w:val="20"/>
                <w:shd w:val="clear" w:color="auto" w:fill="FFFFFF"/>
                <w:lang w:val="fr-FR"/>
              </w:rPr>
              <w:t>2.C</w:t>
            </w:r>
            <w:r w:rsidRPr="00885364">
              <w:rPr>
                <w:rStyle w:val="sub"/>
                <w:rFonts w:ascii="Times New Roman" w:hAnsi="Times New Roman"/>
                <w:sz w:val="20"/>
                <w:szCs w:val="20"/>
                <w:shd w:val="clear" w:color="auto" w:fill="FFFFFF"/>
                <w:vertAlign w:val="subscript"/>
                <w:lang w:val="fr-FR"/>
              </w:rPr>
              <w:t>forfetar</w:t>
            </w:r>
            <w:r w:rsidRPr="00885364">
              <w:rPr>
                <w:rFonts w:ascii="Times New Roman" w:hAnsi="Times New Roman"/>
                <w:sz w:val="20"/>
                <w:szCs w:val="20"/>
                <w:shd w:val="clear" w:color="auto" w:fill="FFFFFF"/>
                <w:lang w:val="fr-FR"/>
              </w:rPr>
              <w:t xml:space="preserve"> este </w:t>
            </w:r>
            <w:proofErr w:type="spellStart"/>
            <w:r w:rsidRPr="00885364">
              <w:rPr>
                <w:rFonts w:ascii="Times New Roman" w:hAnsi="Times New Roman"/>
                <w:sz w:val="20"/>
                <w:szCs w:val="20"/>
                <w:shd w:val="clear" w:color="auto" w:fill="FFFFFF"/>
                <w:lang w:val="fr-FR"/>
              </w:rPr>
              <w:t>același</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pentru</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fiecare</w:t>
            </w:r>
            <w:proofErr w:type="spellEnd"/>
            <w:r w:rsidRPr="00885364">
              <w:rPr>
                <w:rFonts w:ascii="Times New Roman" w:hAnsi="Times New Roman"/>
                <w:sz w:val="20"/>
                <w:szCs w:val="20"/>
                <w:shd w:val="clear" w:color="auto" w:fill="FFFFFF"/>
                <w:lang w:val="fr-FR"/>
              </w:rPr>
              <w:t xml:space="preserve"> stat membru în parte. </w:t>
            </w:r>
            <w:proofErr w:type="spellStart"/>
            <w:r w:rsidRPr="00885364">
              <w:rPr>
                <w:rFonts w:ascii="Times New Roman" w:hAnsi="Times New Roman"/>
                <w:sz w:val="20"/>
                <w:szCs w:val="20"/>
                <w:shd w:val="clear" w:color="auto" w:fill="FFFFFF"/>
                <w:lang w:val="fr-FR"/>
              </w:rPr>
              <w:t>C</w:t>
            </w:r>
            <w:r w:rsidRPr="00885364">
              <w:rPr>
                <w:rStyle w:val="sub"/>
                <w:rFonts w:ascii="Times New Roman" w:hAnsi="Times New Roman"/>
                <w:sz w:val="20"/>
                <w:szCs w:val="20"/>
                <w:shd w:val="clear" w:color="auto" w:fill="FFFFFF"/>
                <w:vertAlign w:val="subscript"/>
                <w:lang w:val="fr-FR"/>
              </w:rPr>
              <w:t>forfetar</w:t>
            </w:r>
            <w:proofErr w:type="spellEnd"/>
            <w:r w:rsidRPr="00885364">
              <w:rPr>
                <w:rFonts w:ascii="Times New Roman" w:hAnsi="Times New Roman"/>
                <w:sz w:val="20"/>
                <w:szCs w:val="20"/>
                <w:shd w:val="clear" w:color="auto" w:fill="FFFFFF"/>
                <w:lang w:val="fr-FR"/>
              </w:rPr>
              <w:t xml:space="preserve"> al </w:t>
            </w:r>
            <w:proofErr w:type="spellStart"/>
            <w:r w:rsidRPr="00885364">
              <w:rPr>
                <w:rFonts w:ascii="Times New Roman" w:hAnsi="Times New Roman"/>
                <w:sz w:val="20"/>
                <w:szCs w:val="20"/>
                <w:shd w:val="clear" w:color="auto" w:fill="FFFFFF"/>
                <w:lang w:val="fr-FR"/>
              </w:rPr>
              <w:t>tuturor</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statelor</w:t>
            </w:r>
            <w:proofErr w:type="spellEnd"/>
            <w:r w:rsidRPr="00885364">
              <w:rPr>
                <w:rFonts w:ascii="Times New Roman" w:hAnsi="Times New Roman"/>
                <w:sz w:val="20"/>
                <w:szCs w:val="20"/>
                <w:shd w:val="clear" w:color="auto" w:fill="FFFFFF"/>
                <w:lang w:val="fr-FR"/>
              </w:rPr>
              <w:t xml:space="preserve"> membre </w:t>
            </w:r>
            <w:proofErr w:type="spellStart"/>
            <w:r w:rsidRPr="00885364">
              <w:rPr>
                <w:rFonts w:ascii="Times New Roman" w:hAnsi="Times New Roman"/>
                <w:sz w:val="20"/>
                <w:szCs w:val="20"/>
                <w:shd w:val="clear" w:color="auto" w:fill="FFFFFF"/>
                <w:lang w:val="fr-FR"/>
              </w:rPr>
              <w:t>împreună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contribuie</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proporție</w:t>
            </w:r>
            <w:proofErr w:type="spellEnd"/>
            <w:r w:rsidRPr="00885364">
              <w:rPr>
                <w:rFonts w:ascii="Times New Roman" w:hAnsi="Times New Roman"/>
                <w:sz w:val="20"/>
                <w:szCs w:val="20"/>
                <w:shd w:val="clear" w:color="auto" w:fill="FFFFFF"/>
                <w:lang w:val="fr-FR"/>
              </w:rPr>
              <w:t xml:space="preserve"> de 30 % la </w:t>
            </w:r>
            <w:proofErr w:type="spellStart"/>
            <w:r w:rsidRPr="00885364">
              <w:rPr>
                <w:rFonts w:ascii="Times New Roman" w:hAnsi="Times New Roman"/>
                <w:sz w:val="20"/>
                <w:szCs w:val="20"/>
                <w:shd w:val="clear" w:color="auto" w:fill="FFFFFF"/>
                <w:lang w:val="fr-FR"/>
              </w:rPr>
              <w:t>diferența</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obiectivele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Uniunii</w:t>
            </w:r>
            <w:proofErr w:type="spellEnd"/>
            <w:r w:rsidRPr="00885364">
              <w:rPr>
                <w:rFonts w:ascii="Times New Roman" w:hAnsi="Times New Roman"/>
                <w:sz w:val="20"/>
                <w:szCs w:val="20"/>
                <w:shd w:val="clear" w:color="auto" w:fill="FFFFFF"/>
                <w:lang w:val="fr-FR"/>
              </w:rPr>
              <w:t xml:space="preserve"> pentru 2030 și 2020.</w:t>
            </w:r>
          </w:p>
          <w:p w14:paraId="701EC565" w14:textId="77777777" w:rsidR="008F5636" w:rsidRPr="00885364"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885364">
              <w:rPr>
                <w:rFonts w:ascii="Times New Roman" w:hAnsi="Times New Roman"/>
                <w:sz w:val="20"/>
                <w:szCs w:val="20"/>
                <w:lang w:val="fr-FR"/>
              </w:rPr>
              <w:t>3.</w:t>
            </w:r>
            <w:r w:rsidRPr="00885364">
              <w:rPr>
                <w:rFonts w:ascii="Times New Roman" w:hAnsi="Times New Roman"/>
                <w:sz w:val="20"/>
                <w:szCs w:val="20"/>
                <w:shd w:val="clear" w:color="auto" w:fill="FFFFFF"/>
                <w:lang w:val="fr-FR"/>
              </w:rPr>
              <w:t xml:space="preserve"> C</w:t>
            </w:r>
            <w:r w:rsidRPr="00885364">
              <w:rPr>
                <w:rStyle w:val="sub"/>
                <w:rFonts w:ascii="Times New Roman" w:hAnsi="Times New Roman"/>
                <w:sz w:val="20"/>
                <w:szCs w:val="20"/>
                <w:shd w:val="clear" w:color="auto" w:fill="FFFFFF"/>
                <w:vertAlign w:val="subscript"/>
                <w:lang w:val="fr-FR"/>
              </w:rPr>
              <w:t>PIB</w:t>
            </w:r>
            <w:r w:rsidRPr="00885364">
              <w:rPr>
                <w:rFonts w:ascii="Times New Roman" w:hAnsi="Times New Roman"/>
                <w:sz w:val="20"/>
                <w:szCs w:val="20"/>
                <w:shd w:val="clear" w:color="auto" w:fill="FFFFFF"/>
                <w:lang w:val="fr-FR"/>
              </w:rPr>
              <w:t xml:space="preserve"> se </w:t>
            </w:r>
            <w:proofErr w:type="spellStart"/>
            <w:r w:rsidRPr="00885364">
              <w:rPr>
                <w:rFonts w:ascii="Times New Roman" w:hAnsi="Times New Roman"/>
                <w:sz w:val="20"/>
                <w:szCs w:val="20"/>
                <w:shd w:val="clear" w:color="auto" w:fill="FFFFFF"/>
                <w:lang w:val="fr-FR"/>
              </w:rPr>
              <w:t>alocă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între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statele</w:t>
            </w:r>
            <w:proofErr w:type="spellEnd"/>
            <w:r w:rsidRPr="00885364">
              <w:rPr>
                <w:rFonts w:ascii="Times New Roman" w:hAnsi="Times New Roman"/>
                <w:sz w:val="20"/>
                <w:szCs w:val="20"/>
                <w:shd w:val="clear" w:color="auto" w:fill="FFFFFF"/>
                <w:lang w:val="fr-FR"/>
              </w:rPr>
              <w:t xml:space="preserve"> membre </w:t>
            </w:r>
            <w:proofErr w:type="spellStart"/>
            <w:r w:rsidRPr="00885364">
              <w:rPr>
                <w:rFonts w:ascii="Times New Roman" w:hAnsi="Times New Roman"/>
                <w:sz w:val="20"/>
                <w:szCs w:val="20"/>
                <w:shd w:val="clear" w:color="auto" w:fill="FFFFFF"/>
                <w:lang w:val="fr-FR"/>
              </w:rPr>
              <w:t>pe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baza</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indicelui</w:t>
            </w:r>
            <w:proofErr w:type="spellEnd"/>
            <w:r w:rsidRPr="00885364">
              <w:rPr>
                <w:rFonts w:ascii="Times New Roman" w:hAnsi="Times New Roman"/>
                <w:sz w:val="20"/>
                <w:szCs w:val="20"/>
                <w:shd w:val="clear" w:color="auto" w:fill="FFFFFF"/>
                <w:lang w:val="fr-FR"/>
              </w:rPr>
              <w:t xml:space="preserve"> Eurostat </w:t>
            </w:r>
            <w:proofErr w:type="spellStart"/>
            <w:r w:rsidRPr="00885364">
              <w:rPr>
                <w:rFonts w:ascii="Times New Roman" w:hAnsi="Times New Roman"/>
                <w:sz w:val="20"/>
                <w:szCs w:val="20"/>
                <w:shd w:val="clear" w:color="auto" w:fill="FFFFFF"/>
                <w:lang w:val="fr-FR"/>
              </w:rPr>
              <w:t>privind</w:t>
            </w:r>
            <w:proofErr w:type="spellEnd"/>
            <w:r w:rsidRPr="00885364">
              <w:rPr>
                <w:rFonts w:ascii="Times New Roman" w:hAnsi="Times New Roman"/>
                <w:sz w:val="20"/>
                <w:szCs w:val="20"/>
                <w:shd w:val="clear" w:color="auto" w:fill="FFFFFF"/>
                <w:lang w:val="fr-FR"/>
              </w:rPr>
              <w:t xml:space="preserve"> PIB-</w:t>
            </w:r>
            <w:proofErr w:type="spellStart"/>
            <w:r w:rsidRPr="00885364">
              <w:rPr>
                <w:rFonts w:ascii="Times New Roman" w:hAnsi="Times New Roman"/>
                <w:sz w:val="20"/>
                <w:szCs w:val="20"/>
                <w:shd w:val="clear" w:color="auto" w:fill="FFFFFF"/>
                <w:lang w:val="fr-FR"/>
              </w:rPr>
              <w:t>ul</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pe</w:t>
            </w:r>
            <w:proofErr w:type="spellEnd"/>
            <w:r w:rsidRPr="00885364">
              <w:rPr>
                <w:rFonts w:ascii="Times New Roman" w:hAnsi="Times New Roman"/>
                <w:sz w:val="20"/>
                <w:szCs w:val="20"/>
                <w:shd w:val="clear" w:color="auto" w:fill="FFFFFF"/>
                <w:lang w:val="fr-FR"/>
              </w:rPr>
              <w:t xml:space="preserve"> cap de </w:t>
            </w:r>
            <w:proofErr w:type="spellStart"/>
            <w:r w:rsidRPr="00885364">
              <w:rPr>
                <w:rFonts w:ascii="Times New Roman" w:hAnsi="Times New Roman"/>
                <w:sz w:val="20"/>
                <w:szCs w:val="20"/>
                <w:shd w:val="clear" w:color="auto" w:fill="FFFFFF"/>
                <w:lang w:val="fr-FR"/>
              </w:rPr>
              <w:t>locuitor</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raportat</w:t>
            </w:r>
            <w:proofErr w:type="spellEnd"/>
            <w:r w:rsidRPr="00885364">
              <w:rPr>
                <w:rFonts w:ascii="Times New Roman" w:hAnsi="Times New Roman"/>
                <w:sz w:val="20"/>
                <w:szCs w:val="20"/>
                <w:shd w:val="clear" w:color="auto" w:fill="FFFFFF"/>
                <w:lang w:val="fr-FR"/>
              </w:rPr>
              <w:t xml:space="preserve"> la media </w:t>
            </w:r>
            <w:proofErr w:type="spellStart"/>
            <w:r w:rsidRPr="00885364">
              <w:rPr>
                <w:rFonts w:ascii="Times New Roman" w:hAnsi="Times New Roman"/>
                <w:sz w:val="20"/>
                <w:szCs w:val="20"/>
                <w:shd w:val="clear" w:color="auto" w:fill="FFFFFF"/>
                <w:lang w:val="fr-FR"/>
              </w:rPr>
              <w:t>Uniunii</w:t>
            </w:r>
            <w:proofErr w:type="spellEnd"/>
            <w:r w:rsidRPr="00885364">
              <w:rPr>
                <w:rFonts w:ascii="Times New Roman" w:hAnsi="Times New Roman"/>
                <w:sz w:val="20"/>
                <w:szCs w:val="20"/>
                <w:shd w:val="clear" w:color="auto" w:fill="FFFFFF"/>
                <w:lang w:val="fr-FR"/>
              </w:rPr>
              <w:t xml:space="preserve"> în perioada 2013-2017, </w:t>
            </w:r>
            <w:proofErr w:type="spellStart"/>
            <w:r w:rsidRPr="00885364">
              <w:rPr>
                <w:rFonts w:ascii="Times New Roman" w:hAnsi="Times New Roman"/>
                <w:sz w:val="20"/>
                <w:szCs w:val="20"/>
                <w:shd w:val="clear" w:color="auto" w:fill="FFFFFF"/>
                <w:lang w:val="fr-FR"/>
              </w:rPr>
              <w:t>exprimat</w:t>
            </w:r>
            <w:proofErr w:type="spellEnd"/>
            <w:r w:rsidRPr="00885364">
              <w:rPr>
                <w:rFonts w:ascii="Times New Roman" w:hAnsi="Times New Roman"/>
                <w:sz w:val="20"/>
                <w:szCs w:val="20"/>
                <w:shd w:val="clear" w:color="auto" w:fill="FFFFFF"/>
                <w:lang w:val="fr-FR"/>
              </w:rPr>
              <w:t xml:space="preserve"> </w:t>
            </w:r>
            <w:proofErr w:type="gramStart"/>
            <w:r w:rsidRPr="00885364">
              <w:rPr>
                <w:rFonts w:ascii="Times New Roman" w:hAnsi="Times New Roman"/>
                <w:sz w:val="20"/>
                <w:szCs w:val="20"/>
                <w:shd w:val="clear" w:color="auto" w:fill="FFFFFF"/>
                <w:lang w:val="fr-FR"/>
              </w:rPr>
              <w:t>ca</w:t>
            </w:r>
            <w:proofErr w:type="gramEnd"/>
            <w:r w:rsidRPr="00885364">
              <w:rPr>
                <w:rFonts w:ascii="Times New Roman" w:hAnsi="Times New Roman"/>
                <w:sz w:val="20"/>
                <w:szCs w:val="20"/>
                <w:shd w:val="clear" w:color="auto" w:fill="FFFFFF"/>
                <w:lang w:val="fr-FR"/>
              </w:rPr>
              <w:t xml:space="preserve"> standard al </w:t>
            </w:r>
            <w:proofErr w:type="spellStart"/>
            <w:r w:rsidRPr="00885364">
              <w:rPr>
                <w:rFonts w:ascii="Times New Roman" w:hAnsi="Times New Roman"/>
                <w:sz w:val="20"/>
                <w:szCs w:val="20"/>
                <w:shd w:val="clear" w:color="auto" w:fill="FFFFFF"/>
                <w:lang w:val="fr-FR"/>
              </w:rPr>
              <w:t>puterii</w:t>
            </w:r>
            <w:proofErr w:type="spellEnd"/>
            <w:r w:rsidRPr="00885364">
              <w:rPr>
                <w:rFonts w:ascii="Times New Roman" w:hAnsi="Times New Roman"/>
                <w:sz w:val="20"/>
                <w:szCs w:val="20"/>
                <w:shd w:val="clear" w:color="auto" w:fill="FFFFFF"/>
                <w:lang w:val="fr-FR"/>
              </w:rPr>
              <w:t xml:space="preserve"> de </w:t>
            </w:r>
            <w:proofErr w:type="spellStart"/>
            <w:r w:rsidRPr="00885364">
              <w:rPr>
                <w:rFonts w:ascii="Times New Roman" w:hAnsi="Times New Roman"/>
                <w:sz w:val="20"/>
                <w:szCs w:val="20"/>
                <w:shd w:val="clear" w:color="auto" w:fill="FFFFFF"/>
                <w:lang w:val="fr-FR"/>
              </w:rPr>
              <w:t>cumpărare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unde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indicele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pentru</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fiecare</w:t>
            </w:r>
            <w:proofErr w:type="spellEnd"/>
            <w:r w:rsidRPr="00885364">
              <w:rPr>
                <w:rFonts w:ascii="Times New Roman" w:hAnsi="Times New Roman"/>
                <w:sz w:val="20"/>
                <w:szCs w:val="20"/>
                <w:shd w:val="clear" w:color="auto" w:fill="FFFFFF"/>
                <w:lang w:val="fr-FR"/>
              </w:rPr>
              <w:t xml:space="preserve"> stat membru în parte este </w:t>
            </w:r>
            <w:proofErr w:type="spellStart"/>
            <w:r w:rsidRPr="00885364">
              <w:rPr>
                <w:rFonts w:ascii="Times New Roman" w:hAnsi="Times New Roman"/>
                <w:sz w:val="20"/>
                <w:szCs w:val="20"/>
                <w:shd w:val="clear" w:color="auto" w:fill="FFFFFF"/>
                <w:lang w:val="fr-FR"/>
              </w:rPr>
              <w:t>limitat</w:t>
            </w:r>
            <w:proofErr w:type="spellEnd"/>
            <w:r w:rsidRPr="00885364">
              <w:rPr>
                <w:rFonts w:ascii="Times New Roman" w:hAnsi="Times New Roman"/>
                <w:sz w:val="20"/>
                <w:szCs w:val="20"/>
                <w:shd w:val="clear" w:color="auto" w:fill="FFFFFF"/>
                <w:lang w:val="fr-FR"/>
              </w:rPr>
              <w:t xml:space="preserve"> la 150 % </w:t>
            </w:r>
            <w:proofErr w:type="spellStart"/>
            <w:r w:rsidRPr="00885364">
              <w:rPr>
                <w:rFonts w:ascii="Times New Roman" w:hAnsi="Times New Roman"/>
                <w:sz w:val="20"/>
                <w:szCs w:val="20"/>
                <w:shd w:val="clear" w:color="auto" w:fill="FFFFFF"/>
                <w:lang w:val="fr-FR"/>
              </w:rPr>
              <w:t>din</w:t>
            </w:r>
            <w:proofErr w:type="spellEnd"/>
            <w:r w:rsidRPr="00885364">
              <w:rPr>
                <w:rFonts w:ascii="Times New Roman" w:hAnsi="Times New Roman"/>
                <w:sz w:val="20"/>
                <w:szCs w:val="20"/>
                <w:shd w:val="clear" w:color="auto" w:fill="FFFFFF"/>
                <w:lang w:val="fr-FR"/>
              </w:rPr>
              <w:t xml:space="preserve"> media </w:t>
            </w:r>
            <w:proofErr w:type="spellStart"/>
            <w:r w:rsidRPr="00885364">
              <w:rPr>
                <w:rFonts w:ascii="Times New Roman" w:hAnsi="Times New Roman"/>
                <w:sz w:val="20"/>
                <w:szCs w:val="20"/>
                <w:shd w:val="clear" w:color="auto" w:fill="FFFFFF"/>
                <w:lang w:val="fr-FR"/>
              </w:rPr>
              <w:t>Uniunii</w:t>
            </w:r>
            <w:proofErr w:type="spellEnd"/>
            <w:r w:rsidRPr="00885364">
              <w:rPr>
                <w:rFonts w:ascii="Times New Roman" w:hAnsi="Times New Roman"/>
                <w:sz w:val="20"/>
                <w:szCs w:val="20"/>
                <w:shd w:val="clear" w:color="auto" w:fill="FFFFFF"/>
                <w:lang w:val="fr-FR"/>
              </w:rPr>
              <w:t>. C</w:t>
            </w:r>
            <w:r w:rsidRPr="00885364">
              <w:rPr>
                <w:rStyle w:val="sub"/>
                <w:rFonts w:ascii="Times New Roman" w:hAnsi="Times New Roman"/>
                <w:sz w:val="20"/>
                <w:szCs w:val="20"/>
                <w:shd w:val="clear" w:color="auto" w:fill="FFFFFF"/>
                <w:vertAlign w:val="subscript"/>
                <w:lang w:val="fr-FR"/>
              </w:rPr>
              <w:t>PIB</w:t>
            </w:r>
            <w:r w:rsidRPr="00885364">
              <w:rPr>
                <w:rFonts w:ascii="Times New Roman" w:hAnsi="Times New Roman"/>
                <w:sz w:val="20"/>
                <w:szCs w:val="20"/>
                <w:shd w:val="clear" w:color="auto" w:fill="FFFFFF"/>
                <w:lang w:val="fr-FR"/>
              </w:rPr>
              <w:t xml:space="preserve"> al </w:t>
            </w:r>
            <w:proofErr w:type="spellStart"/>
            <w:r w:rsidRPr="00885364">
              <w:rPr>
                <w:rFonts w:ascii="Times New Roman" w:hAnsi="Times New Roman"/>
                <w:sz w:val="20"/>
                <w:szCs w:val="20"/>
                <w:shd w:val="clear" w:color="auto" w:fill="FFFFFF"/>
                <w:lang w:val="fr-FR"/>
              </w:rPr>
              <w:t>tuturor</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statelor</w:t>
            </w:r>
            <w:proofErr w:type="spellEnd"/>
            <w:r w:rsidRPr="00885364">
              <w:rPr>
                <w:rFonts w:ascii="Times New Roman" w:hAnsi="Times New Roman"/>
                <w:sz w:val="20"/>
                <w:szCs w:val="20"/>
                <w:shd w:val="clear" w:color="auto" w:fill="FFFFFF"/>
                <w:lang w:val="fr-FR"/>
              </w:rPr>
              <w:t xml:space="preserve"> membre </w:t>
            </w:r>
            <w:proofErr w:type="spellStart"/>
            <w:r w:rsidRPr="00885364">
              <w:rPr>
                <w:rFonts w:ascii="Times New Roman" w:hAnsi="Times New Roman"/>
                <w:sz w:val="20"/>
                <w:szCs w:val="20"/>
                <w:shd w:val="clear" w:color="auto" w:fill="FFFFFF"/>
                <w:lang w:val="fr-FR"/>
              </w:rPr>
              <w:t>împreună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contribuie</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proporție</w:t>
            </w:r>
            <w:proofErr w:type="spellEnd"/>
            <w:r w:rsidRPr="00885364">
              <w:rPr>
                <w:rFonts w:ascii="Times New Roman" w:hAnsi="Times New Roman"/>
                <w:sz w:val="20"/>
                <w:szCs w:val="20"/>
                <w:shd w:val="clear" w:color="auto" w:fill="FFFFFF"/>
                <w:lang w:val="fr-FR"/>
              </w:rPr>
              <w:t xml:space="preserve"> de 30 % la </w:t>
            </w:r>
            <w:proofErr w:type="spellStart"/>
            <w:r w:rsidRPr="00885364">
              <w:rPr>
                <w:rFonts w:ascii="Times New Roman" w:hAnsi="Times New Roman"/>
                <w:sz w:val="20"/>
                <w:szCs w:val="20"/>
                <w:shd w:val="clear" w:color="auto" w:fill="FFFFFF"/>
                <w:lang w:val="fr-FR"/>
              </w:rPr>
              <w:t>diferența</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obiectivele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Uniunii</w:t>
            </w:r>
            <w:proofErr w:type="spellEnd"/>
            <w:r w:rsidRPr="00885364">
              <w:rPr>
                <w:rFonts w:ascii="Times New Roman" w:hAnsi="Times New Roman"/>
                <w:sz w:val="20"/>
                <w:szCs w:val="20"/>
                <w:shd w:val="clear" w:color="auto" w:fill="FFFFFF"/>
                <w:lang w:val="fr-FR"/>
              </w:rPr>
              <w:t xml:space="preserve"> pentru 2030 și 2020.</w:t>
            </w:r>
          </w:p>
          <w:p w14:paraId="5485F3DF" w14:textId="77777777" w:rsidR="008F5636" w:rsidRPr="00885364"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885364">
              <w:rPr>
                <w:rFonts w:ascii="Times New Roman" w:hAnsi="Times New Roman"/>
                <w:sz w:val="20"/>
                <w:szCs w:val="20"/>
                <w:shd w:val="clear" w:color="auto" w:fill="FFFFFF"/>
                <w:lang w:val="fr-FR"/>
              </w:rPr>
              <w:t>4.C</w:t>
            </w:r>
            <w:r w:rsidRPr="00885364">
              <w:rPr>
                <w:rStyle w:val="sub"/>
                <w:rFonts w:ascii="Times New Roman" w:hAnsi="Times New Roman"/>
                <w:sz w:val="20"/>
                <w:szCs w:val="20"/>
                <w:shd w:val="clear" w:color="auto" w:fill="FFFFFF"/>
                <w:vertAlign w:val="subscript"/>
                <w:lang w:val="fr-FR"/>
              </w:rPr>
              <w:t>potențial</w:t>
            </w:r>
            <w:r w:rsidRPr="00885364">
              <w:rPr>
                <w:rFonts w:ascii="Times New Roman" w:hAnsi="Times New Roman"/>
                <w:sz w:val="20"/>
                <w:szCs w:val="20"/>
                <w:shd w:val="clear" w:color="auto" w:fill="FFFFFF"/>
                <w:lang w:val="fr-FR"/>
              </w:rPr>
              <w:t xml:space="preserve">se </w:t>
            </w:r>
            <w:proofErr w:type="spellStart"/>
            <w:r w:rsidRPr="00885364">
              <w:rPr>
                <w:rFonts w:ascii="Times New Roman" w:hAnsi="Times New Roman"/>
                <w:sz w:val="20"/>
                <w:szCs w:val="20"/>
                <w:shd w:val="clear" w:color="auto" w:fill="FFFFFF"/>
                <w:lang w:val="fr-FR"/>
              </w:rPr>
              <w:t>alocă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între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statele</w:t>
            </w:r>
            <w:proofErr w:type="spellEnd"/>
            <w:r w:rsidRPr="00885364">
              <w:rPr>
                <w:rFonts w:ascii="Times New Roman" w:hAnsi="Times New Roman"/>
                <w:sz w:val="20"/>
                <w:szCs w:val="20"/>
                <w:shd w:val="clear" w:color="auto" w:fill="FFFFFF"/>
                <w:lang w:val="fr-FR"/>
              </w:rPr>
              <w:t xml:space="preserve"> membre </w:t>
            </w:r>
            <w:proofErr w:type="spellStart"/>
            <w:r w:rsidRPr="00885364">
              <w:rPr>
                <w:rFonts w:ascii="Times New Roman" w:hAnsi="Times New Roman"/>
                <w:sz w:val="20"/>
                <w:szCs w:val="20"/>
                <w:shd w:val="clear" w:color="auto" w:fill="FFFFFF"/>
                <w:lang w:val="fr-FR"/>
              </w:rPr>
              <w:t>pe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baza</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diferenței</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ponderea</w:t>
            </w:r>
            <w:proofErr w:type="spellEnd"/>
            <w:r w:rsidRPr="00885364">
              <w:rPr>
                <w:rFonts w:ascii="Times New Roman" w:hAnsi="Times New Roman"/>
                <w:sz w:val="20"/>
                <w:szCs w:val="20"/>
                <w:shd w:val="clear" w:color="auto" w:fill="FFFFFF"/>
                <w:lang w:val="fr-FR"/>
              </w:rPr>
              <w:t xml:space="preserve"> SRE a </w:t>
            </w:r>
            <w:proofErr w:type="spellStart"/>
            <w:r w:rsidRPr="00885364">
              <w:rPr>
                <w:rFonts w:ascii="Times New Roman" w:hAnsi="Times New Roman"/>
                <w:sz w:val="20"/>
                <w:szCs w:val="20"/>
                <w:shd w:val="clear" w:color="auto" w:fill="FFFFFF"/>
                <w:lang w:val="fr-FR"/>
              </w:rPr>
              <w:t>unui</w:t>
            </w:r>
            <w:proofErr w:type="spellEnd"/>
            <w:r w:rsidRPr="00885364">
              <w:rPr>
                <w:rFonts w:ascii="Times New Roman" w:hAnsi="Times New Roman"/>
                <w:sz w:val="20"/>
                <w:szCs w:val="20"/>
                <w:shd w:val="clear" w:color="auto" w:fill="FFFFFF"/>
                <w:lang w:val="fr-FR"/>
              </w:rPr>
              <w:t xml:space="preserve"> stat membru în 2030 </w:t>
            </w:r>
            <w:proofErr w:type="spellStart"/>
            <w:r w:rsidRPr="00885364">
              <w:rPr>
                <w:rFonts w:ascii="Times New Roman" w:hAnsi="Times New Roman"/>
                <w:sz w:val="20"/>
                <w:szCs w:val="20"/>
                <w:shd w:val="clear" w:color="auto" w:fill="FFFFFF"/>
                <w:lang w:val="fr-FR"/>
              </w:rPr>
              <w:t>astfel</w:t>
            </w:r>
            <w:proofErr w:type="spellEnd"/>
            <w:r w:rsidRPr="00885364">
              <w:rPr>
                <w:rFonts w:ascii="Times New Roman" w:hAnsi="Times New Roman"/>
                <w:sz w:val="20"/>
                <w:szCs w:val="20"/>
                <w:shd w:val="clear" w:color="auto" w:fill="FFFFFF"/>
                <w:lang w:val="fr-FR"/>
              </w:rPr>
              <w:t xml:space="preserve"> cum este </w:t>
            </w:r>
            <w:proofErr w:type="spellStart"/>
            <w:r w:rsidRPr="00885364">
              <w:rPr>
                <w:rFonts w:ascii="Times New Roman" w:hAnsi="Times New Roman"/>
                <w:sz w:val="20"/>
                <w:szCs w:val="20"/>
                <w:shd w:val="clear" w:color="auto" w:fill="FFFFFF"/>
                <w:lang w:val="fr-FR"/>
              </w:rPr>
              <w:t>indicată</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scenariul</w:t>
            </w:r>
            <w:proofErr w:type="spellEnd"/>
            <w:r w:rsidRPr="00885364">
              <w:rPr>
                <w:rFonts w:ascii="Times New Roman" w:hAnsi="Times New Roman"/>
                <w:sz w:val="20"/>
                <w:szCs w:val="20"/>
                <w:shd w:val="clear" w:color="auto" w:fill="FFFFFF"/>
                <w:lang w:val="fr-FR"/>
              </w:rPr>
              <w:t xml:space="preserve"> PRIMES și </w:t>
            </w:r>
            <w:proofErr w:type="spellStart"/>
            <w:r w:rsidRPr="00885364">
              <w:rPr>
                <w:rFonts w:ascii="Times New Roman" w:hAnsi="Times New Roman"/>
                <w:sz w:val="20"/>
                <w:szCs w:val="20"/>
                <w:shd w:val="clear" w:color="auto" w:fill="FFFFFF"/>
                <w:lang w:val="fr-FR"/>
              </w:rPr>
              <w:t>obiectivul</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său</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obligatoriu</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pentru</w:t>
            </w:r>
            <w:proofErr w:type="spellEnd"/>
            <w:r w:rsidRPr="00885364">
              <w:rPr>
                <w:rFonts w:ascii="Times New Roman" w:hAnsi="Times New Roman"/>
                <w:sz w:val="20"/>
                <w:szCs w:val="20"/>
                <w:shd w:val="clear" w:color="auto" w:fill="FFFFFF"/>
                <w:lang w:val="fr-FR"/>
              </w:rPr>
              <w:t xml:space="preserve"> 2020. </w:t>
            </w:r>
            <w:proofErr w:type="spellStart"/>
            <w:r w:rsidRPr="00885364">
              <w:rPr>
                <w:rFonts w:ascii="Times New Roman" w:hAnsi="Times New Roman"/>
                <w:sz w:val="20"/>
                <w:szCs w:val="20"/>
                <w:shd w:val="clear" w:color="auto" w:fill="FFFFFF"/>
                <w:lang w:val="fr-FR"/>
              </w:rPr>
              <w:t>C</w:t>
            </w:r>
            <w:r w:rsidRPr="00885364">
              <w:rPr>
                <w:rStyle w:val="sub"/>
                <w:rFonts w:ascii="Times New Roman" w:hAnsi="Times New Roman"/>
                <w:sz w:val="20"/>
                <w:szCs w:val="20"/>
                <w:shd w:val="clear" w:color="auto" w:fill="FFFFFF"/>
                <w:vertAlign w:val="subscript"/>
                <w:lang w:val="fr-FR"/>
              </w:rPr>
              <w:t>potențial</w:t>
            </w:r>
            <w:proofErr w:type="spellEnd"/>
            <w:r w:rsidRPr="00885364">
              <w:rPr>
                <w:rFonts w:ascii="Times New Roman" w:hAnsi="Times New Roman"/>
                <w:sz w:val="20"/>
                <w:szCs w:val="20"/>
                <w:shd w:val="clear" w:color="auto" w:fill="FFFFFF"/>
                <w:lang w:val="fr-FR"/>
              </w:rPr>
              <w:t xml:space="preserve"> al </w:t>
            </w:r>
            <w:proofErr w:type="spellStart"/>
            <w:r w:rsidRPr="00885364">
              <w:rPr>
                <w:rFonts w:ascii="Times New Roman" w:hAnsi="Times New Roman"/>
                <w:sz w:val="20"/>
                <w:szCs w:val="20"/>
                <w:shd w:val="clear" w:color="auto" w:fill="FFFFFF"/>
                <w:lang w:val="fr-FR"/>
              </w:rPr>
              <w:t>tuturor</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statelor</w:t>
            </w:r>
            <w:proofErr w:type="spellEnd"/>
            <w:r w:rsidRPr="00885364">
              <w:rPr>
                <w:rFonts w:ascii="Times New Roman" w:hAnsi="Times New Roman"/>
                <w:sz w:val="20"/>
                <w:szCs w:val="20"/>
                <w:shd w:val="clear" w:color="auto" w:fill="FFFFFF"/>
                <w:lang w:val="fr-FR"/>
              </w:rPr>
              <w:t xml:space="preserve"> membre </w:t>
            </w:r>
            <w:proofErr w:type="spellStart"/>
            <w:r w:rsidRPr="00885364">
              <w:rPr>
                <w:rFonts w:ascii="Times New Roman" w:hAnsi="Times New Roman"/>
                <w:sz w:val="20"/>
                <w:szCs w:val="20"/>
                <w:shd w:val="clear" w:color="auto" w:fill="FFFFFF"/>
                <w:lang w:val="fr-FR"/>
              </w:rPr>
              <w:t>împreună</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contribuie</w:t>
            </w:r>
            <w:proofErr w:type="spellEnd"/>
            <w:r w:rsidRPr="00885364">
              <w:rPr>
                <w:rFonts w:ascii="Times New Roman" w:hAnsi="Times New Roman"/>
                <w:sz w:val="20"/>
                <w:szCs w:val="20"/>
                <w:shd w:val="clear" w:color="auto" w:fill="FFFFFF"/>
                <w:lang w:val="fr-FR"/>
              </w:rPr>
              <w:t xml:space="preserve"> în </w:t>
            </w:r>
            <w:proofErr w:type="spellStart"/>
            <w:r w:rsidRPr="00885364">
              <w:rPr>
                <w:rFonts w:ascii="Times New Roman" w:hAnsi="Times New Roman"/>
                <w:sz w:val="20"/>
                <w:szCs w:val="20"/>
                <w:shd w:val="clear" w:color="auto" w:fill="FFFFFF"/>
                <w:lang w:val="fr-FR"/>
              </w:rPr>
              <w:t>proporție</w:t>
            </w:r>
            <w:proofErr w:type="spellEnd"/>
            <w:r w:rsidRPr="00885364">
              <w:rPr>
                <w:rFonts w:ascii="Times New Roman" w:hAnsi="Times New Roman"/>
                <w:sz w:val="20"/>
                <w:szCs w:val="20"/>
                <w:shd w:val="clear" w:color="auto" w:fill="FFFFFF"/>
                <w:lang w:val="fr-FR"/>
              </w:rPr>
              <w:t xml:space="preserve"> de 30 % la </w:t>
            </w:r>
            <w:proofErr w:type="spellStart"/>
            <w:r w:rsidRPr="00885364">
              <w:rPr>
                <w:rFonts w:ascii="Times New Roman" w:hAnsi="Times New Roman"/>
                <w:sz w:val="20"/>
                <w:szCs w:val="20"/>
                <w:shd w:val="clear" w:color="auto" w:fill="FFFFFF"/>
                <w:lang w:val="fr-FR"/>
              </w:rPr>
              <w:t>diferența</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dintre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obiectivele</w:t>
            </w:r>
            <w:proofErr w:type="spellEnd"/>
            <w:r w:rsidRPr="00885364">
              <w:rPr>
                <w:rFonts w:ascii="Times New Roman" w:hAnsi="Times New Roman"/>
                <w:sz w:val="20"/>
                <w:szCs w:val="20"/>
                <w:shd w:val="clear" w:color="auto" w:fill="FFFFFF"/>
                <w:lang w:val="fr-FR"/>
              </w:rPr>
              <w:t xml:space="preserve"> </w:t>
            </w:r>
            <w:proofErr w:type="spellStart"/>
            <w:r w:rsidRPr="00885364">
              <w:rPr>
                <w:rFonts w:ascii="Times New Roman" w:hAnsi="Times New Roman"/>
                <w:sz w:val="20"/>
                <w:szCs w:val="20"/>
                <w:shd w:val="clear" w:color="auto" w:fill="FFFFFF"/>
                <w:lang w:val="fr-FR"/>
              </w:rPr>
              <w:t>Uniunii</w:t>
            </w:r>
            <w:proofErr w:type="spellEnd"/>
            <w:r w:rsidRPr="00885364">
              <w:rPr>
                <w:rFonts w:ascii="Times New Roman" w:hAnsi="Times New Roman"/>
                <w:sz w:val="20"/>
                <w:szCs w:val="20"/>
                <w:shd w:val="clear" w:color="auto" w:fill="FFFFFF"/>
                <w:lang w:val="fr-FR"/>
              </w:rPr>
              <w:t xml:space="preserve"> pentru 2030 și 2020.</w:t>
            </w:r>
          </w:p>
          <w:p w14:paraId="69DB2F78" w14:textId="1D07E061" w:rsidR="008F5636" w:rsidRPr="009231D7" w:rsidRDefault="008F5636" w:rsidP="008F5636">
            <w:pPr>
              <w:suppressAutoHyphens w:val="0"/>
              <w:autoSpaceDN/>
              <w:spacing w:after="0" w:line="240" w:lineRule="auto"/>
              <w:jc w:val="both"/>
              <w:textAlignment w:val="auto"/>
              <w:rPr>
                <w:rFonts w:ascii="Times New Roman" w:hAnsi="Times New Roman"/>
                <w:sz w:val="20"/>
                <w:szCs w:val="20"/>
                <w:highlight w:val="red"/>
                <w:lang w:val="ro-MD"/>
              </w:rPr>
            </w:pPr>
            <w:r w:rsidRPr="00885364">
              <w:rPr>
                <w:rFonts w:ascii="Times New Roman" w:hAnsi="Times New Roman"/>
                <w:sz w:val="20"/>
                <w:szCs w:val="20"/>
                <w:lang w:val="fr-FR"/>
              </w:rPr>
              <w:t>5.C</w:t>
            </w:r>
            <w:r w:rsidRPr="00885364">
              <w:rPr>
                <w:rStyle w:val="sub"/>
                <w:rFonts w:ascii="Times New Roman" w:hAnsi="Times New Roman"/>
                <w:sz w:val="20"/>
                <w:szCs w:val="20"/>
                <w:vertAlign w:val="subscript"/>
                <w:lang w:val="fr-FR"/>
              </w:rPr>
              <w:t>Interco</w:t>
            </w:r>
            <w:r w:rsidRPr="00885364">
              <w:rPr>
                <w:rFonts w:ascii="Times New Roman" w:hAnsi="Times New Roman"/>
                <w:sz w:val="20"/>
                <w:szCs w:val="20"/>
                <w:lang w:val="fr-FR"/>
              </w:rPr>
              <w:t xml:space="preserve"> se </w:t>
            </w:r>
            <w:proofErr w:type="spellStart"/>
            <w:r w:rsidRPr="00885364">
              <w:rPr>
                <w:rFonts w:ascii="Times New Roman" w:hAnsi="Times New Roman"/>
                <w:sz w:val="20"/>
                <w:szCs w:val="20"/>
                <w:lang w:val="fr-FR"/>
              </w:rPr>
              <w:t>alocă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între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statele</w:t>
            </w:r>
            <w:proofErr w:type="spellEnd"/>
            <w:r w:rsidRPr="00885364">
              <w:rPr>
                <w:rFonts w:ascii="Times New Roman" w:hAnsi="Times New Roman"/>
                <w:sz w:val="20"/>
                <w:szCs w:val="20"/>
                <w:lang w:val="fr-FR"/>
              </w:rPr>
              <w:t xml:space="preserve"> membre </w:t>
            </w:r>
            <w:proofErr w:type="spellStart"/>
            <w:r w:rsidRPr="00885364">
              <w:rPr>
                <w:rFonts w:ascii="Times New Roman" w:hAnsi="Times New Roman"/>
                <w:sz w:val="20"/>
                <w:szCs w:val="20"/>
                <w:lang w:val="fr-FR"/>
              </w:rPr>
              <w:t>pe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baza</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unui</w:t>
            </w:r>
            <w:proofErr w:type="spellEnd"/>
            <w:r w:rsidRPr="00885364">
              <w:rPr>
                <w:rFonts w:ascii="Times New Roman" w:hAnsi="Times New Roman"/>
                <w:sz w:val="20"/>
                <w:szCs w:val="20"/>
                <w:lang w:val="fr-FR"/>
              </w:rPr>
              <w:t xml:space="preserve"> indice al </w:t>
            </w:r>
            <w:proofErr w:type="spellStart"/>
            <w:r w:rsidRPr="00885364">
              <w:rPr>
                <w:rFonts w:ascii="Times New Roman" w:hAnsi="Times New Roman"/>
                <w:sz w:val="20"/>
                <w:szCs w:val="20"/>
                <w:lang w:val="fr-FR"/>
              </w:rPr>
              <w:t>cotei</w:t>
            </w:r>
            <w:proofErr w:type="spellEnd"/>
            <w:r w:rsidRPr="00885364">
              <w:rPr>
                <w:rFonts w:ascii="Times New Roman" w:hAnsi="Times New Roman"/>
                <w:sz w:val="20"/>
                <w:szCs w:val="20"/>
                <w:lang w:val="fr-FR"/>
              </w:rPr>
              <w:t xml:space="preserve"> de </w:t>
            </w:r>
            <w:proofErr w:type="spellStart"/>
            <w:r w:rsidRPr="00885364">
              <w:rPr>
                <w:rFonts w:ascii="Times New Roman" w:hAnsi="Times New Roman"/>
                <w:sz w:val="20"/>
                <w:szCs w:val="20"/>
                <w:lang w:val="fr-FR"/>
              </w:rPr>
              <w:t>interconectare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electrică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raportat</w:t>
            </w:r>
            <w:proofErr w:type="spellEnd"/>
            <w:r w:rsidRPr="00885364">
              <w:rPr>
                <w:rFonts w:ascii="Times New Roman" w:hAnsi="Times New Roman"/>
                <w:sz w:val="20"/>
                <w:szCs w:val="20"/>
                <w:lang w:val="fr-FR"/>
              </w:rPr>
              <w:t xml:space="preserve"> la media </w:t>
            </w:r>
            <w:proofErr w:type="spellStart"/>
            <w:r w:rsidRPr="00885364">
              <w:rPr>
                <w:rFonts w:ascii="Times New Roman" w:hAnsi="Times New Roman"/>
                <w:sz w:val="20"/>
                <w:szCs w:val="20"/>
                <w:lang w:val="fr-FR"/>
              </w:rPr>
              <w:t>Uniunii</w:t>
            </w:r>
            <w:proofErr w:type="spellEnd"/>
            <w:r w:rsidRPr="00885364">
              <w:rPr>
                <w:rFonts w:ascii="Times New Roman" w:hAnsi="Times New Roman"/>
                <w:sz w:val="20"/>
                <w:szCs w:val="20"/>
                <w:lang w:val="fr-FR"/>
              </w:rPr>
              <w:t xml:space="preserve"> în 2017, </w:t>
            </w:r>
            <w:proofErr w:type="spellStart"/>
            <w:r w:rsidRPr="00885364">
              <w:rPr>
                <w:rFonts w:ascii="Times New Roman" w:hAnsi="Times New Roman"/>
                <w:sz w:val="20"/>
                <w:szCs w:val="20"/>
                <w:lang w:val="fr-FR"/>
              </w:rPr>
              <w:t>măsurat</w:t>
            </w:r>
            <w:proofErr w:type="spellEnd"/>
            <w:r w:rsidRPr="00885364">
              <w:rPr>
                <w:rFonts w:ascii="Times New Roman" w:hAnsi="Times New Roman"/>
                <w:sz w:val="20"/>
                <w:szCs w:val="20"/>
                <w:lang w:val="fr-FR"/>
              </w:rPr>
              <w:t xml:space="preserve"> în </w:t>
            </w:r>
            <w:proofErr w:type="spellStart"/>
            <w:r w:rsidRPr="00885364">
              <w:rPr>
                <w:rFonts w:ascii="Times New Roman" w:hAnsi="Times New Roman"/>
                <w:sz w:val="20"/>
                <w:szCs w:val="20"/>
                <w:lang w:val="fr-FR"/>
              </w:rPr>
              <w:t>ceea</w:t>
            </w:r>
            <w:proofErr w:type="spellEnd"/>
            <w:r w:rsidRPr="00885364">
              <w:rPr>
                <w:rFonts w:ascii="Times New Roman" w:hAnsi="Times New Roman"/>
                <w:sz w:val="20"/>
                <w:szCs w:val="20"/>
                <w:lang w:val="fr-FR"/>
              </w:rPr>
              <w:t xml:space="preserve"> ce </w:t>
            </w:r>
            <w:proofErr w:type="spellStart"/>
            <w:r w:rsidRPr="00885364">
              <w:rPr>
                <w:rFonts w:ascii="Times New Roman" w:hAnsi="Times New Roman"/>
                <w:sz w:val="20"/>
                <w:szCs w:val="20"/>
                <w:lang w:val="fr-FR"/>
              </w:rPr>
              <w:t>privește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puterea</w:t>
            </w:r>
            <w:proofErr w:type="spellEnd"/>
            <w:r w:rsidRPr="00885364">
              <w:rPr>
                <w:rFonts w:ascii="Times New Roman" w:hAnsi="Times New Roman"/>
                <w:sz w:val="20"/>
                <w:szCs w:val="20"/>
                <w:lang w:val="fr-FR"/>
              </w:rPr>
              <w:t xml:space="preserve"> de </w:t>
            </w:r>
            <w:proofErr w:type="spellStart"/>
            <w:r w:rsidRPr="00885364">
              <w:rPr>
                <w:rFonts w:ascii="Times New Roman" w:hAnsi="Times New Roman"/>
                <w:sz w:val="20"/>
                <w:szCs w:val="20"/>
                <w:lang w:val="fr-FR"/>
              </w:rPr>
              <w:t>transfer</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netă</w:t>
            </w:r>
            <w:proofErr w:type="spellEnd"/>
            <w:r w:rsidRPr="00885364">
              <w:rPr>
                <w:rFonts w:ascii="Times New Roman" w:hAnsi="Times New Roman"/>
                <w:sz w:val="20"/>
                <w:szCs w:val="20"/>
                <w:lang w:val="fr-FR"/>
              </w:rPr>
              <w:t xml:space="preserve"> în </w:t>
            </w:r>
            <w:proofErr w:type="spellStart"/>
            <w:r w:rsidRPr="00885364">
              <w:rPr>
                <w:rFonts w:ascii="Times New Roman" w:hAnsi="Times New Roman"/>
                <w:sz w:val="20"/>
                <w:szCs w:val="20"/>
                <w:lang w:val="fr-FR"/>
              </w:rPr>
              <w:t>raport</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cu</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puterea</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totală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instalată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unde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indicele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cotei</w:t>
            </w:r>
            <w:proofErr w:type="spellEnd"/>
            <w:r w:rsidRPr="00885364">
              <w:rPr>
                <w:rFonts w:ascii="Times New Roman" w:hAnsi="Times New Roman"/>
                <w:sz w:val="20"/>
                <w:szCs w:val="20"/>
                <w:lang w:val="fr-FR"/>
              </w:rPr>
              <w:t xml:space="preserve"> de </w:t>
            </w:r>
            <w:proofErr w:type="spellStart"/>
            <w:r w:rsidRPr="00885364">
              <w:rPr>
                <w:rFonts w:ascii="Times New Roman" w:hAnsi="Times New Roman"/>
                <w:sz w:val="20"/>
                <w:szCs w:val="20"/>
                <w:lang w:val="fr-FR"/>
              </w:rPr>
              <w:t>interconectare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pentru</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fiecare</w:t>
            </w:r>
            <w:proofErr w:type="spellEnd"/>
            <w:r w:rsidRPr="00885364">
              <w:rPr>
                <w:rFonts w:ascii="Times New Roman" w:hAnsi="Times New Roman"/>
                <w:sz w:val="20"/>
                <w:szCs w:val="20"/>
                <w:lang w:val="fr-FR"/>
              </w:rPr>
              <w:t xml:space="preserve"> stat mem</w:t>
            </w:r>
            <w:r w:rsidR="00885364">
              <w:rPr>
                <w:rFonts w:ascii="Times New Roman" w:hAnsi="Times New Roman"/>
                <w:sz w:val="20"/>
                <w:szCs w:val="20"/>
                <w:lang w:val="fr-FR"/>
              </w:rPr>
              <w:t xml:space="preserve">bru în parte este </w:t>
            </w:r>
            <w:proofErr w:type="spellStart"/>
            <w:r w:rsidR="00885364">
              <w:rPr>
                <w:rFonts w:ascii="Times New Roman" w:hAnsi="Times New Roman"/>
                <w:sz w:val="20"/>
                <w:szCs w:val="20"/>
                <w:lang w:val="fr-FR"/>
              </w:rPr>
              <w:t>limitat</w:t>
            </w:r>
            <w:proofErr w:type="spellEnd"/>
            <w:r w:rsidR="00885364">
              <w:rPr>
                <w:rFonts w:ascii="Times New Roman" w:hAnsi="Times New Roman"/>
                <w:sz w:val="20"/>
                <w:szCs w:val="20"/>
                <w:lang w:val="fr-FR"/>
              </w:rPr>
              <w:t xml:space="preserve"> la150</w:t>
            </w:r>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din</w:t>
            </w:r>
            <w:proofErr w:type="spellEnd"/>
            <w:r w:rsidRPr="00885364">
              <w:rPr>
                <w:rFonts w:ascii="Times New Roman" w:hAnsi="Times New Roman"/>
                <w:sz w:val="20"/>
                <w:szCs w:val="20"/>
                <w:lang w:val="fr-FR"/>
              </w:rPr>
              <w:t xml:space="preserve"> media </w:t>
            </w:r>
            <w:proofErr w:type="spellStart"/>
            <w:r w:rsidRPr="00885364">
              <w:rPr>
                <w:rFonts w:ascii="Times New Roman" w:hAnsi="Times New Roman"/>
                <w:sz w:val="20"/>
                <w:szCs w:val="20"/>
                <w:lang w:val="fr-FR"/>
              </w:rPr>
              <w:t>Uniunii</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C</w:t>
            </w:r>
            <w:r w:rsidRPr="00885364">
              <w:rPr>
                <w:rStyle w:val="sub"/>
                <w:rFonts w:ascii="Times New Roman" w:hAnsi="Times New Roman"/>
                <w:sz w:val="20"/>
                <w:szCs w:val="20"/>
                <w:vertAlign w:val="subscript"/>
                <w:lang w:val="fr-FR"/>
              </w:rPr>
              <w:t>Interco</w:t>
            </w:r>
            <w:r w:rsidRPr="00885364">
              <w:rPr>
                <w:rFonts w:ascii="Times New Roman" w:hAnsi="Times New Roman"/>
                <w:sz w:val="20"/>
                <w:szCs w:val="20"/>
                <w:lang w:val="fr-FR"/>
              </w:rPr>
              <w:t>al</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tuturor</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statelor</w:t>
            </w:r>
            <w:proofErr w:type="spellEnd"/>
            <w:r w:rsidRPr="00885364">
              <w:rPr>
                <w:rFonts w:ascii="Times New Roman" w:hAnsi="Times New Roman"/>
                <w:sz w:val="20"/>
                <w:szCs w:val="20"/>
                <w:lang w:val="fr-FR"/>
              </w:rPr>
              <w:t xml:space="preserve"> membre </w:t>
            </w:r>
            <w:proofErr w:type="spellStart"/>
            <w:r w:rsidRPr="00885364">
              <w:rPr>
                <w:rFonts w:ascii="Times New Roman" w:hAnsi="Times New Roman"/>
                <w:sz w:val="20"/>
                <w:szCs w:val="20"/>
                <w:lang w:val="fr-FR"/>
              </w:rPr>
              <w:t>împreună</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contribuie</w:t>
            </w:r>
            <w:proofErr w:type="spellEnd"/>
            <w:r w:rsidRPr="00885364">
              <w:rPr>
                <w:rFonts w:ascii="Times New Roman" w:hAnsi="Times New Roman"/>
                <w:sz w:val="20"/>
                <w:szCs w:val="20"/>
                <w:lang w:val="fr-FR"/>
              </w:rPr>
              <w:t xml:space="preserve"> în </w:t>
            </w:r>
            <w:proofErr w:type="spellStart"/>
            <w:r w:rsidRPr="00885364">
              <w:rPr>
                <w:rFonts w:ascii="Times New Roman" w:hAnsi="Times New Roman"/>
                <w:sz w:val="20"/>
                <w:szCs w:val="20"/>
                <w:lang w:val="fr-FR"/>
              </w:rPr>
              <w:t>proporție</w:t>
            </w:r>
            <w:proofErr w:type="spellEnd"/>
            <w:r w:rsidRPr="00885364">
              <w:rPr>
                <w:rFonts w:ascii="Times New Roman" w:hAnsi="Times New Roman"/>
                <w:sz w:val="20"/>
                <w:szCs w:val="20"/>
                <w:lang w:val="fr-FR"/>
              </w:rPr>
              <w:t xml:space="preserve"> de 10 % la </w:t>
            </w:r>
            <w:proofErr w:type="spellStart"/>
            <w:r w:rsidRPr="00885364">
              <w:rPr>
                <w:rFonts w:ascii="Times New Roman" w:hAnsi="Times New Roman"/>
                <w:sz w:val="20"/>
                <w:szCs w:val="20"/>
                <w:lang w:val="fr-FR"/>
              </w:rPr>
              <w:t>diferența</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dintre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obiectivele</w:t>
            </w:r>
            <w:proofErr w:type="spellEnd"/>
            <w:r w:rsidRPr="00885364">
              <w:rPr>
                <w:rFonts w:ascii="Times New Roman" w:hAnsi="Times New Roman"/>
                <w:sz w:val="20"/>
                <w:szCs w:val="20"/>
                <w:lang w:val="fr-FR"/>
              </w:rPr>
              <w:t xml:space="preserve"> </w:t>
            </w:r>
            <w:proofErr w:type="spellStart"/>
            <w:r w:rsidRPr="00885364">
              <w:rPr>
                <w:rFonts w:ascii="Times New Roman" w:hAnsi="Times New Roman"/>
                <w:sz w:val="20"/>
                <w:szCs w:val="20"/>
                <w:lang w:val="fr-FR"/>
              </w:rPr>
              <w:t>Uniunii</w:t>
            </w:r>
            <w:proofErr w:type="spellEnd"/>
            <w:r w:rsidRPr="00885364">
              <w:rPr>
                <w:rFonts w:ascii="Times New Roman" w:hAnsi="Times New Roman"/>
                <w:sz w:val="20"/>
                <w:szCs w:val="20"/>
                <w:lang w:val="fr-FR"/>
              </w:rPr>
              <w:t xml:space="preserve"> pentru 2030 și 2020.</w:t>
            </w:r>
          </w:p>
        </w:tc>
        <w:tc>
          <w:tcPr>
            <w:tcW w:w="4440" w:type="dxa"/>
          </w:tcPr>
          <w:p w14:paraId="18B90283" w14:textId="77777777" w:rsidR="008F5636" w:rsidRPr="00E010A5" w:rsidRDefault="008F5636" w:rsidP="008F5636">
            <w:pPr>
              <w:pStyle w:val="ColorfulList-Accent11"/>
              <w:spacing w:after="0" w:line="240" w:lineRule="auto"/>
              <w:ind w:left="0"/>
              <w:jc w:val="both"/>
              <w:rPr>
                <w:lang w:val="fr-FR"/>
              </w:rPr>
            </w:pPr>
          </w:p>
        </w:tc>
        <w:tc>
          <w:tcPr>
            <w:tcW w:w="1276" w:type="dxa"/>
          </w:tcPr>
          <w:p w14:paraId="0CA20EFE" w14:textId="22DDF3B3" w:rsidR="008F5636" w:rsidRPr="00E010A5" w:rsidRDefault="005A596D" w:rsidP="005A596D">
            <w:pPr>
              <w:spacing w:after="0" w:line="240" w:lineRule="auto"/>
              <w:rPr>
                <w:lang w:val="fr-FR"/>
              </w:rPr>
            </w:pPr>
            <w:r w:rsidRPr="00C951E7">
              <w:rPr>
                <w:rFonts w:ascii="Times New Roman" w:hAnsi="Times New Roman"/>
                <w:sz w:val="20"/>
                <w:szCs w:val="20"/>
                <w:lang w:val="ro-RO"/>
              </w:rPr>
              <w:t>Prevederi UE neaplicabile</w:t>
            </w:r>
          </w:p>
        </w:tc>
        <w:tc>
          <w:tcPr>
            <w:tcW w:w="1276" w:type="dxa"/>
          </w:tcPr>
          <w:p w14:paraId="4025F0FA" w14:textId="77777777" w:rsidR="008F5636" w:rsidRPr="00E010A5" w:rsidRDefault="008F5636" w:rsidP="008F5636">
            <w:pPr>
              <w:pStyle w:val="ColorfulList-Accent11"/>
              <w:spacing w:after="0" w:line="240" w:lineRule="auto"/>
              <w:ind w:left="0"/>
              <w:jc w:val="both"/>
              <w:rPr>
                <w:lang w:val="fr-FR"/>
              </w:rPr>
            </w:pPr>
          </w:p>
        </w:tc>
        <w:tc>
          <w:tcPr>
            <w:tcW w:w="1701" w:type="dxa"/>
          </w:tcPr>
          <w:p w14:paraId="4A82F9E5" w14:textId="77777777" w:rsidR="00D9489E" w:rsidRPr="00F13819" w:rsidRDefault="003A7D83" w:rsidP="00D9489E">
            <w:pPr>
              <w:autoSpaceDE w:val="0"/>
              <w:spacing w:after="0" w:line="240" w:lineRule="auto"/>
              <w:rPr>
                <w:rFonts w:ascii="Times New Roman" w:hAnsi="Times New Roman"/>
                <w:sz w:val="20"/>
                <w:szCs w:val="20"/>
                <w:shd w:val="clear" w:color="auto" w:fill="FFFFFF"/>
                <w:lang w:val="ro-RO"/>
              </w:rPr>
            </w:pPr>
            <w:r>
              <w:rPr>
                <w:rFonts w:ascii="Times New Roman" w:hAnsi="Times New Roman"/>
                <w:sz w:val="20"/>
                <w:szCs w:val="20"/>
                <w:shd w:val="clear" w:color="auto" w:fill="FFFFFF"/>
                <w:lang w:val="ro-RO"/>
              </w:rPr>
              <w:t xml:space="preserve">Prevederile </w:t>
            </w:r>
            <w:r w:rsidRPr="00C951E7">
              <w:rPr>
                <w:rFonts w:ascii="Times New Roman" w:hAnsi="Times New Roman"/>
                <w:sz w:val="20"/>
                <w:szCs w:val="20"/>
                <w:lang w:val="ro-RO"/>
              </w:rPr>
              <w:t xml:space="preserve">nu </w:t>
            </w:r>
            <w:r>
              <w:rPr>
                <w:rFonts w:ascii="Times New Roman" w:hAnsi="Times New Roman"/>
                <w:sz w:val="20"/>
                <w:szCs w:val="20"/>
                <w:lang w:val="ro-RO"/>
              </w:rPr>
              <w:t>se transpun</w:t>
            </w:r>
            <w:r w:rsidRPr="00C951E7">
              <w:rPr>
                <w:rFonts w:ascii="Times New Roman" w:hAnsi="Times New Roman"/>
                <w:sz w:val="20"/>
                <w:szCs w:val="20"/>
                <w:lang w:val="ro-RO"/>
              </w:rPr>
              <w:t>, deoare</w:t>
            </w:r>
            <w:r w:rsidR="00885364">
              <w:rPr>
                <w:rFonts w:ascii="Times New Roman" w:hAnsi="Times New Roman"/>
                <w:sz w:val="20"/>
                <w:szCs w:val="20"/>
                <w:lang w:val="ro-RO"/>
              </w:rPr>
              <w:t xml:space="preserve">ce se referă statelor membre UE și sunt </w:t>
            </w:r>
            <w:r w:rsidR="00885364">
              <w:rPr>
                <w:rFonts w:ascii="Times New Roman" w:eastAsia="Times New Roman" w:hAnsi="Times New Roman"/>
                <w:sz w:val="20"/>
                <w:szCs w:val="20"/>
                <w:lang w:val="ro-RO"/>
              </w:rPr>
              <w:t xml:space="preserve">corelate cu prevederile </w:t>
            </w:r>
            <w:r w:rsidR="00885364" w:rsidRPr="00F13819">
              <w:rPr>
                <w:rFonts w:ascii="Times New Roman" w:eastAsia="Times New Roman" w:hAnsi="Times New Roman"/>
                <w:sz w:val="20"/>
                <w:szCs w:val="20"/>
                <w:lang w:val="ro-RO"/>
              </w:rPr>
              <w:t>Decizi</w:t>
            </w:r>
            <w:r w:rsidR="00885364">
              <w:rPr>
                <w:rFonts w:ascii="Times New Roman" w:eastAsia="Times New Roman" w:hAnsi="Times New Roman"/>
                <w:sz w:val="20"/>
                <w:szCs w:val="20"/>
                <w:lang w:val="ro-RO"/>
              </w:rPr>
              <w:t>ei</w:t>
            </w:r>
            <w:r w:rsidR="00885364" w:rsidRPr="00F13819">
              <w:rPr>
                <w:rFonts w:ascii="Times New Roman" w:eastAsia="Times New Roman" w:hAnsi="Times New Roman"/>
                <w:sz w:val="20"/>
                <w:szCs w:val="20"/>
                <w:lang w:val="ro-RO"/>
              </w:rPr>
              <w:t xml:space="preserve"> Consiliului Ministerial al Comunității Energetice nr. D/2021/14/MC-</w:t>
            </w:r>
            <w:proofErr w:type="spellStart"/>
            <w:r w:rsidR="00885364" w:rsidRPr="00F13819">
              <w:rPr>
                <w:rFonts w:ascii="Times New Roman" w:eastAsia="Times New Roman" w:hAnsi="Times New Roman"/>
                <w:sz w:val="20"/>
                <w:szCs w:val="20"/>
                <w:lang w:val="ro-RO"/>
              </w:rPr>
              <w:t>EnC</w:t>
            </w:r>
            <w:proofErr w:type="spellEnd"/>
            <w:r w:rsidR="00885364" w:rsidRPr="00F13819">
              <w:rPr>
                <w:rFonts w:ascii="Times New Roman" w:eastAsia="Times New Roman" w:hAnsi="Times New Roman"/>
                <w:sz w:val="20"/>
                <w:szCs w:val="20"/>
                <w:lang w:val="ro-RO"/>
              </w:rPr>
              <w:t xml:space="preserve"> din 30.11.2021</w:t>
            </w:r>
            <w:r w:rsidR="00D9489E">
              <w:rPr>
                <w:rFonts w:ascii="Times New Roman" w:eastAsia="Times New Roman" w:hAnsi="Times New Roman"/>
                <w:sz w:val="20"/>
                <w:szCs w:val="20"/>
                <w:lang w:val="ro-RO"/>
              </w:rPr>
              <w:t xml:space="preserve"> și </w:t>
            </w:r>
            <w:r w:rsidR="00D9489E" w:rsidRPr="00F13819">
              <w:rPr>
                <w:rFonts w:ascii="Times New Roman" w:eastAsia="Times New Roman" w:hAnsi="Times New Roman"/>
                <w:sz w:val="20"/>
                <w:szCs w:val="20"/>
                <w:lang w:val="ro-RO"/>
              </w:rPr>
              <w:t>D/202</w:t>
            </w:r>
            <w:r w:rsidR="00D9489E">
              <w:rPr>
                <w:rFonts w:ascii="Times New Roman" w:eastAsia="Times New Roman" w:hAnsi="Times New Roman"/>
                <w:sz w:val="20"/>
                <w:szCs w:val="20"/>
                <w:lang w:val="ro-RO"/>
              </w:rPr>
              <w:t>2</w:t>
            </w:r>
            <w:r w:rsidR="00D9489E" w:rsidRPr="00F13819">
              <w:rPr>
                <w:rFonts w:ascii="Times New Roman" w:eastAsia="Times New Roman" w:hAnsi="Times New Roman"/>
                <w:sz w:val="20"/>
                <w:szCs w:val="20"/>
                <w:lang w:val="ro-RO"/>
              </w:rPr>
              <w:t>/</w:t>
            </w:r>
            <w:r w:rsidR="00D9489E">
              <w:rPr>
                <w:rFonts w:ascii="Times New Roman" w:eastAsia="Times New Roman" w:hAnsi="Times New Roman"/>
                <w:sz w:val="20"/>
                <w:szCs w:val="20"/>
                <w:lang w:val="ro-RO"/>
              </w:rPr>
              <w:t>02</w:t>
            </w:r>
            <w:r w:rsidR="00D9489E" w:rsidRPr="00F13819">
              <w:rPr>
                <w:rFonts w:ascii="Times New Roman" w:eastAsia="Times New Roman" w:hAnsi="Times New Roman"/>
                <w:sz w:val="20"/>
                <w:szCs w:val="20"/>
                <w:lang w:val="ro-RO"/>
              </w:rPr>
              <w:t>/MC-</w:t>
            </w:r>
            <w:proofErr w:type="spellStart"/>
            <w:r w:rsidR="00D9489E" w:rsidRPr="00F13819">
              <w:rPr>
                <w:rFonts w:ascii="Times New Roman" w:eastAsia="Times New Roman" w:hAnsi="Times New Roman"/>
                <w:sz w:val="20"/>
                <w:szCs w:val="20"/>
                <w:lang w:val="ro-RO"/>
              </w:rPr>
              <w:t>EnC</w:t>
            </w:r>
            <w:proofErr w:type="spellEnd"/>
            <w:r w:rsidR="00D9489E" w:rsidRPr="00F13819">
              <w:rPr>
                <w:rFonts w:ascii="Times New Roman" w:eastAsia="Times New Roman" w:hAnsi="Times New Roman"/>
                <w:sz w:val="20"/>
                <w:szCs w:val="20"/>
                <w:lang w:val="ro-RO"/>
              </w:rPr>
              <w:t xml:space="preserve"> din </w:t>
            </w:r>
            <w:r w:rsidR="00D9489E">
              <w:rPr>
                <w:rFonts w:ascii="Times New Roman" w:eastAsia="Times New Roman" w:hAnsi="Times New Roman"/>
                <w:sz w:val="20"/>
                <w:szCs w:val="20"/>
                <w:lang w:val="ro-RO"/>
              </w:rPr>
              <w:t>15</w:t>
            </w:r>
            <w:r w:rsidR="00D9489E" w:rsidRPr="00F13819">
              <w:rPr>
                <w:rFonts w:ascii="Times New Roman" w:eastAsia="Times New Roman" w:hAnsi="Times New Roman"/>
                <w:sz w:val="20"/>
                <w:szCs w:val="20"/>
                <w:lang w:val="ro-RO"/>
              </w:rPr>
              <w:t>.1</w:t>
            </w:r>
            <w:r w:rsidR="00D9489E">
              <w:rPr>
                <w:rFonts w:ascii="Times New Roman" w:eastAsia="Times New Roman" w:hAnsi="Times New Roman"/>
                <w:sz w:val="20"/>
                <w:szCs w:val="20"/>
                <w:lang w:val="ro-RO"/>
              </w:rPr>
              <w:t>2</w:t>
            </w:r>
            <w:r w:rsidR="00D9489E" w:rsidRPr="00F13819">
              <w:rPr>
                <w:rFonts w:ascii="Times New Roman" w:eastAsia="Times New Roman" w:hAnsi="Times New Roman"/>
                <w:sz w:val="20"/>
                <w:szCs w:val="20"/>
                <w:lang w:val="ro-RO"/>
              </w:rPr>
              <w:t>.202</w:t>
            </w:r>
            <w:r w:rsidR="00D9489E">
              <w:rPr>
                <w:rFonts w:ascii="Times New Roman" w:eastAsia="Times New Roman" w:hAnsi="Times New Roman"/>
                <w:sz w:val="20"/>
                <w:szCs w:val="20"/>
                <w:lang w:val="ro-RO"/>
              </w:rPr>
              <w:t xml:space="preserve">2. </w:t>
            </w:r>
          </w:p>
          <w:p w14:paraId="5449BCCC" w14:textId="1DB9A354" w:rsidR="00885364" w:rsidRPr="00885364" w:rsidRDefault="00885364" w:rsidP="00885364">
            <w:pPr>
              <w:autoSpaceDE w:val="0"/>
              <w:spacing w:after="0" w:line="240" w:lineRule="auto"/>
              <w:rPr>
                <w:rFonts w:ascii="Times New Roman" w:hAnsi="Times New Roman"/>
                <w:sz w:val="20"/>
                <w:szCs w:val="20"/>
                <w:lang w:val="ro-RO"/>
              </w:rPr>
            </w:pPr>
          </w:p>
          <w:p w14:paraId="574D873B" w14:textId="77777777" w:rsidR="00885364" w:rsidRDefault="00885364" w:rsidP="003A7D83">
            <w:pPr>
              <w:autoSpaceDE w:val="0"/>
              <w:spacing w:after="0" w:line="240" w:lineRule="auto"/>
              <w:rPr>
                <w:rFonts w:ascii="Times New Roman" w:hAnsi="Times New Roman"/>
                <w:sz w:val="20"/>
                <w:szCs w:val="20"/>
                <w:lang w:val="ro-RO"/>
              </w:rPr>
            </w:pPr>
          </w:p>
          <w:p w14:paraId="0A9A8456" w14:textId="049BE10B" w:rsidR="008F5636" w:rsidRPr="005A596D" w:rsidRDefault="008F5636" w:rsidP="005A596D">
            <w:pPr>
              <w:autoSpaceDE w:val="0"/>
              <w:spacing w:after="0" w:line="240" w:lineRule="auto"/>
              <w:rPr>
                <w:rFonts w:ascii="Times New Roman" w:hAnsi="Times New Roman"/>
                <w:sz w:val="20"/>
                <w:szCs w:val="20"/>
                <w:lang w:val="ro-RO"/>
              </w:rPr>
            </w:pPr>
          </w:p>
        </w:tc>
        <w:tc>
          <w:tcPr>
            <w:tcW w:w="1460" w:type="dxa"/>
          </w:tcPr>
          <w:p w14:paraId="32BBAB74" w14:textId="27586C77" w:rsidR="00DA405E" w:rsidRPr="003F755D" w:rsidRDefault="00DA405E" w:rsidP="00DA405E">
            <w:pPr>
              <w:autoSpaceDE w:val="0"/>
              <w:spacing w:after="0" w:line="240" w:lineRule="auto"/>
              <w:rPr>
                <w:rFonts w:ascii="Times New Roman" w:hAnsi="Times New Roman"/>
                <w:sz w:val="20"/>
                <w:szCs w:val="20"/>
                <w:shd w:val="clear" w:color="auto" w:fill="FFFFFF"/>
                <w:lang w:val="ro-RO"/>
              </w:rPr>
            </w:pPr>
          </w:p>
          <w:p w14:paraId="64D37EBA" w14:textId="77777777" w:rsidR="008F5636" w:rsidRPr="003274E5" w:rsidRDefault="008F5636" w:rsidP="008F5636">
            <w:pPr>
              <w:pStyle w:val="ColorfulList-Accent11"/>
              <w:spacing w:after="0" w:line="240" w:lineRule="auto"/>
              <w:ind w:left="0"/>
              <w:jc w:val="both"/>
              <w:rPr>
                <w:lang w:val="ro-RO"/>
              </w:rPr>
            </w:pPr>
          </w:p>
        </w:tc>
      </w:tr>
      <w:tr w:rsidR="008F5636" w:rsidRPr="00B67A53" w14:paraId="1F54F2B2" w14:textId="77777777" w:rsidTr="00A90105">
        <w:tc>
          <w:tcPr>
            <w:tcW w:w="4945" w:type="dxa"/>
          </w:tcPr>
          <w:p w14:paraId="201C42C2" w14:textId="77777777" w:rsidR="008F5636" w:rsidRPr="003D20CB" w:rsidRDefault="008F5636" w:rsidP="008F5636">
            <w:pPr>
              <w:pStyle w:val="ColorfulList-Accent11"/>
              <w:spacing w:after="0" w:line="240" w:lineRule="auto"/>
              <w:ind w:left="0"/>
              <w:jc w:val="center"/>
              <w:rPr>
                <w:rFonts w:ascii="Times New Roman" w:hAnsi="Times New Roman"/>
                <w:b/>
                <w:bCs/>
                <w:color w:val="333333"/>
                <w:sz w:val="20"/>
                <w:szCs w:val="20"/>
                <w:shd w:val="clear" w:color="auto" w:fill="FFFFFF"/>
                <w:lang w:val="fr-FR"/>
              </w:rPr>
            </w:pPr>
            <w:r w:rsidRPr="003D20CB">
              <w:rPr>
                <w:rFonts w:ascii="Times New Roman" w:hAnsi="Times New Roman"/>
                <w:b/>
                <w:bCs/>
                <w:color w:val="333333"/>
                <w:sz w:val="20"/>
                <w:szCs w:val="20"/>
                <w:shd w:val="clear" w:color="auto" w:fill="FFFFFF"/>
                <w:lang w:val="fr-FR"/>
              </w:rPr>
              <w:t>ANEXA III</w:t>
            </w:r>
          </w:p>
          <w:p w14:paraId="2DEE554E" w14:textId="77777777" w:rsidR="008F5636" w:rsidRPr="003D20CB" w:rsidRDefault="008F5636" w:rsidP="008F5636">
            <w:pPr>
              <w:pStyle w:val="ColorfulList-Accent11"/>
              <w:spacing w:after="0" w:line="240" w:lineRule="auto"/>
              <w:ind w:left="0"/>
              <w:jc w:val="center"/>
              <w:rPr>
                <w:rFonts w:ascii="Times New Roman" w:hAnsi="Times New Roman"/>
                <w:b/>
                <w:bCs/>
                <w:color w:val="333333"/>
                <w:sz w:val="20"/>
                <w:szCs w:val="20"/>
                <w:shd w:val="clear" w:color="auto" w:fill="FFFFFF"/>
                <w:lang w:val="fr-FR"/>
              </w:rPr>
            </w:pPr>
            <w:r w:rsidRPr="003D20CB">
              <w:rPr>
                <w:rFonts w:ascii="Times New Roman" w:hAnsi="Times New Roman"/>
                <w:b/>
                <w:bCs/>
                <w:color w:val="333333"/>
                <w:sz w:val="20"/>
                <w:szCs w:val="20"/>
                <w:shd w:val="clear" w:color="auto" w:fill="FFFFFF"/>
                <w:lang w:val="fr-FR"/>
              </w:rPr>
              <w:t>NOTIFICAREA MĂSURILOR ȘI A METODOLOGIILOR STATELOR MEMBRE PENTRU PUNEREA ÎN APLICARE A ARTICOLULUI 7 DIN DIRECTIVA 2012/27/UE</w:t>
            </w:r>
          </w:p>
          <w:p w14:paraId="329B4C97" w14:textId="77777777" w:rsidR="008F5636" w:rsidRPr="003D20CB"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3D20CB">
              <w:rPr>
                <w:rFonts w:ascii="Times New Roman" w:hAnsi="Times New Roman"/>
                <w:sz w:val="20"/>
                <w:szCs w:val="20"/>
                <w:shd w:val="clear" w:color="auto" w:fill="FFFFFF"/>
                <w:lang w:val="fr-FR"/>
              </w:rPr>
              <w:lastRenderedPageBreak/>
              <w:t>Statele</w:t>
            </w:r>
            <w:proofErr w:type="spellEnd"/>
            <w:r w:rsidRPr="003D20CB">
              <w:rPr>
                <w:rFonts w:ascii="Times New Roman" w:hAnsi="Times New Roman"/>
                <w:sz w:val="20"/>
                <w:szCs w:val="20"/>
                <w:shd w:val="clear" w:color="auto" w:fill="FFFFFF"/>
                <w:lang w:val="fr-FR"/>
              </w:rPr>
              <w:t xml:space="preserve"> membre </w:t>
            </w:r>
            <w:proofErr w:type="spellStart"/>
            <w:r w:rsidRPr="003D20CB">
              <w:rPr>
                <w:rFonts w:ascii="Times New Roman" w:hAnsi="Times New Roman"/>
                <w:sz w:val="20"/>
                <w:szCs w:val="20"/>
                <w:shd w:val="clear" w:color="auto" w:fill="FFFFFF"/>
                <w:lang w:val="fr-FR"/>
              </w:rPr>
              <w:t>notifică</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Comisiei</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metodologia</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lor</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detaliată</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propusă</w:t>
            </w:r>
            <w:proofErr w:type="spellEnd"/>
            <w:r w:rsidRPr="003D20CB">
              <w:rPr>
                <w:rFonts w:ascii="Times New Roman" w:hAnsi="Times New Roman"/>
                <w:sz w:val="20"/>
                <w:szCs w:val="20"/>
                <w:shd w:val="clear" w:color="auto" w:fill="FFFFFF"/>
                <w:lang w:val="fr-FR"/>
              </w:rPr>
              <w:t xml:space="preserve"> în conformitate </w:t>
            </w:r>
            <w:proofErr w:type="spellStart"/>
            <w:r w:rsidRPr="003D20CB">
              <w:rPr>
                <w:rFonts w:ascii="Times New Roman" w:hAnsi="Times New Roman"/>
                <w:sz w:val="20"/>
                <w:szCs w:val="20"/>
                <w:shd w:val="clear" w:color="auto" w:fill="FFFFFF"/>
                <w:lang w:val="fr-FR"/>
              </w:rPr>
              <w:t>cu</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punctul</w:t>
            </w:r>
            <w:proofErr w:type="spellEnd"/>
            <w:r w:rsidRPr="003D20CB">
              <w:rPr>
                <w:rFonts w:ascii="Times New Roman" w:hAnsi="Times New Roman"/>
                <w:sz w:val="20"/>
                <w:szCs w:val="20"/>
                <w:shd w:val="clear" w:color="auto" w:fill="FFFFFF"/>
                <w:lang w:val="fr-FR"/>
              </w:rPr>
              <w:t xml:space="preserve"> 5 </w:t>
            </w:r>
            <w:proofErr w:type="spellStart"/>
            <w:r w:rsidRPr="003D20CB">
              <w:rPr>
                <w:rFonts w:ascii="Times New Roman" w:hAnsi="Times New Roman"/>
                <w:sz w:val="20"/>
                <w:szCs w:val="20"/>
                <w:shd w:val="clear" w:color="auto" w:fill="FFFFFF"/>
                <w:lang w:val="fr-FR"/>
              </w:rPr>
              <w:t>din</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anexa</w:t>
            </w:r>
            <w:proofErr w:type="spellEnd"/>
            <w:r w:rsidRPr="003D20CB">
              <w:rPr>
                <w:rFonts w:ascii="Times New Roman" w:hAnsi="Times New Roman"/>
                <w:sz w:val="20"/>
                <w:szCs w:val="20"/>
                <w:shd w:val="clear" w:color="auto" w:fill="FFFFFF"/>
                <w:lang w:val="fr-FR"/>
              </w:rPr>
              <w:t xml:space="preserve"> V la </w:t>
            </w:r>
            <w:proofErr w:type="spellStart"/>
            <w:r w:rsidRPr="003D20CB">
              <w:rPr>
                <w:rFonts w:ascii="Times New Roman" w:hAnsi="Times New Roman"/>
                <w:sz w:val="20"/>
                <w:szCs w:val="20"/>
                <w:shd w:val="clear" w:color="auto" w:fill="FFFFFF"/>
                <w:lang w:val="fr-FR"/>
              </w:rPr>
              <w:t>Directiva</w:t>
            </w:r>
            <w:proofErr w:type="spellEnd"/>
            <w:r w:rsidRPr="003D20CB">
              <w:rPr>
                <w:rFonts w:ascii="Times New Roman" w:hAnsi="Times New Roman"/>
                <w:sz w:val="20"/>
                <w:szCs w:val="20"/>
                <w:shd w:val="clear" w:color="auto" w:fill="FFFFFF"/>
                <w:lang w:val="fr-FR"/>
              </w:rPr>
              <w:t xml:space="preserve"> 2012/27/UE </w:t>
            </w:r>
            <w:proofErr w:type="spellStart"/>
            <w:r w:rsidRPr="003D20CB">
              <w:rPr>
                <w:rFonts w:ascii="Times New Roman" w:hAnsi="Times New Roman"/>
                <w:sz w:val="20"/>
                <w:szCs w:val="20"/>
                <w:shd w:val="clear" w:color="auto" w:fill="FFFFFF"/>
                <w:lang w:val="fr-FR"/>
              </w:rPr>
              <w:t>pentru</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operarea</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schemelor</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obligații</w:t>
            </w:r>
            <w:proofErr w:type="spellEnd"/>
            <w:r w:rsidRPr="003D20CB">
              <w:rPr>
                <w:rFonts w:ascii="Times New Roman" w:hAnsi="Times New Roman"/>
                <w:sz w:val="20"/>
                <w:szCs w:val="20"/>
                <w:shd w:val="clear" w:color="auto" w:fill="FFFFFF"/>
                <w:lang w:val="fr-FR"/>
              </w:rPr>
              <w:t xml:space="preserve"> în </w:t>
            </w:r>
            <w:proofErr w:type="spellStart"/>
            <w:r w:rsidRPr="003D20CB">
              <w:rPr>
                <w:rFonts w:ascii="Times New Roman" w:hAnsi="Times New Roman"/>
                <w:sz w:val="20"/>
                <w:szCs w:val="20"/>
                <w:shd w:val="clear" w:color="auto" w:fill="FFFFFF"/>
                <w:lang w:val="fr-FR"/>
              </w:rPr>
              <w:t>materie</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eficiență</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energetică</w:t>
            </w:r>
            <w:proofErr w:type="spellEnd"/>
            <w:r w:rsidRPr="003D20CB">
              <w:rPr>
                <w:rFonts w:ascii="Times New Roman" w:hAnsi="Times New Roman"/>
                <w:sz w:val="20"/>
                <w:szCs w:val="20"/>
                <w:shd w:val="clear" w:color="auto" w:fill="FFFFFF"/>
                <w:lang w:val="fr-FR"/>
              </w:rPr>
              <w:t xml:space="preserve"> și a </w:t>
            </w:r>
            <w:proofErr w:type="spellStart"/>
            <w:r w:rsidRPr="003D20CB">
              <w:rPr>
                <w:rFonts w:ascii="Times New Roman" w:hAnsi="Times New Roman"/>
                <w:sz w:val="20"/>
                <w:szCs w:val="20"/>
                <w:shd w:val="clear" w:color="auto" w:fill="FFFFFF"/>
                <w:lang w:val="fr-FR"/>
              </w:rPr>
              <w:t>măsurilor</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politică</w:t>
            </w:r>
            <w:proofErr w:type="spellEnd"/>
            <w:r w:rsidRPr="003D20CB">
              <w:rPr>
                <w:rFonts w:ascii="Times New Roman" w:hAnsi="Times New Roman"/>
                <w:sz w:val="20"/>
                <w:szCs w:val="20"/>
                <w:shd w:val="clear" w:color="auto" w:fill="FFFFFF"/>
                <w:lang w:val="fr-FR"/>
              </w:rPr>
              <w:t xml:space="preserve"> alternative </w:t>
            </w:r>
            <w:proofErr w:type="spellStart"/>
            <w:r w:rsidRPr="003D20CB">
              <w:rPr>
                <w:rFonts w:ascii="Times New Roman" w:hAnsi="Times New Roman"/>
                <w:sz w:val="20"/>
                <w:szCs w:val="20"/>
                <w:shd w:val="clear" w:color="auto" w:fill="FFFFFF"/>
                <w:lang w:val="fr-FR"/>
              </w:rPr>
              <w:t>menționate</w:t>
            </w:r>
            <w:proofErr w:type="spellEnd"/>
            <w:r w:rsidRPr="003D20CB">
              <w:rPr>
                <w:rFonts w:ascii="Times New Roman" w:hAnsi="Times New Roman"/>
                <w:sz w:val="20"/>
                <w:szCs w:val="20"/>
                <w:shd w:val="clear" w:color="auto" w:fill="FFFFFF"/>
                <w:lang w:val="fr-FR"/>
              </w:rPr>
              <w:t xml:space="preserve"> la </w:t>
            </w:r>
            <w:proofErr w:type="spellStart"/>
            <w:r w:rsidRPr="003D20CB">
              <w:rPr>
                <w:rFonts w:ascii="Times New Roman" w:hAnsi="Times New Roman"/>
                <w:sz w:val="20"/>
                <w:szCs w:val="20"/>
                <w:shd w:val="clear" w:color="auto" w:fill="FFFFFF"/>
                <w:lang w:val="fr-FR"/>
              </w:rPr>
              <w:t>articolele</w:t>
            </w:r>
            <w:proofErr w:type="spellEnd"/>
            <w:r w:rsidRPr="003D20CB">
              <w:rPr>
                <w:rFonts w:ascii="Times New Roman" w:hAnsi="Times New Roman"/>
                <w:sz w:val="20"/>
                <w:szCs w:val="20"/>
                <w:shd w:val="clear" w:color="auto" w:fill="FFFFFF"/>
                <w:lang w:val="fr-FR"/>
              </w:rPr>
              <w:t xml:space="preserve"> 7a și 7b și la </w:t>
            </w:r>
            <w:proofErr w:type="spellStart"/>
            <w:r w:rsidRPr="003D20CB">
              <w:rPr>
                <w:rFonts w:ascii="Times New Roman" w:hAnsi="Times New Roman"/>
                <w:sz w:val="20"/>
                <w:szCs w:val="20"/>
                <w:shd w:val="clear" w:color="auto" w:fill="FFFFFF"/>
                <w:lang w:val="fr-FR"/>
              </w:rPr>
              <w:t>articolul</w:t>
            </w:r>
            <w:proofErr w:type="spellEnd"/>
            <w:r w:rsidRPr="003D20CB">
              <w:rPr>
                <w:rFonts w:ascii="Times New Roman" w:hAnsi="Times New Roman"/>
                <w:sz w:val="20"/>
                <w:szCs w:val="20"/>
                <w:shd w:val="clear" w:color="auto" w:fill="FFFFFF"/>
                <w:lang w:val="fr-FR"/>
              </w:rPr>
              <w:t xml:space="preserve"> 20 </w:t>
            </w:r>
            <w:proofErr w:type="spellStart"/>
            <w:r w:rsidRPr="003D20CB">
              <w:rPr>
                <w:rFonts w:ascii="Times New Roman" w:hAnsi="Times New Roman"/>
                <w:sz w:val="20"/>
                <w:szCs w:val="20"/>
                <w:shd w:val="clear" w:color="auto" w:fill="FFFFFF"/>
                <w:lang w:val="fr-FR"/>
              </w:rPr>
              <w:t>alineatul</w:t>
            </w:r>
            <w:proofErr w:type="spellEnd"/>
            <w:r w:rsidRPr="003D20CB">
              <w:rPr>
                <w:rFonts w:ascii="Times New Roman" w:hAnsi="Times New Roman"/>
                <w:sz w:val="20"/>
                <w:szCs w:val="20"/>
                <w:shd w:val="clear" w:color="auto" w:fill="FFFFFF"/>
                <w:lang w:val="fr-FR"/>
              </w:rPr>
              <w:t xml:space="preserve"> (6) </w:t>
            </w:r>
            <w:proofErr w:type="spellStart"/>
            <w:r w:rsidRPr="003D20CB">
              <w:rPr>
                <w:rFonts w:ascii="Times New Roman" w:hAnsi="Times New Roman"/>
                <w:sz w:val="20"/>
                <w:szCs w:val="20"/>
                <w:shd w:val="clear" w:color="auto" w:fill="FFFFFF"/>
                <w:lang w:val="fr-FR"/>
              </w:rPr>
              <w:t>din</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directiva</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respectivă</w:t>
            </w:r>
            <w:proofErr w:type="spellEnd"/>
            <w:r w:rsidRPr="003D20CB">
              <w:rPr>
                <w:rFonts w:ascii="Times New Roman" w:hAnsi="Times New Roman"/>
                <w:sz w:val="20"/>
                <w:szCs w:val="20"/>
                <w:shd w:val="clear" w:color="auto" w:fill="FFFFFF"/>
                <w:lang w:val="fr-FR"/>
              </w:rPr>
              <w:t>.</w:t>
            </w:r>
          </w:p>
          <w:p w14:paraId="1947272E" w14:textId="77777777" w:rsidR="008F5636" w:rsidRPr="003D20CB"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3D20CB">
              <w:rPr>
                <w:rFonts w:ascii="Times New Roman" w:hAnsi="Times New Roman"/>
                <w:b/>
                <w:bCs/>
                <w:sz w:val="20"/>
                <w:szCs w:val="20"/>
                <w:shd w:val="clear" w:color="auto" w:fill="FFFFFF"/>
                <w:lang w:val="fr-FR"/>
              </w:rPr>
              <w:t xml:space="preserve">1.Calcularea </w:t>
            </w:r>
            <w:proofErr w:type="spellStart"/>
            <w:r w:rsidRPr="003D20CB">
              <w:rPr>
                <w:rFonts w:ascii="Times New Roman" w:hAnsi="Times New Roman"/>
                <w:b/>
                <w:bCs/>
                <w:sz w:val="20"/>
                <w:szCs w:val="20"/>
                <w:shd w:val="clear" w:color="auto" w:fill="FFFFFF"/>
                <w:lang w:val="fr-FR"/>
              </w:rPr>
              <w:t>nivelului</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cerinței</w:t>
            </w:r>
            <w:proofErr w:type="spellEnd"/>
            <w:r w:rsidRPr="003D20CB">
              <w:rPr>
                <w:rFonts w:ascii="Times New Roman" w:hAnsi="Times New Roman"/>
                <w:b/>
                <w:bCs/>
                <w:sz w:val="20"/>
                <w:szCs w:val="20"/>
                <w:shd w:val="clear" w:color="auto" w:fill="FFFFFF"/>
                <w:lang w:val="fr-FR"/>
              </w:rPr>
              <w:t xml:space="preserve"> de </w:t>
            </w:r>
            <w:proofErr w:type="spellStart"/>
            <w:r w:rsidRPr="003D20CB">
              <w:rPr>
                <w:rFonts w:ascii="Times New Roman" w:hAnsi="Times New Roman"/>
                <w:b/>
                <w:bCs/>
                <w:sz w:val="20"/>
                <w:szCs w:val="20"/>
                <w:shd w:val="clear" w:color="auto" w:fill="FFFFFF"/>
                <w:lang w:val="fr-FR"/>
              </w:rPr>
              <w:t>economisire</w:t>
            </w:r>
            <w:proofErr w:type="spellEnd"/>
            <w:r w:rsidRPr="003D20CB">
              <w:rPr>
                <w:rFonts w:ascii="Times New Roman" w:hAnsi="Times New Roman"/>
                <w:b/>
                <w:bCs/>
                <w:sz w:val="20"/>
                <w:szCs w:val="20"/>
                <w:shd w:val="clear" w:color="auto" w:fill="FFFFFF"/>
                <w:lang w:val="fr-FR"/>
              </w:rPr>
              <w:t xml:space="preserve"> a energiei care </w:t>
            </w:r>
            <w:proofErr w:type="spellStart"/>
            <w:r w:rsidRPr="003D20CB">
              <w:rPr>
                <w:rFonts w:ascii="Times New Roman" w:hAnsi="Times New Roman"/>
                <w:b/>
                <w:bCs/>
                <w:sz w:val="20"/>
                <w:szCs w:val="20"/>
                <w:shd w:val="clear" w:color="auto" w:fill="FFFFFF"/>
                <w:lang w:val="fr-FR"/>
              </w:rPr>
              <w:t>trebuie</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îndeplinit</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pe</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întreaga</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perioadă</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cuprinsă</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între</w:t>
            </w:r>
            <w:proofErr w:type="spellEnd"/>
            <w:r w:rsidRPr="003D20CB">
              <w:rPr>
                <w:rFonts w:ascii="Times New Roman" w:hAnsi="Times New Roman"/>
                <w:b/>
                <w:bCs/>
                <w:sz w:val="20"/>
                <w:szCs w:val="20"/>
                <w:shd w:val="clear" w:color="auto" w:fill="FFFFFF"/>
                <w:lang w:val="fr-FR"/>
              </w:rPr>
              <w:t xml:space="preserve"> 1 </w:t>
            </w:r>
            <w:proofErr w:type="spellStart"/>
            <w:r w:rsidRPr="003D20CB">
              <w:rPr>
                <w:rFonts w:ascii="Times New Roman" w:hAnsi="Times New Roman"/>
                <w:b/>
                <w:bCs/>
                <w:sz w:val="20"/>
                <w:szCs w:val="20"/>
                <w:shd w:val="clear" w:color="auto" w:fill="FFFFFF"/>
                <w:lang w:val="fr-FR"/>
              </w:rPr>
              <w:t>ianuarie</w:t>
            </w:r>
            <w:proofErr w:type="spellEnd"/>
            <w:r w:rsidRPr="003D20CB">
              <w:rPr>
                <w:rFonts w:ascii="Times New Roman" w:hAnsi="Times New Roman"/>
                <w:b/>
                <w:bCs/>
                <w:sz w:val="20"/>
                <w:szCs w:val="20"/>
                <w:shd w:val="clear" w:color="auto" w:fill="FFFFFF"/>
                <w:lang w:val="fr-FR"/>
              </w:rPr>
              <w:t xml:space="preserve"> 2021 și 31decembrie 2030, </w:t>
            </w:r>
            <w:proofErr w:type="spellStart"/>
            <w:r w:rsidRPr="003D20CB">
              <w:rPr>
                <w:rFonts w:ascii="Times New Roman" w:hAnsi="Times New Roman"/>
                <w:b/>
                <w:bCs/>
                <w:sz w:val="20"/>
                <w:szCs w:val="20"/>
                <w:shd w:val="clear" w:color="auto" w:fill="FFFFFF"/>
                <w:lang w:val="fr-FR"/>
              </w:rPr>
              <w:t>arătând</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modul</w:t>
            </w:r>
            <w:proofErr w:type="spellEnd"/>
            <w:r w:rsidRPr="003D20CB">
              <w:rPr>
                <w:rFonts w:ascii="Times New Roman" w:hAnsi="Times New Roman"/>
                <w:b/>
                <w:bCs/>
                <w:sz w:val="20"/>
                <w:szCs w:val="20"/>
                <w:shd w:val="clear" w:color="auto" w:fill="FFFFFF"/>
                <w:lang w:val="fr-FR"/>
              </w:rPr>
              <w:t xml:space="preserve"> în care </w:t>
            </w:r>
            <w:proofErr w:type="spellStart"/>
            <w:r w:rsidRPr="003D20CB">
              <w:rPr>
                <w:rFonts w:ascii="Times New Roman" w:hAnsi="Times New Roman"/>
                <w:b/>
                <w:bCs/>
                <w:sz w:val="20"/>
                <w:szCs w:val="20"/>
                <w:shd w:val="clear" w:color="auto" w:fill="FFFFFF"/>
                <w:lang w:val="fr-FR"/>
              </w:rPr>
              <w:t>sunt</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luate</w:t>
            </w:r>
            <w:proofErr w:type="spellEnd"/>
            <w:r w:rsidRPr="003D20CB">
              <w:rPr>
                <w:rFonts w:ascii="Times New Roman" w:hAnsi="Times New Roman"/>
                <w:b/>
                <w:bCs/>
                <w:sz w:val="20"/>
                <w:szCs w:val="20"/>
                <w:shd w:val="clear" w:color="auto" w:fill="FFFFFF"/>
                <w:lang w:val="fr-FR"/>
              </w:rPr>
              <w:t xml:space="preserve"> în </w:t>
            </w:r>
            <w:proofErr w:type="spellStart"/>
            <w:r w:rsidRPr="003D20CB">
              <w:rPr>
                <w:rFonts w:ascii="Times New Roman" w:hAnsi="Times New Roman"/>
                <w:b/>
                <w:bCs/>
                <w:sz w:val="20"/>
                <w:szCs w:val="20"/>
                <w:shd w:val="clear" w:color="auto" w:fill="FFFFFF"/>
                <w:lang w:val="fr-FR"/>
              </w:rPr>
              <w:t>considerare</w:t>
            </w:r>
            <w:proofErr w:type="spellEnd"/>
            <w:r w:rsidRPr="003D20CB">
              <w:rPr>
                <w:rFonts w:ascii="Times New Roman" w:hAnsi="Times New Roman"/>
                <w:b/>
                <w:bCs/>
                <w:sz w:val="20"/>
                <w:szCs w:val="20"/>
                <w:shd w:val="clear" w:color="auto" w:fill="FFFFFF"/>
                <w:lang w:val="fr-FR"/>
              </w:rPr>
              <w:t xml:space="preserve"> </w:t>
            </w:r>
            <w:proofErr w:type="spellStart"/>
            <w:r w:rsidRPr="003D20CB">
              <w:rPr>
                <w:rFonts w:ascii="Times New Roman" w:hAnsi="Times New Roman"/>
                <w:b/>
                <w:bCs/>
                <w:sz w:val="20"/>
                <w:szCs w:val="20"/>
                <w:shd w:val="clear" w:color="auto" w:fill="FFFFFF"/>
                <w:lang w:val="fr-FR"/>
              </w:rPr>
              <w:t>următoarele</w:t>
            </w:r>
            <w:proofErr w:type="spellEnd"/>
            <w:r w:rsidRPr="003D20CB">
              <w:rPr>
                <w:rFonts w:ascii="Times New Roman" w:hAnsi="Times New Roman"/>
                <w:b/>
                <w:bCs/>
                <w:sz w:val="20"/>
                <w:szCs w:val="20"/>
                <w:shd w:val="clear" w:color="auto" w:fill="FFFFFF"/>
                <w:lang w:val="fr-FR"/>
              </w:rPr>
              <w:t xml:space="preserve"> </w:t>
            </w:r>
            <w:proofErr w:type="spellStart"/>
            <w:proofErr w:type="gramStart"/>
            <w:r w:rsidRPr="003D20CB">
              <w:rPr>
                <w:rFonts w:ascii="Times New Roman" w:hAnsi="Times New Roman"/>
                <w:b/>
                <w:bCs/>
                <w:sz w:val="20"/>
                <w:szCs w:val="20"/>
                <w:shd w:val="clear" w:color="auto" w:fill="FFFFFF"/>
                <w:lang w:val="fr-FR"/>
              </w:rPr>
              <w:t>elemente</w:t>
            </w:r>
            <w:proofErr w:type="spellEnd"/>
            <w:r w:rsidRPr="003D20CB">
              <w:rPr>
                <w:rFonts w:ascii="Times New Roman" w:hAnsi="Times New Roman"/>
                <w:b/>
                <w:bCs/>
                <w:sz w:val="20"/>
                <w:szCs w:val="20"/>
                <w:shd w:val="clear" w:color="auto" w:fill="FFFFFF"/>
                <w:lang w:val="fr-FR"/>
              </w:rPr>
              <w:t>:</w:t>
            </w:r>
            <w:proofErr w:type="gramEnd"/>
          </w:p>
          <w:p w14:paraId="708B9AF7" w14:textId="09F3661A" w:rsidR="008F5636" w:rsidRPr="003D20CB" w:rsidRDefault="008F5636" w:rsidP="000C5A3B">
            <w:pPr>
              <w:pStyle w:val="ColorfulList-Accent11"/>
              <w:numPr>
                <w:ilvl w:val="0"/>
                <w:numId w:val="53"/>
              </w:numPr>
              <w:spacing w:after="0" w:line="240" w:lineRule="auto"/>
              <w:jc w:val="both"/>
              <w:rPr>
                <w:rFonts w:ascii="Times New Roman" w:hAnsi="Times New Roman"/>
                <w:sz w:val="20"/>
                <w:szCs w:val="20"/>
                <w:shd w:val="clear" w:color="auto" w:fill="FFFFFF"/>
                <w:lang w:val="fr-FR"/>
              </w:rPr>
            </w:pPr>
            <w:proofErr w:type="spellStart"/>
            <w:proofErr w:type="gramStart"/>
            <w:r w:rsidRPr="003D20CB">
              <w:rPr>
                <w:rFonts w:ascii="Times New Roman" w:hAnsi="Times New Roman"/>
                <w:sz w:val="20"/>
                <w:szCs w:val="20"/>
                <w:shd w:val="clear" w:color="auto" w:fill="FFFFFF"/>
                <w:lang w:val="fr-FR"/>
              </w:rPr>
              <w:t>consumul</w:t>
            </w:r>
            <w:proofErr w:type="spellEnd"/>
            <w:proofErr w:type="gram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anual</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energie</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finală</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calculat</w:t>
            </w:r>
            <w:proofErr w:type="spellEnd"/>
            <w:r w:rsidRPr="003D20CB">
              <w:rPr>
                <w:rFonts w:ascii="Times New Roman" w:hAnsi="Times New Roman"/>
                <w:sz w:val="20"/>
                <w:szCs w:val="20"/>
                <w:shd w:val="clear" w:color="auto" w:fill="FFFFFF"/>
                <w:lang w:val="fr-FR"/>
              </w:rPr>
              <w:t xml:space="preserve"> ca </w:t>
            </w:r>
            <w:proofErr w:type="spellStart"/>
            <w:r w:rsidRPr="003D20CB">
              <w:rPr>
                <w:rFonts w:ascii="Times New Roman" w:hAnsi="Times New Roman"/>
                <w:sz w:val="20"/>
                <w:szCs w:val="20"/>
                <w:shd w:val="clear" w:color="auto" w:fill="FFFFFF"/>
                <w:lang w:val="fr-FR"/>
              </w:rPr>
              <w:t>medie</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pe</w:t>
            </w:r>
            <w:proofErr w:type="spellEnd"/>
            <w:r w:rsidRPr="003D20CB">
              <w:rPr>
                <w:rFonts w:ascii="Times New Roman" w:hAnsi="Times New Roman"/>
                <w:sz w:val="20"/>
                <w:szCs w:val="20"/>
                <w:shd w:val="clear" w:color="auto" w:fill="FFFFFF"/>
                <w:lang w:val="fr-FR"/>
              </w:rPr>
              <w:t xml:space="preserve"> perioada cea mai </w:t>
            </w:r>
            <w:proofErr w:type="spellStart"/>
            <w:r w:rsidRPr="003D20CB">
              <w:rPr>
                <w:rFonts w:ascii="Times New Roman" w:hAnsi="Times New Roman"/>
                <w:sz w:val="20"/>
                <w:szCs w:val="20"/>
                <w:shd w:val="clear" w:color="auto" w:fill="FFFFFF"/>
                <w:lang w:val="fr-FR"/>
              </w:rPr>
              <w:t>recentă</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trei</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ani</w:t>
            </w:r>
            <w:proofErr w:type="spellEnd"/>
            <w:r w:rsidRPr="003D20CB">
              <w:rPr>
                <w:rFonts w:ascii="Times New Roman" w:hAnsi="Times New Roman"/>
                <w:sz w:val="20"/>
                <w:szCs w:val="20"/>
                <w:shd w:val="clear" w:color="auto" w:fill="FFFFFF"/>
                <w:lang w:val="fr-FR"/>
              </w:rPr>
              <w:t xml:space="preserve"> care </w:t>
            </w:r>
            <w:proofErr w:type="spellStart"/>
            <w:r w:rsidRPr="003D20CB">
              <w:rPr>
                <w:rFonts w:ascii="Times New Roman" w:hAnsi="Times New Roman"/>
                <w:sz w:val="20"/>
                <w:szCs w:val="20"/>
                <w:shd w:val="clear" w:color="auto" w:fill="FFFFFF"/>
                <w:lang w:val="fr-FR"/>
              </w:rPr>
              <w:t>precedă</w:t>
            </w:r>
            <w:proofErr w:type="spellEnd"/>
            <w:r w:rsidRPr="003D20CB">
              <w:rPr>
                <w:rFonts w:ascii="Times New Roman" w:hAnsi="Times New Roman"/>
                <w:sz w:val="20"/>
                <w:szCs w:val="20"/>
                <w:shd w:val="clear" w:color="auto" w:fill="FFFFFF"/>
                <w:lang w:val="fr-FR"/>
              </w:rPr>
              <w:t xml:space="preserve"> data de 1 </w:t>
            </w:r>
            <w:proofErr w:type="spellStart"/>
            <w:r w:rsidRPr="003D20CB">
              <w:rPr>
                <w:rFonts w:ascii="Times New Roman" w:hAnsi="Times New Roman"/>
                <w:sz w:val="20"/>
                <w:szCs w:val="20"/>
                <w:shd w:val="clear" w:color="auto" w:fill="FFFFFF"/>
                <w:lang w:val="fr-FR"/>
              </w:rPr>
              <w:t>ianuarie</w:t>
            </w:r>
            <w:proofErr w:type="spellEnd"/>
            <w:r w:rsidRPr="003D20CB">
              <w:rPr>
                <w:rFonts w:ascii="Times New Roman" w:hAnsi="Times New Roman"/>
                <w:sz w:val="20"/>
                <w:szCs w:val="20"/>
                <w:shd w:val="clear" w:color="auto" w:fill="FFFFFF"/>
                <w:lang w:val="fr-FR"/>
              </w:rPr>
              <w:t xml:space="preserve"> 2019 [în ktep];</w:t>
            </w:r>
          </w:p>
          <w:p w14:paraId="60C431DA" w14:textId="24BF6943" w:rsidR="008F5636" w:rsidRPr="003D20CB" w:rsidRDefault="008F5636" w:rsidP="000C5A3B">
            <w:pPr>
              <w:pStyle w:val="ColorfulList-Accent11"/>
              <w:numPr>
                <w:ilvl w:val="0"/>
                <w:numId w:val="53"/>
              </w:numPr>
              <w:spacing w:after="0" w:line="240" w:lineRule="auto"/>
              <w:jc w:val="both"/>
              <w:rPr>
                <w:rFonts w:ascii="Times New Roman" w:hAnsi="Times New Roman"/>
                <w:sz w:val="20"/>
                <w:szCs w:val="20"/>
                <w:shd w:val="clear" w:color="auto" w:fill="FFFFFF"/>
                <w:lang w:val="fr-FR"/>
              </w:rPr>
            </w:pPr>
            <w:proofErr w:type="spellStart"/>
            <w:proofErr w:type="gramStart"/>
            <w:r w:rsidRPr="003D20CB">
              <w:rPr>
                <w:rFonts w:ascii="Times New Roman" w:hAnsi="Times New Roman"/>
                <w:sz w:val="20"/>
                <w:szCs w:val="20"/>
                <w:shd w:val="clear" w:color="auto" w:fill="FFFFFF"/>
                <w:lang w:val="fr-FR"/>
              </w:rPr>
              <w:t>cantitatea</w:t>
            </w:r>
            <w:proofErr w:type="spellEnd"/>
            <w:proofErr w:type="gram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totală</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cumulată</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economii</w:t>
            </w:r>
            <w:proofErr w:type="spellEnd"/>
            <w:r w:rsidRPr="003D20CB">
              <w:rPr>
                <w:rFonts w:ascii="Times New Roman" w:hAnsi="Times New Roman"/>
                <w:sz w:val="20"/>
                <w:szCs w:val="20"/>
                <w:shd w:val="clear" w:color="auto" w:fill="FFFFFF"/>
                <w:lang w:val="fr-FR"/>
              </w:rPr>
              <w:t xml:space="preserve"> de </w:t>
            </w:r>
            <w:proofErr w:type="spellStart"/>
            <w:r w:rsidRPr="003D20CB">
              <w:rPr>
                <w:rFonts w:ascii="Times New Roman" w:hAnsi="Times New Roman"/>
                <w:sz w:val="20"/>
                <w:szCs w:val="20"/>
                <w:shd w:val="clear" w:color="auto" w:fill="FFFFFF"/>
                <w:lang w:val="fr-FR"/>
              </w:rPr>
              <w:t>energie</w:t>
            </w:r>
            <w:proofErr w:type="spellEnd"/>
            <w:r w:rsidRPr="003D20CB">
              <w:rPr>
                <w:rFonts w:ascii="Times New Roman" w:hAnsi="Times New Roman"/>
                <w:sz w:val="20"/>
                <w:szCs w:val="20"/>
                <w:shd w:val="clear" w:color="auto" w:fill="FFFFFF"/>
                <w:lang w:val="fr-FR"/>
              </w:rPr>
              <w:t xml:space="preserve"> la </w:t>
            </w:r>
            <w:proofErr w:type="spellStart"/>
            <w:r w:rsidRPr="003D20CB">
              <w:rPr>
                <w:rFonts w:ascii="Times New Roman" w:hAnsi="Times New Roman"/>
                <w:sz w:val="20"/>
                <w:szCs w:val="20"/>
                <w:shd w:val="clear" w:color="auto" w:fill="FFFFFF"/>
                <w:lang w:val="fr-FR"/>
              </w:rPr>
              <w:t>nivelul</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utilizării</w:t>
            </w:r>
            <w:proofErr w:type="spellEnd"/>
            <w:r w:rsidRPr="003D20CB">
              <w:rPr>
                <w:rFonts w:ascii="Times New Roman" w:hAnsi="Times New Roman"/>
                <w:sz w:val="20"/>
                <w:szCs w:val="20"/>
                <w:shd w:val="clear" w:color="auto" w:fill="FFFFFF"/>
                <w:lang w:val="fr-FR"/>
              </w:rPr>
              <w:t xml:space="preserve"> finale care </w:t>
            </w:r>
            <w:proofErr w:type="spellStart"/>
            <w:r w:rsidRPr="003D20CB">
              <w:rPr>
                <w:rFonts w:ascii="Times New Roman" w:hAnsi="Times New Roman"/>
                <w:sz w:val="20"/>
                <w:szCs w:val="20"/>
                <w:shd w:val="clear" w:color="auto" w:fill="FFFFFF"/>
                <w:lang w:val="fr-FR"/>
              </w:rPr>
              <w:t>trebuie</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realizate</w:t>
            </w:r>
            <w:proofErr w:type="spellEnd"/>
            <w:r w:rsidRPr="003D20CB">
              <w:rPr>
                <w:rFonts w:ascii="Times New Roman" w:hAnsi="Times New Roman"/>
                <w:sz w:val="20"/>
                <w:szCs w:val="20"/>
                <w:shd w:val="clear" w:color="auto" w:fill="FFFFFF"/>
                <w:lang w:val="fr-FR"/>
              </w:rPr>
              <w:t xml:space="preserve"> [în ktep], în conformitate </w:t>
            </w:r>
            <w:proofErr w:type="spellStart"/>
            <w:r w:rsidRPr="003D20CB">
              <w:rPr>
                <w:rFonts w:ascii="Times New Roman" w:hAnsi="Times New Roman"/>
                <w:sz w:val="20"/>
                <w:szCs w:val="20"/>
                <w:shd w:val="clear" w:color="auto" w:fill="FFFFFF"/>
                <w:lang w:val="fr-FR"/>
              </w:rPr>
              <w:t>cu</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articolul</w:t>
            </w:r>
            <w:proofErr w:type="spellEnd"/>
            <w:r w:rsidRPr="003D20CB">
              <w:rPr>
                <w:rFonts w:ascii="Times New Roman" w:hAnsi="Times New Roman"/>
                <w:sz w:val="20"/>
                <w:szCs w:val="20"/>
                <w:shd w:val="clear" w:color="auto" w:fill="FFFFFF"/>
                <w:lang w:val="fr-FR"/>
              </w:rPr>
              <w:t xml:space="preserve"> 7 </w:t>
            </w:r>
            <w:proofErr w:type="spellStart"/>
            <w:r w:rsidRPr="003D20CB">
              <w:rPr>
                <w:rFonts w:ascii="Times New Roman" w:hAnsi="Times New Roman"/>
                <w:sz w:val="20"/>
                <w:szCs w:val="20"/>
                <w:shd w:val="clear" w:color="auto" w:fill="FFFFFF"/>
                <w:lang w:val="fr-FR"/>
              </w:rPr>
              <w:t>alineatul</w:t>
            </w:r>
            <w:proofErr w:type="spellEnd"/>
            <w:r w:rsidRPr="003D20CB">
              <w:rPr>
                <w:rFonts w:ascii="Times New Roman" w:hAnsi="Times New Roman"/>
                <w:sz w:val="20"/>
                <w:szCs w:val="20"/>
                <w:shd w:val="clear" w:color="auto" w:fill="FFFFFF"/>
                <w:lang w:val="fr-FR"/>
              </w:rPr>
              <w:t xml:space="preserve"> (1) litera (b) </w:t>
            </w:r>
            <w:proofErr w:type="spellStart"/>
            <w:r w:rsidRPr="003D20CB">
              <w:rPr>
                <w:rFonts w:ascii="Times New Roman" w:hAnsi="Times New Roman"/>
                <w:sz w:val="20"/>
                <w:szCs w:val="20"/>
                <w:shd w:val="clear" w:color="auto" w:fill="FFFFFF"/>
                <w:lang w:val="fr-FR"/>
              </w:rPr>
              <w:t>din</w:t>
            </w:r>
            <w:proofErr w:type="spellEnd"/>
            <w:r w:rsidRPr="003D20CB">
              <w:rPr>
                <w:rFonts w:ascii="Times New Roman" w:hAnsi="Times New Roman"/>
                <w:sz w:val="20"/>
                <w:szCs w:val="20"/>
                <w:shd w:val="clear" w:color="auto" w:fill="FFFFFF"/>
                <w:lang w:val="fr-FR"/>
              </w:rPr>
              <w:t xml:space="preserve"> </w:t>
            </w:r>
            <w:proofErr w:type="spellStart"/>
            <w:r w:rsidRPr="003D20CB">
              <w:rPr>
                <w:rFonts w:ascii="Times New Roman" w:hAnsi="Times New Roman"/>
                <w:sz w:val="20"/>
                <w:szCs w:val="20"/>
                <w:shd w:val="clear" w:color="auto" w:fill="FFFFFF"/>
                <w:lang w:val="fr-FR"/>
              </w:rPr>
              <w:t>Directiva</w:t>
            </w:r>
            <w:proofErr w:type="spellEnd"/>
            <w:r w:rsidRPr="003D20CB">
              <w:rPr>
                <w:rFonts w:ascii="Times New Roman" w:hAnsi="Times New Roman"/>
                <w:sz w:val="20"/>
                <w:szCs w:val="20"/>
                <w:shd w:val="clear" w:color="auto" w:fill="FFFFFF"/>
                <w:lang w:val="fr-FR"/>
              </w:rPr>
              <w:t xml:space="preserve"> 2012/27/UE;</w:t>
            </w:r>
          </w:p>
          <w:p w14:paraId="65ED593B" w14:textId="5FDD9EE8" w:rsidR="008F5636" w:rsidRPr="007B5BFB" w:rsidRDefault="008F5636" w:rsidP="000C5A3B">
            <w:pPr>
              <w:pStyle w:val="Normal4"/>
              <w:numPr>
                <w:ilvl w:val="0"/>
                <w:numId w:val="53"/>
              </w:numPr>
              <w:spacing w:before="0" w:beforeAutospacing="0" w:after="0" w:afterAutospacing="0"/>
              <w:jc w:val="both"/>
              <w:rPr>
                <w:sz w:val="20"/>
                <w:szCs w:val="20"/>
              </w:rPr>
            </w:pPr>
            <w:r w:rsidRPr="007B5BFB">
              <w:rPr>
                <w:sz w:val="20"/>
                <w:szCs w:val="20"/>
              </w:rPr>
              <w:t>datele utilizate la calculul consumului de energie finală și sursele acestor date, inclusiv justificarea utilizării surselor statistice alternative și a oricăror diferențe dintre cantitățile rezultate (dacă se folosesc alte surse decât Eurostat);</w:t>
            </w:r>
          </w:p>
          <w:p w14:paraId="02BD581D"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lang w:val="ro-MD"/>
              </w:rPr>
            </w:pPr>
            <w:r w:rsidRPr="007B5BFB">
              <w:rPr>
                <w:rFonts w:ascii="Times New Roman" w:hAnsi="Times New Roman"/>
                <w:b/>
                <w:bCs/>
                <w:sz w:val="20"/>
                <w:szCs w:val="20"/>
                <w:shd w:val="clear" w:color="auto" w:fill="FFFFFF"/>
                <w:lang w:val="ro-MD"/>
              </w:rPr>
              <w:t>2.Statele membre care decid să utilizeze oricare dintre posibilitățile prevăzute la articolul 7 alineatul (2) din Directiva 2012/27/UE notifică și calculul nivelului cerinței de economisire a energiei care trebuie atins pe întreaga perioadă cuprinsă între 1 ianuarie 2021 și31 decembrie 2030, arătând modul în care sunt luate în considerare și următoarele elemente:</w:t>
            </w:r>
          </w:p>
          <w:p w14:paraId="1D015D76" w14:textId="77777777" w:rsidR="008F5636" w:rsidRPr="007B5BFB" w:rsidRDefault="008F5636" w:rsidP="000C5A3B">
            <w:pPr>
              <w:pStyle w:val="ColorfulList-Accent11"/>
              <w:numPr>
                <w:ilvl w:val="0"/>
                <w:numId w:val="54"/>
              </w:numPr>
              <w:spacing w:after="0" w:line="240" w:lineRule="auto"/>
              <w:ind w:left="527" w:hanging="357"/>
              <w:jc w:val="both"/>
              <w:rPr>
                <w:rFonts w:ascii="Times New Roman" w:hAnsi="Times New Roman"/>
                <w:sz w:val="20"/>
                <w:szCs w:val="20"/>
                <w:shd w:val="clear" w:color="auto" w:fill="FFFFFF"/>
              </w:rPr>
            </w:pPr>
            <w:r w:rsidRPr="007B5BFB">
              <w:rPr>
                <w:rFonts w:ascii="Times New Roman" w:hAnsi="Times New Roman"/>
                <w:sz w:val="20"/>
                <w:szCs w:val="20"/>
                <w:shd w:val="clear" w:color="auto" w:fill="FFFFFF"/>
              </w:rPr>
              <w:t xml:space="preserve">rata lor </w:t>
            </w:r>
            <w:proofErr w:type="spellStart"/>
            <w:r w:rsidRPr="007B5BFB">
              <w:rPr>
                <w:rFonts w:ascii="Times New Roman" w:hAnsi="Times New Roman"/>
                <w:sz w:val="20"/>
                <w:szCs w:val="20"/>
                <w:shd w:val="clear" w:color="auto" w:fill="FFFFFF"/>
              </w:rPr>
              <w:t>anuală</w:t>
            </w:r>
            <w:proofErr w:type="spellEnd"/>
            <w:r w:rsidRPr="007B5BFB">
              <w:rPr>
                <w:rFonts w:ascii="Times New Roman" w:hAnsi="Times New Roman"/>
                <w:sz w:val="20"/>
                <w:szCs w:val="20"/>
                <w:shd w:val="clear" w:color="auto" w:fill="FFFFFF"/>
              </w:rPr>
              <w:t xml:space="preserve"> de </w:t>
            </w:r>
            <w:proofErr w:type="spellStart"/>
            <w:proofErr w:type="gramStart"/>
            <w:r w:rsidRPr="007B5BFB">
              <w:rPr>
                <w:rFonts w:ascii="Times New Roman" w:hAnsi="Times New Roman"/>
                <w:sz w:val="20"/>
                <w:szCs w:val="20"/>
                <w:shd w:val="clear" w:color="auto" w:fill="FFFFFF"/>
              </w:rPr>
              <w:t>economisire</w:t>
            </w:r>
            <w:proofErr w:type="spellEnd"/>
            <w:r w:rsidRPr="007B5BFB">
              <w:rPr>
                <w:rFonts w:ascii="Times New Roman" w:hAnsi="Times New Roman"/>
                <w:sz w:val="20"/>
                <w:szCs w:val="20"/>
                <w:shd w:val="clear" w:color="auto" w:fill="FFFFFF"/>
              </w:rPr>
              <w:t>;</w:t>
            </w:r>
            <w:proofErr w:type="gramEnd"/>
          </w:p>
          <w:p w14:paraId="30213581" w14:textId="77777777" w:rsidR="008F5636" w:rsidRPr="007B5BFB" w:rsidRDefault="008F5636" w:rsidP="000C5A3B">
            <w:pPr>
              <w:pStyle w:val="ColorfulList-Accent11"/>
              <w:numPr>
                <w:ilvl w:val="0"/>
                <w:numId w:val="54"/>
              </w:numPr>
              <w:spacing w:after="0" w:line="240" w:lineRule="auto"/>
              <w:ind w:left="527"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baza</w:t>
            </w:r>
            <w:proofErr w:type="spellEnd"/>
            <w:r w:rsidRPr="007B5BFB">
              <w:rPr>
                <w:rFonts w:ascii="Times New Roman" w:hAnsi="Times New Roman"/>
                <w:sz w:val="20"/>
                <w:szCs w:val="20"/>
                <w:shd w:val="clear" w:color="auto" w:fill="FFFFFF"/>
              </w:rPr>
              <w:t xml:space="preserve"> lor de </w:t>
            </w:r>
            <w:proofErr w:type="spellStart"/>
            <w:r w:rsidRPr="007B5BFB">
              <w:rPr>
                <w:rFonts w:ascii="Times New Roman" w:hAnsi="Times New Roman"/>
                <w:sz w:val="20"/>
                <w:szCs w:val="20"/>
                <w:shd w:val="clear" w:color="auto" w:fill="FFFFFF"/>
              </w:rPr>
              <w:t>calcul</w:t>
            </w:r>
            <w:proofErr w:type="spellEnd"/>
            <w:r w:rsidRPr="007B5BFB">
              <w:rPr>
                <w:rFonts w:ascii="Times New Roman" w:hAnsi="Times New Roman"/>
                <w:sz w:val="20"/>
                <w:szCs w:val="20"/>
                <w:shd w:val="clear" w:color="auto" w:fill="FFFFFF"/>
              </w:rPr>
              <w:t xml:space="preserve"> și </w:t>
            </w:r>
            <w:proofErr w:type="spellStart"/>
            <w:r w:rsidRPr="007B5BFB">
              <w:rPr>
                <w:rFonts w:ascii="Times New Roman" w:hAnsi="Times New Roman"/>
                <w:sz w:val="20"/>
                <w:szCs w:val="20"/>
                <w:shd w:val="clear" w:color="auto" w:fill="FFFFFF"/>
              </w:rPr>
              <w:t>energia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utilizată</w:t>
            </w:r>
            <w:proofErr w:type="spellEnd"/>
            <w:r w:rsidRPr="007B5BFB">
              <w:rPr>
                <w:rFonts w:ascii="Times New Roman" w:hAnsi="Times New Roman"/>
                <w:sz w:val="20"/>
                <w:szCs w:val="20"/>
                <w:shd w:val="clear" w:color="auto" w:fill="FFFFFF"/>
              </w:rPr>
              <w:t xml:space="preserve"> în </w:t>
            </w:r>
            <w:proofErr w:type="spellStart"/>
            <w:r w:rsidRPr="007B5BFB">
              <w:rPr>
                <w:rFonts w:ascii="Times New Roman" w:hAnsi="Times New Roman"/>
                <w:sz w:val="20"/>
                <w:szCs w:val="20"/>
                <w:shd w:val="clear" w:color="auto" w:fill="FFFFFF"/>
              </w:rPr>
              <w:t>transporturi</w:t>
            </w:r>
            <w:proofErr w:type="spellEnd"/>
            <w:r w:rsidRPr="007B5BFB">
              <w:rPr>
                <w:rFonts w:ascii="Times New Roman" w:hAnsi="Times New Roman"/>
                <w:sz w:val="20"/>
                <w:szCs w:val="20"/>
                <w:shd w:val="clear" w:color="auto" w:fill="FFFFFF"/>
              </w:rPr>
              <w:t xml:space="preserve">, în total </w:t>
            </w:r>
            <w:proofErr w:type="spellStart"/>
            <w:r w:rsidRPr="007B5BFB">
              <w:rPr>
                <w:rFonts w:ascii="Times New Roman" w:hAnsi="Times New Roman"/>
                <w:sz w:val="20"/>
                <w:szCs w:val="20"/>
                <w:shd w:val="clear" w:color="auto" w:fill="FFFFFF"/>
              </w:rPr>
              <w:t>sau</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parțial</w:t>
            </w:r>
            <w:proofErr w:type="spellEnd"/>
            <w:r w:rsidRPr="007B5BFB">
              <w:rPr>
                <w:rFonts w:ascii="Times New Roman" w:hAnsi="Times New Roman"/>
                <w:sz w:val="20"/>
                <w:szCs w:val="20"/>
                <w:shd w:val="clear" w:color="auto" w:fill="FFFFFF"/>
              </w:rPr>
              <w:t xml:space="preserve">, care a </w:t>
            </w:r>
            <w:proofErr w:type="spellStart"/>
            <w:r w:rsidRPr="007B5BFB">
              <w:rPr>
                <w:rFonts w:ascii="Times New Roman" w:hAnsi="Times New Roman"/>
                <w:sz w:val="20"/>
                <w:szCs w:val="20"/>
                <w:shd w:val="clear" w:color="auto" w:fill="FFFFFF"/>
              </w:rPr>
              <w:t>fost</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exclusă</w:t>
            </w:r>
            <w:proofErr w:type="spellEnd"/>
            <w:r w:rsidRPr="007B5BFB">
              <w:rPr>
                <w:rFonts w:ascii="Times New Roman" w:hAnsi="Times New Roman"/>
                <w:sz w:val="20"/>
                <w:szCs w:val="20"/>
                <w:shd w:val="clear" w:color="auto" w:fill="FFFFFF"/>
              </w:rPr>
              <w:t xml:space="preserve"> din </w:t>
            </w:r>
            <w:proofErr w:type="spellStart"/>
            <w:r w:rsidRPr="007B5BFB">
              <w:rPr>
                <w:rFonts w:ascii="Times New Roman" w:hAnsi="Times New Roman"/>
                <w:sz w:val="20"/>
                <w:szCs w:val="20"/>
                <w:shd w:val="clear" w:color="auto" w:fill="FFFFFF"/>
              </w:rPr>
              <w:t>calcul</w:t>
            </w:r>
            <w:proofErr w:type="spellEnd"/>
            <w:r w:rsidRPr="007B5BFB">
              <w:rPr>
                <w:rFonts w:ascii="Times New Roman" w:hAnsi="Times New Roman"/>
                <w:sz w:val="20"/>
                <w:szCs w:val="20"/>
                <w:shd w:val="clear" w:color="auto" w:fill="FFFFFF"/>
              </w:rPr>
              <w:t xml:space="preserve"> [în </w:t>
            </w:r>
            <w:proofErr w:type="spellStart"/>
            <w:r w:rsidRPr="007B5BFB">
              <w:rPr>
                <w:rFonts w:ascii="Times New Roman" w:hAnsi="Times New Roman"/>
                <w:sz w:val="20"/>
                <w:szCs w:val="20"/>
                <w:shd w:val="clear" w:color="auto" w:fill="FFFFFF"/>
              </w:rPr>
              <w:t>ktep</w:t>
            </w:r>
            <w:proofErr w:type="spellEnd"/>
            <w:proofErr w:type="gramStart"/>
            <w:r w:rsidRPr="007B5BFB">
              <w:rPr>
                <w:rFonts w:ascii="Times New Roman" w:hAnsi="Times New Roman"/>
                <w:sz w:val="20"/>
                <w:szCs w:val="20"/>
                <w:shd w:val="clear" w:color="auto" w:fill="FFFFFF"/>
              </w:rPr>
              <w:t>];</w:t>
            </w:r>
            <w:proofErr w:type="gramEnd"/>
          </w:p>
          <w:p w14:paraId="319AEDA8" w14:textId="77777777" w:rsidR="008F5636" w:rsidRPr="007B5BFB" w:rsidRDefault="008F5636" w:rsidP="000C5A3B">
            <w:pPr>
              <w:pStyle w:val="ColorfulList-Accent11"/>
              <w:numPr>
                <w:ilvl w:val="0"/>
                <w:numId w:val="54"/>
              </w:numPr>
              <w:spacing w:after="0" w:line="240" w:lineRule="auto"/>
              <w:ind w:left="527"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cantitatea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calculată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cumulată</w:t>
            </w:r>
            <w:proofErr w:type="spell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economii</w:t>
            </w:r>
            <w:proofErr w:type="spell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energie</w:t>
            </w:r>
            <w:proofErr w:type="spellEnd"/>
            <w:r w:rsidRPr="007B5BFB">
              <w:rPr>
                <w:rFonts w:ascii="Times New Roman" w:hAnsi="Times New Roman"/>
                <w:sz w:val="20"/>
                <w:szCs w:val="20"/>
                <w:shd w:val="clear" w:color="auto" w:fill="FFFFFF"/>
              </w:rPr>
              <w:t xml:space="preserve"> pe </w:t>
            </w:r>
            <w:proofErr w:type="spellStart"/>
            <w:r w:rsidRPr="007B5BFB">
              <w:rPr>
                <w:rFonts w:ascii="Times New Roman" w:hAnsi="Times New Roman"/>
                <w:sz w:val="20"/>
                <w:szCs w:val="20"/>
                <w:shd w:val="clear" w:color="auto" w:fill="FFFFFF"/>
              </w:rPr>
              <w:t>întreaga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perioadă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cuprinsă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între</w:t>
            </w:r>
            <w:proofErr w:type="spellEnd"/>
            <w:r w:rsidRPr="007B5BFB">
              <w:rPr>
                <w:rFonts w:ascii="Times New Roman" w:hAnsi="Times New Roman"/>
                <w:sz w:val="20"/>
                <w:szCs w:val="20"/>
                <w:shd w:val="clear" w:color="auto" w:fill="FFFFFF"/>
              </w:rPr>
              <w:t xml:space="preserve"> 1 </w:t>
            </w:r>
            <w:proofErr w:type="spellStart"/>
            <w:r w:rsidRPr="007B5BFB">
              <w:rPr>
                <w:rFonts w:ascii="Times New Roman" w:hAnsi="Times New Roman"/>
                <w:sz w:val="20"/>
                <w:szCs w:val="20"/>
                <w:shd w:val="clear" w:color="auto" w:fill="FFFFFF"/>
              </w:rPr>
              <w:t>ianuarie</w:t>
            </w:r>
            <w:proofErr w:type="spellEnd"/>
            <w:r w:rsidRPr="007B5BFB">
              <w:rPr>
                <w:rFonts w:ascii="Times New Roman" w:hAnsi="Times New Roman"/>
                <w:sz w:val="20"/>
                <w:szCs w:val="20"/>
                <w:shd w:val="clear" w:color="auto" w:fill="FFFFFF"/>
              </w:rPr>
              <w:t xml:space="preserve"> 2021 și 31 decembrie2030 [</w:t>
            </w:r>
            <w:proofErr w:type="spellStart"/>
            <w:r w:rsidRPr="007B5BFB">
              <w:rPr>
                <w:rFonts w:ascii="Times New Roman" w:hAnsi="Times New Roman"/>
                <w:sz w:val="20"/>
                <w:szCs w:val="20"/>
                <w:shd w:val="clear" w:color="auto" w:fill="FFFFFF"/>
              </w:rPr>
              <w:t>înainte</w:t>
            </w:r>
            <w:proofErr w:type="spell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aplicarea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opțiunilor</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menționate</w:t>
            </w:r>
            <w:proofErr w:type="spellEnd"/>
            <w:r w:rsidRPr="007B5BFB">
              <w:rPr>
                <w:rFonts w:ascii="Times New Roman" w:hAnsi="Times New Roman"/>
                <w:sz w:val="20"/>
                <w:szCs w:val="20"/>
                <w:shd w:val="clear" w:color="auto" w:fill="FFFFFF"/>
              </w:rPr>
              <w:t xml:space="preserve"> la </w:t>
            </w:r>
            <w:proofErr w:type="spellStart"/>
            <w:r w:rsidRPr="007B5BFB">
              <w:rPr>
                <w:rFonts w:ascii="Times New Roman" w:hAnsi="Times New Roman"/>
                <w:sz w:val="20"/>
                <w:szCs w:val="20"/>
                <w:shd w:val="clear" w:color="auto" w:fill="FFFFFF"/>
              </w:rPr>
              <w:t>articolul</w:t>
            </w:r>
            <w:proofErr w:type="spellEnd"/>
            <w:r w:rsidRPr="007B5BFB">
              <w:rPr>
                <w:rFonts w:ascii="Times New Roman" w:hAnsi="Times New Roman"/>
                <w:sz w:val="20"/>
                <w:szCs w:val="20"/>
                <w:shd w:val="clear" w:color="auto" w:fill="FFFFFF"/>
              </w:rPr>
              <w:t xml:space="preserve"> 7 </w:t>
            </w:r>
            <w:proofErr w:type="spellStart"/>
            <w:r w:rsidRPr="007B5BFB">
              <w:rPr>
                <w:rFonts w:ascii="Times New Roman" w:hAnsi="Times New Roman"/>
                <w:sz w:val="20"/>
                <w:szCs w:val="20"/>
                <w:shd w:val="clear" w:color="auto" w:fill="FFFFFF"/>
              </w:rPr>
              <w:t>alineatul</w:t>
            </w:r>
            <w:proofErr w:type="spellEnd"/>
            <w:r w:rsidRPr="007B5BFB">
              <w:rPr>
                <w:rFonts w:ascii="Times New Roman" w:hAnsi="Times New Roman"/>
                <w:sz w:val="20"/>
                <w:szCs w:val="20"/>
                <w:shd w:val="clear" w:color="auto" w:fill="FFFFFF"/>
              </w:rPr>
              <w:t xml:space="preserve"> (4) </w:t>
            </w:r>
            <w:proofErr w:type="spellStart"/>
            <w:r w:rsidRPr="007B5BFB">
              <w:rPr>
                <w:rFonts w:ascii="Times New Roman" w:hAnsi="Times New Roman"/>
                <w:sz w:val="20"/>
                <w:szCs w:val="20"/>
                <w:shd w:val="clear" w:color="auto" w:fill="FFFFFF"/>
              </w:rPr>
              <w:t>literele</w:t>
            </w:r>
            <w:proofErr w:type="spellEnd"/>
            <w:r w:rsidRPr="007B5BFB">
              <w:rPr>
                <w:rFonts w:ascii="Times New Roman" w:hAnsi="Times New Roman"/>
                <w:sz w:val="20"/>
                <w:szCs w:val="20"/>
                <w:shd w:val="clear" w:color="auto" w:fill="FFFFFF"/>
              </w:rPr>
              <w:t xml:space="preserve"> (b)-(g) din </w:t>
            </w:r>
            <w:proofErr w:type="spellStart"/>
            <w:r w:rsidRPr="007B5BFB">
              <w:rPr>
                <w:rFonts w:ascii="Times New Roman" w:hAnsi="Times New Roman"/>
                <w:sz w:val="20"/>
                <w:szCs w:val="20"/>
                <w:shd w:val="clear" w:color="auto" w:fill="FFFFFF"/>
              </w:rPr>
              <w:t>Directiva</w:t>
            </w:r>
            <w:proofErr w:type="spellEnd"/>
            <w:r w:rsidRPr="007B5BFB">
              <w:rPr>
                <w:rFonts w:ascii="Times New Roman" w:hAnsi="Times New Roman"/>
                <w:sz w:val="20"/>
                <w:szCs w:val="20"/>
                <w:shd w:val="clear" w:color="auto" w:fill="FFFFFF"/>
              </w:rPr>
              <w:t xml:space="preserve"> 2012/27/UE] [în </w:t>
            </w:r>
            <w:proofErr w:type="spellStart"/>
            <w:r w:rsidRPr="007B5BFB">
              <w:rPr>
                <w:rFonts w:ascii="Times New Roman" w:hAnsi="Times New Roman"/>
                <w:sz w:val="20"/>
                <w:szCs w:val="20"/>
                <w:shd w:val="clear" w:color="auto" w:fill="FFFFFF"/>
              </w:rPr>
              <w:t>ktep</w:t>
            </w:r>
            <w:proofErr w:type="spellEnd"/>
            <w:proofErr w:type="gramStart"/>
            <w:r w:rsidRPr="007B5BFB">
              <w:rPr>
                <w:rFonts w:ascii="Times New Roman" w:hAnsi="Times New Roman"/>
                <w:sz w:val="20"/>
                <w:szCs w:val="20"/>
                <w:shd w:val="clear" w:color="auto" w:fill="FFFFFF"/>
              </w:rPr>
              <w:t>];</w:t>
            </w:r>
            <w:proofErr w:type="gramEnd"/>
          </w:p>
          <w:p w14:paraId="3DA0F38A" w14:textId="77777777" w:rsidR="008F5636" w:rsidRPr="007B5BFB" w:rsidRDefault="008F5636" w:rsidP="000C5A3B">
            <w:pPr>
              <w:pStyle w:val="ColorfulList-Accent11"/>
              <w:numPr>
                <w:ilvl w:val="0"/>
                <w:numId w:val="54"/>
              </w:numPr>
              <w:spacing w:after="0" w:line="240" w:lineRule="auto"/>
              <w:ind w:left="527"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aplicarea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opțiunilor</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menționate</w:t>
            </w:r>
            <w:proofErr w:type="spellEnd"/>
            <w:r w:rsidRPr="007B5BFB">
              <w:rPr>
                <w:rFonts w:ascii="Times New Roman" w:hAnsi="Times New Roman"/>
                <w:sz w:val="20"/>
                <w:szCs w:val="20"/>
                <w:shd w:val="clear" w:color="auto" w:fill="FFFFFF"/>
              </w:rPr>
              <w:t xml:space="preserve"> la </w:t>
            </w:r>
            <w:proofErr w:type="spellStart"/>
            <w:r w:rsidRPr="007B5BFB">
              <w:rPr>
                <w:rFonts w:ascii="Times New Roman" w:hAnsi="Times New Roman"/>
                <w:sz w:val="20"/>
                <w:szCs w:val="20"/>
                <w:shd w:val="clear" w:color="auto" w:fill="FFFFFF"/>
              </w:rPr>
              <w:t>articolul</w:t>
            </w:r>
            <w:proofErr w:type="spellEnd"/>
            <w:r w:rsidRPr="007B5BFB">
              <w:rPr>
                <w:rFonts w:ascii="Times New Roman" w:hAnsi="Times New Roman"/>
                <w:sz w:val="20"/>
                <w:szCs w:val="20"/>
                <w:shd w:val="clear" w:color="auto" w:fill="FFFFFF"/>
              </w:rPr>
              <w:t xml:space="preserve"> 7 </w:t>
            </w:r>
            <w:proofErr w:type="spellStart"/>
            <w:r w:rsidRPr="007B5BFB">
              <w:rPr>
                <w:rFonts w:ascii="Times New Roman" w:hAnsi="Times New Roman"/>
                <w:sz w:val="20"/>
                <w:szCs w:val="20"/>
                <w:shd w:val="clear" w:color="auto" w:fill="FFFFFF"/>
              </w:rPr>
              <w:t>alineatul</w:t>
            </w:r>
            <w:proofErr w:type="spellEnd"/>
            <w:r w:rsidRPr="007B5BFB">
              <w:rPr>
                <w:rFonts w:ascii="Times New Roman" w:hAnsi="Times New Roman"/>
                <w:sz w:val="20"/>
                <w:szCs w:val="20"/>
                <w:shd w:val="clear" w:color="auto" w:fill="FFFFFF"/>
              </w:rPr>
              <w:t xml:space="preserve"> (4) </w:t>
            </w:r>
            <w:proofErr w:type="spellStart"/>
            <w:r w:rsidRPr="007B5BFB">
              <w:rPr>
                <w:rFonts w:ascii="Times New Roman" w:hAnsi="Times New Roman"/>
                <w:sz w:val="20"/>
                <w:szCs w:val="20"/>
                <w:shd w:val="clear" w:color="auto" w:fill="FFFFFF"/>
              </w:rPr>
              <w:t>literele</w:t>
            </w:r>
            <w:proofErr w:type="spellEnd"/>
            <w:r w:rsidRPr="007B5BFB">
              <w:rPr>
                <w:rFonts w:ascii="Times New Roman" w:hAnsi="Times New Roman"/>
                <w:sz w:val="20"/>
                <w:szCs w:val="20"/>
                <w:shd w:val="clear" w:color="auto" w:fill="FFFFFF"/>
              </w:rPr>
              <w:t xml:space="preserve"> (b)-(g) din </w:t>
            </w:r>
            <w:proofErr w:type="spellStart"/>
            <w:r w:rsidRPr="007B5BFB">
              <w:rPr>
                <w:rFonts w:ascii="Times New Roman" w:hAnsi="Times New Roman"/>
                <w:sz w:val="20"/>
                <w:szCs w:val="20"/>
                <w:shd w:val="clear" w:color="auto" w:fill="FFFFFF"/>
              </w:rPr>
              <w:t>Directiva</w:t>
            </w:r>
            <w:proofErr w:type="spellEnd"/>
            <w:r w:rsidRPr="007B5BFB">
              <w:rPr>
                <w:rFonts w:ascii="Times New Roman" w:hAnsi="Times New Roman"/>
                <w:sz w:val="20"/>
                <w:szCs w:val="20"/>
                <w:shd w:val="clear" w:color="auto" w:fill="FFFFFF"/>
              </w:rPr>
              <w:t xml:space="preserve"> 2012/27/UE:</w:t>
            </w:r>
          </w:p>
          <w:p w14:paraId="16616400" w14:textId="50F17AEF" w:rsidR="008F5636" w:rsidRPr="007B5BFB" w:rsidRDefault="008F5636" w:rsidP="000C5A3B">
            <w:pPr>
              <w:pStyle w:val="Normal4"/>
              <w:numPr>
                <w:ilvl w:val="0"/>
                <w:numId w:val="55"/>
              </w:numPr>
              <w:spacing w:before="0" w:beforeAutospacing="0" w:after="0" w:afterAutospacing="0"/>
              <w:ind w:left="470" w:hanging="357"/>
              <w:jc w:val="both"/>
              <w:rPr>
                <w:color w:val="333333"/>
                <w:sz w:val="20"/>
                <w:szCs w:val="20"/>
              </w:rPr>
            </w:pPr>
            <w:r w:rsidRPr="007B5BFB">
              <w:rPr>
                <w:color w:val="333333"/>
                <w:sz w:val="20"/>
                <w:szCs w:val="20"/>
              </w:rPr>
              <w:t>consumul de energie finală utilizată în activitățile industriale [în ktep] enumerate în anexa I la Directiva 2003/87/CE, care a fost exclus din calcul în conformitate cu articolul 7 alineatul (4) litera (b) din Directiva 2012/27/UE;</w:t>
            </w:r>
          </w:p>
          <w:p w14:paraId="5B061277" w14:textId="66D5FFE9" w:rsidR="008F5636" w:rsidRPr="007B5BFB" w:rsidRDefault="008F5636" w:rsidP="000C5A3B">
            <w:pPr>
              <w:pStyle w:val="Normal4"/>
              <w:numPr>
                <w:ilvl w:val="0"/>
                <w:numId w:val="55"/>
              </w:numPr>
              <w:spacing w:before="0" w:beforeAutospacing="0" w:after="0" w:afterAutospacing="0"/>
              <w:ind w:left="470" w:hanging="357"/>
              <w:jc w:val="both"/>
              <w:rPr>
                <w:color w:val="333333"/>
                <w:sz w:val="20"/>
                <w:szCs w:val="20"/>
              </w:rPr>
            </w:pPr>
            <w:r w:rsidRPr="007B5BFB">
              <w:rPr>
                <w:color w:val="333333"/>
                <w:sz w:val="20"/>
                <w:szCs w:val="20"/>
                <w:shd w:val="clear" w:color="auto" w:fill="FFFFFF"/>
              </w:rPr>
              <w:lastRenderedPageBreak/>
              <w:t>cantitatea economiilor de energie [în ktep] realizate în sectoarele transformării, distribuției și transportului de energie, incluzând infrastructura de încălzire și răcire centralizată eficientă, în conformitate cu articolul 7 alineatul (4) litera (c) din Directiva 2012/27/UE;</w:t>
            </w:r>
          </w:p>
          <w:p w14:paraId="163E4ED1" w14:textId="77777777" w:rsidR="008F5636" w:rsidRPr="007B5BFB" w:rsidRDefault="008F5636" w:rsidP="000C5A3B">
            <w:pPr>
              <w:pStyle w:val="ColorfulList-Accent11"/>
              <w:numPr>
                <w:ilvl w:val="0"/>
                <w:numId w:val="55"/>
              </w:numPr>
              <w:spacing w:after="0" w:line="240" w:lineRule="auto"/>
              <w:ind w:left="470" w:hanging="357"/>
              <w:jc w:val="both"/>
              <w:rPr>
                <w:rFonts w:ascii="Times New Roman" w:hAnsi="Times New Roman"/>
                <w:color w:val="333333"/>
                <w:sz w:val="20"/>
                <w:szCs w:val="20"/>
                <w:shd w:val="clear" w:color="auto" w:fill="FFFFFF"/>
                <w:lang w:val="ro-MD"/>
              </w:rPr>
            </w:pPr>
            <w:r w:rsidRPr="007B5BFB">
              <w:rPr>
                <w:rFonts w:ascii="Times New Roman" w:hAnsi="Times New Roman"/>
                <w:color w:val="333333"/>
                <w:sz w:val="20"/>
                <w:szCs w:val="20"/>
                <w:shd w:val="clear" w:color="auto" w:fill="FFFFFF"/>
                <w:lang w:val="ro-MD"/>
              </w:rPr>
              <w:t>cantitatea economiilor de energie [în ktep] rezultate din acțiuni individuale nou puse în aplicare începând de la 31 decembrie 2008, care continuă să aibă impact în 2020 și după aceea, în conformitate cu articolul 7 alineatul (4) litera (d) din Directiva 2012/27/UE;</w:t>
            </w:r>
          </w:p>
          <w:p w14:paraId="1619B565" w14:textId="77777777" w:rsidR="008F5636" w:rsidRPr="007B5BFB" w:rsidRDefault="008F5636" w:rsidP="000C5A3B">
            <w:pPr>
              <w:pStyle w:val="ColorfulList-Accent11"/>
              <w:numPr>
                <w:ilvl w:val="0"/>
                <w:numId w:val="55"/>
              </w:numPr>
              <w:spacing w:after="0" w:line="240" w:lineRule="auto"/>
              <w:ind w:left="470" w:hanging="357"/>
              <w:jc w:val="both"/>
              <w:rPr>
                <w:rFonts w:ascii="Times New Roman" w:hAnsi="Times New Roman"/>
                <w:color w:val="333333"/>
                <w:sz w:val="20"/>
                <w:szCs w:val="20"/>
                <w:shd w:val="clear" w:color="auto" w:fill="FFFFFF"/>
                <w:lang w:val="ro-MD"/>
              </w:rPr>
            </w:pPr>
            <w:r w:rsidRPr="007B5BFB">
              <w:rPr>
                <w:rFonts w:ascii="Times New Roman" w:hAnsi="Times New Roman"/>
                <w:color w:val="333333"/>
                <w:sz w:val="20"/>
                <w:szCs w:val="20"/>
                <w:shd w:val="clear" w:color="auto" w:fill="FFFFFF"/>
                <w:lang w:val="ro-MD"/>
              </w:rPr>
              <w:t>cantitatea economiilor de energie [în ktep] care decurg din măsurile de politică, cu condiția să se poată demonstra că aceste măsuri de politică au drept rezultat acțiuni individuale efectuate după 1 ianuarie 2018 și până la 31 decembrie 2020, care asigură economii după 31 decembrie 2020, în conformitate cu articolul 7 alineatul (4) litera (e) din Directiva 2012/27/UE;</w:t>
            </w:r>
          </w:p>
          <w:p w14:paraId="3266C58B" w14:textId="2044A4E9" w:rsidR="008F5636" w:rsidRPr="007B5BFB" w:rsidRDefault="008F5636" w:rsidP="000C5A3B">
            <w:pPr>
              <w:pStyle w:val="Normal4"/>
              <w:numPr>
                <w:ilvl w:val="0"/>
                <w:numId w:val="55"/>
              </w:numPr>
              <w:spacing w:before="0" w:beforeAutospacing="0" w:after="0" w:afterAutospacing="0"/>
              <w:ind w:left="470" w:hanging="357"/>
              <w:jc w:val="both"/>
              <w:rPr>
                <w:color w:val="333333"/>
                <w:sz w:val="20"/>
                <w:szCs w:val="20"/>
              </w:rPr>
            </w:pPr>
            <w:r w:rsidRPr="007B5BFB">
              <w:rPr>
                <w:color w:val="333333"/>
                <w:sz w:val="20"/>
                <w:szCs w:val="20"/>
              </w:rPr>
              <w:t>cantitatea energiei produse [în ktep] pe sau în clădirile pentru uz propriu ca urmare a măsurilor de politică ce promovează instalarea de noi tehnologii din domeniul energiei din surse regenerabile, în conformitate cu articolul 7 alineatul (4) litera (f) din Directiva 2012/27/UE;</w:t>
            </w:r>
          </w:p>
          <w:p w14:paraId="04773340" w14:textId="7D879146" w:rsidR="008F5636" w:rsidRPr="007B5BFB" w:rsidRDefault="008F5636" w:rsidP="000C5A3B">
            <w:pPr>
              <w:pStyle w:val="Normal4"/>
              <w:numPr>
                <w:ilvl w:val="0"/>
                <w:numId w:val="55"/>
              </w:numPr>
              <w:spacing w:before="0" w:beforeAutospacing="0" w:after="0" w:afterAutospacing="0"/>
              <w:ind w:left="470" w:hanging="357"/>
              <w:jc w:val="both"/>
              <w:rPr>
                <w:color w:val="333333"/>
                <w:sz w:val="20"/>
                <w:szCs w:val="20"/>
              </w:rPr>
            </w:pPr>
            <w:r w:rsidRPr="007B5BFB">
              <w:rPr>
                <w:color w:val="333333"/>
                <w:sz w:val="20"/>
                <w:szCs w:val="20"/>
                <w:shd w:val="clear" w:color="auto" w:fill="FFFFFF"/>
              </w:rPr>
              <w:t>cantitatea de economii de energie [în ktep] care depășesc cantitatea cumulată de economii de energie obligatorii pentru perioada cuprinsă între 1 ianuarie 2014 și 31 decembrie 2020, pe care statele membre o iau în calcul pentru perioada cuprinsă între 1 ianuarie 2021 și 31 decembrie 2030, în conformitate cu articolul 7 alineatul (4) litera (g) din Directiva 2012/27/UE;</w:t>
            </w:r>
          </w:p>
          <w:p w14:paraId="663BDC92" w14:textId="77777777" w:rsidR="008F5636" w:rsidRPr="007B5BFB" w:rsidRDefault="008F5636" w:rsidP="000C5A3B">
            <w:pPr>
              <w:pStyle w:val="ColorfulList-Accent11"/>
              <w:numPr>
                <w:ilvl w:val="0"/>
                <w:numId w:val="54"/>
              </w:numPr>
              <w:spacing w:after="0" w:line="240" w:lineRule="auto"/>
              <w:jc w:val="both"/>
              <w:rPr>
                <w:rFonts w:ascii="Times New Roman" w:hAnsi="Times New Roman"/>
                <w:sz w:val="20"/>
                <w:szCs w:val="20"/>
                <w:lang w:val="fr-FR"/>
              </w:rPr>
            </w:pPr>
            <w:proofErr w:type="spellStart"/>
            <w:proofErr w:type="gramStart"/>
            <w:r w:rsidRPr="007B5BFB">
              <w:rPr>
                <w:rFonts w:ascii="Times New Roman" w:hAnsi="Times New Roman"/>
                <w:color w:val="333333"/>
                <w:sz w:val="20"/>
                <w:szCs w:val="20"/>
                <w:shd w:val="clear" w:color="auto" w:fill="FFFFFF"/>
                <w:lang w:val="fr-FR"/>
              </w:rPr>
              <w:t>cantitatea</w:t>
            </w:r>
            <w:proofErr w:type="spellEnd"/>
            <w:proofErr w:type="gram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cumulată</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totală</w:t>
            </w:r>
            <w:proofErr w:type="spellEnd"/>
            <w:r w:rsidRPr="007B5BFB">
              <w:rPr>
                <w:rFonts w:ascii="Times New Roman" w:hAnsi="Times New Roman"/>
                <w:color w:val="333333"/>
                <w:sz w:val="20"/>
                <w:szCs w:val="20"/>
                <w:shd w:val="clear" w:color="auto" w:fill="FFFFFF"/>
                <w:lang w:val="fr-FR"/>
              </w:rPr>
              <w:t xml:space="preserve"> de </w:t>
            </w:r>
            <w:proofErr w:type="spellStart"/>
            <w:r w:rsidRPr="007B5BFB">
              <w:rPr>
                <w:rFonts w:ascii="Times New Roman" w:hAnsi="Times New Roman"/>
                <w:color w:val="333333"/>
                <w:sz w:val="20"/>
                <w:szCs w:val="20"/>
                <w:shd w:val="clear" w:color="auto" w:fill="FFFFFF"/>
                <w:lang w:val="fr-FR"/>
              </w:rPr>
              <w:t>economii</w:t>
            </w:r>
            <w:proofErr w:type="spellEnd"/>
            <w:r w:rsidRPr="007B5BFB">
              <w:rPr>
                <w:rFonts w:ascii="Times New Roman" w:hAnsi="Times New Roman"/>
                <w:color w:val="333333"/>
                <w:sz w:val="20"/>
                <w:szCs w:val="20"/>
                <w:shd w:val="clear" w:color="auto" w:fill="FFFFFF"/>
                <w:lang w:val="fr-FR"/>
              </w:rPr>
              <w:t xml:space="preserve"> de </w:t>
            </w:r>
            <w:proofErr w:type="spellStart"/>
            <w:r w:rsidRPr="007B5BFB">
              <w:rPr>
                <w:rFonts w:ascii="Times New Roman" w:hAnsi="Times New Roman"/>
                <w:color w:val="333333"/>
                <w:sz w:val="20"/>
                <w:szCs w:val="20"/>
                <w:shd w:val="clear" w:color="auto" w:fill="FFFFFF"/>
                <w:lang w:val="fr-FR"/>
              </w:rPr>
              <w:t>energie</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după</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aplicarea</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opțiunilor</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menționate</w:t>
            </w:r>
            <w:proofErr w:type="spellEnd"/>
            <w:r w:rsidRPr="007B5BFB">
              <w:rPr>
                <w:rFonts w:ascii="Times New Roman" w:hAnsi="Times New Roman"/>
                <w:color w:val="333333"/>
                <w:sz w:val="20"/>
                <w:szCs w:val="20"/>
                <w:shd w:val="clear" w:color="auto" w:fill="FFFFFF"/>
                <w:lang w:val="fr-FR"/>
              </w:rPr>
              <w:t xml:space="preserve"> la </w:t>
            </w:r>
            <w:proofErr w:type="spellStart"/>
            <w:r w:rsidRPr="007B5BFB">
              <w:rPr>
                <w:rFonts w:ascii="Times New Roman" w:hAnsi="Times New Roman"/>
                <w:color w:val="333333"/>
                <w:sz w:val="20"/>
                <w:szCs w:val="20"/>
                <w:shd w:val="clear" w:color="auto" w:fill="FFFFFF"/>
                <w:lang w:val="fr-FR"/>
              </w:rPr>
              <w:t>articolul</w:t>
            </w:r>
            <w:proofErr w:type="spellEnd"/>
            <w:r w:rsidRPr="007B5BFB">
              <w:rPr>
                <w:rFonts w:ascii="Times New Roman" w:hAnsi="Times New Roman"/>
                <w:color w:val="333333"/>
                <w:sz w:val="20"/>
                <w:szCs w:val="20"/>
                <w:shd w:val="clear" w:color="auto" w:fill="FFFFFF"/>
                <w:lang w:val="fr-FR"/>
              </w:rPr>
              <w:t xml:space="preserve"> 7 </w:t>
            </w:r>
            <w:proofErr w:type="spellStart"/>
            <w:r w:rsidRPr="007B5BFB">
              <w:rPr>
                <w:rFonts w:ascii="Times New Roman" w:hAnsi="Times New Roman"/>
                <w:color w:val="333333"/>
                <w:sz w:val="20"/>
                <w:szCs w:val="20"/>
                <w:shd w:val="clear" w:color="auto" w:fill="FFFFFF"/>
                <w:lang w:val="fr-FR"/>
              </w:rPr>
              <w:t>alineatul</w:t>
            </w:r>
            <w:proofErr w:type="spellEnd"/>
            <w:r w:rsidRPr="007B5BFB">
              <w:rPr>
                <w:rFonts w:ascii="Times New Roman" w:hAnsi="Times New Roman"/>
                <w:color w:val="333333"/>
                <w:sz w:val="20"/>
                <w:szCs w:val="20"/>
                <w:shd w:val="clear" w:color="auto" w:fill="FFFFFF"/>
                <w:lang w:val="fr-FR"/>
              </w:rPr>
              <w:t xml:space="preserve"> (4) </w:t>
            </w:r>
            <w:proofErr w:type="spellStart"/>
            <w:r w:rsidRPr="007B5BFB">
              <w:rPr>
                <w:rFonts w:ascii="Times New Roman" w:hAnsi="Times New Roman"/>
                <w:color w:val="333333"/>
                <w:sz w:val="20"/>
                <w:szCs w:val="20"/>
                <w:shd w:val="clear" w:color="auto" w:fill="FFFFFF"/>
                <w:lang w:val="fr-FR"/>
              </w:rPr>
              <w:t>literele</w:t>
            </w:r>
            <w:proofErr w:type="spellEnd"/>
            <w:r w:rsidRPr="007B5BFB">
              <w:rPr>
                <w:rFonts w:ascii="Times New Roman" w:hAnsi="Times New Roman"/>
                <w:color w:val="333333"/>
                <w:sz w:val="20"/>
                <w:szCs w:val="20"/>
                <w:shd w:val="clear" w:color="auto" w:fill="FFFFFF"/>
                <w:lang w:val="fr-FR"/>
              </w:rPr>
              <w:t xml:space="preserve"> (b)-(g) </w:t>
            </w:r>
            <w:proofErr w:type="spellStart"/>
            <w:r w:rsidRPr="007B5BFB">
              <w:rPr>
                <w:rFonts w:ascii="Times New Roman" w:hAnsi="Times New Roman"/>
                <w:color w:val="333333"/>
                <w:sz w:val="20"/>
                <w:szCs w:val="20"/>
                <w:shd w:val="clear" w:color="auto" w:fill="FFFFFF"/>
                <w:lang w:val="fr-FR"/>
              </w:rPr>
              <w:t>din</w:t>
            </w:r>
            <w:proofErr w:type="spellEnd"/>
            <w:r w:rsidRPr="007B5BFB">
              <w:rPr>
                <w:rFonts w:ascii="Times New Roman" w:hAnsi="Times New Roman"/>
                <w:color w:val="333333"/>
                <w:sz w:val="20"/>
                <w:szCs w:val="20"/>
                <w:shd w:val="clear" w:color="auto" w:fill="FFFFFF"/>
                <w:lang w:val="fr-FR"/>
              </w:rPr>
              <w:t xml:space="preserve"> </w:t>
            </w:r>
            <w:proofErr w:type="spellStart"/>
            <w:r w:rsidRPr="007B5BFB">
              <w:rPr>
                <w:rFonts w:ascii="Times New Roman" w:hAnsi="Times New Roman"/>
                <w:color w:val="333333"/>
                <w:sz w:val="20"/>
                <w:szCs w:val="20"/>
                <w:shd w:val="clear" w:color="auto" w:fill="FFFFFF"/>
                <w:lang w:val="fr-FR"/>
              </w:rPr>
              <w:t>Directiva</w:t>
            </w:r>
            <w:proofErr w:type="spellEnd"/>
            <w:r w:rsidRPr="007B5BFB">
              <w:rPr>
                <w:rFonts w:ascii="Times New Roman" w:hAnsi="Times New Roman"/>
                <w:color w:val="333333"/>
                <w:sz w:val="20"/>
                <w:szCs w:val="20"/>
                <w:shd w:val="clear" w:color="auto" w:fill="FFFFFF"/>
                <w:lang w:val="fr-FR"/>
              </w:rPr>
              <w:t xml:space="preserve"> 2012/27/UE].</w:t>
            </w:r>
          </w:p>
          <w:p w14:paraId="5F877CA0"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B5BFB">
              <w:rPr>
                <w:rFonts w:ascii="Times New Roman" w:hAnsi="Times New Roman"/>
                <w:b/>
                <w:bCs/>
                <w:sz w:val="20"/>
                <w:szCs w:val="20"/>
                <w:shd w:val="clear" w:color="auto" w:fill="FFFFFF"/>
                <w:lang w:val="fr-FR"/>
              </w:rPr>
              <w:t xml:space="preserve">3.Măsuri de </w:t>
            </w:r>
            <w:proofErr w:type="spellStart"/>
            <w:r w:rsidRPr="007B5BFB">
              <w:rPr>
                <w:rFonts w:ascii="Times New Roman" w:hAnsi="Times New Roman"/>
                <w:b/>
                <w:bCs/>
                <w:sz w:val="20"/>
                <w:szCs w:val="20"/>
                <w:shd w:val="clear" w:color="auto" w:fill="FFFFFF"/>
                <w:lang w:val="fr-FR"/>
              </w:rPr>
              <w:t>politică</w:t>
            </w:r>
            <w:proofErr w:type="spellEnd"/>
            <w:r w:rsidRPr="007B5BFB">
              <w:rPr>
                <w:rFonts w:ascii="Times New Roman" w:hAnsi="Times New Roman"/>
                <w:b/>
                <w:bCs/>
                <w:sz w:val="20"/>
                <w:szCs w:val="20"/>
                <w:shd w:val="clear" w:color="auto" w:fill="FFFFFF"/>
                <w:lang w:val="fr-FR"/>
              </w:rPr>
              <w:t xml:space="preserve"> în </w:t>
            </w:r>
            <w:proofErr w:type="spellStart"/>
            <w:r w:rsidRPr="007B5BFB">
              <w:rPr>
                <w:rFonts w:ascii="Times New Roman" w:hAnsi="Times New Roman"/>
                <w:b/>
                <w:bCs/>
                <w:sz w:val="20"/>
                <w:szCs w:val="20"/>
                <w:shd w:val="clear" w:color="auto" w:fill="FFFFFF"/>
                <w:lang w:val="fr-FR"/>
              </w:rPr>
              <w:t>vederea</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îndeplinirii</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cerinței</w:t>
            </w:r>
            <w:proofErr w:type="spellEnd"/>
            <w:r w:rsidRPr="007B5BFB">
              <w:rPr>
                <w:rFonts w:ascii="Times New Roman" w:hAnsi="Times New Roman"/>
                <w:b/>
                <w:bCs/>
                <w:sz w:val="20"/>
                <w:szCs w:val="20"/>
                <w:shd w:val="clear" w:color="auto" w:fill="FFFFFF"/>
                <w:lang w:val="fr-FR"/>
              </w:rPr>
              <w:t xml:space="preserve"> de </w:t>
            </w:r>
            <w:proofErr w:type="spellStart"/>
            <w:r w:rsidRPr="007B5BFB">
              <w:rPr>
                <w:rFonts w:ascii="Times New Roman" w:hAnsi="Times New Roman"/>
                <w:b/>
                <w:bCs/>
                <w:sz w:val="20"/>
                <w:szCs w:val="20"/>
                <w:shd w:val="clear" w:color="auto" w:fill="FFFFFF"/>
                <w:lang w:val="fr-FR"/>
              </w:rPr>
              <w:t>economisire</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menționate</w:t>
            </w:r>
            <w:proofErr w:type="spellEnd"/>
            <w:r w:rsidRPr="007B5BFB">
              <w:rPr>
                <w:rFonts w:ascii="Times New Roman" w:hAnsi="Times New Roman"/>
                <w:b/>
                <w:bCs/>
                <w:sz w:val="20"/>
                <w:szCs w:val="20"/>
                <w:shd w:val="clear" w:color="auto" w:fill="FFFFFF"/>
                <w:lang w:val="fr-FR"/>
              </w:rPr>
              <w:t xml:space="preserve"> la </w:t>
            </w:r>
            <w:proofErr w:type="spellStart"/>
            <w:r w:rsidRPr="007B5BFB">
              <w:rPr>
                <w:rFonts w:ascii="Times New Roman" w:hAnsi="Times New Roman"/>
                <w:b/>
                <w:bCs/>
                <w:sz w:val="20"/>
                <w:szCs w:val="20"/>
                <w:shd w:val="clear" w:color="auto" w:fill="FFFFFF"/>
                <w:lang w:val="fr-FR"/>
              </w:rPr>
              <w:t>articolul</w:t>
            </w:r>
            <w:proofErr w:type="spellEnd"/>
            <w:r w:rsidRPr="007B5BFB">
              <w:rPr>
                <w:rFonts w:ascii="Times New Roman" w:hAnsi="Times New Roman"/>
                <w:b/>
                <w:bCs/>
                <w:sz w:val="20"/>
                <w:szCs w:val="20"/>
                <w:shd w:val="clear" w:color="auto" w:fill="FFFFFF"/>
                <w:lang w:val="fr-FR"/>
              </w:rPr>
              <w:t xml:space="preserve"> 7 </w:t>
            </w:r>
            <w:proofErr w:type="spellStart"/>
            <w:r w:rsidRPr="007B5BFB">
              <w:rPr>
                <w:rFonts w:ascii="Times New Roman" w:hAnsi="Times New Roman"/>
                <w:b/>
                <w:bCs/>
                <w:sz w:val="20"/>
                <w:szCs w:val="20"/>
                <w:shd w:val="clear" w:color="auto" w:fill="FFFFFF"/>
                <w:lang w:val="fr-FR"/>
              </w:rPr>
              <w:t>alineatul</w:t>
            </w:r>
            <w:proofErr w:type="spellEnd"/>
            <w:r w:rsidRPr="007B5BFB">
              <w:rPr>
                <w:rFonts w:ascii="Times New Roman" w:hAnsi="Times New Roman"/>
                <w:b/>
                <w:bCs/>
                <w:sz w:val="20"/>
                <w:szCs w:val="20"/>
                <w:shd w:val="clear" w:color="auto" w:fill="FFFFFF"/>
                <w:lang w:val="fr-FR"/>
              </w:rPr>
              <w:t xml:space="preserve"> (1) </w:t>
            </w:r>
            <w:proofErr w:type="spellStart"/>
            <w:r w:rsidRPr="007B5BFB">
              <w:rPr>
                <w:rFonts w:ascii="Times New Roman" w:hAnsi="Times New Roman"/>
                <w:b/>
                <w:bCs/>
                <w:sz w:val="20"/>
                <w:szCs w:val="20"/>
                <w:shd w:val="clear" w:color="auto" w:fill="FFFFFF"/>
                <w:lang w:val="fr-FR"/>
              </w:rPr>
              <w:t>din</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Directiva</w:t>
            </w:r>
            <w:proofErr w:type="spellEnd"/>
            <w:r w:rsidRPr="007B5BFB">
              <w:rPr>
                <w:rFonts w:ascii="Times New Roman" w:hAnsi="Times New Roman"/>
                <w:b/>
                <w:bCs/>
                <w:sz w:val="20"/>
                <w:szCs w:val="20"/>
                <w:shd w:val="clear" w:color="auto" w:fill="FFFFFF"/>
                <w:lang w:val="fr-FR"/>
              </w:rPr>
              <w:t xml:space="preserve"> 2012/27/</w:t>
            </w:r>
            <w:proofErr w:type="gramStart"/>
            <w:r w:rsidRPr="007B5BFB">
              <w:rPr>
                <w:rFonts w:ascii="Times New Roman" w:hAnsi="Times New Roman"/>
                <w:b/>
                <w:bCs/>
                <w:sz w:val="20"/>
                <w:szCs w:val="20"/>
                <w:shd w:val="clear" w:color="auto" w:fill="FFFFFF"/>
                <w:lang w:val="fr-FR"/>
              </w:rPr>
              <w:t>UE:</w:t>
            </w:r>
            <w:proofErr w:type="gramEnd"/>
          </w:p>
          <w:p w14:paraId="0509FCCD"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rPr>
            </w:pPr>
            <w:r w:rsidRPr="007B5BFB">
              <w:rPr>
                <w:rFonts w:ascii="Times New Roman" w:hAnsi="Times New Roman"/>
                <w:b/>
                <w:bCs/>
                <w:sz w:val="20"/>
                <w:szCs w:val="20"/>
                <w:shd w:val="clear" w:color="auto" w:fill="FFFFFF"/>
              </w:rPr>
              <w:t>3.</w:t>
            </w:r>
            <w:proofErr w:type="gramStart"/>
            <w:r w:rsidRPr="007B5BFB">
              <w:rPr>
                <w:rFonts w:ascii="Times New Roman" w:hAnsi="Times New Roman"/>
                <w:b/>
                <w:bCs/>
                <w:sz w:val="20"/>
                <w:szCs w:val="20"/>
                <w:shd w:val="clear" w:color="auto" w:fill="FFFFFF"/>
              </w:rPr>
              <w:t>1.Schemele</w:t>
            </w:r>
            <w:proofErr w:type="gramEnd"/>
            <w:r w:rsidRPr="007B5BFB">
              <w:rPr>
                <w:rFonts w:ascii="Times New Roman" w:hAnsi="Times New Roman"/>
                <w:b/>
                <w:bCs/>
                <w:sz w:val="20"/>
                <w:szCs w:val="20"/>
                <w:shd w:val="clear" w:color="auto" w:fill="FFFFFF"/>
              </w:rPr>
              <w:t xml:space="preserve"> de </w:t>
            </w:r>
            <w:proofErr w:type="spellStart"/>
            <w:r w:rsidRPr="007B5BFB">
              <w:rPr>
                <w:rFonts w:ascii="Times New Roman" w:hAnsi="Times New Roman"/>
                <w:b/>
                <w:bCs/>
                <w:sz w:val="20"/>
                <w:szCs w:val="20"/>
                <w:shd w:val="clear" w:color="auto" w:fill="FFFFFF"/>
              </w:rPr>
              <w:t>obligații</w:t>
            </w:r>
            <w:proofErr w:type="spellEnd"/>
            <w:r w:rsidRPr="007B5BFB">
              <w:rPr>
                <w:rFonts w:ascii="Times New Roman" w:hAnsi="Times New Roman"/>
                <w:b/>
                <w:bCs/>
                <w:sz w:val="20"/>
                <w:szCs w:val="20"/>
                <w:shd w:val="clear" w:color="auto" w:fill="FFFFFF"/>
              </w:rPr>
              <w:t xml:space="preserve"> în </w:t>
            </w:r>
            <w:proofErr w:type="spellStart"/>
            <w:r w:rsidRPr="007B5BFB">
              <w:rPr>
                <w:rFonts w:ascii="Times New Roman" w:hAnsi="Times New Roman"/>
                <w:b/>
                <w:bCs/>
                <w:sz w:val="20"/>
                <w:szCs w:val="20"/>
                <w:shd w:val="clear" w:color="auto" w:fill="FFFFFF"/>
              </w:rPr>
              <w:t>materie</w:t>
            </w:r>
            <w:proofErr w:type="spellEnd"/>
            <w:r w:rsidRPr="007B5BFB">
              <w:rPr>
                <w:rFonts w:ascii="Times New Roman" w:hAnsi="Times New Roman"/>
                <w:b/>
                <w:bCs/>
                <w:sz w:val="20"/>
                <w:szCs w:val="20"/>
                <w:shd w:val="clear" w:color="auto" w:fill="FFFFFF"/>
              </w:rPr>
              <w:t xml:space="preserve"> de </w:t>
            </w:r>
            <w:proofErr w:type="spellStart"/>
            <w:r w:rsidRPr="007B5BFB">
              <w:rPr>
                <w:rFonts w:ascii="Times New Roman" w:hAnsi="Times New Roman"/>
                <w:b/>
                <w:bCs/>
                <w:sz w:val="20"/>
                <w:szCs w:val="20"/>
                <w:shd w:val="clear" w:color="auto" w:fill="FFFFFF"/>
              </w:rPr>
              <w:t>eficiență</w:t>
            </w:r>
            <w:proofErr w:type="spellEnd"/>
            <w:r w:rsidRPr="007B5BFB">
              <w:rPr>
                <w:rFonts w:ascii="Times New Roman" w:hAnsi="Times New Roman"/>
                <w:b/>
                <w:bCs/>
                <w:sz w:val="20"/>
                <w:szCs w:val="20"/>
                <w:shd w:val="clear" w:color="auto" w:fill="FFFFFF"/>
              </w:rPr>
              <w:t xml:space="preserve"> </w:t>
            </w:r>
            <w:proofErr w:type="spellStart"/>
            <w:r w:rsidRPr="007B5BFB">
              <w:rPr>
                <w:rFonts w:ascii="Times New Roman" w:hAnsi="Times New Roman"/>
                <w:b/>
                <w:bCs/>
                <w:sz w:val="20"/>
                <w:szCs w:val="20"/>
                <w:shd w:val="clear" w:color="auto" w:fill="FFFFFF"/>
              </w:rPr>
              <w:t>energetică</w:t>
            </w:r>
            <w:proofErr w:type="spellEnd"/>
            <w:r w:rsidRPr="007B5BFB">
              <w:rPr>
                <w:rFonts w:ascii="Times New Roman" w:hAnsi="Times New Roman"/>
                <w:b/>
                <w:bCs/>
                <w:sz w:val="20"/>
                <w:szCs w:val="20"/>
                <w:shd w:val="clear" w:color="auto" w:fill="FFFFFF"/>
              </w:rPr>
              <w:t xml:space="preserve"> </w:t>
            </w:r>
            <w:proofErr w:type="spellStart"/>
            <w:r w:rsidRPr="007B5BFB">
              <w:rPr>
                <w:rFonts w:ascii="Times New Roman" w:hAnsi="Times New Roman"/>
                <w:b/>
                <w:bCs/>
                <w:sz w:val="20"/>
                <w:szCs w:val="20"/>
                <w:shd w:val="clear" w:color="auto" w:fill="FFFFFF"/>
              </w:rPr>
              <w:t>menționate</w:t>
            </w:r>
            <w:proofErr w:type="spellEnd"/>
            <w:r w:rsidRPr="007B5BFB">
              <w:rPr>
                <w:rFonts w:ascii="Times New Roman" w:hAnsi="Times New Roman"/>
                <w:b/>
                <w:bCs/>
                <w:sz w:val="20"/>
                <w:szCs w:val="20"/>
                <w:shd w:val="clear" w:color="auto" w:fill="FFFFFF"/>
              </w:rPr>
              <w:t xml:space="preserve"> la </w:t>
            </w:r>
            <w:proofErr w:type="spellStart"/>
            <w:r w:rsidRPr="007B5BFB">
              <w:rPr>
                <w:rFonts w:ascii="Times New Roman" w:hAnsi="Times New Roman"/>
                <w:b/>
                <w:bCs/>
                <w:sz w:val="20"/>
                <w:szCs w:val="20"/>
                <w:shd w:val="clear" w:color="auto" w:fill="FFFFFF"/>
              </w:rPr>
              <w:t>articolul</w:t>
            </w:r>
            <w:proofErr w:type="spellEnd"/>
            <w:r w:rsidRPr="007B5BFB">
              <w:rPr>
                <w:rFonts w:ascii="Times New Roman" w:hAnsi="Times New Roman"/>
                <w:b/>
                <w:bCs/>
                <w:sz w:val="20"/>
                <w:szCs w:val="20"/>
                <w:shd w:val="clear" w:color="auto" w:fill="FFFFFF"/>
              </w:rPr>
              <w:t xml:space="preserve"> 7a din </w:t>
            </w:r>
            <w:proofErr w:type="spellStart"/>
            <w:r w:rsidRPr="007B5BFB">
              <w:rPr>
                <w:rFonts w:ascii="Times New Roman" w:hAnsi="Times New Roman"/>
                <w:b/>
                <w:bCs/>
                <w:sz w:val="20"/>
                <w:szCs w:val="20"/>
                <w:shd w:val="clear" w:color="auto" w:fill="FFFFFF"/>
              </w:rPr>
              <w:t>Directiva</w:t>
            </w:r>
            <w:proofErr w:type="spellEnd"/>
            <w:r w:rsidRPr="007B5BFB">
              <w:rPr>
                <w:rFonts w:ascii="Times New Roman" w:hAnsi="Times New Roman"/>
                <w:b/>
                <w:bCs/>
                <w:sz w:val="20"/>
                <w:szCs w:val="20"/>
                <w:shd w:val="clear" w:color="auto" w:fill="FFFFFF"/>
              </w:rPr>
              <w:t xml:space="preserve"> 2012/27/UE:</w:t>
            </w:r>
          </w:p>
          <w:p w14:paraId="3B2B27AF"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descrierea</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schemei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obligații</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materie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eficiență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energetică</w:t>
            </w:r>
            <w:proofErr w:type="spellEnd"/>
            <w:r w:rsidRPr="007B5BFB">
              <w:rPr>
                <w:rFonts w:ascii="Times New Roman" w:hAnsi="Times New Roman"/>
                <w:sz w:val="20"/>
                <w:szCs w:val="20"/>
                <w:shd w:val="clear" w:color="auto" w:fill="FFFFFF"/>
                <w:lang w:val="fr-FR"/>
              </w:rPr>
              <w:t>;</w:t>
            </w:r>
          </w:p>
          <w:p w14:paraId="1C8C09BB"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cantitatea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cumulată</w:t>
            </w:r>
            <w:proofErr w:type="spellEnd"/>
            <w:r w:rsidRPr="007B5BFB">
              <w:rPr>
                <w:rFonts w:ascii="Times New Roman" w:hAnsi="Times New Roman"/>
                <w:sz w:val="20"/>
                <w:szCs w:val="20"/>
                <w:shd w:val="clear" w:color="auto" w:fill="FFFFFF"/>
              </w:rPr>
              <w:t xml:space="preserve"> și </w:t>
            </w:r>
            <w:proofErr w:type="spellStart"/>
            <w:r w:rsidRPr="007B5BFB">
              <w:rPr>
                <w:rFonts w:ascii="Times New Roman" w:hAnsi="Times New Roman"/>
                <w:sz w:val="20"/>
                <w:szCs w:val="20"/>
                <w:shd w:val="clear" w:color="auto" w:fill="FFFFFF"/>
              </w:rPr>
              <w:t>anuală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preconizată</w:t>
            </w:r>
            <w:proofErr w:type="spellEnd"/>
            <w:r w:rsidRPr="007B5BFB">
              <w:rPr>
                <w:rFonts w:ascii="Times New Roman" w:hAnsi="Times New Roman"/>
                <w:sz w:val="20"/>
                <w:szCs w:val="20"/>
                <w:shd w:val="clear" w:color="auto" w:fill="FFFFFF"/>
              </w:rPr>
              <w:t xml:space="preserve"> </w:t>
            </w:r>
            <w:proofErr w:type="gramStart"/>
            <w:r w:rsidRPr="007B5BFB">
              <w:rPr>
                <w:rFonts w:ascii="Times New Roman" w:hAnsi="Times New Roman"/>
                <w:sz w:val="20"/>
                <w:szCs w:val="20"/>
                <w:shd w:val="clear" w:color="auto" w:fill="FFFFFF"/>
              </w:rPr>
              <w:t>a</w:t>
            </w:r>
            <w:proofErr w:type="gram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economiilor</w:t>
            </w:r>
            <w:proofErr w:type="spellEnd"/>
            <w:r w:rsidRPr="007B5BFB">
              <w:rPr>
                <w:rFonts w:ascii="Times New Roman" w:hAnsi="Times New Roman"/>
                <w:sz w:val="20"/>
                <w:szCs w:val="20"/>
                <w:shd w:val="clear" w:color="auto" w:fill="FFFFFF"/>
              </w:rPr>
              <w:t xml:space="preserve"> și </w:t>
            </w:r>
            <w:proofErr w:type="spellStart"/>
            <w:r w:rsidRPr="007B5BFB">
              <w:rPr>
                <w:rFonts w:ascii="Times New Roman" w:hAnsi="Times New Roman"/>
                <w:sz w:val="20"/>
                <w:szCs w:val="20"/>
                <w:shd w:val="clear" w:color="auto" w:fill="FFFFFF"/>
              </w:rPr>
              <w:t>durata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perioadei</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perioadelor</w:t>
            </w:r>
            <w:proofErr w:type="spell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obligație</w:t>
            </w:r>
            <w:proofErr w:type="spellEnd"/>
            <w:r w:rsidRPr="007B5BFB">
              <w:rPr>
                <w:rFonts w:ascii="Times New Roman" w:hAnsi="Times New Roman"/>
                <w:sz w:val="20"/>
                <w:szCs w:val="20"/>
                <w:shd w:val="clear" w:color="auto" w:fill="FFFFFF"/>
              </w:rPr>
              <w:t>;</w:t>
            </w:r>
          </w:p>
          <w:p w14:paraId="7633414C"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lastRenderedPageBreak/>
              <w:t>părțile</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obligate</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responsabilitățile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acestora</w:t>
            </w:r>
            <w:proofErr w:type="spellEnd"/>
            <w:r w:rsidRPr="007B5BFB">
              <w:rPr>
                <w:rFonts w:ascii="Times New Roman" w:hAnsi="Times New Roman"/>
                <w:sz w:val="20"/>
                <w:szCs w:val="20"/>
                <w:shd w:val="clear" w:color="auto" w:fill="FFFFFF"/>
                <w:lang w:val="fr-FR"/>
              </w:rPr>
              <w:t>;</w:t>
            </w:r>
          </w:p>
          <w:p w14:paraId="65262ED8"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sectoarele</w:t>
            </w:r>
            <w:proofErr w:type="spellEnd"/>
            <w:r w:rsidRPr="007B5BFB">
              <w:rPr>
                <w:rFonts w:ascii="Times New Roman" w:hAnsi="Times New Roman"/>
                <w:sz w:val="20"/>
                <w:szCs w:val="20"/>
                <w:shd w:val="clear" w:color="auto" w:fill="FFFFFF"/>
              </w:rPr>
              <w:t xml:space="preserve"> </w:t>
            </w:r>
            <w:proofErr w:type="spellStart"/>
            <w:proofErr w:type="gramStart"/>
            <w:r w:rsidRPr="007B5BFB">
              <w:rPr>
                <w:rFonts w:ascii="Times New Roman" w:hAnsi="Times New Roman"/>
                <w:sz w:val="20"/>
                <w:szCs w:val="20"/>
                <w:shd w:val="clear" w:color="auto" w:fill="FFFFFF"/>
              </w:rPr>
              <w:t>țintă</w:t>
            </w:r>
            <w:proofErr w:type="spellEnd"/>
            <w:r w:rsidRPr="007B5BFB">
              <w:rPr>
                <w:rFonts w:ascii="Times New Roman" w:hAnsi="Times New Roman"/>
                <w:sz w:val="20"/>
                <w:szCs w:val="20"/>
                <w:shd w:val="clear" w:color="auto" w:fill="FFFFFF"/>
              </w:rPr>
              <w:t>;</w:t>
            </w:r>
            <w:proofErr w:type="gramEnd"/>
          </w:p>
          <w:p w14:paraId="5B7E7BE1"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acțiunile</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eligibile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prevăzute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cadrul</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măsurii</w:t>
            </w:r>
            <w:proofErr w:type="spellEnd"/>
            <w:r w:rsidRPr="007B5BFB">
              <w:rPr>
                <w:rFonts w:ascii="Times New Roman" w:hAnsi="Times New Roman"/>
                <w:sz w:val="20"/>
                <w:szCs w:val="20"/>
                <w:shd w:val="clear" w:color="auto" w:fill="FFFFFF"/>
                <w:lang w:val="fr-FR"/>
              </w:rPr>
              <w:t>;</w:t>
            </w:r>
          </w:p>
          <w:p w14:paraId="648B9329" w14:textId="15E42E8F"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informații</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privire</w:t>
            </w:r>
            <w:proofErr w:type="spellEnd"/>
            <w:r w:rsidRPr="007B5BFB">
              <w:rPr>
                <w:rFonts w:ascii="Times New Roman" w:hAnsi="Times New Roman"/>
                <w:sz w:val="20"/>
                <w:szCs w:val="20"/>
                <w:shd w:val="clear" w:color="auto" w:fill="FFFFFF"/>
                <w:lang w:val="fr-FR"/>
              </w:rPr>
              <w:t xml:space="preserve"> la </w:t>
            </w:r>
            <w:proofErr w:type="spellStart"/>
            <w:r w:rsidRPr="007B5BFB">
              <w:rPr>
                <w:rFonts w:ascii="Times New Roman" w:hAnsi="Times New Roman"/>
                <w:sz w:val="20"/>
                <w:szCs w:val="20"/>
                <w:shd w:val="clear" w:color="auto" w:fill="FFFFFF"/>
                <w:lang w:val="fr-FR"/>
              </w:rPr>
              <w:t>aplicarea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următoarelor</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dispoziții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din</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Directiva</w:t>
            </w:r>
            <w:proofErr w:type="spellEnd"/>
            <w:r w:rsidRPr="007B5BFB">
              <w:rPr>
                <w:rFonts w:ascii="Times New Roman" w:hAnsi="Times New Roman"/>
                <w:sz w:val="20"/>
                <w:szCs w:val="20"/>
                <w:shd w:val="clear" w:color="auto" w:fill="FFFFFF"/>
                <w:lang w:val="fr-FR"/>
              </w:rPr>
              <w:t xml:space="preserve"> 2012/27/UE:</w:t>
            </w:r>
          </w:p>
          <w:p w14:paraId="6DDAE0B7" w14:textId="37F686D8" w:rsidR="008F5636" w:rsidRPr="007B5BFB" w:rsidRDefault="008F5636" w:rsidP="000C5A3B">
            <w:pPr>
              <w:pStyle w:val="ColorfulList-Accent11"/>
              <w:numPr>
                <w:ilvl w:val="0"/>
                <w:numId w:val="57"/>
              </w:numPr>
              <w:spacing w:after="0" w:line="240" w:lineRule="auto"/>
              <w:ind w:left="641"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dacă</w:t>
            </w:r>
            <w:proofErr w:type="spellEnd"/>
            <w:proofErr w:type="gramEnd"/>
            <w:r w:rsidRPr="007B5BFB">
              <w:rPr>
                <w:rFonts w:ascii="Times New Roman" w:hAnsi="Times New Roman"/>
                <w:sz w:val="20"/>
                <w:szCs w:val="20"/>
                <w:shd w:val="clear" w:color="auto" w:fill="FFFFFF"/>
                <w:lang w:val="fr-FR"/>
              </w:rPr>
              <w:t xml:space="preserve"> este </w:t>
            </w:r>
            <w:proofErr w:type="spellStart"/>
            <w:r w:rsidRPr="007B5BFB">
              <w:rPr>
                <w:rFonts w:ascii="Times New Roman" w:hAnsi="Times New Roman"/>
                <w:sz w:val="20"/>
                <w:szCs w:val="20"/>
                <w:shd w:val="clear" w:color="auto" w:fill="FFFFFF"/>
                <w:lang w:val="fr-FR"/>
              </w:rPr>
              <w:t>cazul</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acțiuni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specifice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ponderea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care </w:t>
            </w:r>
            <w:proofErr w:type="spellStart"/>
            <w:r w:rsidRPr="007B5BFB">
              <w:rPr>
                <w:rFonts w:ascii="Times New Roman" w:hAnsi="Times New Roman"/>
                <w:sz w:val="20"/>
                <w:szCs w:val="20"/>
                <w:shd w:val="clear" w:color="auto" w:fill="FFFFFF"/>
                <w:lang w:val="fr-FR"/>
              </w:rPr>
              <w:t>trebuie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realizate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gospodăriile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afectate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sărăcia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energetică</w:t>
            </w:r>
            <w:proofErr w:type="spellEnd"/>
            <w:r w:rsidRPr="007B5BFB">
              <w:rPr>
                <w:rFonts w:ascii="Times New Roman" w:hAnsi="Times New Roman"/>
                <w:sz w:val="20"/>
                <w:szCs w:val="20"/>
                <w:shd w:val="clear" w:color="auto" w:fill="FFFFFF"/>
                <w:lang w:val="fr-FR"/>
              </w:rPr>
              <w:t xml:space="preserve">, în conformitate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articolul</w:t>
            </w:r>
            <w:proofErr w:type="spellEnd"/>
            <w:r w:rsidRPr="007B5BFB">
              <w:rPr>
                <w:rFonts w:ascii="Times New Roman" w:hAnsi="Times New Roman"/>
                <w:sz w:val="20"/>
                <w:szCs w:val="20"/>
                <w:shd w:val="clear" w:color="auto" w:fill="FFFFFF"/>
                <w:lang w:val="fr-FR"/>
              </w:rPr>
              <w:t xml:space="preserve"> 7 </w:t>
            </w:r>
            <w:proofErr w:type="spellStart"/>
            <w:r w:rsidRPr="007B5BFB">
              <w:rPr>
                <w:rFonts w:ascii="Times New Roman" w:hAnsi="Times New Roman"/>
                <w:sz w:val="20"/>
                <w:szCs w:val="20"/>
                <w:shd w:val="clear" w:color="auto" w:fill="FFFFFF"/>
                <w:lang w:val="fr-FR"/>
              </w:rPr>
              <w:t>alineatul</w:t>
            </w:r>
            <w:proofErr w:type="spellEnd"/>
            <w:r w:rsidRPr="007B5BFB">
              <w:rPr>
                <w:rFonts w:ascii="Times New Roman" w:hAnsi="Times New Roman"/>
                <w:sz w:val="20"/>
                <w:szCs w:val="20"/>
                <w:shd w:val="clear" w:color="auto" w:fill="FFFFFF"/>
                <w:lang w:val="fr-FR"/>
              </w:rPr>
              <w:t xml:space="preserve"> (11);</w:t>
            </w:r>
          </w:p>
          <w:p w14:paraId="079FDD05" w14:textId="5E09180E" w:rsidR="008F5636" w:rsidRPr="007B5BFB" w:rsidRDefault="008F5636" w:rsidP="000C5A3B">
            <w:pPr>
              <w:pStyle w:val="ColorfulList-Accent11"/>
              <w:numPr>
                <w:ilvl w:val="0"/>
                <w:numId w:val="57"/>
              </w:numPr>
              <w:spacing w:after="0" w:line="240" w:lineRule="auto"/>
              <w:ind w:left="641"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economiile</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realizate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furnizorii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servicii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sau</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alte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părți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terțe</w:t>
            </w:r>
            <w:proofErr w:type="spellEnd"/>
            <w:r w:rsidRPr="007B5BFB">
              <w:rPr>
                <w:rFonts w:ascii="Times New Roman" w:hAnsi="Times New Roman"/>
                <w:sz w:val="20"/>
                <w:szCs w:val="20"/>
                <w:shd w:val="clear" w:color="auto" w:fill="FFFFFF"/>
                <w:lang w:val="fr-FR"/>
              </w:rPr>
              <w:t xml:space="preserve"> în conformitate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articolul</w:t>
            </w:r>
            <w:proofErr w:type="spellEnd"/>
            <w:r w:rsidRPr="007B5BFB">
              <w:rPr>
                <w:rFonts w:ascii="Times New Roman" w:hAnsi="Times New Roman"/>
                <w:sz w:val="20"/>
                <w:szCs w:val="20"/>
                <w:shd w:val="clear" w:color="auto" w:fill="FFFFFF"/>
                <w:lang w:val="fr-FR"/>
              </w:rPr>
              <w:t xml:space="preserve"> 7a </w:t>
            </w:r>
            <w:proofErr w:type="spellStart"/>
            <w:r w:rsidRPr="007B5BFB">
              <w:rPr>
                <w:rFonts w:ascii="Times New Roman" w:hAnsi="Times New Roman"/>
                <w:sz w:val="20"/>
                <w:szCs w:val="20"/>
                <w:shd w:val="clear" w:color="auto" w:fill="FFFFFF"/>
                <w:lang w:val="fr-FR"/>
              </w:rPr>
              <w:t>alineatul</w:t>
            </w:r>
            <w:proofErr w:type="spellEnd"/>
            <w:r w:rsidRPr="007B5BFB">
              <w:rPr>
                <w:rFonts w:ascii="Times New Roman" w:hAnsi="Times New Roman"/>
                <w:sz w:val="20"/>
                <w:szCs w:val="20"/>
                <w:shd w:val="clear" w:color="auto" w:fill="FFFFFF"/>
                <w:lang w:val="fr-FR"/>
              </w:rPr>
              <w:t xml:space="preserve"> (6) litera (a);</w:t>
            </w:r>
          </w:p>
          <w:p w14:paraId="1DECB052" w14:textId="52263314" w:rsidR="008F5636" w:rsidRPr="007B5BFB" w:rsidRDefault="008F5636" w:rsidP="000C5A3B">
            <w:pPr>
              <w:pStyle w:val="ColorfulList-Accent11"/>
              <w:numPr>
                <w:ilvl w:val="0"/>
                <w:numId w:val="57"/>
              </w:numPr>
              <w:spacing w:after="0" w:line="240" w:lineRule="auto"/>
              <w:ind w:left="641" w:hanging="357"/>
              <w:jc w:val="both"/>
              <w:rPr>
                <w:rFonts w:ascii="Times New Roman" w:hAnsi="Times New Roman"/>
                <w:sz w:val="20"/>
                <w:szCs w:val="20"/>
                <w:shd w:val="clear" w:color="auto" w:fill="FFFFFF"/>
                <w:lang w:val="fr-FR"/>
              </w:rPr>
            </w:pPr>
            <w:r w:rsidRPr="007B5BFB">
              <w:rPr>
                <w:rFonts w:ascii="Times New Roman" w:hAnsi="Times New Roman"/>
                <w:sz w:val="20"/>
                <w:szCs w:val="20"/>
                <w:shd w:val="clear" w:color="auto" w:fill="FFFFFF"/>
              </w:rPr>
              <w:t>„</w:t>
            </w:r>
            <w:proofErr w:type="spellStart"/>
            <w:proofErr w:type="gramStart"/>
            <w:r w:rsidRPr="007B5BFB">
              <w:rPr>
                <w:rFonts w:ascii="Times New Roman" w:hAnsi="Times New Roman"/>
                <w:sz w:val="20"/>
                <w:szCs w:val="20"/>
                <w:shd w:val="clear" w:color="auto" w:fill="FFFFFF"/>
              </w:rPr>
              <w:t>constituirea</w:t>
            </w:r>
            <w:proofErr w:type="spellEnd"/>
            <w:proofErr w:type="gram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rezerve</w:t>
            </w:r>
            <w:proofErr w:type="spellEnd"/>
            <w:r w:rsidRPr="007B5BFB">
              <w:rPr>
                <w:rFonts w:ascii="Times New Roman" w:hAnsi="Times New Roman"/>
                <w:sz w:val="20"/>
                <w:szCs w:val="20"/>
                <w:shd w:val="clear" w:color="auto" w:fill="FFFFFF"/>
              </w:rPr>
              <w:t xml:space="preserve"> și </w:t>
            </w:r>
            <w:proofErr w:type="spellStart"/>
            <w:r w:rsidRPr="007B5BFB">
              <w:rPr>
                <w:rFonts w:ascii="Times New Roman" w:hAnsi="Times New Roman"/>
                <w:sz w:val="20"/>
                <w:szCs w:val="20"/>
                <w:shd w:val="clear" w:color="auto" w:fill="FFFFFF"/>
              </w:rPr>
              <w:t>împrumuturile</w:t>
            </w:r>
            <w:proofErr w:type="spellEnd"/>
            <w:r w:rsidRPr="007B5BFB">
              <w:rPr>
                <w:rFonts w:ascii="Times New Roman" w:hAnsi="Times New Roman"/>
                <w:sz w:val="20"/>
                <w:szCs w:val="20"/>
                <w:shd w:val="clear" w:color="auto" w:fill="FFFFFF"/>
              </w:rPr>
              <w:t xml:space="preserve">” în conformitate cu </w:t>
            </w:r>
            <w:proofErr w:type="spellStart"/>
            <w:r w:rsidRPr="007B5BFB">
              <w:rPr>
                <w:rFonts w:ascii="Times New Roman" w:hAnsi="Times New Roman"/>
                <w:sz w:val="20"/>
                <w:szCs w:val="20"/>
                <w:shd w:val="clear" w:color="auto" w:fill="FFFFFF"/>
              </w:rPr>
              <w:t>articolul</w:t>
            </w:r>
            <w:proofErr w:type="spellEnd"/>
            <w:r w:rsidRPr="007B5BFB">
              <w:rPr>
                <w:rFonts w:ascii="Times New Roman" w:hAnsi="Times New Roman"/>
                <w:sz w:val="20"/>
                <w:szCs w:val="20"/>
                <w:shd w:val="clear" w:color="auto" w:fill="FFFFFF"/>
              </w:rPr>
              <w:t xml:space="preserve"> 7a </w:t>
            </w:r>
            <w:proofErr w:type="spellStart"/>
            <w:r w:rsidRPr="007B5BFB">
              <w:rPr>
                <w:rFonts w:ascii="Times New Roman" w:hAnsi="Times New Roman"/>
                <w:sz w:val="20"/>
                <w:szCs w:val="20"/>
                <w:shd w:val="clear" w:color="auto" w:fill="FFFFFF"/>
              </w:rPr>
              <w:t>alineatul</w:t>
            </w:r>
            <w:proofErr w:type="spellEnd"/>
            <w:r w:rsidRPr="007B5BFB">
              <w:rPr>
                <w:rFonts w:ascii="Times New Roman" w:hAnsi="Times New Roman"/>
                <w:sz w:val="20"/>
                <w:szCs w:val="20"/>
                <w:shd w:val="clear" w:color="auto" w:fill="FFFFFF"/>
              </w:rPr>
              <w:t xml:space="preserve"> (6) </w:t>
            </w:r>
            <w:proofErr w:type="spellStart"/>
            <w:r w:rsidRPr="007B5BFB">
              <w:rPr>
                <w:rFonts w:ascii="Times New Roman" w:hAnsi="Times New Roman"/>
                <w:sz w:val="20"/>
                <w:szCs w:val="20"/>
                <w:shd w:val="clear" w:color="auto" w:fill="FFFFFF"/>
              </w:rPr>
              <w:t>litera</w:t>
            </w:r>
            <w:proofErr w:type="spellEnd"/>
            <w:r w:rsidRPr="007B5BFB">
              <w:rPr>
                <w:rFonts w:ascii="Times New Roman" w:hAnsi="Times New Roman"/>
                <w:sz w:val="20"/>
                <w:szCs w:val="20"/>
                <w:shd w:val="clear" w:color="auto" w:fill="FFFFFF"/>
              </w:rPr>
              <w:t xml:space="preserve"> (b);</w:t>
            </w:r>
          </w:p>
          <w:p w14:paraId="1FA41BF1" w14:textId="77777777" w:rsidR="008F5636" w:rsidRPr="007B5BFB" w:rsidRDefault="008F5636" w:rsidP="000C5A3B">
            <w:pPr>
              <w:pStyle w:val="ColorfulList-Accent11"/>
              <w:numPr>
                <w:ilvl w:val="0"/>
                <w:numId w:val="56"/>
              </w:numPr>
              <w:spacing w:after="0" w:line="240" w:lineRule="auto"/>
              <w:ind w:left="414" w:hanging="357"/>
              <w:jc w:val="both"/>
              <w:rPr>
                <w:rFonts w:ascii="Times New Roman" w:hAnsi="Times New Roman"/>
                <w:sz w:val="20"/>
                <w:szCs w:val="20"/>
                <w:lang w:val="fr-FR"/>
              </w:rPr>
            </w:pPr>
            <w:proofErr w:type="spellStart"/>
            <w:r w:rsidRPr="007B5BFB">
              <w:rPr>
                <w:rFonts w:ascii="Times New Roman" w:hAnsi="Times New Roman"/>
                <w:sz w:val="20"/>
                <w:szCs w:val="20"/>
                <w:shd w:val="clear" w:color="auto" w:fill="FFFFFF"/>
              </w:rPr>
              <w:t>după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caz</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informații</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privind</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tranzacționarea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economiilor</w:t>
            </w:r>
            <w:proofErr w:type="spellEnd"/>
            <w:r w:rsidRPr="007B5BFB">
              <w:rPr>
                <w:rFonts w:ascii="Times New Roman" w:hAnsi="Times New Roman"/>
                <w:sz w:val="20"/>
                <w:szCs w:val="20"/>
                <w:shd w:val="clear" w:color="auto" w:fill="FFFFFF"/>
              </w:rPr>
              <w:t xml:space="preserve"> de </w:t>
            </w:r>
            <w:proofErr w:type="spellStart"/>
            <w:r w:rsidRPr="007B5BFB">
              <w:rPr>
                <w:rFonts w:ascii="Times New Roman" w:hAnsi="Times New Roman"/>
                <w:sz w:val="20"/>
                <w:szCs w:val="20"/>
                <w:shd w:val="clear" w:color="auto" w:fill="FFFFFF"/>
              </w:rPr>
              <w:t>energie</w:t>
            </w:r>
            <w:proofErr w:type="spellEnd"/>
            <w:r w:rsidRPr="007B5BFB">
              <w:rPr>
                <w:rFonts w:ascii="Times New Roman" w:hAnsi="Times New Roman"/>
                <w:sz w:val="20"/>
                <w:szCs w:val="20"/>
                <w:shd w:val="clear" w:color="auto" w:fill="FFFFFF"/>
              </w:rPr>
              <w:t>.</w:t>
            </w:r>
          </w:p>
          <w:p w14:paraId="1FA0FCCE"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B5BFB">
              <w:rPr>
                <w:rFonts w:ascii="Times New Roman" w:hAnsi="Times New Roman"/>
                <w:b/>
                <w:bCs/>
                <w:sz w:val="20"/>
                <w:szCs w:val="20"/>
                <w:shd w:val="clear" w:color="auto" w:fill="FFFFFF"/>
                <w:lang w:val="fr-FR"/>
              </w:rPr>
              <w:t xml:space="preserve">3.2 </w:t>
            </w:r>
            <w:proofErr w:type="spellStart"/>
            <w:r w:rsidRPr="007B5BFB">
              <w:rPr>
                <w:rFonts w:ascii="Times New Roman" w:hAnsi="Times New Roman"/>
                <w:b/>
                <w:bCs/>
                <w:sz w:val="20"/>
                <w:szCs w:val="20"/>
                <w:shd w:val="clear" w:color="auto" w:fill="FFFFFF"/>
                <w:lang w:val="fr-FR"/>
              </w:rPr>
              <w:t>Măsurile</w:t>
            </w:r>
            <w:proofErr w:type="spellEnd"/>
            <w:r w:rsidRPr="007B5BFB">
              <w:rPr>
                <w:rFonts w:ascii="Times New Roman" w:hAnsi="Times New Roman"/>
                <w:b/>
                <w:bCs/>
                <w:sz w:val="20"/>
                <w:szCs w:val="20"/>
                <w:shd w:val="clear" w:color="auto" w:fill="FFFFFF"/>
                <w:lang w:val="fr-FR"/>
              </w:rPr>
              <w:t xml:space="preserve"> alternative </w:t>
            </w:r>
            <w:proofErr w:type="spellStart"/>
            <w:r w:rsidRPr="007B5BFB">
              <w:rPr>
                <w:rFonts w:ascii="Times New Roman" w:hAnsi="Times New Roman"/>
                <w:b/>
                <w:bCs/>
                <w:sz w:val="20"/>
                <w:szCs w:val="20"/>
                <w:shd w:val="clear" w:color="auto" w:fill="FFFFFF"/>
                <w:lang w:val="fr-FR"/>
              </w:rPr>
              <w:t>menționate</w:t>
            </w:r>
            <w:proofErr w:type="spellEnd"/>
            <w:r w:rsidRPr="007B5BFB">
              <w:rPr>
                <w:rFonts w:ascii="Times New Roman" w:hAnsi="Times New Roman"/>
                <w:b/>
                <w:bCs/>
                <w:sz w:val="20"/>
                <w:szCs w:val="20"/>
                <w:shd w:val="clear" w:color="auto" w:fill="FFFFFF"/>
                <w:lang w:val="fr-FR"/>
              </w:rPr>
              <w:t xml:space="preserve"> la </w:t>
            </w:r>
            <w:proofErr w:type="spellStart"/>
            <w:r w:rsidRPr="007B5BFB">
              <w:rPr>
                <w:rFonts w:ascii="Times New Roman" w:hAnsi="Times New Roman"/>
                <w:b/>
                <w:bCs/>
                <w:sz w:val="20"/>
                <w:szCs w:val="20"/>
                <w:shd w:val="clear" w:color="auto" w:fill="FFFFFF"/>
                <w:lang w:val="fr-FR"/>
              </w:rPr>
              <w:t>articolul</w:t>
            </w:r>
            <w:proofErr w:type="spellEnd"/>
            <w:r w:rsidRPr="007B5BFB">
              <w:rPr>
                <w:rFonts w:ascii="Times New Roman" w:hAnsi="Times New Roman"/>
                <w:b/>
                <w:bCs/>
                <w:sz w:val="20"/>
                <w:szCs w:val="20"/>
                <w:shd w:val="clear" w:color="auto" w:fill="FFFFFF"/>
                <w:lang w:val="fr-FR"/>
              </w:rPr>
              <w:t xml:space="preserve"> 7b și la </w:t>
            </w:r>
            <w:proofErr w:type="spellStart"/>
            <w:r w:rsidRPr="007B5BFB">
              <w:rPr>
                <w:rFonts w:ascii="Times New Roman" w:hAnsi="Times New Roman"/>
                <w:b/>
                <w:bCs/>
                <w:sz w:val="20"/>
                <w:szCs w:val="20"/>
                <w:shd w:val="clear" w:color="auto" w:fill="FFFFFF"/>
                <w:lang w:val="fr-FR"/>
              </w:rPr>
              <w:t>articolul</w:t>
            </w:r>
            <w:proofErr w:type="spellEnd"/>
            <w:r w:rsidRPr="007B5BFB">
              <w:rPr>
                <w:rFonts w:ascii="Times New Roman" w:hAnsi="Times New Roman"/>
                <w:b/>
                <w:bCs/>
                <w:sz w:val="20"/>
                <w:szCs w:val="20"/>
                <w:shd w:val="clear" w:color="auto" w:fill="FFFFFF"/>
                <w:lang w:val="fr-FR"/>
              </w:rPr>
              <w:t xml:space="preserve"> 20 </w:t>
            </w:r>
            <w:proofErr w:type="spellStart"/>
            <w:r w:rsidRPr="007B5BFB">
              <w:rPr>
                <w:rFonts w:ascii="Times New Roman" w:hAnsi="Times New Roman"/>
                <w:b/>
                <w:bCs/>
                <w:sz w:val="20"/>
                <w:szCs w:val="20"/>
                <w:shd w:val="clear" w:color="auto" w:fill="FFFFFF"/>
                <w:lang w:val="fr-FR"/>
              </w:rPr>
              <w:t>alineatul</w:t>
            </w:r>
            <w:proofErr w:type="spellEnd"/>
            <w:r w:rsidRPr="007B5BFB">
              <w:rPr>
                <w:rFonts w:ascii="Times New Roman" w:hAnsi="Times New Roman"/>
                <w:b/>
                <w:bCs/>
                <w:sz w:val="20"/>
                <w:szCs w:val="20"/>
                <w:shd w:val="clear" w:color="auto" w:fill="FFFFFF"/>
                <w:lang w:val="fr-FR"/>
              </w:rPr>
              <w:t xml:space="preserve"> (6) </w:t>
            </w:r>
            <w:proofErr w:type="spellStart"/>
            <w:r w:rsidRPr="007B5BFB">
              <w:rPr>
                <w:rFonts w:ascii="Times New Roman" w:hAnsi="Times New Roman"/>
                <w:b/>
                <w:bCs/>
                <w:sz w:val="20"/>
                <w:szCs w:val="20"/>
                <w:shd w:val="clear" w:color="auto" w:fill="FFFFFF"/>
                <w:lang w:val="fr-FR"/>
              </w:rPr>
              <w:t>din</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Directiva</w:t>
            </w:r>
            <w:proofErr w:type="spellEnd"/>
            <w:r w:rsidRPr="007B5BFB">
              <w:rPr>
                <w:rFonts w:ascii="Times New Roman" w:hAnsi="Times New Roman"/>
                <w:b/>
                <w:bCs/>
                <w:sz w:val="20"/>
                <w:szCs w:val="20"/>
                <w:shd w:val="clear" w:color="auto" w:fill="FFFFFF"/>
                <w:lang w:val="fr-FR"/>
              </w:rPr>
              <w:t xml:space="preserve"> 2012/27/UE (</w:t>
            </w:r>
            <w:proofErr w:type="spellStart"/>
            <w:r w:rsidRPr="007B5BFB">
              <w:rPr>
                <w:rFonts w:ascii="Times New Roman" w:hAnsi="Times New Roman"/>
                <w:b/>
                <w:bCs/>
                <w:sz w:val="20"/>
                <w:szCs w:val="20"/>
                <w:shd w:val="clear" w:color="auto" w:fill="FFFFFF"/>
                <w:lang w:val="fr-FR"/>
              </w:rPr>
              <w:t>cu</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excepția</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impozitării</w:t>
            </w:r>
            <w:proofErr w:type="spellEnd"/>
            <w:proofErr w:type="gramStart"/>
            <w:r w:rsidRPr="007B5BFB">
              <w:rPr>
                <w:rFonts w:ascii="Times New Roman" w:hAnsi="Times New Roman"/>
                <w:b/>
                <w:bCs/>
                <w:sz w:val="20"/>
                <w:szCs w:val="20"/>
                <w:shd w:val="clear" w:color="auto" w:fill="FFFFFF"/>
                <w:lang w:val="fr-FR"/>
              </w:rPr>
              <w:t>):</w:t>
            </w:r>
            <w:proofErr w:type="gramEnd"/>
          </w:p>
          <w:p w14:paraId="60370033" w14:textId="42E97A8B" w:rsidR="008F5636" w:rsidRPr="007B5BFB" w:rsidRDefault="008F5636" w:rsidP="000C5A3B">
            <w:pPr>
              <w:pStyle w:val="Normal4"/>
              <w:numPr>
                <w:ilvl w:val="0"/>
                <w:numId w:val="58"/>
              </w:numPr>
              <w:spacing w:before="0" w:beforeAutospacing="0" w:after="0" w:afterAutospacing="0"/>
              <w:jc w:val="both"/>
              <w:rPr>
                <w:sz w:val="20"/>
                <w:szCs w:val="20"/>
              </w:rPr>
            </w:pPr>
            <w:r w:rsidRPr="007B5BFB">
              <w:rPr>
                <w:sz w:val="20"/>
                <w:szCs w:val="20"/>
              </w:rPr>
              <w:t>tipul de măsură de politică;</w:t>
            </w:r>
          </w:p>
          <w:p w14:paraId="120F0DC0" w14:textId="633BA7B2" w:rsidR="008F5636" w:rsidRPr="007B5BFB" w:rsidRDefault="008F5636" w:rsidP="000C5A3B">
            <w:pPr>
              <w:pStyle w:val="Normal4"/>
              <w:numPr>
                <w:ilvl w:val="0"/>
                <w:numId w:val="58"/>
              </w:numPr>
              <w:spacing w:before="0" w:beforeAutospacing="0" w:after="0" w:afterAutospacing="0"/>
              <w:jc w:val="both"/>
              <w:rPr>
                <w:sz w:val="20"/>
                <w:szCs w:val="20"/>
              </w:rPr>
            </w:pPr>
            <w:r w:rsidRPr="007B5BFB">
              <w:rPr>
                <w:sz w:val="20"/>
                <w:szCs w:val="20"/>
                <w:shd w:val="clear" w:color="auto" w:fill="FFFFFF"/>
              </w:rPr>
              <w:t>scurtă descriere a măsurii de politică, inclusiv caracteristicile de concepție, pentru fiecare măsură de politică notificată;</w:t>
            </w:r>
          </w:p>
          <w:p w14:paraId="52CDA0F4" w14:textId="6290A10F" w:rsidR="008F5636" w:rsidRPr="007B5BFB" w:rsidRDefault="008F5636" w:rsidP="000C5A3B">
            <w:pPr>
              <w:pStyle w:val="Normal4"/>
              <w:numPr>
                <w:ilvl w:val="0"/>
                <w:numId w:val="58"/>
              </w:numPr>
              <w:spacing w:before="0" w:beforeAutospacing="0" w:after="0" w:afterAutospacing="0"/>
              <w:jc w:val="both"/>
              <w:rPr>
                <w:sz w:val="20"/>
                <w:szCs w:val="20"/>
                <w:shd w:val="clear" w:color="auto" w:fill="FFFFFF"/>
              </w:rPr>
            </w:pPr>
            <w:r w:rsidRPr="007B5BFB">
              <w:rPr>
                <w:sz w:val="20"/>
                <w:szCs w:val="20"/>
                <w:shd w:val="clear" w:color="auto" w:fill="FFFFFF"/>
              </w:rPr>
              <w:t>cantitatea totală cumulată și anuală preconizată a economiilor pentru fiecare măsură și/sau cantitatea de economii de energie în raport cu orice perioade intermediare;</w:t>
            </w:r>
          </w:p>
          <w:p w14:paraId="36529722" w14:textId="2375C1C1" w:rsidR="008F5636" w:rsidRPr="007B5BFB" w:rsidRDefault="008F5636" w:rsidP="000C5A3B">
            <w:pPr>
              <w:pStyle w:val="Normal4"/>
              <w:numPr>
                <w:ilvl w:val="0"/>
                <w:numId w:val="58"/>
              </w:numPr>
              <w:spacing w:before="0" w:beforeAutospacing="0" w:after="0" w:afterAutospacing="0"/>
              <w:jc w:val="both"/>
              <w:rPr>
                <w:sz w:val="20"/>
                <w:szCs w:val="20"/>
              </w:rPr>
            </w:pPr>
            <w:r w:rsidRPr="007B5BFB">
              <w:rPr>
                <w:sz w:val="20"/>
                <w:szCs w:val="20"/>
              </w:rPr>
              <w:t>autoritățile publice responsabile cu punerea în aplicare, părțile participante sau părțile mandatate și responsabilitățile acestora în ceea ce privește punerea în aplicare a măsurii sau a măsurilor de politică;</w:t>
            </w:r>
          </w:p>
          <w:p w14:paraId="617FB53B" w14:textId="65B5D8B3" w:rsidR="008F5636" w:rsidRPr="007B5BFB" w:rsidRDefault="008F5636" w:rsidP="000C5A3B">
            <w:pPr>
              <w:pStyle w:val="Normal4"/>
              <w:numPr>
                <w:ilvl w:val="0"/>
                <w:numId w:val="58"/>
              </w:numPr>
              <w:spacing w:before="0" w:beforeAutospacing="0" w:after="0" w:afterAutospacing="0"/>
              <w:jc w:val="both"/>
              <w:rPr>
                <w:sz w:val="20"/>
                <w:szCs w:val="20"/>
                <w:shd w:val="clear" w:color="auto" w:fill="FFFFFF"/>
              </w:rPr>
            </w:pPr>
            <w:r w:rsidRPr="007B5BFB">
              <w:rPr>
                <w:sz w:val="20"/>
                <w:szCs w:val="20"/>
                <w:shd w:val="clear" w:color="auto" w:fill="FFFFFF"/>
              </w:rPr>
              <w:t>sectoarele țintă;</w:t>
            </w:r>
          </w:p>
          <w:p w14:paraId="0C47465D" w14:textId="5D85A63E" w:rsidR="008F5636" w:rsidRPr="007B5BFB" w:rsidRDefault="008F5636" w:rsidP="000C5A3B">
            <w:pPr>
              <w:pStyle w:val="Normal4"/>
              <w:numPr>
                <w:ilvl w:val="0"/>
                <w:numId w:val="58"/>
              </w:numPr>
              <w:spacing w:before="0" w:beforeAutospacing="0" w:after="0" w:afterAutospacing="0"/>
              <w:jc w:val="both"/>
              <w:rPr>
                <w:sz w:val="20"/>
                <w:szCs w:val="20"/>
              </w:rPr>
            </w:pPr>
            <w:r w:rsidRPr="007B5BFB">
              <w:rPr>
                <w:sz w:val="20"/>
                <w:szCs w:val="20"/>
                <w:shd w:val="clear" w:color="auto" w:fill="FFFFFF"/>
              </w:rPr>
              <w:t>acțiunile eligibile prevăzute în cadrul măsurii;</w:t>
            </w:r>
          </w:p>
          <w:p w14:paraId="174EA338" w14:textId="43C9F0B7" w:rsidR="008F5636" w:rsidRPr="007B5BFB" w:rsidRDefault="008F5636" w:rsidP="000C5A3B">
            <w:pPr>
              <w:pStyle w:val="Normal4"/>
              <w:numPr>
                <w:ilvl w:val="0"/>
                <w:numId w:val="58"/>
              </w:numPr>
              <w:spacing w:before="0" w:beforeAutospacing="0" w:after="0" w:afterAutospacing="0"/>
              <w:jc w:val="both"/>
              <w:rPr>
                <w:sz w:val="20"/>
                <w:szCs w:val="20"/>
              </w:rPr>
            </w:pPr>
            <w:r w:rsidRPr="007B5BFB">
              <w:rPr>
                <w:sz w:val="20"/>
                <w:szCs w:val="20"/>
                <w:shd w:val="clear" w:color="auto" w:fill="FFFFFF"/>
              </w:rPr>
              <w:t>dacă este cazul, măsuri de politică sau acțiuni individuale specifice care vizează sărăcia energetică.</w:t>
            </w:r>
          </w:p>
          <w:p w14:paraId="160854D6" w14:textId="58AB4A31" w:rsidR="008F5636" w:rsidRPr="007B5BFB" w:rsidRDefault="008F5636" w:rsidP="00326BD6">
            <w:pPr>
              <w:pStyle w:val="ColorfulList-Accent11"/>
              <w:numPr>
                <w:ilvl w:val="1"/>
                <w:numId w:val="238"/>
              </w:numPr>
              <w:spacing w:after="0" w:line="240" w:lineRule="auto"/>
              <w:jc w:val="both"/>
              <w:rPr>
                <w:rFonts w:ascii="Times New Roman" w:hAnsi="Times New Roman"/>
                <w:b/>
                <w:bCs/>
                <w:sz w:val="20"/>
                <w:szCs w:val="20"/>
                <w:shd w:val="clear" w:color="auto" w:fill="FFFFFF"/>
                <w:lang w:val="fr-FR"/>
              </w:rPr>
            </w:pPr>
            <w:proofErr w:type="spellStart"/>
            <w:r w:rsidRPr="007B5BFB">
              <w:rPr>
                <w:rFonts w:ascii="Times New Roman" w:hAnsi="Times New Roman"/>
                <w:b/>
                <w:bCs/>
                <w:sz w:val="20"/>
                <w:szCs w:val="20"/>
                <w:shd w:val="clear" w:color="auto" w:fill="FFFFFF"/>
                <w:lang w:val="fr-FR"/>
              </w:rPr>
              <w:t>Informații</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cu</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privire</w:t>
            </w:r>
            <w:proofErr w:type="spellEnd"/>
            <w:r w:rsidRPr="007B5BFB">
              <w:rPr>
                <w:rFonts w:ascii="Times New Roman" w:hAnsi="Times New Roman"/>
                <w:b/>
                <w:bCs/>
                <w:sz w:val="20"/>
                <w:szCs w:val="20"/>
                <w:shd w:val="clear" w:color="auto" w:fill="FFFFFF"/>
                <w:lang w:val="fr-FR"/>
              </w:rPr>
              <w:t xml:space="preserve"> la </w:t>
            </w:r>
            <w:proofErr w:type="spellStart"/>
            <w:r w:rsidRPr="007B5BFB">
              <w:rPr>
                <w:rFonts w:ascii="Times New Roman" w:hAnsi="Times New Roman"/>
                <w:b/>
                <w:bCs/>
                <w:sz w:val="20"/>
                <w:szCs w:val="20"/>
                <w:shd w:val="clear" w:color="auto" w:fill="FFFFFF"/>
                <w:lang w:val="fr-FR"/>
              </w:rPr>
              <w:t>măsurile</w:t>
            </w:r>
            <w:proofErr w:type="spellEnd"/>
            <w:r w:rsidRPr="007B5BFB">
              <w:rPr>
                <w:rFonts w:ascii="Times New Roman" w:hAnsi="Times New Roman"/>
                <w:b/>
                <w:bCs/>
                <w:sz w:val="20"/>
                <w:szCs w:val="20"/>
                <w:shd w:val="clear" w:color="auto" w:fill="FFFFFF"/>
                <w:lang w:val="fr-FR"/>
              </w:rPr>
              <w:t xml:space="preserve"> de </w:t>
            </w:r>
            <w:proofErr w:type="spellStart"/>
            <w:proofErr w:type="gramStart"/>
            <w:r w:rsidRPr="007B5BFB">
              <w:rPr>
                <w:rFonts w:ascii="Times New Roman" w:hAnsi="Times New Roman"/>
                <w:b/>
                <w:bCs/>
                <w:sz w:val="20"/>
                <w:szCs w:val="20"/>
                <w:shd w:val="clear" w:color="auto" w:fill="FFFFFF"/>
                <w:lang w:val="fr-FR"/>
              </w:rPr>
              <w:t>impozitare</w:t>
            </w:r>
            <w:proofErr w:type="spellEnd"/>
            <w:r w:rsidRPr="007B5BFB">
              <w:rPr>
                <w:rFonts w:ascii="Times New Roman" w:hAnsi="Times New Roman"/>
                <w:b/>
                <w:bCs/>
                <w:sz w:val="20"/>
                <w:szCs w:val="20"/>
                <w:shd w:val="clear" w:color="auto" w:fill="FFFFFF"/>
                <w:lang w:val="fr-FR"/>
              </w:rPr>
              <w:t>:</w:t>
            </w:r>
            <w:proofErr w:type="gramEnd"/>
          </w:p>
          <w:p w14:paraId="06CD1AAF"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scurtă</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descriere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măsurii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impozitare</w:t>
            </w:r>
            <w:proofErr w:type="spellEnd"/>
            <w:r w:rsidRPr="007B5BFB">
              <w:rPr>
                <w:rFonts w:ascii="Times New Roman" w:hAnsi="Times New Roman"/>
                <w:sz w:val="20"/>
                <w:szCs w:val="20"/>
                <w:shd w:val="clear" w:color="auto" w:fill="FFFFFF"/>
                <w:lang w:val="fr-FR"/>
              </w:rPr>
              <w:t>;</w:t>
            </w:r>
          </w:p>
          <w:p w14:paraId="57815381"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durata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măsurii</w:t>
            </w:r>
            <w:proofErr w:type="spellEnd"/>
            <w:r w:rsidRPr="007B5BFB">
              <w:rPr>
                <w:rFonts w:ascii="Times New Roman" w:hAnsi="Times New Roman"/>
                <w:sz w:val="20"/>
                <w:szCs w:val="20"/>
                <w:shd w:val="clear" w:color="auto" w:fill="FFFFFF"/>
              </w:rPr>
              <w:t xml:space="preserve"> de </w:t>
            </w:r>
            <w:proofErr w:type="spellStart"/>
            <w:proofErr w:type="gramStart"/>
            <w:r w:rsidRPr="007B5BFB">
              <w:rPr>
                <w:rFonts w:ascii="Times New Roman" w:hAnsi="Times New Roman"/>
                <w:sz w:val="20"/>
                <w:szCs w:val="20"/>
                <w:shd w:val="clear" w:color="auto" w:fill="FFFFFF"/>
              </w:rPr>
              <w:t>impozitare</w:t>
            </w:r>
            <w:proofErr w:type="spellEnd"/>
            <w:r w:rsidRPr="007B5BFB">
              <w:rPr>
                <w:rFonts w:ascii="Times New Roman" w:hAnsi="Times New Roman"/>
                <w:sz w:val="20"/>
                <w:szCs w:val="20"/>
                <w:shd w:val="clear" w:color="auto" w:fill="FFFFFF"/>
              </w:rPr>
              <w:t>;</w:t>
            </w:r>
            <w:proofErr w:type="gramEnd"/>
          </w:p>
          <w:p w14:paraId="1E470A73"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autoritatea</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publică</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punere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aplicare</w:t>
            </w:r>
            <w:proofErr w:type="spellEnd"/>
            <w:r w:rsidRPr="007B5BFB">
              <w:rPr>
                <w:rFonts w:ascii="Times New Roman" w:hAnsi="Times New Roman"/>
                <w:sz w:val="20"/>
                <w:szCs w:val="20"/>
                <w:shd w:val="clear" w:color="auto" w:fill="FFFFFF"/>
                <w:lang w:val="fr-FR"/>
              </w:rPr>
              <w:t>;</w:t>
            </w:r>
          </w:p>
          <w:p w14:paraId="13B7107A"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cantitatea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cumulată</w:t>
            </w:r>
            <w:proofErr w:type="spellEnd"/>
            <w:r w:rsidRPr="007B5BFB">
              <w:rPr>
                <w:rFonts w:ascii="Times New Roman" w:hAnsi="Times New Roman"/>
                <w:sz w:val="20"/>
                <w:szCs w:val="20"/>
                <w:shd w:val="clear" w:color="auto" w:fill="FFFFFF"/>
              </w:rPr>
              <w:t xml:space="preserve"> și </w:t>
            </w:r>
            <w:proofErr w:type="spellStart"/>
            <w:r w:rsidRPr="007B5BFB">
              <w:rPr>
                <w:rFonts w:ascii="Times New Roman" w:hAnsi="Times New Roman"/>
                <w:sz w:val="20"/>
                <w:szCs w:val="20"/>
                <w:shd w:val="clear" w:color="auto" w:fill="FFFFFF"/>
              </w:rPr>
              <w:t>anuală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preconizată</w:t>
            </w:r>
            <w:proofErr w:type="spellEnd"/>
            <w:r w:rsidRPr="007B5BFB">
              <w:rPr>
                <w:rFonts w:ascii="Times New Roman" w:hAnsi="Times New Roman"/>
                <w:sz w:val="20"/>
                <w:szCs w:val="20"/>
                <w:shd w:val="clear" w:color="auto" w:fill="FFFFFF"/>
              </w:rPr>
              <w:t xml:space="preserve"> </w:t>
            </w:r>
            <w:proofErr w:type="gramStart"/>
            <w:r w:rsidRPr="007B5BFB">
              <w:rPr>
                <w:rFonts w:ascii="Times New Roman" w:hAnsi="Times New Roman"/>
                <w:sz w:val="20"/>
                <w:szCs w:val="20"/>
                <w:shd w:val="clear" w:color="auto" w:fill="FFFFFF"/>
              </w:rPr>
              <w:t>a</w:t>
            </w:r>
            <w:proofErr w:type="gram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economiilor</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pentru</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fiecare</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măsură</w:t>
            </w:r>
            <w:proofErr w:type="spellEnd"/>
            <w:r w:rsidRPr="007B5BFB">
              <w:rPr>
                <w:rFonts w:ascii="Times New Roman" w:hAnsi="Times New Roman"/>
                <w:sz w:val="20"/>
                <w:szCs w:val="20"/>
                <w:shd w:val="clear" w:color="auto" w:fill="FFFFFF"/>
              </w:rPr>
              <w:t>;</w:t>
            </w:r>
          </w:p>
          <w:p w14:paraId="2FFFA833"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sectoarele</w:t>
            </w:r>
            <w:proofErr w:type="gramEnd"/>
            <w:r w:rsidRPr="007B5BFB">
              <w:rPr>
                <w:rFonts w:ascii="Times New Roman" w:hAnsi="Times New Roman"/>
                <w:sz w:val="20"/>
                <w:szCs w:val="20"/>
                <w:shd w:val="clear" w:color="auto" w:fill="FFFFFF"/>
                <w:lang w:val="fr-FR"/>
              </w:rPr>
              <w:t>-țintă</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segmentul</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contribuabili</w:t>
            </w:r>
            <w:proofErr w:type="spellEnd"/>
            <w:r w:rsidRPr="007B5BFB">
              <w:rPr>
                <w:rFonts w:ascii="Times New Roman" w:hAnsi="Times New Roman"/>
                <w:sz w:val="20"/>
                <w:szCs w:val="20"/>
                <w:shd w:val="clear" w:color="auto" w:fill="FFFFFF"/>
                <w:lang w:val="fr-FR"/>
              </w:rPr>
              <w:t>;</w:t>
            </w:r>
          </w:p>
          <w:p w14:paraId="3BECFE7C" w14:textId="77777777" w:rsidR="008F5636" w:rsidRPr="007B5BFB" w:rsidRDefault="008F5636" w:rsidP="000C5A3B">
            <w:pPr>
              <w:pStyle w:val="ColorfulList-Accent11"/>
              <w:numPr>
                <w:ilvl w:val="0"/>
                <w:numId w:val="59"/>
              </w:numPr>
              <w:spacing w:after="0" w:line="240" w:lineRule="auto"/>
              <w:jc w:val="both"/>
              <w:rPr>
                <w:rFonts w:ascii="Times New Roman" w:hAnsi="Times New Roman"/>
                <w:sz w:val="20"/>
                <w:szCs w:val="20"/>
                <w:lang w:val="fr-FR"/>
              </w:rPr>
            </w:pPr>
            <w:proofErr w:type="spellStart"/>
            <w:proofErr w:type="gramStart"/>
            <w:r w:rsidRPr="007B5BFB">
              <w:rPr>
                <w:rFonts w:ascii="Times New Roman" w:hAnsi="Times New Roman"/>
                <w:sz w:val="20"/>
                <w:szCs w:val="20"/>
                <w:shd w:val="clear" w:color="auto" w:fill="FFFFFF"/>
                <w:lang w:val="fr-FR"/>
              </w:rPr>
              <w:t>metodologia</w:t>
            </w:r>
            <w:proofErr w:type="spellEnd"/>
            <w:proofErr w:type="gramEnd"/>
            <w:r w:rsidRPr="007B5BFB">
              <w:rPr>
                <w:rFonts w:ascii="Times New Roman" w:hAnsi="Times New Roman"/>
                <w:sz w:val="20"/>
                <w:szCs w:val="20"/>
                <w:shd w:val="clear" w:color="auto" w:fill="FFFFFF"/>
                <w:lang w:val="fr-FR"/>
              </w:rPr>
              <w:t xml:space="preserve"> de calcul, </w:t>
            </w:r>
            <w:proofErr w:type="spellStart"/>
            <w:r w:rsidRPr="007B5BFB">
              <w:rPr>
                <w:rFonts w:ascii="Times New Roman" w:hAnsi="Times New Roman"/>
                <w:sz w:val="20"/>
                <w:szCs w:val="20"/>
                <w:shd w:val="clear" w:color="auto" w:fill="FFFFFF"/>
                <w:lang w:val="fr-FR"/>
              </w:rPr>
              <w:t>inclusiv</w:t>
            </w:r>
            <w:proofErr w:type="spellEnd"/>
            <w:r w:rsidRPr="007B5BFB">
              <w:rPr>
                <w:rFonts w:ascii="Times New Roman" w:hAnsi="Times New Roman"/>
                <w:sz w:val="20"/>
                <w:szCs w:val="20"/>
                <w:shd w:val="clear" w:color="auto" w:fill="FFFFFF"/>
                <w:lang w:val="fr-FR"/>
              </w:rPr>
              <w:t xml:space="preserve"> ce </w:t>
            </w:r>
            <w:proofErr w:type="spellStart"/>
            <w:r w:rsidRPr="007B5BFB">
              <w:rPr>
                <w:rFonts w:ascii="Times New Roman" w:hAnsi="Times New Roman"/>
                <w:sz w:val="20"/>
                <w:szCs w:val="20"/>
                <w:shd w:val="clear" w:color="auto" w:fill="FFFFFF"/>
                <w:lang w:val="fr-FR"/>
              </w:rPr>
              <w:t>elasticități</w:t>
            </w:r>
            <w:proofErr w:type="spellEnd"/>
            <w:r w:rsidRPr="007B5BFB">
              <w:rPr>
                <w:rFonts w:ascii="Times New Roman" w:hAnsi="Times New Roman"/>
                <w:sz w:val="20"/>
                <w:szCs w:val="20"/>
                <w:shd w:val="clear" w:color="auto" w:fill="FFFFFF"/>
                <w:lang w:val="fr-FR"/>
              </w:rPr>
              <w:t xml:space="preserve"> ale </w:t>
            </w:r>
            <w:proofErr w:type="spellStart"/>
            <w:r w:rsidRPr="007B5BFB">
              <w:rPr>
                <w:rFonts w:ascii="Times New Roman" w:hAnsi="Times New Roman"/>
                <w:sz w:val="20"/>
                <w:szCs w:val="20"/>
                <w:shd w:val="clear" w:color="auto" w:fill="FFFFFF"/>
                <w:lang w:val="fr-FR"/>
              </w:rPr>
              <w:t>prețurilor</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sunt</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utilizate</w:t>
            </w:r>
            <w:proofErr w:type="spellEnd"/>
            <w:r w:rsidRPr="007B5BFB">
              <w:rPr>
                <w:rFonts w:ascii="Times New Roman" w:hAnsi="Times New Roman"/>
                <w:sz w:val="20"/>
                <w:szCs w:val="20"/>
                <w:shd w:val="clear" w:color="auto" w:fill="FFFFFF"/>
                <w:lang w:val="fr-FR"/>
              </w:rPr>
              <w:t xml:space="preserve"> și cum au </w:t>
            </w:r>
            <w:proofErr w:type="spellStart"/>
            <w:r w:rsidRPr="007B5BFB">
              <w:rPr>
                <w:rFonts w:ascii="Times New Roman" w:hAnsi="Times New Roman"/>
                <w:sz w:val="20"/>
                <w:szCs w:val="20"/>
                <w:shd w:val="clear" w:color="auto" w:fill="FFFFFF"/>
                <w:lang w:val="fr-FR"/>
              </w:rPr>
              <w:t>fost</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stabilite</w:t>
            </w:r>
            <w:proofErr w:type="spellEnd"/>
            <w:r w:rsidRPr="007B5BFB">
              <w:rPr>
                <w:rFonts w:ascii="Times New Roman" w:hAnsi="Times New Roman"/>
                <w:sz w:val="20"/>
                <w:szCs w:val="20"/>
                <w:shd w:val="clear" w:color="auto" w:fill="FFFFFF"/>
                <w:lang w:val="fr-FR"/>
              </w:rPr>
              <w:t xml:space="preserve">, în conformitate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lastRenderedPageBreak/>
              <w:t>punctul</w:t>
            </w:r>
            <w:proofErr w:type="spellEnd"/>
            <w:r w:rsidRPr="007B5BFB">
              <w:rPr>
                <w:rFonts w:ascii="Times New Roman" w:hAnsi="Times New Roman"/>
                <w:sz w:val="20"/>
                <w:szCs w:val="20"/>
                <w:shd w:val="clear" w:color="auto" w:fill="FFFFFF"/>
                <w:lang w:val="fr-FR"/>
              </w:rPr>
              <w:t xml:space="preserve"> 4 </w:t>
            </w:r>
            <w:proofErr w:type="spellStart"/>
            <w:r w:rsidRPr="007B5BFB">
              <w:rPr>
                <w:rFonts w:ascii="Times New Roman" w:hAnsi="Times New Roman"/>
                <w:sz w:val="20"/>
                <w:szCs w:val="20"/>
                <w:shd w:val="clear" w:color="auto" w:fill="FFFFFF"/>
                <w:lang w:val="fr-FR"/>
              </w:rPr>
              <w:t>din</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anexa</w:t>
            </w:r>
            <w:proofErr w:type="spellEnd"/>
            <w:r w:rsidRPr="007B5BFB">
              <w:rPr>
                <w:rFonts w:ascii="Times New Roman" w:hAnsi="Times New Roman"/>
                <w:sz w:val="20"/>
                <w:szCs w:val="20"/>
                <w:shd w:val="clear" w:color="auto" w:fill="FFFFFF"/>
                <w:lang w:val="fr-FR"/>
              </w:rPr>
              <w:t xml:space="preserve"> V la </w:t>
            </w:r>
            <w:proofErr w:type="spellStart"/>
            <w:r w:rsidRPr="007B5BFB">
              <w:rPr>
                <w:rFonts w:ascii="Times New Roman" w:hAnsi="Times New Roman"/>
                <w:sz w:val="20"/>
                <w:szCs w:val="20"/>
                <w:shd w:val="clear" w:color="auto" w:fill="FFFFFF"/>
                <w:lang w:val="fr-FR"/>
              </w:rPr>
              <w:t>Directiva</w:t>
            </w:r>
            <w:proofErr w:type="spellEnd"/>
            <w:r w:rsidRPr="007B5BFB">
              <w:rPr>
                <w:rFonts w:ascii="Times New Roman" w:hAnsi="Times New Roman"/>
                <w:sz w:val="20"/>
                <w:szCs w:val="20"/>
                <w:shd w:val="clear" w:color="auto" w:fill="FFFFFF"/>
                <w:lang w:val="fr-FR"/>
              </w:rPr>
              <w:t xml:space="preserve"> 2012/27/UE.</w:t>
            </w:r>
          </w:p>
          <w:p w14:paraId="2D5252A5"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B5BFB">
              <w:rPr>
                <w:rFonts w:ascii="Times New Roman" w:hAnsi="Times New Roman"/>
                <w:b/>
                <w:bCs/>
                <w:sz w:val="20"/>
                <w:szCs w:val="20"/>
                <w:shd w:val="clear" w:color="auto" w:fill="FFFFFF"/>
                <w:lang w:val="fr-FR"/>
              </w:rPr>
              <w:t xml:space="preserve">4.Metodologia de calcul </w:t>
            </w:r>
            <w:proofErr w:type="spellStart"/>
            <w:r w:rsidRPr="007B5BFB">
              <w:rPr>
                <w:rFonts w:ascii="Times New Roman" w:hAnsi="Times New Roman"/>
                <w:b/>
                <w:bCs/>
                <w:sz w:val="20"/>
                <w:szCs w:val="20"/>
                <w:shd w:val="clear" w:color="auto" w:fill="FFFFFF"/>
                <w:lang w:val="fr-FR"/>
              </w:rPr>
              <w:t>pentru</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măsurile</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notificate</w:t>
            </w:r>
            <w:proofErr w:type="spellEnd"/>
            <w:r w:rsidRPr="007B5BFB">
              <w:rPr>
                <w:rFonts w:ascii="Times New Roman" w:hAnsi="Times New Roman"/>
                <w:b/>
                <w:bCs/>
                <w:sz w:val="20"/>
                <w:szCs w:val="20"/>
                <w:shd w:val="clear" w:color="auto" w:fill="FFFFFF"/>
                <w:lang w:val="fr-FR"/>
              </w:rPr>
              <w:t xml:space="preserve"> în </w:t>
            </w:r>
            <w:proofErr w:type="spellStart"/>
            <w:r w:rsidRPr="007B5BFB">
              <w:rPr>
                <w:rFonts w:ascii="Times New Roman" w:hAnsi="Times New Roman"/>
                <w:b/>
                <w:bCs/>
                <w:sz w:val="20"/>
                <w:szCs w:val="20"/>
                <w:shd w:val="clear" w:color="auto" w:fill="FFFFFF"/>
                <w:lang w:val="fr-FR"/>
              </w:rPr>
              <w:t>temeiul</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articolelor</w:t>
            </w:r>
            <w:proofErr w:type="spellEnd"/>
            <w:r w:rsidRPr="007B5BFB">
              <w:rPr>
                <w:rFonts w:ascii="Times New Roman" w:hAnsi="Times New Roman"/>
                <w:b/>
                <w:bCs/>
                <w:sz w:val="20"/>
                <w:szCs w:val="20"/>
                <w:shd w:val="clear" w:color="auto" w:fill="FFFFFF"/>
                <w:lang w:val="fr-FR"/>
              </w:rPr>
              <w:t xml:space="preserve"> 7a și 7b și a </w:t>
            </w:r>
            <w:proofErr w:type="spellStart"/>
            <w:r w:rsidRPr="007B5BFB">
              <w:rPr>
                <w:rFonts w:ascii="Times New Roman" w:hAnsi="Times New Roman"/>
                <w:b/>
                <w:bCs/>
                <w:sz w:val="20"/>
                <w:szCs w:val="20"/>
                <w:shd w:val="clear" w:color="auto" w:fill="FFFFFF"/>
                <w:lang w:val="fr-FR"/>
              </w:rPr>
              <w:t>articolului</w:t>
            </w:r>
            <w:proofErr w:type="spellEnd"/>
            <w:r w:rsidRPr="007B5BFB">
              <w:rPr>
                <w:rFonts w:ascii="Times New Roman" w:hAnsi="Times New Roman"/>
                <w:b/>
                <w:bCs/>
                <w:sz w:val="20"/>
                <w:szCs w:val="20"/>
                <w:shd w:val="clear" w:color="auto" w:fill="FFFFFF"/>
                <w:lang w:val="fr-FR"/>
              </w:rPr>
              <w:t xml:space="preserve"> 20 </w:t>
            </w:r>
            <w:proofErr w:type="spellStart"/>
            <w:r w:rsidRPr="007B5BFB">
              <w:rPr>
                <w:rFonts w:ascii="Times New Roman" w:hAnsi="Times New Roman"/>
                <w:b/>
                <w:bCs/>
                <w:sz w:val="20"/>
                <w:szCs w:val="20"/>
                <w:shd w:val="clear" w:color="auto" w:fill="FFFFFF"/>
                <w:lang w:val="fr-FR"/>
              </w:rPr>
              <w:t>alineatul</w:t>
            </w:r>
            <w:proofErr w:type="spellEnd"/>
            <w:r w:rsidRPr="007B5BFB">
              <w:rPr>
                <w:rFonts w:ascii="Times New Roman" w:hAnsi="Times New Roman"/>
                <w:b/>
                <w:bCs/>
                <w:sz w:val="20"/>
                <w:szCs w:val="20"/>
                <w:shd w:val="clear" w:color="auto" w:fill="FFFFFF"/>
                <w:lang w:val="fr-FR"/>
              </w:rPr>
              <w:t xml:space="preserve"> (6) </w:t>
            </w:r>
            <w:proofErr w:type="spellStart"/>
            <w:r w:rsidRPr="007B5BFB">
              <w:rPr>
                <w:rFonts w:ascii="Times New Roman" w:hAnsi="Times New Roman"/>
                <w:b/>
                <w:bCs/>
                <w:sz w:val="20"/>
                <w:szCs w:val="20"/>
                <w:shd w:val="clear" w:color="auto" w:fill="FFFFFF"/>
                <w:lang w:val="fr-FR"/>
              </w:rPr>
              <w:t>din</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Directiva</w:t>
            </w:r>
            <w:proofErr w:type="spellEnd"/>
            <w:r w:rsidRPr="007B5BFB">
              <w:rPr>
                <w:rFonts w:ascii="Times New Roman" w:hAnsi="Times New Roman"/>
                <w:b/>
                <w:bCs/>
                <w:sz w:val="20"/>
                <w:szCs w:val="20"/>
                <w:shd w:val="clear" w:color="auto" w:fill="FFFFFF"/>
                <w:lang w:val="fr-FR"/>
              </w:rPr>
              <w:t xml:space="preserve"> 2012/27/UE (</w:t>
            </w:r>
            <w:proofErr w:type="spellStart"/>
            <w:r w:rsidRPr="007B5BFB">
              <w:rPr>
                <w:rFonts w:ascii="Times New Roman" w:hAnsi="Times New Roman"/>
                <w:b/>
                <w:bCs/>
                <w:sz w:val="20"/>
                <w:szCs w:val="20"/>
                <w:shd w:val="clear" w:color="auto" w:fill="FFFFFF"/>
                <w:lang w:val="fr-FR"/>
              </w:rPr>
              <w:t>cu</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excepția</w:t>
            </w:r>
            <w:proofErr w:type="spellEnd"/>
            <w:r w:rsidRPr="007B5BFB">
              <w:rPr>
                <w:rFonts w:ascii="Times New Roman" w:hAnsi="Times New Roman"/>
                <w:b/>
                <w:bCs/>
                <w:sz w:val="20"/>
                <w:szCs w:val="20"/>
                <w:shd w:val="clear" w:color="auto" w:fill="FFFFFF"/>
                <w:lang w:val="fr-FR"/>
              </w:rPr>
              <w:t xml:space="preserve"> </w:t>
            </w:r>
            <w:proofErr w:type="spellStart"/>
            <w:r w:rsidRPr="007B5BFB">
              <w:rPr>
                <w:rFonts w:ascii="Times New Roman" w:hAnsi="Times New Roman"/>
                <w:b/>
                <w:bCs/>
                <w:sz w:val="20"/>
                <w:szCs w:val="20"/>
                <w:shd w:val="clear" w:color="auto" w:fill="FFFFFF"/>
                <w:lang w:val="fr-FR"/>
              </w:rPr>
              <w:t>măsurilor</w:t>
            </w:r>
            <w:proofErr w:type="spellEnd"/>
            <w:r w:rsidRPr="007B5BFB">
              <w:rPr>
                <w:rFonts w:ascii="Times New Roman" w:hAnsi="Times New Roman"/>
                <w:b/>
                <w:bCs/>
                <w:sz w:val="20"/>
                <w:szCs w:val="20"/>
                <w:shd w:val="clear" w:color="auto" w:fill="FFFFFF"/>
                <w:lang w:val="fr-FR"/>
              </w:rPr>
              <w:t xml:space="preserve"> de </w:t>
            </w:r>
            <w:proofErr w:type="spellStart"/>
            <w:r w:rsidRPr="007B5BFB">
              <w:rPr>
                <w:rFonts w:ascii="Times New Roman" w:hAnsi="Times New Roman"/>
                <w:b/>
                <w:bCs/>
                <w:sz w:val="20"/>
                <w:szCs w:val="20"/>
                <w:shd w:val="clear" w:color="auto" w:fill="FFFFFF"/>
                <w:lang w:val="fr-FR"/>
              </w:rPr>
              <w:t>impozitare</w:t>
            </w:r>
            <w:proofErr w:type="spellEnd"/>
            <w:proofErr w:type="gramStart"/>
            <w:r w:rsidRPr="007B5BFB">
              <w:rPr>
                <w:rFonts w:ascii="Times New Roman" w:hAnsi="Times New Roman"/>
                <w:b/>
                <w:bCs/>
                <w:sz w:val="20"/>
                <w:szCs w:val="20"/>
                <w:shd w:val="clear" w:color="auto" w:fill="FFFFFF"/>
                <w:lang w:val="fr-FR"/>
              </w:rPr>
              <w:t>):</w:t>
            </w:r>
            <w:proofErr w:type="gramEnd"/>
          </w:p>
          <w:p w14:paraId="62BF3B19" w14:textId="76AE2613" w:rsidR="008F5636" w:rsidRPr="007B5BFB" w:rsidRDefault="008F5636" w:rsidP="000C5A3B">
            <w:pPr>
              <w:pStyle w:val="ColorfulList-Accent11"/>
              <w:numPr>
                <w:ilvl w:val="0"/>
                <w:numId w:val="60"/>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metodele</w:t>
            </w:r>
            <w:proofErr w:type="spellEnd"/>
            <w:proofErr w:type="gram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măsurare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utilizate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menționate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punctul</w:t>
            </w:r>
            <w:proofErr w:type="spellEnd"/>
            <w:r w:rsidRPr="007B5BFB">
              <w:rPr>
                <w:rFonts w:ascii="Times New Roman" w:hAnsi="Times New Roman"/>
                <w:sz w:val="20"/>
                <w:szCs w:val="20"/>
                <w:shd w:val="clear" w:color="auto" w:fill="FFFFFF"/>
                <w:lang w:val="fr-FR"/>
              </w:rPr>
              <w:t xml:space="preserve"> 1 </w:t>
            </w:r>
            <w:proofErr w:type="spellStart"/>
            <w:r w:rsidRPr="007B5BFB">
              <w:rPr>
                <w:rFonts w:ascii="Times New Roman" w:hAnsi="Times New Roman"/>
                <w:sz w:val="20"/>
                <w:szCs w:val="20"/>
                <w:shd w:val="clear" w:color="auto" w:fill="FFFFFF"/>
                <w:lang w:val="fr-FR"/>
              </w:rPr>
              <w:t>din</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anexa</w:t>
            </w:r>
            <w:proofErr w:type="spellEnd"/>
            <w:r w:rsidRPr="007B5BFB">
              <w:rPr>
                <w:rFonts w:ascii="Times New Roman" w:hAnsi="Times New Roman"/>
                <w:sz w:val="20"/>
                <w:szCs w:val="20"/>
                <w:shd w:val="clear" w:color="auto" w:fill="FFFFFF"/>
                <w:lang w:val="fr-FR"/>
              </w:rPr>
              <w:t xml:space="preserve"> V la </w:t>
            </w:r>
            <w:proofErr w:type="spellStart"/>
            <w:r w:rsidRPr="007B5BFB">
              <w:rPr>
                <w:rFonts w:ascii="Times New Roman" w:hAnsi="Times New Roman"/>
                <w:sz w:val="20"/>
                <w:szCs w:val="20"/>
                <w:shd w:val="clear" w:color="auto" w:fill="FFFFFF"/>
                <w:lang w:val="fr-FR"/>
              </w:rPr>
              <w:t>Directiva</w:t>
            </w:r>
            <w:proofErr w:type="spellEnd"/>
            <w:r w:rsidRPr="007B5BFB">
              <w:rPr>
                <w:rFonts w:ascii="Times New Roman" w:hAnsi="Times New Roman"/>
                <w:sz w:val="20"/>
                <w:szCs w:val="20"/>
                <w:shd w:val="clear" w:color="auto" w:fill="FFFFFF"/>
                <w:lang w:val="fr-FR"/>
              </w:rPr>
              <w:t xml:space="preserve"> 2012/27/UE;</w:t>
            </w:r>
          </w:p>
          <w:p w14:paraId="11F7ADED" w14:textId="2E518292" w:rsidR="008F5636" w:rsidRPr="007B5BFB" w:rsidRDefault="008F5636" w:rsidP="000C5A3B">
            <w:pPr>
              <w:pStyle w:val="ColorfulList-Accent11"/>
              <w:numPr>
                <w:ilvl w:val="0"/>
                <w:numId w:val="60"/>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metoda</w:t>
            </w:r>
            <w:proofErr w:type="spellEnd"/>
            <w:proofErr w:type="gram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exprimare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energie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energie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primară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sau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finală</w:t>
            </w:r>
            <w:proofErr w:type="spellEnd"/>
            <w:r w:rsidRPr="007B5BFB">
              <w:rPr>
                <w:rFonts w:ascii="Times New Roman" w:hAnsi="Times New Roman"/>
                <w:sz w:val="20"/>
                <w:szCs w:val="20"/>
                <w:shd w:val="clear" w:color="auto" w:fill="FFFFFF"/>
                <w:lang w:val="fr-FR"/>
              </w:rPr>
              <w:t>);</w:t>
            </w:r>
          </w:p>
          <w:p w14:paraId="080AD57D" w14:textId="0E208844" w:rsidR="008F5636" w:rsidRPr="007B5BFB" w:rsidRDefault="008F5636" w:rsidP="000C5A3B">
            <w:pPr>
              <w:pStyle w:val="ColorfulList-Accent11"/>
              <w:numPr>
                <w:ilvl w:val="0"/>
                <w:numId w:val="60"/>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duratele</w:t>
            </w:r>
            <w:proofErr w:type="spellEnd"/>
            <w:proofErr w:type="gram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viață</w:t>
            </w:r>
            <w:proofErr w:type="spellEnd"/>
            <w:r w:rsidRPr="007B5BFB">
              <w:rPr>
                <w:rFonts w:ascii="Times New Roman" w:hAnsi="Times New Roman"/>
                <w:sz w:val="20"/>
                <w:szCs w:val="20"/>
                <w:shd w:val="clear" w:color="auto" w:fill="FFFFFF"/>
                <w:lang w:val="fr-FR"/>
              </w:rPr>
              <w:t xml:space="preserve"> ale </w:t>
            </w:r>
            <w:proofErr w:type="spellStart"/>
            <w:r w:rsidRPr="007B5BFB">
              <w:rPr>
                <w:rFonts w:ascii="Times New Roman" w:hAnsi="Times New Roman"/>
                <w:sz w:val="20"/>
                <w:szCs w:val="20"/>
                <w:shd w:val="clear" w:color="auto" w:fill="FFFFFF"/>
                <w:lang w:val="fr-FR"/>
              </w:rPr>
              <w:t>măsurilor</w:t>
            </w:r>
            <w:proofErr w:type="spellEnd"/>
            <w:r w:rsidRPr="007B5BFB">
              <w:rPr>
                <w:rFonts w:ascii="Times New Roman" w:hAnsi="Times New Roman"/>
                <w:sz w:val="20"/>
                <w:szCs w:val="20"/>
                <w:shd w:val="clear" w:color="auto" w:fill="FFFFFF"/>
                <w:lang w:val="fr-FR"/>
              </w:rPr>
              <w:t xml:space="preserve">, rata de </w:t>
            </w:r>
            <w:proofErr w:type="spellStart"/>
            <w:r w:rsidRPr="007B5BFB">
              <w:rPr>
                <w:rFonts w:ascii="Times New Roman" w:hAnsi="Times New Roman"/>
                <w:sz w:val="20"/>
                <w:szCs w:val="20"/>
                <w:shd w:val="clear" w:color="auto" w:fill="FFFFFF"/>
                <w:lang w:val="fr-FR"/>
              </w:rPr>
              <w:t>scădere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timp</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abordarea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utilizată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pentru</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ține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seama</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durata</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viață</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w:t>
            </w:r>
          </w:p>
          <w:p w14:paraId="11186402" w14:textId="3D5BF216" w:rsidR="008F5636" w:rsidRPr="007B5BFB" w:rsidRDefault="008F5636" w:rsidP="000C5A3B">
            <w:pPr>
              <w:pStyle w:val="ColorfulList-Accent11"/>
              <w:numPr>
                <w:ilvl w:val="0"/>
                <w:numId w:val="60"/>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scurtă</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descriere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metodologiei</w:t>
            </w:r>
            <w:proofErr w:type="spellEnd"/>
            <w:r w:rsidRPr="007B5BFB">
              <w:rPr>
                <w:rFonts w:ascii="Times New Roman" w:hAnsi="Times New Roman"/>
                <w:sz w:val="20"/>
                <w:szCs w:val="20"/>
                <w:shd w:val="clear" w:color="auto" w:fill="FFFFFF"/>
                <w:lang w:val="fr-FR"/>
              </w:rPr>
              <w:t xml:space="preserve"> de calcul, </w:t>
            </w:r>
            <w:proofErr w:type="spellStart"/>
            <w:r w:rsidRPr="007B5BFB">
              <w:rPr>
                <w:rFonts w:ascii="Times New Roman" w:hAnsi="Times New Roman"/>
                <w:sz w:val="20"/>
                <w:szCs w:val="20"/>
                <w:shd w:val="clear" w:color="auto" w:fill="FFFFFF"/>
                <w:lang w:val="fr-FR"/>
              </w:rPr>
              <w:t>inclusiv</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modului</w:t>
            </w:r>
            <w:proofErr w:type="spellEnd"/>
            <w:r w:rsidRPr="007B5BFB">
              <w:rPr>
                <w:rFonts w:ascii="Times New Roman" w:hAnsi="Times New Roman"/>
                <w:sz w:val="20"/>
                <w:szCs w:val="20"/>
                <w:shd w:val="clear" w:color="auto" w:fill="FFFFFF"/>
                <w:lang w:val="fr-FR"/>
              </w:rPr>
              <w:t xml:space="preserve"> în care se </w:t>
            </w:r>
            <w:proofErr w:type="spellStart"/>
            <w:r w:rsidRPr="007B5BFB">
              <w:rPr>
                <w:rFonts w:ascii="Times New Roman" w:hAnsi="Times New Roman"/>
                <w:sz w:val="20"/>
                <w:szCs w:val="20"/>
                <w:shd w:val="clear" w:color="auto" w:fill="FFFFFF"/>
                <w:lang w:val="fr-FR"/>
              </w:rPr>
              <w:t>asigură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adiționalitatea</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importanța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și ce </w:t>
            </w:r>
            <w:proofErr w:type="spellStart"/>
            <w:r w:rsidRPr="007B5BFB">
              <w:rPr>
                <w:rFonts w:ascii="Times New Roman" w:hAnsi="Times New Roman"/>
                <w:sz w:val="20"/>
                <w:szCs w:val="20"/>
                <w:shd w:val="clear" w:color="auto" w:fill="FFFFFF"/>
                <w:lang w:val="fr-FR"/>
              </w:rPr>
              <w:t>metodologii</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criterii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referință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sunt</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folosite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pentru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preconizate</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gradate</w:t>
            </w:r>
            <w:proofErr w:type="spellEnd"/>
            <w:r w:rsidRPr="007B5BFB">
              <w:rPr>
                <w:rFonts w:ascii="Times New Roman" w:hAnsi="Times New Roman"/>
                <w:sz w:val="20"/>
                <w:szCs w:val="20"/>
                <w:shd w:val="clear" w:color="auto" w:fill="FFFFFF"/>
                <w:lang w:val="fr-FR"/>
              </w:rPr>
              <w:t>;</w:t>
            </w:r>
          </w:p>
          <w:p w14:paraId="0B630C77" w14:textId="3403DF49" w:rsidR="008F5636" w:rsidRPr="007B5BFB" w:rsidRDefault="008F5636" w:rsidP="000C5A3B">
            <w:pPr>
              <w:pStyle w:val="ColorfulList-Accent11"/>
              <w:numPr>
                <w:ilvl w:val="0"/>
                <w:numId w:val="60"/>
              </w:numPr>
              <w:spacing w:after="0" w:line="240" w:lineRule="auto"/>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informații</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privire</w:t>
            </w:r>
            <w:proofErr w:type="spellEnd"/>
            <w:r w:rsidRPr="007B5BFB">
              <w:rPr>
                <w:rFonts w:ascii="Times New Roman" w:hAnsi="Times New Roman"/>
                <w:sz w:val="20"/>
                <w:szCs w:val="20"/>
                <w:shd w:val="clear" w:color="auto" w:fill="FFFFFF"/>
                <w:lang w:val="fr-FR"/>
              </w:rPr>
              <w:t xml:space="preserve"> la </w:t>
            </w:r>
            <w:proofErr w:type="spellStart"/>
            <w:r w:rsidRPr="007B5BFB">
              <w:rPr>
                <w:rFonts w:ascii="Times New Roman" w:hAnsi="Times New Roman"/>
                <w:sz w:val="20"/>
                <w:szCs w:val="20"/>
                <w:shd w:val="clear" w:color="auto" w:fill="FFFFFF"/>
                <w:lang w:val="fr-FR"/>
              </w:rPr>
              <w:t>modul</w:t>
            </w:r>
            <w:proofErr w:type="spellEnd"/>
            <w:r w:rsidRPr="007B5BFB">
              <w:rPr>
                <w:rFonts w:ascii="Times New Roman" w:hAnsi="Times New Roman"/>
                <w:sz w:val="20"/>
                <w:szCs w:val="20"/>
                <w:shd w:val="clear" w:color="auto" w:fill="FFFFFF"/>
                <w:lang w:val="fr-FR"/>
              </w:rPr>
              <w:t xml:space="preserve"> în care </w:t>
            </w:r>
            <w:proofErr w:type="spellStart"/>
            <w:r w:rsidRPr="007B5BFB">
              <w:rPr>
                <w:rFonts w:ascii="Times New Roman" w:hAnsi="Times New Roman"/>
                <w:sz w:val="20"/>
                <w:szCs w:val="20"/>
                <w:shd w:val="clear" w:color="auto" w:fill="FFFFFF"/>
                <w:lang w:val="fr-FR"/>
              </w:rPr>
              <w:t>sunt</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abordate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posibilele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suprapuneri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între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măsuri</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acțiunile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individuale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pentru</w:t>
            </w:r>
            <w:proofErr w:type="spellEnd"/>
            <w:r w:rsidRPr="007B5BFB">
              <w:rPr>
                <w:rFonts w:ascii="Times New Roman" w:hAnsi="Times New Roman"/>
                <w:sz w:val="20"/>
                <w:szCs w:val="20"/>
                <w:shd w:val="clear" w:color="auto" w:fill="FFFFFF"/>
                <w:lang w:val="fr-FR"/>
              </w:rPr>
              <w:t xml:space="preserve"> a se </w:t>
            </w:r>
            <w:proofErr w:type="spellStart"/>
            <w:r w:rsidRPr="007B5BFB">
              <w:rPr>
                <w:rFonts w:ascii="Times New Roman" w:hAnsi="Times New Roman"/>
                <w:sz w:val="20"/>
                <w:szCs w:val="20"/>
                <w:shd w:val="clear" w:color="auto" w:fill="FFFFFF"/>
                <w:lang w:val="fr-FR"/>
              </w:rPr>
              <w:t>evita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dubla</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contorizare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energie</w:t>
            </w:r>
            <w:proofErr w:type="spellEnd"/>
            <w:r w:rsidRPr="007B5BFB">
              <w:rPr>
                <w:rFonts w:ascii="Times New Roman" w:hAnsi="Times New Roman"/>
                <w:sz w:val="20"/>
                <w:szCs w:val="20"/>
                <w:shd w:val="clear" w:color="auto" w:fill="FFFFFF"/>
                <w:lang w:val="fr-FR"/>
              </w:rPr>
              <w:t>;</w:t>
            </w:r>
          </w:p>
          <w:p w14:paraId="444B969F" w14:textId="77777777" w:rsidR="008F5636" w:rsidRPr="007B5BFB" w:rsidRDefault="008F5636" w:rsidP="000C5A3B">
            <w:pPr>
              <w:pStyle w:val="ColorfulList-Accent11"/>
              <w:numPr>
                <w:ilvl w:val="0"/>
                <w:numId w:val="60"/>
              </w:numPr>
              <w:spacing w:after="0" w:line="240" w:lineRule="auto"/>
              <w:jc w:val="both"/>
              <w:rPr>
                <w:rFonts w:ascii="Times New Roman" w:hAnsi="Times New Roman"/>
                <w:b/>
                <w:bCs/>
                <w:sz w:val="20"/>
                <w:szCs w:val="20"/>
                <w:shd w:val="clear" w:color="auto" w:fill="FFFFFF"/>
                <w:lang w:val="en-US"/>
              </w:rPr>
            </w:pPr>
            <w:proofErr w:type="spellStart"/>
            <w:r w:rsidRPr="007B5BFB">
              <w:rPr>
                <w:rFonts w:ascii="Times New Roman" w:hAnsi="Times New Roman"/>
                <w:sz w:val="20"/>
                <w:szCs w:val="20"/>
                <w:shd w:val="clear" w:color="auto" w:fill="FFFFFF"/>
              </w:rPr>
              <w:t>după</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caz</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variațiile</w:t>
            </w:r>
            <w:proofErr w:type="spellEnd"/>
            <w:r w:rsidRPr="007B5BFB">
              <w:rPr>
                <w:rFonts w:ascii="Times New Roman" w:hAnsi="Times New Roman"/>
                <w:sz w:val="20"/>
                <w:szCs w:val="20"/>
                <w:shd w:val="clear" w:color="auto" w:fill="FFFFFF"/>
              </w:rPr>
              <w:t xml:space="preserve"> climatice și </w:t>
            </w:r>
            <w:proofErr w:type="spellStart"/>
            <w:r w:rsidRPr="007B5BFB">
              <w:rPr>
                <w:rFonts w:ascii="Times New Roman" w:hAnsi="Times New Roman"/>
                <w:sz w:val="20"/>
                <w:szCs w:val="20"/>
                <w:shd w:val="clear" w:color="auto" w:fill="FFFFFF"/>
              </w:rPr>
              <w:t>abordarea</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utilizată</w:t>
            </w:r>
            <w:proofErr w:type="spellEnd"/>
            <w:r w:rsidRPr="007B5BFB">
              <w:rPr>
                <w:rFonts w:ascii="Times New Roman" w:hAnsi="Times New Roman"/>
                <w:sz w:val="20"/>
                <w:szCs w:val="20"/>
                <w:shd w:val="clear" w:color="auto" w:fill="FFFFFF"/>
              </w:rPr>
              <w:t>.</w:t>
            </w:r>
          </w:p>
          <w:p w14:paraId="17872E23" w14:textId="77777777" w:rsidR="008F5636" w:rsidRPr="007B5BFB" w:rsidRDefault="008F5636" w:rsidP="008F5636">
            <w:pPr>
              <w:pStyle w:val="ColorfulList-Accent11"/>
              <w:spacing w:after="0" w:line="240" w:lineRule="auto"/>
              <w:ind w:left="0"/>
              <w:jc w:val="both"/>
              <w:rPr>
                <w:rFonts w:ascii="Times New Roman" w:hAnsi="Times New Roman"/>
                <w:b/>
                <w:bCs/>
                <w:sz w:val="20"/>
                <w:szCs w:val="20"/>
                <w:shd w:val="clear" w:color="auto" w:fill="FFFFFF"/>
              </w:rPr>
            </w:pPr>
            <w:r w:rsidRPr="007B5BFB">
              <w:rPr>
                <w:rFonts w:ascii="Times New Roman" w:hAnsi="Times New Roman"/>
                <w:b/>
                <w:bCs/>
                <w:sz w:val="20"/>
                <w:szCs w:val="20"/>
                <w:shd w:val="clear" w:color="auto" w:fill="FFFFFF"/>
              </w:rPr>
              <w:t xml:space="preserve">5.Monitorizare și </w:t>
            </w:r>
            <w:proofErr w:type="spellStart"/>
            <w:r w:rsidRPr="007B5BFB">
              <w:rPr>
                <w:rFonts w:ascii="Times New Roman" w:hAnsi="Times New Roman"/>
                <w:b/>
                <w:bCs/>
                <w:sz w:val="20"/>
                <w:szCs w:val="20"/>
                <w:shd w:val="clear" w:color="auto" w:fill="FFFFFF"/>
              </w:rPr>
              <w:t>verificare</w:t>
            </w:r>
            <w:proofErr w:type="spellEnd"/>
          </w:p>
          <w:p w14:paraId="22AA41E6" w14:textId="77777777"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scurtă</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descriere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sistemului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monitorizare</w:t>
            </w:r>
            <w:proofErr w:type="spellEnd"/>
            <w:r w:rsidRPr="007B5BFB">
              <w:rPr>
                <w:rFonts w:ascii="Times New Roman" w:hAnsi="Times New Roman"/>
                <w:sz w:val="20"/>
                <w:szCs w:val="20"/>
                <w:shd w:val="clear" w:color="auto" w:fill="FFFFFF"/>
                <w:lang w:val="fr-FR"/>
              </w:rPr>
              <w:t xml:space="preserve"> și de </w:t>
            </w:r>
            <w:proofErr w:type="spellStart"/>
            <w:r w:rsidRPr="007B5BFB">
              <w:rPr>
                <w:rFonts w:ascii="Times New Roman" w:hAnsi="Times New Roman"/>
                <w:sz w:val="20"/>
                <w:szCs w:val="20"/>
                <w:shd w:val="clear" w:color="auto" w:fill="FFFFFF"/>
                <w:lang w:val="fr-FR"/>
              </w:rPr>
              <w:t>verificare</w:t>
            </w:r>
            <w:proofErr w:type="spellEnd"/>
            <w:r w:rsidRPr="007B5BFB">
              <w:rPr>
                <w:rFonts w:ascii="Times New Roman" w:hAnsi="Times New Roman"/>
                <w:sz w:val="20"/>
                <w:szCs w:val="20"/>
                <w:shd w:val="clear" w:color="auto" w:fill="FFFFFF"/>
                <w:lang w:val="fr-FR"/>
              </w:rPr>
              <w:t xml:space="preserve"> și a </w:t>
            </w:r>
            <w:proofErr w:type="spellStart"/>
            <w:r w:rsidRPr="007B5BFB">
              <w:rPr>
                <w:rFonts w:ascii="Times New Roman" w:hAnsi="Times New Roman"/>
                <w:sz w:val="20"/>
                <w:szCs w:val="20"/>
                <w:shd w:val="clear" w:color="auto" w:fill="FFFFFF"/>
                <w:lang w:val="fr-FR"/>
              </w:rPr>
              <w:t>procesului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verificare</w:t>
            </w:r>
            <w:proofErr w:type="spellEnd"/>
            <w:r w:rsidRPr="007B5BFB">
              <w:rPr>
                <w:rFonts w:ascii="Times New Roman" w:hAnsi="Times New Roman"/>
                <w:sz w:val="20"/>
                <w:szCs w:val="20"/>
                <w:shd w:val="clear" w:color="auto" w:fill="FFFFFF"/>
                <w:lang w:val="fr-FR"/>
              </w:rPr>
              <w:t>;</w:t>
            </w:r>
          </w:p>
          <w:p w14:paraId="31CB63EB" w14:textId="77777777"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autoritatea</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publică</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punere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aplicare</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principalele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responsabilități</w:t>
            </w:r>
            <w:proofErr w:type="spellEnd"/>
            <w:r w:rsidRPr="007B5BFB">
              <w:rPr>
                <w:rFonts w:ascii="Times New Roman" w:hAnsi="Times New Roman"/>
                <w:sz w:val="20"/>
                <w:szCs w:val="20"/>
                <w:shd w:val="clear" w:color="auto" w:fill="FFFFFF"/>
                <w:lang w:val="fr-FR"/>
              </w:rPr>
              <w:t xml:space="preserve"> ale </w:t>
            </w:r>
            <w:proofErr w:type="spellStart"/>
            <w:r w:rsidRPr="007B5BFB">
              <w:rPr>
                <w:rFonts w:ascii="Times New Roman" w:hAnsi="Times New Roman"/>
                <w:sz w:val="20"/>
                <w:szCs w:val="20"/>
                <w:shd w:val="clear" w:color="auto" w:fill="FFFFFF"/>
                <w:lang w:val="fr-FR"/>
              </w:rPr>
              <w:t>acesteia</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ceea</w:t>
            </w:r>
            <w:proofErr w:type="spellEnd"/>
            <w:r w:rsidRPr="007B5BFB">
              <w:rPr>
                <w:rFonts w:ascii="Times New Roman" w:hAnsi="Times New Roman"/>
                <w:sz w:val="20"/>
                <w:szCs w:val="20"/>
                <w:shd w:val="clear" w:color="auto" w:fill="FFFFFF"/>
                <w:lang w:val="fr-FR"/>
              </w:rPr>
              <w:t xml:space="preserve"> ce </w:t>
            </w:r>
            <w:proofErr w:type="spellStart"/>
            <w:r w:rsidRPr="007B5BFB">
              <w:rPr>
                <w:rFonts w:ascii="Times New Roman" w:hAnsi="Times New Roman"/>
                <w:sz w:val="20"/>
                <w:szCs w:val="20"/>
                <w:shd w:val="clear" w:color="auto" w:fill="FFFFFF"/>
                <w:lang w:val="fr-FR"/>
              </w:rPr>
              <w:t>privește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sistemul</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monitorizare</w:t>
            </w:r>
            <w:proofErr w:type="spellEnd"/>
            <w:r w:rsidRPr="007B5BFB">
              <w:rPr>
                <w:rFonts w:ascii="Times New Roman" w:hAnsi="Times New Roman"/>
                <w:sz w:val="20"/>
                <w:szCs w:val="20"/>
                <w:shd w:val="clear" w:color="auto" w:fill="FFFFFF"/>
                <w:lang w:val="fr-FR"/>
              </w:rPr>
              <w:t xml:space="preserve"> și de </w:t>
            </w:r>
            <w:proofErr w:type="spellStart"/>
            <w:r w:rsidRPr="007B5BFB">
              <w:rPr>
                <w:rFonts w:ascii="Times New Roman" w:hAnsi="Times New Roman"/>
                <w:sz w:val="20"/>
                <w:szCs w:val="20"/>
                <w:shd w:val="clear" w:color="auto" w:fill="FFFFFF"/>
                <w:lang w:val="fr-FR"/>
              </w:rPr>
              <w:t>verificare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legătură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cu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schema</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obligații</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materie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eficiență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sau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măsurile</w:t>
            </w:r>
            <w:proofErr w:type="spellEnd"/>
            <w:r w:rsidRPr="007B5BFB">
              <w:rPr>
                <w:rFonts w:ascii="Times New Roman" w:hAnsi="Times New Roman"/>
                <w:sz w:val="20"/>
                <w:szCs w:val="20"/>
                <w:shd w:val="clear" w:color="auto" w:fill="FFFFFF"/>
                <w:lang w:val="fr-FR"/>
              </w:rPr>
              <w:t xml:space="preserve"> alternative;</w:t>
            </w:r>
          </w:p>
          <w:p w14:paraId="136EFE53" w14:textId="77777777"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independența</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monitorizării</w:t>
            </w:r>
            <w:proofErr w:type="spellEnd"/>
            <w:r w:rsidRPr="007B5BFB">
              <w:rPr>
                <w:rFonts w:ascii="Times New Roman" w:hAnsi="Times New Roman"/>
                <w:sz w:val="20"/>
                <w:szCs w:val="20"/>
                <w:shd w:val="clear" w:color="auto" w:fill="FFFFFF"/>
                <w:lang w:val="fr-FR"/>
              </w:rPr>
              <w:t xml:space="preserve"> și a </w:t>
            </w:r>
            <w:proofErr w:type="spellStart"/>
            <w:r w:rsidRPr="007B5BFB">
              <w:rPr>
                <w:rFonts w:ascii="Times New Roman" w:hAnsi="Times New Roman"/>
                <w:sz w:val="20"/>
                <w:szCs w:val="20"/>
                <w:shd w:val="clear" w:color="auto" w:fill="FFFFFF"/>
                <w:lang w:val="fr-FR"/>
              </w:rPr>
              <w:t>verificării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față</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părțile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obligate</w:t>
            </w:r>
            <w:proofErr w:type="spellEnd"/>
            <w:r w:rsidRPr="007B5BFB">
              <w:rPr>
                <w:rFonts w:ascii="Times New Roman" w:hAnsi="Times New Roman"/>
                <w:sz w:val="20"/>
                <w:szCs w:val="20"/>
                <w:shd w:val="clear" w:color="auto" w:fill="FFFFFF"/>
                <w:lang w:val="fr-FR"/>
              </w:rPr>
              <w:t xml:space="preserve">, participante </w:t>
            </w:r>
            <w:proofErr w:type="spellStart"/>
            <w:r w:rsidRPr="007B5BFB">
              <w:rPr>
                <w:rFonts w:ascii="Times New Roman" w:hAnsi="Times New Roman"/>
                <w:sz w:val="20"/>
                <w:szCs w:val="20"/>
                <w:shd w:val="clear" w:color="auto" w:fill="FFFFFF"/>
                <w:lang w:val="fr-FR"/>
              </w:rPr>
              <w:t>sau</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mandatate</w:t>
            </w:r>
            <w:proofErr w:type="spellEnd"/>
            <w:r w:rsidRPr="007B5BFB">
              <w:rPr>
                <w:rFonts w:ascii="Times New Roman" w:hAnsi="Times New Roman"/>
                <w:sz w:val="20"/>
                <w:szCs w:val="20"/>
                <w:shd w:val="clear" w:color="auto" w:fill="FFFFFF"/>
                <w:lang w:val="fr-FR"/>
              </w:rPr>
              <w:t>;</w:t>
            </w:r>
          </w:p>
          <w:p w14:paraId="1FC9DF21" w14:textId="3BA3BBF8"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gramStart"/>
            <w:r w:rsidRPr="007B5BFB">
              <w:rPr>
                <w:rFonts w:ascii="Times New Roman" w:hAnsi="Times New Roman"/>
                <w:sz w:val="20"/>
                <w:szCs w:val="20"/>
                <w:shd w:val="clear" w:color="auto" w:fill="FFFFFF"/>
                <w:lang w:val="fr-FR"/>
              </w:rPr>
              <w:t>parte</w:t>
            </w:r>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semnificativă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din</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punct</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vedere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statistic</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măsurilor</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îmbunătățire</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eficienței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precum</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proporțiile</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criteriile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utilizate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pentru</w:t>
            </w:r>
            <w:proofErr w:type="spellEnd"/>
            <w:r w:rsidRPr="007B5BFB">
              <w:rPr>
                <w:rFonts w:ascii="Times New Roman" w:hAnsi="Times New Roman"/>
                <w:sz w:val="20"/>
                <w:szCs w:val="20"/>
                <w:shd w:val="clear" w:color="auto" w:fill="FFFFFF"/>
                <w:lang w:val="fr-FR"/>
              </w:rPr>
              <w:t xml:space="preserve"> a </w:t>
            </w:r>
            <w:proofErr w:type="spellStart"/>
            <w:r w:rsidRPr="007B5BFB">
              <w:rPr>
                <w:rFonts w:ascii="Times New Roman" w:hAnsi="Times New Roman"/>
                <w:sz w:val="20"/>
                <w:szCs w:val="20"/>
                <w:shd w:val="clear" w:color="auto" w:fill="FFFFFF"/>
                <w:lang w:val="fr-FR"/>
              </w:rPr>
              <w:t>defini</w:t>
            </w:r>
            <w:proofErr w:type="spellEnd"/>
            <w:r w:rsidRPr="007B5BFB">
              <w:rPr>
                <w:rFonts w:ascii="Times New Roman" w:hAnsi="Times New Roman"/>
                <w:sz w:val="20"/>
                <w:szCs w:val="20"/>
                <w:shd w:val="clear" w:color="auto" w:fill="FFFFFF"/>
                <w:lang w:val="fr-FR"/>
              </w:rPr>
              <w:t xml:space="preserve"> și a </w:t>
            </w:r>
            <w:proofErr w:type="spellStart"/>
            <w:r w:rsidRPr="007B5BFB">
              <w:rPr>
                <w:rFonts w:ascii="Times New Roman" w:hAnsi="Times New Roman"/>
                <w:sz w:val="20"/>
                <w:szCs w:val="20"/>
                <w:shd w:val="clear" w:color="auto" w:fill="FFFFFF"/>
                <w:lang w:val="fr-FR"/>
              </w:rPr>
              <w:t>selecta</w:t>
            </w:r>
            <w:proofErr w:type="spellEnd"/>
            <w:r w:rsidRPr="007B5BFB">
              <w:rPr>
                <w:rFonts w:ascii="Times New Roman" w:hAnsi="Times New Roman"/>
                <w:sz w:val="20"/>
                <w:szCs w:val="20"/>
                <w:shd w:val="clear" w:color="auto" w:fill="FFFFFF"/>
                <w:lang w:val="fr-FR"/>
              </w:rPr>
              <w:t xml:space="preserve"> un </w:t>
            </w:r>
            <w:proofErr w:type="spellStart"/>
            <w:r w:rsidRPr="007B5BFB">
              <w:rPr>
                <w:rFonts w:ascii="Times New Roman" w:hAnsi="Times New Roman"/>
                <w:sz w:val="20"/>
                <w:szCs w:val="20"/>
                <w:shd w:val="clear" w:color="auto" w:fill="FFFFFF"/>
                <w:lang w:val="fr-FR"/>
              </w:rPr>
              <w:t>eșantion</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reprezentativ</w:t>
            </w:r>
            <w:proofErr w:type="spellEnd"/>
            <w:r w:rsidRPr="007B5BFB">
              <w:rPr>
                <w:rFonts w:ascii="Times New Roman" w:hAnsi="Times New Roman"/>
                <w:sz w:val="20"/>
                <w:szCs w:val="20"/>
                <w:shd w:val="clear" w:color="auto" w:fill="FFFFFF"/>
                <w:lang w:val="fr-FR"/>
              </w:rPr>
              <w:t>;</w:t>
            </w:r>
          </w:p>
          <w:p w14:paraId="7DC4FC17" w14:textId="77777777"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obligațiile</w:t>
            </w:r>
            <w:proofErr w:type="spellEnd"/>
            <w:proofErr w:type="gram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raportare</w:t>
            </w:r>
            <w:proofErr w:type="spellEnd"/>
            <w:r w:rsidRPr="007B5BFB">
              <w:rPr>
                <w:rFonts w:ascii="Times New Roman" w:hAnsi="Times New Roman"/>
                <w:sz w:val="20"/>
                <w:szCs w:val="20"/>
                <w:shd w:val="clear" w:color="auto" w:fill="FFFFFF"/>
                <w:lang w:val="fr-FR"/>
              </w:rPr>
              <w:t xml:space="preserve"> ale </w:t>
            </w:r>
            <w:proofErr w:type="spellStart"/>
            <w:r w:rsidRPr="007B5BFB">
              <w:rPr>
                <w:rFonts w:ascii="Times New Roman" w:hAnsi="Times New Roman"/>
                <w:sz w:val="20"/>
                <w:szCs w:val="20"/>
                <w:shd w:val="clear" w:color="auto" w:fill="FFFFFF"/>
                <w:lang w:val="fr-FR"/>
              </w:rPr>
              <w:t>părților</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obligate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energie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realizate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fiecare</w:t>
            </w:r>
            <w:proofErr w:type="spellEnd"/>
            <w:r w:rsidRPr="007B5BFB">
              <w:rPr>
                <w:rFonts w:ascii="Times New Roman" w:hAnsi="Times New Roman"/>
                <w:sz w:val="20"/>
                <w:szCs w:val="20"/>
                <w:shd w:val="clear" w:color="auto" w:fill="FFFFFF"/>
                <w:lang w:val="fr-FR"/>
              </w:rPr>
              <w:t xml:space="preserve"> parte </w:t>
            </w:r>
            <w:proofErr w:type="spellStart"/>
            <w:r w:rsidRPr="007B5BFB">
              <w:rPr>
                <w:rFonts w:ascii="Times New Roman" w:hAnsi="Times New Roman"/>
                <w:sz w:val="20"/>
                <w:szCs w:val="20"/>
                <w:shd w:val="clear" w:color="auto" w:fill="FFFFFF"/>
                <w:lang w:val="fr-FR"/>
              </w:rPr>
              <w:t>obligată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sau</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fiecare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subcategorie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părți</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obligate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precum</w:t>
            </w:r>
            <w:proofErr w:type="spellEnd"/>
            <w:r w:rsidRPr="007B5BFB">
              <w:rPr>
                <w:rFonts w:ascii="Times New Roman" w:hAnsi="Times New Roman"/>
                <w:sz w:val="20"/>
                <w:szCs w:val="20"/>
                <w:shd w:val="clear" w:color="auto" w:fill="FFFFFF"/>
                <w:lang w:val="fr-FR"/>
              </w:rPr>
              <w:t xml:space="preserve"> și </w:t>
            </w:r>
            <w:proofErr w:type="spellStart"/>
            <w:r w:rsidRPr="007B5BFB">
              <w:rPr>
                <w:rFonts w:ascii="Times New Roman" w:hAnsi="Times New Roman"/>
                <w:sz w:val="20"/>
                <w:szCs w:val="20"/>
                <w:shd w:val="clear" w:color="auto" w:fill="FFFFFF"/>
                <w:lang w:val="fr-FR"/>
              </w:rPr>
              <w:t>economiile</w:t>
            </w:r>
            <w:proofErr w:type="spellEnd"/>
            <w:r w:rsidRPr="007B5BFB">
              <w:rPr>
                <w:rFonts w:ascii="Times New Roman" w:hAnsi="Times New Roman"/>
                <w:sz w:val="20"/>
                <w:szCs w:val="20"/>
                <w:shd w:val="clear" w:color="auto" w:fill="FFFFFF"/>
                <w:lang w:val="fr-FR"/>
              </w:rPr>
              <w:t xml:space="preserve"> totale </w:t>
            </w:r>
            <w:proofErr w:type="spellStart"/>
            <w:r w:rsidRPr="007B5BFB">
              <w:rPr>
                <w:rFonts w:ascii="Times New Roman" w:hAnsi="Times New Roman"/>
                <w:sz w:val="20"/>
                <w:szCs w:val="20"/>
                <w:shd w:val="clear" w:color="auto" w:fill="FFFFFF"/>
                <w:lang w:val="fr-FR"/>
              </w:rPr>
              <w:t>realizate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cadrul</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schemei</w:t>
            </w:r>
            <w:proofErr w:type="spellEnd"/>
            <w:r w:rsidRPr="007B5BFB">
              <w:rPr>
                <w:rFonts w:ascii="Times New Roman" w:hAnsi="Times New Roman"/>
                <w:sz w:val="20"/>
                <w:szCs w:val="20"/>
                <w:shd w:val="clear" w:color="auto" w:fill="FFFFFF"/>
                <w:lang w:val="fr-FR"/>
              </w:rPr>
              <w:t>);</w:t>
            </w:r>
          </w:p>
          <w:p w14:paraId="5BA6D0B9" w14:textId="1B072FE4"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7B5BFB">
              <w:rPr>
                <w:rFonts w:ascii="Times New Roman" w:hAnsi="Times New Roman"/>
                <w:sz w:val="20"/>
                <w:szCs w:val="20"/>
                <w:shd w:val="clear" w:color="auto" w:fill="FFFFFF"/>
                <w:lang w:val="fr-FR"/>
              </w:rPr>
              <w:t>publicarea</w:t>
            </w:r>
            <w:proofErr w:type="spellEnd"/>
            <w:proofErr w:type="gram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economiilor</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energie</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realizate</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fiecare</w:t>
            </w:r>
            <w:proofErr w:type="spellEnd"/>
            <w:r w:rsidRPr="007B5BFB">
              <w:rPr>
                <w:rFonts w:ascii="Times New Roman" w:hAnsi="Times New Roman"/>
                <w:sz w:val="20"/>
                <w:szCs w:val="20"/>
                <w:shd w:val="clear" w:color="auto" w:fill="FFFFFF"/>
                <w:lang w:val="fr-FR"/>
              </w:rPr>
              <w:t xml:space="preserve"> an) în </w:t>
            </w:r>
            <w:proofErr w:type="spellStart"/>
            <w:r w:rsidRPr="007B5BFB">
              <w:rPr>
                <w:rFonts w:ascii="Times New Roman" w:hAnsi="Times New Roman"/>
                <w:sz w:val="20"/>
                <w:szCs w:val="20"/>
                <w:shd w:val="clear" w:color="auto" w:fill="FFFFFF"/>
                <w:lang w:val="fr-FR"/>
              </w:rPr>
              <w:t>cadrul</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schemei</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obligații</w:t>
            </w:r>
            <w:proofErr w:type="spellEnd"/>
            <w:r w:rsidRPr="007B5BFB">
              <w:rPr>
                <w:rFonts w:ascii="Times New Roman" w:hAnsi="Times New Roman"/>
                <w:sz w:val="20"/>
                <w:szCs w:val="20"/>
                <w:shd w:val="clear" w:color="auto" w:fill="FFFFFF"/>
                <w:lang w:val="fr-FR"/>
              </w:rPr>
              <w:t xml:space="preserve"> în </w:t>
            </w:r>
            <w:proofErr w:type="spellStart"/>
            <w:r w:rsidRPr="007B5BFB">
              <w:rPr>
                <w:rFonts w:ascii="Times New Roman" w:hAnsi="Times New Roman"/>
                <w:sz w:val="20"/>
                <w:szCs w:val="20"/>
                <w:shd w:val="clear" w:color="auto" w:fill="FFFFFF"/>
                <w:lang w:val="fr-FR"/>
              </w:rPr>
              <w:t>materie</w:t>
            </w:r>
            <w:proofErr w:type="spellEnd"/>
            <w:r w:rsidRPr="007B5BFB">
              <w:rPr>
                <w:rFonts w:ascii="Times New Roman" w:hAnsi="Times New Roman"/>
                <w:sz w:val="20"/>
                <w:szCs w:val="20"/>
                <w:shd w:val="clear" w:color="auto" w:fill="FFFFFF"/>
                <w:lang w:val="fr-FR"/>
              </w:rPr>
              <w:t xml:space="preserve"> de </w:t>
            </w:r>
            <w:proofErr w:type="spellStart"/>
            <w:r w:rsidRPr="007B5BFB">
              <w:rPr>
                <w:rFonts w:ascii="Times New Roman" w:hAnsi="Times New Roman"/>
                <w:sz w:val="20"/>
                <w:szCs w:val="20"/>
                <w:shd w:val="clear" w:color="auto" w:fill="FFFFFF"/>
                <w:lang w:val="fr-FR"/>
              </w:rPr>
              <w:t>eficiență</w:t>
            </w:r>
            <w:proofErr w:type="spellEnd"/>
            <w:r w:rsidRPr="007B5BFB">
              <w:rPr>
                <w:rFonts w:ascii="Times New Roman" w:hAnsi="Times New Roman"/>
                <w:sz w:val="20"/>
                <w:szCs w:val="20"/>
                <w:shd w:val="clear" w:color="auto" w:fill="FFFFFF"/>
                <w:lang w:val="fr-FR"/>
              </w:rPr>
              <w:t xml:space="preserve"> </w:t>
            </w:r>
            <w:proofErr w:type="spellStart"/>
            <w:r w:rsidRPr="007B5BFB">
              <w:rPr>
                <w:rFonts w:ascii="Times New Roman" w:hAnsi="Times New Roman"/>
                <w:sz w:val="20"/>
                <w:szCs w:val="20"/>
                <w:shd w:val="clear" w:color="auto" w:fill="FFFFFF"/>
                <w:lang w:val="fr-FR"/>
              </w:rPr>
              <w:t>energetică</w:t>
            </w:r>
            <w:proofErr w:type="spellEnd"/>
            <w:r w:rsidRPr="007B5BFB">
              <w:rPr>
                <w:rFonts w:ascii="Times New Roman" w:hAnsi="Times New Roman"/>
                <w:sz w:val="20"/>
                <w:szCs w:val="20"/>
                <w:shd w:val="clear" w:color="auto" w:fill="FFFFFF"/>
                <w:lang w:val="fr-FR"/>
              </w:rPr>
              <w:t xml:space="preserve"> și al </w:t>
            </w:r>
            <w:proofErr w:type="spellStart"/>
            <w:r w:rsidRPr="007B5BFB">
              <w:rPr>
                <w:rFonts w:ascii="Times New Roman" w:hAnsi="Times New Roman"/>
                <w:sz w:val="20"/>
                <w:szCs w:val="20"/>
                <w:shd w:val="clear" w:color="auto" w:fill="FFFFFF"/>
                <w:lang w:val="fr-FR"/>
              </w:rPr>
              <w:t>măsurilor</w:t>
            </w:r>
            <w:proofErr w:type="spellEnd"/>
            <w:r w:rsidRPr="007B5BFB">
              <w:rPr>
                <w:rFonts w:ascii="Times New Roman" w:hAnsi="Times New Roman"/>
                <w:sz w:val="20"/>
                <w:szCs w:val="20"/>
                <w:shd w:val="clear" w:color="auto" w:fill="FFFFFF"/>
                <w:lang w:val="fr-FR"/>
              </w:rPr>
              <w:t xml:space="preserve"> alternative;</w:t>
            </w:r>
          </w:p>
          <w:p w14:paraId="47BDB139" w14:textId="77777777" w:rsidR="008F5636" w:rsidRPr="007B5BFB" w:rsidRDefault="008F5636" w:rsidP="000C5A3B">
            <w:pPr>
              <w:pStyle w:val="ColorfulList-Accent11"/>
              <w:numPr>
                <w:ilvl w:val="0"/>
                <w:numId w:val="61"/>
              </w:numPr>
              <w:spacing w:after="0" w:line="240" w:lineRule="auto"/>
              <w:ind w:left="470" w:hanging="357"/>
              <w:jc w:val="both"/>
              <w:rPr>
                <w:rFonts w:ascii="Times New Roman" w:hAnsi="Times New Roman"/>
                <w:sz w:val="20"/>
                <w:szCs w:val="20"/>
                <w:shd w:val="clear" w:color="auto" w:fill="FFFFFF"/>
              </w:rPr>
            </w:pPr>
            <w:proofErr w:type="spellStart"/>
            <w:r w:rsidRPr="007B5BFB">
              <w:rPr>
                <w:rFonts w:ascii="Times New Roman" w:hAnsi="Times New Roman"/>
                <w:sz w:val="20"/>
                <w:szCs w:val="20"/>
                <w:shd w:val="clear" w:color="auto" w:fill="FFFFFF"/>
              </w:rPr>
              <w:t>informații</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despre</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dreptul</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statelor</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membre</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privind</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sancțiunile</w:t>
            </w:r>
            <w:proofErr w:type="spellEnd"/>
            <w:r w:rsidRPr="007B5BFB">
              <w:rPr>
                <w:rFonts w:ascii="Times New Roman" w:hAnsi="Times New Roman"/>
                <w:sz w:val="20"/>
                <w:szCs w:val="20"/>
                <w:shd w:val="clear" w:color="auto" w:fill="FFFFFF"/>
              </w:rPr>
              <w:t xml:space="preserve"> care </w:t>
            </w:r>
            <w:proofErr w:type="spellStart"/>
            <w:r w:rsidRPr="007B5BFB">
              <w:rPr>
                <w:rFonts w:ascii="Times New Roman" w:hAnsi="Times New Roman"/>
                <w:sz w:val="20"/>
                <w:szCs w:val="20"/>
                <w:shd w:val="clear" w:color="auto" w:fill="FFFFFF"/>
              </w:rPr>
              <w:t>trebuie</w:t>
            </w:r>
            <w:proofErr w:type="spellEnd"/>
            <w:r w:rsidRPr="007B5BFB">
              <w:rPr>
                <w:rFonts w:ascii="Times New Roman" w:hAnsi="Times New Roman"/>
                <w:sz w:val="20"/>
                <w:szCs w:val="20"/>
                <w:shd w:val="clear" w:color="auto" w:fill="FFFFFF"/>
              </w:rPr>
              <w:t xml:space="preserve"> </w:t>
            </w:r>
            <w:proofErr w:type="spellStart"/>
            <w:r w:rsidRPr="007B5BFB">
              <w:rPr>
                <w:rFonts w:ascii="Times New Roman" w:hAnsi="Times New Roman"/>
                <w:sz w:val="20"/>
                <w:szCs w:val="20"/>
                <w:shd w:val="clear" w:color="auto" w:fill="FFFFFF"/>
              </w:rPr>
              <w:t>aplicate</w:t>
            </w:r>
            <w:proofErr w:type="spellEnd"/>
            <w:r w:rsidRPr="007B5BFB">
              <w:rPr>
                <w:rFonts w:ascii="Times New Roman" w:hAnsi="Times New Roman"/>
                <w:sz w:val="20"/>
                <w:szCs w:val="20"/>
                <w:shd w:val="clear" w:color="auto" w:fill="FFFFFF"/>
              </w:rPr>
              <w:t xml:space="preserve"> în </w:t>
            </w:r>
            <w:proofErr w:type="spellStart"/>
            <w:r w:rsidRPr="007B5BFB">
              <w:rPr>
                <w:rFonts w:ascii="Times New Roman" w:hAnsi="Times New Roman"/>
                <w:sz w:val="20"/>
                <w:szCs w:val="20"/>
                <w:shd w:val="clear" w:color="auto" w:fill="FFFFFF"/>
              </w:rPr>
              <w:t>caz</w:t>
            </w:r>
            <w:proofErr w:type="spellEnd"/>
            <w:r w:rsidRPr="007B5BFB">
              <w:rPr>
                <w:rFonts w:ascii="Times New Roman" w:hAnsi="Times New Roman"/>
                <w:sz w:val="20"/>
                <w:szCs w:val="20"/>
                <w:shd w:val="clear" w:color="auto" w:fill="FFFFFF"/>
              </w:rPr>
              <w:t xml:space="preserve"> de </w:t>
            </w:r>
            <w:proofErr w:type="spellStart"/>
            <w:proofErr w:type="gramStart"/>
            <w:r w:rsidRPr="007B5BFB">
              <w:rPr>
                <w:rFonts w:ascii="Times New Roman" w:hAnsi="Times New Roman"/>
                <w:sz w:val="20"/>
                <w:szCs w:val="20"/>
                <w:shd w:val="clear" w:color="auto" w:fill="FFFFFF"/>
              </w:rPr>
              <w:t>neconformitate</w:t>
            </w:r>
            <w:proofErr w:type="spellEnd"/>
            <w:r w:rsidRPr="007B5BFB">
              <w:rPr>
                <w:rFonts w:ascii="Times New Roman" w:hAnsi="Times New Roman"/>
                <w:sz w:val="20"/>
                <w:szCs w:val="20"/>
                <w:shd w:val="clear" w:color="auto" w:fill="FFFFFF"/>
              </w:rPr>
              <w:t>;</w:t>
            </w:r>
            <w:proofErr w:type="gramEnd"/>
          </w:p>
          <w:p w14:paraId="589C20D6" w14:textId="2577B75A" w:rsidR="008F5636" w:rsidRPr="007B5BFB" w:rsidRDefault="008F5636" w:rsidP="000C5A3B">
            <w:pPr>
              <w:pStyle w:val="Normal4"/>
              <w:numPr>
                <w:ilvl w:val="0"/>
                <w:numId w:val="61"/>
              </w:numPr>
              <w:spacing w:before="0" w:beforeAutospacing="0" w:after="0" w:afterAutospacing="0"/>
              <w:ind w:left="470" w:hanging="357"/>
              <w:jc w:val="both"/>
              <w:rPr>
                <w:sz w:val="20"/>
                <w:szCs w:val="20"/>
              </w:rPr>
            </w:pPr>
            <w:r w:rsidRPr="007B5BFB">
              <w:rPr>
                <w:sz w:val="20"/>
                <w:szCs w:val="20"/>
              </w:rPr>
              <w:lastRenderedPageBreak/>
              <w:t>informații privind măsurile de politică prevăzute în cazul în care progresele nu sunt satisfăcătoare.</w:t>
            </w:r>
          </w:p>
        </w:tc>
        <w:tc>
          <w:tcPr>
            <w:tcW w:w="4440" w:type="dxa"/>
          </w:tcPr>
          <w:p w14:paraId="78A490C0" w14:textId="10010C19" w:rsidR="00742331" w:rsidRPr="00D67389" w:rsidRDefault="00742331" w:rsidP="005D5B0E">
            <w:pPr>
              <w:pStyle w:val="ColorfulList-Accent11"/>
              <w:spacing w:after="0" w:line="240" w:lineRule="auto"/>
              <w:ind w:left="113"/>
              <w:jc w:val="both"/>
              <w:rPr>
                <w:rFonts w:ascii="Times New Roman" w:hAnsi="Times New Roman"/>
                <w:sz w:val="24"/>
                <w:szCs w:val="24"/>
                <w:shd w:val="clear" w:color="auto" w:fill="FFFFFF"/>
                <w:lang w:val="ro-RO"/>
              </w:rPr>
            </w:pPr>
          </w:p>
        </w:tc>
        <w:tc>
          <w:tcPr>
            <w:tcW w:w="1276" w:type="dxa"/>
          </w:tcPr>
          <w:p w14:paraId="48B7ADD7" w14:textId="77777777" w:rsidR="00331AB8" w:rsidRPr="00C951E7" w:rsidRDefault="00331AB8" w:rsidP="00331AB8">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w:t>
            </w:r>
            <w:r w:rsidRPr="00C951E7">
              <w:rPr>
                <w:rFonts w:ascii="Times New Roman" w:hAnsi="Times New Roman"/>
                <w:bCs/>
                <w:color w:val="000000" w:themeColor="text1"/>
                <w:sz w:val="20"/>
                <w:szCs w:val="20"/>
                <w:lang w:val="ro-RO"/>
              </w:rPr>
              <w:t>ompatibil</w:t>
            </w:r>
          </w:p>
          <w:p w14:paraId="5C51FBE0" w14:textId="77777777" w:rsidR="008F5636" w:rsidRPr="00D93509" w:rsidRDefault="008F5636" w:rsidP="00331AB8">
            <w:pPr>
              <w:spacing w:after="0" w:line="240" w:lineRule="auto"/>
              <w:rPr>
                <w:lang w:val="ro-MD"/>
              </w:rPr>
            </w:pPr>
          </w:p>
        </w:tc>
        <w:tc>
          <w:tcPr>
            <w:tcW w:w="1276" w:type="dxa"/>
          </w:tcPr>
          <w:p w14:paraId="5038B064" w14:textId="77777777" w:rsidR="008F5636" w:rsidRPr="00D93509" w:rsidRDefault="008F5636" w:rsidP="008F5636">
            <w:pPr>
              <w:pStyle w:val="ColorfulList-Accent11"/>
              <w:spacing w:after="0" w:line="240" w:lineRule="auto"/>
              <w:ind w:left="0"/>
              <w:jc w:val="both"/>
              <w:rPr>
                <w:lang w:val="ro-MD"/>
              </w:rPr>
            </w:pPr>
          </w:p>
        </w:tc>
        <w:tc>
          <w:tcPr>
            <w:tcW w:w="1701" w:type="dxa"/>
          </w:tcPr>
          <w:p w14:paraId="6FB86E7B" w14:textId="77777777" w:rsidR="005D5B0E" w:rsidRPr="003C74D7" w:rsidRDefault="005D5B0E" w:rsidP="005D5B0E">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în </w:t>
            </w:r>
          </w:p>
          <w:p w14:paraId="11735142" w14:textId="77777777" w:rsidR="005D5B0E" w:rsidRDefault="005D5B0E" w:rsidP="005D5B0E">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lastRenderedPageBreak/>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29D3DB60" w14:textId="48EC723F" w:rsidR="008F5636" w:rsidRPr="005D5B0E" w:rsidRDefault="008F5636" w:rsidP="003274E5">
            <w:pPr>
              <w:pStyle w:val="ColorfulList-Accent11"/>
              <w:spacing w:after="0" w:line="240" w:lineRule="auto"/>
              <w:ind w:left="0"/>
              <w:jc w:val="both"/>
              <w:rPr>
                <w:lang w:val="ro-RO"/>
              </w:rPr>
            </w:pPr>
          </w:p>
        </w:tc>
        <w:tc>
          <w:tcPr>
            <w:tcW w:w="1460" w:type="dxa"/>
          </w:tcPr>
          <w:p w14:paraId="64AD4EFD" w14:textId="51C235BD" w:rsidR="00DA405E" w:rsidRPr="003F755D" w:rsidRDefault="00DA405E" w:rsidP="00DA405E">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r w:rsidR="005F0EA2" w:rsidRPr="00A81801">
              <w:rPr>
                <w:rFonts w:ascii="Times New Roman" w:hAnsi="Times New Roman"/>
                <w:color w:val="000000" w:themeColor="text1"/>
                <w:sz w:val="20"/>
                <w:szCs w:val="20"/>
              </w:rPr>
              <w:t>Energiei</w:t>
            </w:r>
          </w:p>
          <w:p w14:paraId="3F93ACB2" w14:textId="77777777" w:rsidR="008F5636" w:rsidRPr="00D93509" w:rsidRDefault="008F5636" w:rsidP="008F5636">
            <w:pPr>
              <w:pStyle w:val="ColorfulList-Accent11"/>
              <w:spacing w:after="0" w:line="240" w:lineRule="auto"/>
              <w:ind w:left="0"/>
              <w:jc w:val="both"/>
              <w:rPr>
                <w:lang w:val="ro-MD"/>
              </w:rPr>
            </w:pPr>
          </w:p>
        </w:tc>
      </w:tr>
      <w:tr w:rsidR="008F5636" w:rsidRPr="000C147E" w14:paraId="3343AA37" w14:textId="77777777" w:rsidTr="00A90105">
        <w:tc>
          <w:tcPr>
            <w:tcW w:w="4945" w:type="dxa"/>
          </w:tcPr>
          <w:p w14:paraId="61B8F015" w14:textId="77777777" w:rsidR="008F5636" w:rsidRPr="007820EC" w:rsidRDefault="008F5636" w:rsidP="008F5636">
            <w:pPr>
              <w:pStyle w:val="doc-ti"/>
              <w:shd w:val="clear" w:color="auto" w:fill="FFFFFF"/>
              <w:spacing w:before="0" w:beforeAutospacing="0" w:after="0" w:afterAutospacing="0"/>
              <w:jc w:val="center"/>
              <w:rPr>
                <w:b/>
                <w:bCs/>
                <w:sz w:val="20"/>
                <w:szCs w:val="20"/>
                <w:lang w:val="ro-MD"/>
              </w:rPr>
            </w:pPr>
            <w:r w:rsidRPr="007820EC">
              <w:rPr>
                <w:b/>
                <w:bCs/>
                <w:sz w:val="20"/>
                <w:szCs w:val="20"/>
                <w:lang w:val="en-US"/>
              </w:rPr>
              <w:lastRenderedPageBreak/>
              <w:t>ANEXA IV</w:t>
            </w:r>
          </w:p>
          <w:p w14:paraId="0EDF2F2C" w14:textId="77777777" w:rsidR="008F5636" w:rsidRPr="007820EC" w:rsidRDefault="008F5636" w:rsidP="008F5636">
            <w:pPr>
              <w:pStyle w:val="ti-grseq-1"/>
              <w:shd w:val="clear" w:color="auto" w:fill="FFFFFF"/>
              <w:spacing w:before="0" w:beforeAutospacing="0" w:after="0" w:afterAutospacing="0"/>
              <w:jc w:val="both"/>
              <w:rPr>
                <w:b/>
                <w:bCs/>
                <w:sz w:val="20"/>
                <w:szCs w:val="20"/>
              </w:rPr>
            </w:pPr>
            <w:r w:rsidRPr="007820EC">
              <w:rPr>
                <w:rStyle w:val="bold"/>
                <w:b/>
                <w:bCs/>
                <w:sz w:val="20"/>
                <w:szCs w:val="20"/>
              </w:rPr>
              <w:t>CADRUL GENERAL PENTRU STRATEGIILE PE TERMEN LUNG</w:t>
            </w:r>
          </w:p>
          <w:p w14:paraId="232160C9" w14:textId="6FBC237F" w:rsidR="008F5636" w:rsidRPr="007820EC" w:rsidRDefault="008F5636" w:rsidP="008F5636">
            <w:pPr>
              <w:pStyle w:val="ti-grseq-1"/>
              <w:shd w:val="clear" w:color="auto" w:fill="FFFFFF"/>
              <w:spacing w:before="0" w:beforeAutospacing="0" w:after="0" w:afterAutospacing="0"/>
              <w:jc w:val="both"/>
              <w:rPr>
                <w:b/>
                <w:bCs/>
                <w:sz w:val="20"/>
                <w:szCs w:val="20"/>
              </w:rPr>
            </w:pPr>
            <w:r w:rsidRPr="007820EC">
              <w:rPr>
                <w:b/>
                <w:bCs/>
                <w:sz w:val="20"/>
                <w:szCs w:val="20"/>
              </w:rPr>
              <w:t>1.PREZENTARE GENERALĂ ȘI PROCESUL DE ELABORARE A STRATEGIILOR</w:t>
            </w:r>
          </w:p>
          <w:p w14:paraId="76936BC5"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1.1. </w:t>
            </w:r>
            <w:proofErr w:type="spellStart"/>
            <w:r w:rsidRPr="007820EC">
              <w:rPr>
                <w:rFonts w:ascii="Times New Roman" w:hAnsi="Times New Roman"/>
                <w:sz w:val="20"/>
                <w:szCs w:val="20"/>
                <w:shd w:val="clear" w:color="auto" w:fill="FFFFFF"/>
                <w:lang w:val="fr-FR"/>
              </w:rPr>
              <w:t>Rezumat</w:t>
            </w:r>
            <w:proofErr w:type="spellEnd"/>
          </w:p>
          <w:p w14:paraId="13DE6A45"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1.</w:t>
            </w:r>
            <w:proofErr w:type="gramStart"/>
            <w:r w:rsidRPr="007820EC">
              <w:rPr>
                <w:rFonts w:ascii="Times New Roman" w:hAnsi="Times New Roman"/>
                <w:sz w:val="20"/>
                <w:szCs w:val="20"/>
                <w:shd w:val="clear" w:color="auto" w:fill="FFFFFF"/>
                <w:lang w:val="fr-FR"/>
              </w:rPr>
              <w:t>2.Contextul</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juridic</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contextul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politicii</w:t>
            </w:r>
            <w:proofErr w:type="spellEnd"/>
          </w:p>
          <w:p w14:paraId="0F30CB0D"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1.3. </w:t>
            </w:r>
            <w:proofErr w:type="spellStart"/>
            <w:r w:rsidRPr="007820EC">
              <w:rPr>
                <w:rFonts w:ascii="Times New Roman" w:hAnsi="Times New Roman"/>
                <w:sz w:val="20"/>
                <w:szCs w:val="20"/>
                <w:shd w:val="clear" w:color="auto" w:fill="FFFFFF"/>
                <w:lang w:val="fr-FR"/>
              </w:rPr>
              <w:t>Consultarea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publică</w:t>
            </w:r>
            <w:proofErr w:type="spellEnd"/>
          </w:p>
          <w:p w14:paraId="7021306D"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2.CONȚINUT</w:t>
            </w:r>
          </w:p>
          <w:p w14:paraId="0210B16E"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2.</w:t>
            </w:r>
            <w:proofErr w:type="gramStart"/>
            <w:r w:rsidRPr="007820EC">
              <w:rPr>
                <w:rFonts w:ascii="Times New Roman" w:hAnsi="Times New Roman"/>
                <w:b/>
                <w:bCs/>
                <w:sz w:val="20"/>
                <w:szCs w:val="20"/>
                <w:shd w:val="clear" w:color="auto" w:fill="FFFFFF"/>
                <w:lang w:val="fr-FR"/>
              </w:rPr>
              <w:t>1.REDUCERILE</w:t>
            </w:r>
            <w:proofErr w:type="gramEnd"/>
            <w:r w:rsidRPr="007820EC">
              <w:rPr>
                <w:rFonts w:ascii="Times New Roman" w:hAnsi="Times New Roman"/>
                <w:b/>
                <w:bCs/>
                <w:sz w:val="20"/>
                <w:szCs w:val="20"/>
                <w:shd w:val="clear" w:color="auto" w:fill="FFFFFF"/>
                <w:lang w:val="fr-FR"/>
              </w:rPr>
              <w:t xml:space="preserve"> TOTALE ALE EMISIILOR DE GES ȘI SPORIREA ABSORBȚIILOR DE CĂTRE ABSORBANȚI</w:t>
            </w:r>
          </w:p>
          <w:p w14:paraId="108C2EA4" w14:textId="07467EBA"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2.1.1. </w:t>
            </w:r>
            <w:proofErr w:type="spellStart"/>
            <w:r w:rsidRPr="007820EC">
              <w:rPr>
                <w:rFonts w:ascii="Times New Roman" w:hAnsi="Times New Roman"/>
                <w:sz w:val="20"/>
                <w:szCs w:val="20"/>
                <w:shd w:val="clear" w:color="auto" w:fill="FFFFFF"/>
                <w:lang w:val="fr-FR"/>
              </w:rPr>
              <w:t>Reducerile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preconizate</w:t>
            </w:r>
            <w:proofErr w:type="spellEnd"/>
            <w:r w:rsidRPr="007820EC">
              <w:rPr>
                <w:rFonts w:ascii="Times New Roman" w:hAnsi="Times New Roman"/>
                <w:sz w:val="20"/>
                <w:szCs w:val="20"/>
                <w:shd w:val="clear" w:color="auto" w:fill="FFFFFF"/>
                <w:lang w:val="fr-FR"/>
              </w:rPr>
              <w:t xml:space="preserve"> ale </w:t>
            </w:r>
            <w:proofErr w:type="spellStart"/>
            <w:r w:rsidRPr="007820EC">
              <w:rPr>
                <w:rFonts w:ascii="Times New Roman" w:hAnsi="Times New Roman"/>
                <w:sz w:val="20"/>
                <w:szCs w:val="20"/>
                <w:shd w:val="clear" w:color="auto" w:fill="FFFFFF"/>
                <w:lang w:val="fr-FR"/>
              </w:rPr>
              <w:t>emisiilor</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sporirea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absorbțiilor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până</w:t>
            </w:r>
            <w:proofErr w:type="spellEnd"/>
            <w:r w:rsidRPr="007820EC">
              <w:rPr>
                <w:rFonts w:ascii="Times New Roman" w:hAnsi="Times New Roman"/>
                <w:sz w:val="20"/>
                <w:szCs w:val="20"/>
                <w:shd w:val="clear" w:color="auto" w:fill="FFFFFF"/>
                <w:lang w:val="fr-FR"/>
              </w:rPr>
              <w:t xml:space="preserve"> în 2050</w:t>
            </w:r>
          </w:p>
          <w:p w14:paraId="2A09ACEF"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2.1.2. </w:t>
            </w:r>
            <w:proofErr w:type="spellStart"/>
            <w:r w:rsidRPr="007820EC">
              <w:rPr>
                <w:rFonts w:ascii="Times New Roman" w:hAnsi="Times New Roman"/>
                <w:sz w:val="20"/>
                <w:szCs w:val="20"/>
                <w:shd w:val="clear" w:color="auto" w:fill="FFFFFF"/>
                <w:lang w:val="fr-FR"/>
              </w:rPr>
              <w:t>Obiectivul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național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2030 și, </w:t>
            </w:r>
            <w:proofErr w:type="spellStart"/>
            <w:r w:rsidRPr="007820EC">
              <w:rPr>
                <w:rFonts w:ascii="Times New Roman" w:hAnsi="Times New Roman"/>
                <w:sz w:val="20"/>
                <w:szCs w:val="20"/>
                <w:shd w:val="clear" w:color="auto" w:fill="FFFFFF"/>
                <w:lang w:val="fr-FR"/>
              </w:rPr>
              <w:t>dacă</w:t>
            </w:r>
            <w:proofErr w:type="spellEnd"/>
            <w:r w:rsidRPr="007820EC">
              <w:rPr>
                <w:rFonts w:ascii="Times New Roman" w:hAnsi="Times New Roman"/>
                <w:sz w:val="20"/>
                <w:szCs w:val="20"/>
                <w:shd w:val="clear" w:color="auto" w:fill="FFFFFF"/>
                <w:lang w:val="fr-FR"/>
              </w:rPr>
              <w:t xml:space="preserve"> există, </w:t>
            </w:r>
            <w:proofErr w:type="spellStart"/>
            <w:r w:rsidRPr="007820EC">
              <w:rPr>
                <w:rFonts w:ascii="Times New Roman" w:hAnsi="Times New Roman"/>
                <w:sz w:val="20"/>
                <w:szCs w:val="20"/>
                <w:shd w:val="clear" w:color="auto" w:fill="FFFFFF"/>
                <w:lang w:val="fr-FR"/>
              </w:rPr>
              <w:t>după</w:t>
            </w:r>
            <w:proofErr w:type="spellEnd"/>
            <w:r w:rsidRPr="007820EC">
              <w:rPr>
                <w:rFonts w:ascii="Times New Roman" w:hAnsi="Times New Roman"/>
                <w:sz w:val="20"/>
                <w:szCs w:val="20"/>
                <w:shd w:val="clear" w:color="auto" w:fill="FFFFFF"/>
                <w:lang w:val="fr-FR"/>
              </w:rPr>
              <w:t xml:space="preserve"> 2030 și </w:t>
            </w:r>
            <w:proofErr w:type="spellStart"/>
            <w:r w:rsidRPr="007820EC">
              <w:rPr>
                <w:rFonts w:ascii="Times New Roman" w:hAnsi="Times New Roman"/>
                <w:sz w:val="20"/>
                <w:szCs w:val="20"/>
                <w:shd w:val="clear" w:color="auto" w:fill="FFFFFF"/>
                <w:lang w:val="fr-FR"/>
              </w:rPr>
              <w:t>etapele</w:t>
            </w:r>
            <w:proofErr w:type="spellEnd"/>
            <w:r w:rsidRPr="007820EC">
              <w:rPr>
                <w:rFonts w:ascii="Times New Roman" w:hAnsi="Times New Roman"/>
                <w:sz w:val="20"/>
                <w:szCs w:val="20"/>
                <w:shd w:val="clear" w:color="auto" w:fill="FFFFFF"/>
                <w:lang w:val="fr-FR"/>
              </w:rPr>
              <w:t xml:space="preserve"> orientative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2040 și 2050</w:t>
            </w:r>
          </w:p>
          <w:p w14:paraId="42EF6EE2"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2.1.3. </w:t>
            </w:r>
            <w:proofErr w:type="spellStart"/>
            <w:r w:rsidRPr="007820EC">
              <w:rPr>
                <w:rFonts w:ascii="Times New Roman" w:hAnsi="Times New Roman"/>
                <w:sz w:val="20"/>
                <w:szCs w:val="20"/>
                <w:shd w:val="clear" w:color="auto" w:fill="FFFFFF"/>
                <w:lang w:val="fr-FR"/>
              </w:rPr>
              <w:t>Politici</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măsuri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adaptare</w:t>
            </w:r>
            <w:proofErr w:type="spellEnd"/>
          </w:p>
          <w:p w14:paraId="0553E49D" w14:textId="694E98BD"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2.2. ENERGIA DIN SURSE REGENERABILE</w:t>
            </w:r>
          </w:p>
          <w:p w14:paraId="097836C8"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2.2.</w:t>
            </w:r>
            <w:proofErr w:type="gramStart"/>
            <w:r w:rsidRPr="007820EC">
              <w:rPr>
                <w:rFonts w:ascii="Times New Roman" w:hAnsi="Times New Roman"/>
                <w:sz w:val="20"/>
                <w:szCs w:val="20"/>
                <w:shd w:val="clear" w:color="auto" w:fill="FFFFFF"/>
                <w:lang w:val="fr-FR"/>
              </w:rPr>
              <w:t>1.În</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măsura</w:t>
            </w:r>
            <w:proofErr w:type="spellEnd"/>
            <w:r w:rsidRPr="007820EC">
              <w:rPr>
                <w:rFonts w:ascii="Times New Roman" w:hAnsi="Times New Roman"/>
                <w:sz w:val="20"/>
                <w:szCs w:val="20"/>
                <w:shd w:val="clear" w:color="auto" w:fill="FFFFFF"/>
                <w:lang w:val="fr-FR"/>
              </w:rPr>
              <w:t xml:space="preserve"> în care este </w:t>
            </w:r>
            <w:proofErr w:type="spellStart"/>
            <w:r w:rsidRPr="007820EC">
              <w:rPr>
                <w:rFonts w:ascii="Times New Roman" w:hAnsi="Times New Roman"/>
                <w:sz w:val="20"/>
                <w:szCs w:val="20"/>
                <w:shd w:val="clear" w:color="auto" w:fill="FFFFFF"/>
                <w:lang w:val="fr-FR"/>
              </w:rPr>
              <w:t>fezabil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ponderea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estimată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probabilă</w:t>
            </w:r>
            <w:proofErr w:type="spellEnd"/>
            <w:r w:rsidRPr="007820EC">
              <w:rPr>
                <w:rFonts w:ascii="Times New Roman" w:hAnsi="Times New Roman"/>
                <w:sz w:val="20"/>
                <w:szCs w:val="20"/>
                <w:shd w:val="clear" w:color="auto" w:fill="FFFFFF"/>
                <w:lang w:val="fr-FR"/>
              </w:rPr>
              <w:t xml:space="preserve"> a energiei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surse </w:t>
            </w:r>
            <w:proofErr w:type="spellStart"/>
            <w:r w:rsidRPr="007820EC">
              <w:rPr>
                <w:rFonts w:ascii="Times New Roman" w:hAnsi="Times New Roman"/>
                <w:sz w:val="20"/>
                <w:szCs w:val="20"/>
                <w:shd w:val="clear" w:color="auto" w:fill="FFFFFF"/>
                <w:lang w:val="fr-FR"/>
              </w:rPr>
              <w:t>regenerabile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consumul</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energie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finală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până</w:t>
            </w:r>
            <w:proofErr w:type="spellEnd"/>
            <w:r w:rsidRPr="007820EC">
              <w:rPr>
                <w:rFonts w:ascii="Times New Roman" w:hAnsi="Times New Roman"/>
                <w:sz w:val="20"/>
                <w:szCs w:val="20"/>
                <w:shd w:val="clear" w:color="auto" w:fill="FFFFFF"/>
                <w:lang w:val="fr-FR"/>
              </w:rPr>
              <w:t xml:space="preserve"> în 2050</w:t>
            </w:r>
          </w:p>
          <w:p w14:paraId="1EF03B6C" w14:textId="0D113C9A"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2.3. EFICIENȚA ENERGETICĂ</w:t>
            </w:r>
          </w:p>
          <w:p w14:paraId="1607BD88"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2.3.1 În </w:t>
            </w:r>
            <w:proofErr w:type="spellStart"/>
            <w:r w:rsidRPr="007820EC">
              <w:rPr>
                <w:rFonts w:ascii="Times New Roman" w:hAnsi="Times New Roman"/>
                <w:sz w:val="20"/>
                <w:szCs w:val="20"/>
                <w:shd w:val="clear" w:color="auto" w:fill="FFFFFF"/>
                <w:lang w:val="fr-FR"/>
              </w:rPr>
              <w:t>măsura</w:t>
            </w:r>
            <w:proofErr w:type="spellEnd"/>
            <w:r w:rsidRPr="007820EC">
              <w:rPr>
                <w:rFonts w:ascii="Times New Roman" w:hAnsi="Times New Roman"/>
                <w:sz w:val="20"/>
                <w:szCs w:val="20"/>
                <w:shd w:val="clear" w:color="auto" w:fill="FFFFFF"/>
                <w:lang w:val="fr-FR"/>
              </w:rPr>
              <w:t xml:space="preserve"> în care este </w:t>
            </w:r>
            <w:proofErr w:type="spellStart"/>
            <w:r w:rsidRPr="007820EC">
              <w:rPr>
                <w:rFonts w:ascii="Times New Roman" w:hAnsi="Times New Roman"/>
                <w:sz w:val="20"/>
                <w:szCs w:val="20"/>
                <w:shd w:val="clear" w:color="auto" w:fill="FFFFFF"/>
                <w:lang w:val="fr-FR"/>
              </w:rPr>
              <w:t>fezabil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consumul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estimat</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probabil</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energie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până</w:t>
            </w:r>
            <w:proofErr w:type="spellEnd"/>
            <w:r w:rsidRPr="007820EC">
              <w:rPr>
                <w:rFonts w:ascii="Times New Roman" w:hAnsi="Times New Roman"/>
                <w:sz w:val="20"/>
                <w:szCs w:val="20"/>
                <w:shd w:val="clear" w:color="auto" w:fill="FFFFFF"/>
                <w:lang w:val="fr-FR"/>
              </w:rPr>
              <w:t xml:space="preserve"> în 2050</w:t>
            </w:r>
          </w:p>
          <w:p w14:paraId="1CCEC731" w14:textId="537365B2"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rPr>
            </w:pPr>
            <w:r w:rsidRPr="007820EC">
              <w:rPr>
                <w:rFonts w:ascii="Times New Roman" w:hAnsi="Times New Roman"/>
                <w:b/>
                <w:bCs/>
                <w:sz w:val="20"/>
                <w:szCs w:val="20"/>
                <w:shd w:val="clear" w:color="auto" w:fill="FFFFFF"/>
              </w:rPr>
              <w:t>2.4. CONȚINUT LEGAT ÎN MOD SPECIFIC DE SECTOR</w:t>
            </w:r>
          </w:p>
          <w:p w14:paraId="5F510F07" w14:textId="77069AF3"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rPr>
            </w:pPr>
            <w:r w:rsidRPr="007820EC">
              <w:rPr>
                <w:rFonts w:ascii="Times New Roman" w:hAnsi="Times New Roman"/>
                <w:b/>
                <w:bCs/>
                <w:sz w:val="20"/>
                <w:szCs w:val="20"/>
                <w:shd w:val="clear" w:color="auto" w:fill="FFFFFF"/>
              </w:rPr>
              <w:t xml:space="preserve">2.4.1. </w:t>
            </w:r>
            <w:proofErr w:type="spellStart"/>
            <w:r w:rsidRPr="007820EC">
              <w:rPr>
                <w:rFonts w:ascii="Times New Roman" w:hAnsi="Times New Roman"/>
                <w:b/>
                <w:bCs/>
                <w:sz w:val="20"/>
                <w:szCs w:val="20"/>
                <w:shd w:val="clear" w:color="auto" w:fill="FFFFFF"/>
              </w:rPr>
              <w:t>Sistemul</w:t>
            </w:r>
            <w:proofErr w:type="spellEnd"/>
            <w:r w:rsidRPr="007820EC">
              <w:rPr>
                <w:rFonts w:ascii="Times New Roman" w:hAnsi="Times New Roman"/>
                <w:b/>
                <w:bCs/>
                <w:sz w:val="20"/>
                <w:szCs w:val="20"/>
                <w:shd w:val="clear" w:color="auto" w:fill="FFFFFF"/>
              </w:rPr>
              <w:t xml:space="preserve"> energetic</w:t>
            </w:r>
          </w:p>
          <w:p w14:paraId="1F2BD95F" w14:textId="213B3255"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 xml:space="preserve">2.4.1.1. </w:t>
            </w:r>
            <w:proofErr w:type="spellStart"/>
            <w:r w:rsidRPr="007820EC">
              <w:rPr>
                <w:rFonts w:ascii="Times New Roman" w:hAnsi="Times New Roman"/>
                <w:sz w:val="20"/>
                <w:szCs w:val="20"/>
                <w:shd w:val="clear" w:color="auto" w:fill="FFFFFF"/>
              </w:rPr>
              <w:t>Traiectoria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sau</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intervalul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vizat</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sau</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probabil</w:t>
            </w:r>
            <w:proofErr w:type="spellEnd"/>
            <w:r w:rsidRPr="007820EC">
              <w:rPr>
                <w:rFonts w:ascii="Times New Roman" w:hAnsi="Times New Roman"/>
                <w:sz w:val="20"/>
                <w:szCs w:val="20"/>
                <w:shd w:val="clear" w:color="auto" w:fill="FFFFFF"/>
              </w:rPr>
              <w:t xml:space="preserve"> al </w:t>
            </w:r>
            <w:proofErr w:type="spellStart"/>
            <w:r w:rsidRPr="007820EC">
              <w:rPr>
                <w:rFonts w:ascii="Times New Roman" w:hAnsi="Times New Roman"/>
                <w:sz w:val="20"/>
                <w:szCs w:val="20"/>
                <w:shd w:val="clear" w:color="auto" w:fill="FFFFFF"/>
              </w:rPr>
              <w:t>emisiilor</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viitor</w:t>
            </w:r>
            <w:proofErr w:type="spellEnd"/>
          </w:p>
          <w:p w14:paraId="4410BB1B"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 xml:space="preserve">2.4.1.2. </w:t>
            </w:r>
            <w:proofErr w:type="spellStart"/>
            <w:r w:rsidRPr="007820EC">
              <w:rPr>
                <w:rFonts w:ascii="Times New Roman" w:hAnsi="Times New Roman"/>
                <w:sz w:val="20"/>
                <w:szCs w:val="20"/>
                <w:shd w:val="clear" w:color="auto" w:fill="FFFFFF"/>
              </w:rPr>
              <w:t>Descrierea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generală</w:t>
            </w:r>
            <w:proofErr w:type="spellEnd"/>
            <w:r w:rsidRPr="007820EC">
              <w:rPr>
                <w:rFonts w:ascii="Times New Roman" w:hAnsi="Times New Roman"/>
                <w:sz w:val="20"/>
                <w:szCs w:val="20"/>
                <w:shd w:val="clear" w:color="auto" w:fill="FFFFFF"/>
              </w:rPr>
              <w:t xml:space="preserve"> a </w:t>
            </w:r>
            <w:proofErr w:type="spellStart"/>
            <w:r w:rsidRPr="007820EC">
              <w:rPr>
                <w:rFonts w:ascii="Times New Roman" w:hAnsi="Times New Roman"/>
                <w:sz w:val="20"/>
                <w:szCs w:val="20"/>
                <w:shd w:val="clear" w:color="auto" w:fill="FFFFFF"/>
              </w:rPr>
              <w:t>principalilor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factori</w:t>
            </w:r>
            <w:proofErr w:type="spellEnd"/>
            <w:r w:rsidRPr="007820EC">
              <w:rPr>
                <w:rFonts w:ascii="Times New Roman" w:hAnsi="Times New Roman"/>
                <w:sz w:val="20"/>
                <w:szCs w:val="20"/>
                <w:shd w:val="clear" w:color="auto" w:fill="FFFFFF"/>
              </w:rPr>
              <w:t xml:space="preserve"> care </w:t>
            </w:r>
            <w:proofErr w:type="spellStart"/>
            <w:r w:rsidRPr="007820EC">
              <w:rPr>
                <w:rFonts w:ascii="Times New Roman" w:hAnsi="Times New Roman"/>
                <w:sz w:val="20"/>
                <w:szCs w:val="20"/>
                <w:shd w:val="clear" w:color="auto" w:fill="FFFFFF"/>
              </w:rPr>
              <w:t>contribuie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îmbunătățirea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eficienței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energetice</w:t>
            </w:r>
            <w:proofErr w:type="spellEnd"/>
            <w:r w:rsidRPr="007820EC">
              <w:rPr>
                <w:rFonts w:ascii="Times New Roman" w:hAnsi="Times New Roman"/>
                <w:sz w:val="20"/>
                <w:szCs w:val="20"/>
                <w:shd w:val="clear" w:color="auto" w:fill="FFFFFF"/>
              </w:rPr>
              <w:t xml:space="preserve">, a </w:t>
            </w:r>
            <w:proofErr w:type="spellStart"/>
            <w:r w:rsidRPr="007820EC">
              <w:rPr>
                <w:rFonts w:ascii="Times New Roman" w:hAnsi="Times New Roman"/>
                <w:sz w:val="20"/>
                <w:szCs w:val="20"/>
                <w:shd w:val="clear" w:color="auto" w:fill="FFFFFF"/>
              </w:rPr>
              <w:t>flexibilității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cererii</w:t>
            </w:r>
            <w:proofErr w:type="spellEnd"/>
            <w:r w:rsidRPr="007820EC">
              <w:rPr>
                <w:rFonts w:ascii="Times New Roman" w:hAnsi="Times New Roman"/>
                <w:sz w:val="20"/>
                <w:szCs w:val="20"/>
                <w:shd w:val="clear" w:color="auto" w:fill="FFFFFF"/>
              </w:rPr>
              <w:t xml:space="preserve"> și a </w:t>
            </w:r>
            <w:proofErr w:type="spellStart"/>
            <w:r w:rsidRPr="007820EC">
              <w:rPr>
                <w:rFonts w:ascii="Times New Roman" w:hAnsi="Times New Roman"/>
                <w:sz w:val="20"/>
                <w:szCs w:val="20"/>
                <w:shd w:val="clear" w:color="auto" w:fill="FFFFFF"/>
              </w:rPr>
              <w:t>consumului</w:t>
            </w:r>
            <w:proofErr w:type="spell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energie</w:t>
            </w:r>
            <w:proofErr w:type="spellEnd"/>
            <w:r w:rsidRPr="007820EC">
              <w:rPr>
                <w:rFonts w:ascii="Times New Roman" w:hAnsi="Times New Roman"/>
                <w:sz w:val="20"/>
                <w:szCs w:val="20"/>
                <w:shd w:val="clear" w:color="auto" w:fill="FFFFFF"/>
              </w:rPr>
              <w:t xml:space="preserve">, precum și </w:t>
            </w:r>
            <w:proofErr w:type="spellStart"/>
            <w:r w:rsidRPr="007820EC">
              <w:rPr>
                <w:rFonts w:ascii="Times New Roman" w:hAnsi="Times New Roman"/>
                <w:sz w:val="20"/>
                <w:szCs w:val="20"/>
                <w:shd w:val="clear" w:color="auto" w:fill="FFFFFF"/>
              </w:rPr>
              <w:t>evoluția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acestora</w:t>
            </w:r>
            <w:proofErr w:type="spellEnd"/>
            <w:r w:rsidRPr="007820EC">
              <w:rPr>
                <w:rFonts w:ascii="Times New Roman" w:hAnsi="Times New Roman"/>
                <w:sz w:val="20"/>
                <w:szCs w:val="20"/>
                <w:shd w:val="clear" w:color="auto" w:fill="FFFFFF"/>
              </w:rPr>
              <w:t xml:space="preserve"> din 2021 și ulterior</w:t>
            </w:r>
          </w:p>
          <w:p w14:paraId="0294445E" w14:textId="77777777" w:rsidR="008F5636" w:rsidRPr="007820EC" w:rsidRDefault="008F5636" w:rsidP="008F5636">
            <w:pPr>
              <w:pStyle w:val="ColorfulList-Accent11"/>
              <w:spacing w:after="0" w:line="240" w:lineRule="auto"/>
              <w:ind w:left="0"/>
              <w:jc w:val="both"/>
              <w:rPr>
                <w:rFonts w:ascii="Times New Roman" w:hAnsi="Times New Roman"/>
                <w:b/>
                <w:bCs/>
                <w:color w:val="333333"/>
                <w:sz w:val="20"/>
                <w:szCs w:val="20"/>
                <w:shd w:val="clear" w:color="auto" w:fill="FFFFFF"/>
              </w:rPr>
            </w:pPr>
            <w:r w:rsidRPr="007820EC">
              <w:rPr>
                <w:rFonts w:ascii="Times New Roman" w:hAnsi="Times New Roman"/>
                <w:b/>
                <w:bCs/>
                <w:color w:val="333333"/>
                <w:sz w:val="20"/>
                <w:szCs w:val="20"/>
                <w:shd w:val="clear" w:color="auto" w:fill="FFFFFF"/>
              </w:rPr>
              <w:t>2.4.</w:t>
            </w:r>
            <w:proofErr w:type="gramStart"/>
            <w:r w:rsidRPr="007820EC">
              <w:rPr>
                <w:rFonts w:ascii="Times New Roman" w:hAnsi="Times New Roman"/>
                <w:b/>
                <w:bCs/>
                <w:color w:val="333333"/>
                <w:sz w:val="20"/>
                <w:szCs w:val="20"/>
                <w:shd w:val="clear" w:color="auto" w:fill="FFFFFF"/>
              </w:rPr>
              <w:t>2.Industria</w:t>
            </w:r>
            <w:proofErr w:type="gramEnd"/>
          </w:p>
          <w:p w14:paraId="4825D5A5"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2.4.2.</w:t>
            </w:r>
            <w:proofErr w:type="gramStart"/>
            <w:r w:rsidRPr="007820EC">
              <w:rPr>
                <w:rFonts w:ascii="Times New Roman" w:hAnsi="Times New Roman"/>
                <w:sz w:val="20"/>
                <w:szCs w:val="20"/>
                <w:shd w:val="clear" w:color="auto" w:fill="FFFFFF"/>
              </w:rPr>
              <w:t>1.Reducerile</w:t>
            </w:r>
            <w:proofErr w:type="gram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preconizate</w:t>
            </w:r>
            <w:proofErr w:type="spellEnd"/>
            <w:r w:rsidRPr="007820EC">
              <w:rPr>
                <w:rFonts w:ascii="Times New Roman" w:hAnsi="Times New Roman"/>
                <w:sz w:val="20"/>
                <w:szCs w:val="20"/>
                <w:shd w:val="clear" w:color="auto" w:fill="FFFFFF"/>
              </w:rPr>
              <w:t xml:space="preserve"> ale </w:t>
            </w:r>
            <w:proofErr w:type="spellStart"/>
            <w:r w:rsidRPr="007820EC">
              <w:rPr>
                <w:rFonts w:ascii="Times New Roman" w:hAnsi="Times New Roman"/>
                <w:sz w:val="20"/>
                <w:szCs w:val="20"/>
                <w:shd w:val="clear" w:color="auto" w:fill="FFFFFF"/>
              </w:rPr>
              <w:t>emisiilor</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funcție</w:t>
            </w:r>
            <w:proofErr w:type="spellEnd"/>
            <w:r w:rsidRPr="007820EC">
              <w:rPr>
                <w:rFonts w:ascii="Times New Roman" w:hAnsi="Times New Roman"/>
                <w:sz w:val="20"/>
                <w:szCs w:val="20"/>
                <w:shd w:val="clear" w:color="auto" w:fill="FFFFFF"/>
              </w:rPr>
              <w:t xml:space="preserve"> de sector și </w:t>
            </w:r>
            <w:proofErr w:type="spellStart"/>
            <w:r w:rsidRPr="007820EC">
              <w:rPr>
                <w:rFonts w:ascii="Times New Roman" w:hAnsi="Times New Roman"/>
                <w:sz w:val="20"/>
                <w:szCs w:val="20"/>
                <w:shd w:val="clear" w:color="auto" w:fill="FFFFFF"/>
              </w:rPr>
              <w:t>cererea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preconizată</w:t>
            </w:r>
            <w:proofErr w:type="spell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energie</w:t>
            </w:r>
            <w:proofErr w:type="spellEnd"/>
          </w:p>
          <w:p w14:paraId="04CE1946"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2.4.2.</w:t>
            </w:r>
            <w:proofErr w:type="gramStart"/>
            <w:r w:rsidRPr="007820EC">
              <w:rPr>
                <w:rFonts w:ascii="Times New Roman" w:hAnsi="Times New Roman"/>
                <w:sz w:val="20"/>
                <w:szCs w:val="20"/>
                <w:shd w:val="clear" w:color="auto" w:fill="FFFFFF"/>
              </w:rPr>
              <w:t>2.Viziunea</w:t>
            </w:r>
            <w:proofErr w:type="gram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ansamblu</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asupra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politicilor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măsurilor</w:t>
            </w:r>
            <w:proofErr w:type="spellEnd"/>
            <w:r w:rsidRPr="007820EC">
              <w:rPr>
                <w:rFonts w:ascii="Times New Roman" w:hAnsi="Times New Roman"/>
                <w:sz w:val="20"/>
                <w:szCs w:val="20"/>
                <w:shd w:val="clear" w:color="auto" w:fill="FFFFFF"/>
              </w:rPr>
              <w:t xml:space="preserve"> și </w:t>
            </w:r>
            <w:proofErr w:type="spellStart"/>
            <w:r w:rsidRPr="007820EC">
              <w:rPr>
                <w:rFonts w:ascii="Times New Roman" w:hAnsi="Times New Roman"/>
                <w:sz w:val="20"/>
                <w:szCs w:val="20"/>
                <w:shd w:val="clear" w:color="auto" w:fill="FFFFFF"/>
              </w:rPr>
              <w:t>planurilor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existente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pentru</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decarbonizare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descrise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partea</w:t>
            </w:r>
            <w:proofErr w:type="spellEnd"/>
            <w:r w:rsidRPr="007820EC">
              <w:rPr>
                <w:rFonts w:ascii="Times New Roman" w:hAnsi="Times New Roman"/>
                <w:sz w:val="20"/>
                <w:szCs w:val="20"/>
                <w:shd w:val="clear" w:color="auto" w:fill="FFFFFF"/>
              </w:rPr>
              <w:t xml:space="preserve"> 1 </w:t>
            </w:r>
            <w:proofErr w:type="spellStart"/>
            <w:r w:rsidRPr="007820EC">
              <w:rPr>
                <w:rFonts w:ascii="Times New Roman" w:hAnsi="Times New Roman"/>
                <w:sz w:val="20"/>
                <w:szCs w:val="20"/>
                <w:shd w:val="clear" w:color="auto" w:fill="FFFFFF"/>
              </w:rPr>
              <w:t>secțiunea</w:t>
            </w:r>
            <w:proofErr w:type="spellEnd"/>
            <w:r w:rsidRPr="007820EC">
              <w:rPr>
                <w:rFonts w:ascii="Times New Roman" w:hAnsi="Times New Roman"/>
                <w:sz w:val="20"/>
                <w:szCs w:val="20"/>
                <w:shd w:val="clear" w:color="auto" w:fill="FFFFFF"/>
              </w:rPr>
              <w:t xml:space="preserve"> A </w:t>
            </w:r>
            <w:proofErr w:type="spellStart"/>
            <w:r w:rsidRPr="007820EC">
              <w:rPr>
                <w:rFonts w:ascii="Times New Roman" w:hAnsi="Times New Roman"/>
                <w:sz w:val="20"/>
                <w:szCs w:val="20"/>
                <w:shd w:val="clear" w:color="auto" w:fill="FFFFFF"/>
              </w:rPr>
              <w:t>punctul</w:t>
            </w:r>
            <w:proofErr w:type="spellEnd"/>
            <w:r w:rsidRPr="007820EC">
              <w:rPr>
                <w:rFonts w:ascii="Times New Roman" w:hAnsi="Times New Roman"/>
                <w:sz w:val="20"/>
                <w:szCs w:val="20"/>
                <w:shd w:val="clear" w:color="auto" w:fill="FFFFFF"/>
              </w:rPr>
              <w:t xml:space="preserve"> 2.1 din </w:t>
            </w:r>
            <w:proofErr w:type="spellStart"/>
            <w:r w:rsidRPr="007820EC">
              <w:rPr>
                <w:rFonts w:ascii="Times New Roman" w:hAnsi="Times New Roman"/>
                <w:sz w:val="20"/>
                <w:szCs w:val="20"/>
                <w:shd w:val="clear" w:color="auto" w:fill="FFFFFF"/>
              </w:rPr>
              <w:t>anexa</w:t>
            </w:r>
            <w:proofErr w:type="spellEnd"/>
            <w:r w:rsidRPr="007820EC">
              <w:rPr>
                <w:rFonts w:ascii="Times New Roman" w:hAnsi="Times New Roman"/>
                <w:sz w:val="20"/>
                <w:szCs w:val="20"/>
                <w:shd w:val="clear" w:color="auto" w:fill="FFFFFF"/>
              </w:rPr>
              <w:t xml:space="preserve"> I</w:t>
            </w:r>
          </w:p>
          <w:p w14:paraId="5E5F35D6"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2.4.</w:t>
            </w:r>
            <w:proofErr w:type="gramStart"/>
            <w:r w:rsidRPr="007820EC">
              <w:rPr>
                <w:rFonts w:ascii="Times New Roman" w:hAnsi="Times New Roman"/>
                <w:b/>
                <w:bCs/>
                <w:sz w:val="20"/>
                <w:szCs w:val="20"/>
                <w:shd w:val="clear" w:color="auto" w:fill="FFFFFF"/>
                <w:lang w:val="fr-FR"/>
              </w:rPr>
              <w:t>3.Transport</w:t>
            </w:r>
            <w:proofErr w:type="gramEnd"/>
          </w:p>
          <w:p w14:paraId="2F159AE4"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2.4.3.</w:t>
            </w:r>
            <w:proofErr w:type="gramStart"/>
            <w:r w:rsidRPr="007820EC">
              <w:rPr>
                <w:rFonts w:ascii="Times New Roman" w:hAnsi="Times New Roman"/>
                <w:sz w:val="20"/>
                <w:szCs w:val="20"/>
                <w:shd w:val="clear" w:color="auto" w:fill="FFFFFF"/>
                <w:lang w:val="fr-FR"/>
              </w:rPr>
              <w:t>1.Emisiile</w:t>
            </w:r>
            <w:proofErr w:type="gram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sursele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energie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preconizate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defalcate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funcție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tipul</w:t>
            </w:r>
            <w:proofErr w:type="spellEnd"/>
            <w:r w:rsidRPr="007820EC">
              <w:rPr>
                <w:rFonts w:ascii="Times New Roman" w:hAnsi="Times New Roman"/>
                <w:sz w:val="20"/>
                <w:szCs w:val="20"/>
                <w:shd w:val="clear" w:color="auto" w:fill="FFFFFF"/>
                <w:lang w:val="fr-FR"/>
              </w:rPr>
              <w:t xml:space="preserve"> de transport (de </w:t>
            </w:r>
            <w:proofErr w:type="spellStart"/>
            <w:r w:rsidRPr="007820EC">
              <w:rPr>
                <w:rFonts w:ascii="Times New Roman" w:hAnsi="Times New Roman"/>
                <w:sz w:val="20"/>
                <w:szCs w:val="20"/>
                <w:shd w:val="clear" w:color="auto" w:fill="FFFFFF"/>
                <w:lang w:val="fr-FR"/>
              </w:rPr>
              <w:t>exemplu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transportul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autoturisme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camionete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transportul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rutier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vehicule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grele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transportul</w:t>
            </w:r>
            <w:proofErr w:type="spellEnd"/>
            <w:r w:rsidRPr="007820EC">
              <w:rPr>
                <w:rFonts w:ascii="Times New Roman" w:hAnsi="Times New Roman"/>
                <w:sz w:val="20"/>
                <w:szCs w:val="20"/>
                <w:shd w:val="clear" w:color="auto" w:fill="FFFFFF"/>
                <w:lang w:val="fr-FR"/>
              </w:rPr>
              <w:t xml:space="preserve"> maritim, </w:t>
            </w:r>
            <w:proofErr w:type="spellStart"/>
            <w:r w:rsidRPr="007820EC">
              <w:rPr>
                <w:rFonts w:ascii="Times New Roman" w:hAnsi="Times New Roman"/>
                <w:sz w:val="20"/>
                <w:szCs w:val="20"/>
                <w:shd w:val="clear" w:color="auto" w:fill="FFFFFF"/>
                <w:lang w:val="fr-FR"/>
              </w:rPr>
              <w:t>transportul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aerian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transportul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feroviar</w:t>
            </w:r>
            <w:proofErr w:type="spellEnd"/>
            <w:r w:rsidRPr="007820EC">
              <w:rPr>
                <w:rFonts w:ascii="Times New Roman" w:hAnsi="Times New Roman"/>
                <w:sz w:val="20"/>
                <w:szCs w:val="20"/>
                <w:shd w:val="clear" w:color="auto" w:fill="FFFFFF"/>
                <w:lang w:val="fr-FR"/>
              </w:rPr>
              <w:t>)</w:t>
            </w:r>
          </w:p>
          <w:p w14:paraId="475940E4"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2.4.3.</w:t>
            </w:r>
            <w:proofErr w:type="gramStart"/>
            <w:r w:rsidRPr="007820EC">
              <w:rPr>
                <w:rFonts w:ascii="Times New Roman" w:hAnsi="Times New Roman"/>
                <w:sz w:val="20"/>
                <w:szCs w:val="20"/>
                <w:shd w:val="clear" w:color="auto" w:fill="FFFFFF"/>
                <w:lang w:val="fr-FR"/>
              </w:rPr>
              <w:t>2.Opțiunile</w:t>
            </w:r>
            <w:proofErr w:type="gram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materie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decarbonizare</w:t>
            </w:r>
            <w:proofErr w:type="spellEnd"/>
          </w:p>
          <w:p w14:paraId="3D5EB99F"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lastRenderedPageBreak/>
              <w:t>2.4.</w:t>
            </w:r>
            <w:proofErr w:type="gramStart"/>
            <w:r w:rsidRPr="007820EC">
              <w:rPr>
                <w:rFonts w:ascii="Times New Roman" w:hAnsi="Times New Roman"/>
                <w:b/>
                <w:bCs/>
                <w:sz w:val="20"/>
                <w:szCs w:val="20"/>
                <w:shd w:val="clear" w:color="auto" w:fill="FFFFFF"/>
                <w:lang w:val="fr-FR"/>
              </w:rPr>
              <w:t>4.Agricultura</w:t>
            </w:r>
            <w:proofErr w:type="gramEnd"/>
            <w:r w:rsidRPr="007820EC">
              <w:rPr>
                <w:rFonts w:ascii="Times New Roman" w:hAnsi="Times New Roman"/>
                <w:b/>
                <w:bCs/>
                <w:sz w:val="20"/>
                <w:szCs w:val="20"/>
                <w:shd w:val="clear" w:color="auto" w:fill="FFFFFF"/>
                <w:lang w:val="fr-FR"/>
              </w:rPr>
              <w:t xml:space="preserve"> și </w:t>
            </w:r>
            <w:proofErr w:type="spellStart"/>
            <w:r w:rsidRPr="007820EC">
              <w:rPr>
                <w:rFonts w:ascii="Times New Roman" w:hAnsi="Times New Roman"/>
                <w:b/>
                <w:bCs/>
                <w:sz w:val="20"/>
                <w:szCs w:val="20"/>
                <w:shd w:val="clear" w:color="auto" w:fill="FFFFFF"/>
                <w:lang w:val="fr-FR"/>
              </w:rPr>
              <w:t>exploatarea</w:t>
            </w:r>
            <w:proofErr w:type="spellEnd"/>
            <w:r w:rsidRPr="007820EC">
              <w:rPr>
                <w:rFonts w:ascii="Times New Roman" w:hAnsi="Times New Roman"/>
                <w:b/>
                <w:bCs/>
                <w:sz w:val="20"/>
                <w:szCs w:val="20"/>
                <w:shd w:val="clear" w:color="auto" w:fill="FFFFFF"/>
                <w:lang w:val="fr-FR"/>
              </w:rPr>
              <w:t xml:space="preserve"> </w:t>
            </w:r>
            <w:proofErr w:type="spellStart"/>
            <w:r w:rsidRPr="007820EC">
              <w:rPr>
                <w:rFonts w:ascii="Times New Roman" w:hAnsi="Times New Roman"/>
                <w:b/>
                <w:bCs/>
                <w:sz w:val="20"/>
                <w:szCs w:val="20"/>
                <w:shd w:val="clear" w:color="auto" w:fill="FFFFFF"/>
                <w:lang w:val="fr-FR"/>
              </w:rPr>
              <w:t>terenurilor</w:t>
            </w:r>
            <w:proofErr w:type="spellEnd"/>
            <w:r w:rsidRPr="007820EC">
              <w:rPr>
                <w:rFonts w:ascii="Times New Roman" w:hAnsi="Times New Roman"/>
                <w:b/>
                <w:bCs/>
                <w:sz w:val="20"/>
                <w:szCs w:val="20"/>
                <w:shd w:val="clear" w:color="auto" w:fill="FFFFFF"/>
                <w:lang w:val="fr-FR"/>
              </w:rPr>
              <w:t xml:space="preserve">, </w:t>
            </w:r>
            <w:proofErr w:type="spellStart"/>
            <w:r w:rsidRPr="007820EC">
              <w:rPr>
                <w:rFonts w:ascii="Times New Roman" w:hAnsi="Times New Roman"/>
                <w:b/>
                <w:bCs/>
                <w:sz w:val="20"/>
                <w:szCs w:val="20"/>
                <w:shd w:val="clear" w:color="auto" w:fill="FFFFFF"/>
                <w:lang w:val="fr-FR"/>
              </w:rPr>
              <w:t>schimbarea</w:t>
            </w:r>
            <w:proofErr w:type="spellEnd"/>
            <w:r w:rsidRPr="007820EC">
              <w:rPr>
                <w:rFonts w:ascii="Times New Roman" w:hAnsi="Times New Roman"/>
                <w:b/>
                <w:bCs/>
                <w:sz w:val="20"/>
                <w:szCs w:val="20"/>
                <w:shd w:val="clear" w:color="auto" w:fill="FFFFFF"/>
                <w:lang w:val="fr-FR"/>
              </w:rPr>
              <w:t xml:space="preserve"> </w:t>
            </w:r>
            <w:proofErr w:type="spellStart"/>
            <w:r w:rsidRPr="007820EC">
              <w:rPr>
                <w:rFonts w:ascii="Times New Roman" w:hAnsi="Times New Roman"/>
                <w:b/>
                <w:bCs/>
                <w:sz w:val="20"/>
                <w:szCs w:val="20"/>
                <w:shd w:val="clear" w:color="auto" w:fill="FFFFFF"/>
                <w:lang w:val="fr-FR"/>
              </w:rPr>
              <w:t>destinației</w:t>
            </w:r>
            <w:proofErr w:type="spellEnd"/>
            <w:r w:rsidRPr="007820EC">
              <w:rPr>
                <w:rFonts w:ascii="Times New Roman" w:hAnsi="Times New Roman"/>
                <w:b/>
                <w:bCs/>
                <w:sz w:val="20"/>
                <w:szCs w:val="20"/>
                <w:shd w:val="clear" w:color="auto" w:fill="FFFFFF"/>
                <w:lang w:val="fr-FR"/>
              </w:rPr>
              <w:t xml:space="preserve"> </w:t>
            </w:r>
            <w:proofErr w:type="spellStart"/>
            <w:r w:rsidRPr="007820EC">
              <w:rPr>
                <w:rFonts w:ascii="Times New Roman" w:hAnsi="Times New Roman"/>
                <w:b/>
                <w:bCs/>
                <w:sz w:val="20"/>
                <w:szCs w:val="20"/>
                <w:shd w:val="clear" w:color="auto" w:fill="FFFFFF"/>
                <w:lang w:val="fr-FR"/>
              </w:rPr>
              <w:t>terenurilor</w:t>
            </w:r>
            <w:proofErr w:type="spellEnd"/>
            <w:r w:rsidRPr="007820EC">
              <w:rPr>
                <w:rFonts w:ascii="Times New Roman" w:hAnsi="Times New Roman"/>
                <w:b/>
                <w:bCs/>
                <w:sz w:val="20"/>
                <w:szCs w:val="20"/>
                <w:shd w:val="clear" w:color="auto" w:fill="FFFFFF"/>
                <w:lang w:val="fr-FR"/>
              </w:rPr>
              <w:t xml:space="preserve"> și </w:t>
            </w:r>
            <w:proofErr w:type="spellStart"/>
            <w:r w:rsidRPr="007820EC">
              <w:rPr>
                <w:rFonts w:ascii="Times New Roman" w:hAnsi="Times New Roman"/>
                <w:b/>
                <w:bCs/>
                <w:sz w:val="20"/>
                <w:szCs w:val="20"/>
                <w:shd w:val="clear" w:color="auto" w:fill="FFFFFF"/>
                <w:lang w:val="fr-FR"/>
              </w:rPr>
              <w:t>silvicultura</w:t>
            </w:r>
            <w:proofErr w:type="spellEnd"/>
            <w:r w:rsidRPr="007820EC">
              <w:rPr>
                <w:rFonts w:ascii="Times New Roman" w:hAnsi="Times New Roman"/>
                <w:b/>
                <w:bCs/>
                <w:sz w:val="20"/>
                <w:szCs w:val="20"/>
                <w:shd w:val="clear" w:color="auto" w:fill="FFFFFF"/>
                <w:lang w:val="fr-FR"/>
              </w:rPr>
              <w:t xml:space="preserve"> (LULUCF)</w:t>
            </w:r>
          </w:p>
          <w:p w14:paraId="0CCB4729"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2.4.4.</w:t>
            </w:r>
            <w:proofErr w:type="gramStart"/>
            <w:r w:rsidRPr="007820EC">
              <w:rPr>
                <w:rFonts w:ascii="Times New Roman" w:hAnsi="Times New Roman"/>
                <w:sz w:val="20"/>
                <w:szCs w:val="20"/>
                <w:shd w:val="clear" w:color="auto" w:fill="FFFFFF"/>
                <w:lang w:val="fr-FR"/>
              </w:rPr>
              <w:t>1.În</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măsura</w:t>
            </w:r>
            <w:proofErr w:type="spellEnd"/>
            <w:r w:rsidRPr="007820EC">
              <w:rPr>
                <w:rFonts w:ascii="Times New Roman" w:hAnsi="Times New Roman"/>
                <w:sz w:val="20"/>
                <w:szCs w:val="20"/>
                <w:shd w:val="clear" w:color="auto" w:fill="FFFFFF"/>
                <w:lang w:val="fr-FR"/>
              </w:rPr>
              <w:t xml:space="preserve"> în care este </w:t>
            </w:r>
            <w:proofErr w:type="spellStart"/>
            <w:r w:rsidRPr="007820EC">
              <w:rPr>
                <w:rFonts w:ascii="Times New Roman" w:hAnsi="Times New Roman"/>
                <w:sz w:val="20"/>
                <w:szCs w:val="20"/>
                <w:shd w:val="clear" w:color="auto" w:fill="FFFFFF"/>
                <w:lang w:val="fr-FR"/>
              </w:rPr>
              <w:t>fezabil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preconizate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defalcat</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w:t>
            </w:r>
            <w:proofErr w:type="spellEnd"/>
            <w:r w:rsidRPr="007820EC">
              <w:rPr>
                <w:rFonts w:ascii="Times New Roman" w:hAnsi="Times New Roman"/>
                <w:sz w:val="20"/>
                <w:szCs w:val="20"/>
                <w:shd w:val="clear" w:color="auto" w:fill="FFFFFF"/>
                <w:lang w:val="fr-FR"/>
              </w:rPr>
              <w:t xml:space="preserve"> surse și </w:t>
            </w:r>
            <w:proofErr w:type="spellStart"/>
            <w:r w:rsidRPr="007820EC">
              <w:rPr>
                <w:rFonts w:ascii="Times New Roman" w:hAnsi="Times New Roman"/>
                <w:sz w:val="20"/>
                <w:szCs w:val="20"/>
                <w:shd w:val="clear" w:color="auto" w:fill="FFFFFF"/>
                <w:lang w:val="fr-FR"/>
              </w:rPr>
              <w:t>pe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fiecare</w:t>
            </w:r>
            <w:proofErr w:type="spellEnd"/>
            <w:r w:rsidRPr="007820EC">
              <w:rPr>
                <w:rFonts w:ascii="Times New Roman" w:hAnsi="Times New Roman"/>
                <w:sz w:val="20"/>
                <w:szCs w:val="20"/>
                <w:shd w:val="clear" w:color="auto" w:fill="FFFFFF"/>
                <w:lang w:val="fr-FR"/>
              </w:rPr>
              <w:t xml:space="preserve"> tip de GES</w:t>
            </w:r>
          </w:p>
          <w:p w14:paraId="690D7BD0"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2.4.4.</w:t>
            </w:r>
            <w:proofErr w:type="gramStart"/>
            <w:r w:rsidRPr="007820EC">
              <w:rPr>
                <w:rFonts w:ascii="Times New Roman" w:hAnsi="Times New Roman"/>
                <w:sz w:val="20"/>
                <w:szCs w:val="20"/>
                <w:shd w:val="clear" w:color="auto" w:fill="FFFFFF"/>
              </w:rPr>
              <w:t>2.Opțiunile</w:t>
            </w:r>
            <w:proofErr w:type="gram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reducere</w:t>
            </w:r>
            <w:proofErr w:type="spellEnd"/>
            <w:r w:rsidRPr="007820EC">
              <w:rPr>
                <w:rFonts w:ascii="Times New Roman" w:hAnsi="Times New Roman"/>
                <w:sz w:val="20"/>
                <w:szCs w:val="20"/>
                <w:shd w:val="clear" w:color="auto" w:fill="FFFFFF"/>
              </w:rPr>
              <w:t xml:space="preserve"> a </w:t>
            </w:r>
            <w:proofErr w:type="spellStart"/>
            <w:r w:rsidRPr="007820EC">
              <w:rPr>
                <w:rFonts w:ascii="Times New Roman" w:hAnsi="Times New Roman"/>
                <w:sz w:val="20"/>
                <w:szCs w:val="20"/>
                <w:shd w:val="clear" w:color="auto" w:fill="FFFFFF"/>
              </w:rPr>
              <w:t>emisiilor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avute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vedere</w:t>
            </w:r>
            <w:proofErr w:type="spellEnd"/>
          </w:p>
          <w:p w14:paraId="573995E9"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2.4.4.</w:t>
            </w:r>
            <w:proofErr w:type="gramStart"/>
            <w:r w:rsidRPr="007820EC">
              <w:rPr>
                <w:rFonts w:ascii="Times New Roman" w:hAnsi="Times New Roman"/>
                <w:sz w:val="20"/>
                <w:szCs w:val="20"/>
                <w:shd w:val="clear" w:color="auto" w:fill="FFFFFF"/>
                <w:lang w:val="fr-FR"/>
              </w:rPr>
              <w:t>3.Legăturile</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politicile</w:t>
            </w:r>
            <w:proofErr w:type="spellEnd"/>
            <w:r w:rsidRPr="007820EC">
              <w:rPr>
                <w:rFonts w:ascii="Times New Roman" w:hAnsi="Times New Roman"/>
                <w:sz w:val="20"/>
                <w:szCs w:val="20"/>
                <w:shd w:val="clear" w:color="auto" w:fill="FFFFFF"/>
                <w:lang w:val="fr-FR"/>
              </w:rPr>
              <w:t xml:space="preserve"> agricole și de </w:t>
            </w:r>
            <w:proofErr w:type="spellStart"/>
            <w:r w:rsidRPr="007820EC">
              <w:rPr>
                <w:rFonts w:ascii="Times New Roman" w:hAnsi="Times New Roman"/>
                <w:sz w:val="20"/>
                <w:szCs w:val="20"/>
                <w:shd w:val="clear" w:color="auto" w:fill="FFFFFF"/>
                <w:lang w:val="fr-FR"/>
              </w:rPr>
              <w:t>dezvoltare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rurală</w:t>
            </w:r>
            <w:proofErr w:type="spellEnd"/>
          </w:p>
          <w:p w14:paraId="7FB8EE04"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3.FINANȚARE</w:t>
            </w:r>
          </w:p>
          <w:p w14:paraId="3C319F73" w14:textId="4AC10D60"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3.1. </w:t>
            </w:r>
            <w:proofErr w:type="spellStart"/>
            <w:r w:rsidRPr="007820EC">
              <w:rPr>
                <w:rFonts w:ascii="Times New Roman" w:hAnsi="Times New Roman"/>
                <w:sz w:val="20"/>
                <w:szCs w:val="20"/>
                <w:shd w:val="clear" w:color="auto" w:fill="FFFFFF"/>
                <w:lang w:val="fr-FR"/>
              </w:rPr>
              <w:t>Estimări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investițiile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necesare</w:t>
            </w:r>
            <w:proofErr w:type="spellEnd"/>
          </w:p>
          <w:p w14:paraId="69007679" w14:textId="50B4FFAA"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r w:rsidRPr="007820EC">
              <w:rPr>
                <w:rFonts w:ascii="Times New Roman" w:hAnsi="Times New Roman"/>
                <w:sz w:val="20"/>
                <w:szCs w:val="20"/>
                <w:shd w:val="clear" w:color="auto" w:fill="FFFFFF"/>
                <w:lang w:val="fr-FR"/>
              </w:rPr>
              <w:t xml:space="preserve">3.2. </w:t>
            </w:r>
            <w:proofErr w:type="spellStart"/>
            <w:r w:rsidRPr="007820EC">
              <w:rPr>
                <w:rFonts w:ascii="Times New Roman" w:hAnsi="Times New Roman"/>
                <w:sz w:val="20"/>
                <w:szCs w:val="20"/>
                <w:shd w:val="clear" w:color="auto" w:fill="FFFFFF"/>
                <w:lang w:val="fr-FR"/>
              </w:rPr>
              <w:t>Politicile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măsurile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activitățile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cercetare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dezvoltare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inovare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conexe</w:t>
            </w:r>
            <w:proofErr w:type="spellEnd"/>
          </w:p>
          <w:p w14:paraId="0146CF8B"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4.EVALUAREA DE IMPACT A ASPECTELOR SOCIOECONOMICE</w:t>
            </w:r>
          </w:p>
          <w:p w14:paraId="7AB448CA" w14:textId="77777777" w:rsidR="008F5636" w:rsidRPr="007820EC" w:rsidRDefault="008F5636" w:rsidP="008F5636">
            <w:pPr>
              <w:pStyle w:val="ColorfulList-Accent11"/>
              <w:spacing w:after="0" w:line="240" w:lineRule="auto"/>
              <w:ind w:left="0"/>
              <w:jc w:val="both"/>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5.ANEXE (</w:t>
            </w:r>
            <w:proofErr w:type="spellStart"/>
            <w:r w:rsidRPr="007820EC">
              <w:rPr>
                <w:rFonts w:ascii="Times New Roman" w:hAnsi="Times New Roman"/>
                <w:b/>
                <w:bCs/>
                <w:sz w:val="20"/>
                <w:szCs w:val="20"/>
                <w:shd w:val="clear" w:color="auto" w:fill="FFFFFF"/>
                <w:lang w:val="fr-FR"/>
              </w:rPr>
              <w:t>dacă</w:t>
            </w:r>
            <w:proofErr w:type="spellEnd"/>
            <w:r w:rsidRPr="007820EC">
              <w:rPr>
                <w:rFonts w:ascii="Times New Roman" w:hAnsi="Times New Roman"/>
                <w:b/>
                <w:bCs/>
                <w:sz w:val="20"/>
                <w:szCs w:val="20"/>
                <w:shd w:val="clear" w:color="auto" w:fill="FFFFFF"/>
                <w:lang w:val="fr-FR"/>
              </w:rPr>
              <w:t xml:space="preserve"> este </w:t>
            </w:r>
            <w:proofErr w:type="spellStart"/>
            <w:r w:rsidRPr="007820EC">
              <w:rPr>
                <w:rFonts w:ascii="Times New Roman" w:hAnsi="Times New Roman"/>
                <w:b/>
                <w:bCs/>
                <w:sz w:val="20"/>
                <w:szCs w:val="20"/>
                <w:shd w:val="clear" w:color="auto" w:fill="FFFFFF"/>
                <w:lang w:val="fr-FR"/>
              </w:rPr>
              <w:t>necesar</w:t>
            </w:r>
            <w:proofErr w:type="spellEnd"/>
            <w:r w:rsidRPr="007820EC">
              <w:rPr>
                <w:rFonts w:ascii="Times New Roman" w:hAnsi="Times New Roman"/>
                <w:b/>
                <w:bCs/>
                <w:sz w:val="20"/>
                <w:szCs w:val="20"/>
                <w:shd w:val="clear" w:color="auto" w:fill="FFFFFF"/>
                <w:lang w:val="fr-FR"/>
              </w:rPr>
              <w:t>)</w:t>
            </w:r>
          </w:p>
          <w:p w14:paraId="18EF5BD3" w14:textId="64B00B79" w:rsidR="008F5636" w:rsidRPr="00F13819" w:rsidRDefault="008F5636" w:rsidP="008F5636">
            <w:pPr>
              <w:pStyle w:val="ColorfulList-Accent11"/>
              <w:spacing w:after="0" w:line="240" w:lineRule="auto"/>
              <w:ind w:left="0"/>
              <w:jc w:val="both"/>
              <w:rPr>
                <w:rFonts w:ascii="Times New Roman" w:hAnsi="Times New Roman"/>
                <w:sz w:val="20"/>
                <w:szCs w:val="20"/>
                <w:lang w:val="fr-FR"/>
              </w:rPr>
            </w:pPr>
            <w:r w:rsidRPr="007820EC">
              <w:rPr>
                <w:rFonts w:ascii="Times New Roman" w:hAnsi="Times New Roman"/>
                <w:sz w:val="20"/>
                <w:szCs w:val="20"/>
                <w:shd w:val="clear" w:color="auto" w:fill="FFFFFF"/>
                <w:lang w:val="fr-FR"/>
              </w:rPr>
              <w:t xml:space="preserve">5.1. </w:t>
            </w:r>
            <w:proofErr w:type="spellStart"/>
            <w:r w:rsidRPr="007820EC">
              <w:rPr>
                <w:rFonts w:ascii="Times New Roman" w:hAnsi="Times New Roman"/>
                <w:sz w:val="20"/>
                <w:szCs w:val="20"/>
                <w:shd w:val="clear" w:color="auto" w:fill="FFFFFF"/>
                <w:lang w:val="fr-FR"/>
              </w:rPr>
              <w:t>Detalii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modelarea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inclusiv</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ipotezele</w:t>
            </w:r>
            <w:proofErr w:type="spellEnd"/>
            <w:r w:rsidRPr="007820EC">
              <w:rPr>
                <w:rFonts w:ascii="Times New Roman" w:hAnsi="Times New Roman"/>
                <w:sz w:val="20"/>
                <w:szCs w:val="20"/>
                <w:shd w:val="clear" w:color="auto" w:fill="FFFFFF"/>
                <w:lang w:val="fr-FR"/>
              </w:rPr>
              <w:t>) și/</w:t>
            </w:r>
            <w:proofErr w:type="spellStart"/>
            <w:r w:rsidRPr="007820EC">
              <w:rPr>
                <w:rFonts w:ascii="Times New Roman" w:hAnsi="Times New Roman"/>
                <w:sz w:val="20"/>
                <w:szCs w:val="20"/>
                <w:shd w:val="clear" w:color="auto" w:fill="FFFFFF"/>
                <w:lang w:val="fr-FR"/>
              </w:rPr>
              <w:t>sau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analize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indicatori</w:t>
            </w:r>
            <w:proofErr w:type="spellEnd"/>
            <w:r w:rsidRPr="007820EC">
              <w:rPr>
                <w:rFonts w:ascii="Times New Roman" w:hAnsi="Times New Roman"/>
                <w:sz w:val="20"/>
                <w:szCs w:val="20"/>
                <w:shd w:val="clear" w:color="auto" w:fill="FFFFFF"/>
                <w:lang w:val="fr-FR"/>
              </w:rPr>
              <w:t xml:space="preserve"> etc.</w:t>
            </w:r>
          </w:p>
        </w:tc>
        <w:tc>
          <w:tcPr>
            <w:tcW w:w="4440" w:type="dxa"/>
          </w:tcPr>
          <w:p w14:paraId="31A27A3B" w14:textId="73252D08" w:rsidR="008F5636" w:rsidRPr="008F6EC8" w:rsidRDefault="008F5636" w:rsidP="008F6EC8">
            <w:pPr>
              <w:tabs>
                <w:tab w:val="left" w:pos="2184"/>
              </w:tabs>
              <w:spacing w:after="0" w:line="240" w:lineRule="auto"/>
              <w:ind w:left="57"/>
              <w:rPr>
                <w:rFonts w:ascii="Times New Roman" w:hAnsi="Times New Roman"/>
                <w:b/>
                <w:bCs/>
                <w:color w:val="333333"/>
                <w:sz w:val="20"/>
                <w:szCs w:val="20"/>
                <w:shd w:val="clear" w:color="auto" w:fill="FFFFFF"/>
                <w:lang w:val="fr-FR"/>
              </w:rPr>
            </w:pPr>
          </w:p>
        </w:tc>
        <w:tc>
          <w:tcPr>
            <w:tcW w:w="1276" w:type="dxa"/>
          </w:tcPr>
          <w:p w14:paraId="4137F556" w14:textId="4B8B31B7" w:rsidR="008F5636" w:rsidRPr="00D93509" w:rsidRDefault="000C147E" w:rsidP="000C147E">
            <w:pPr>
              <w:spacing w:after="0" w:line="240" w:lineRule="auto"/>
              <w:rPr>
                <w:lang w:val="ro-MD"/>
              </w:rPr>
            </w:pPr>
            <w:r>
              <w:rPr>
                <w:rFonts w:ascii="Times New Roman" w:hAnsi="Times New Roman"/>
                <w:bCs/>
                <w:color w:val="000000" w:themeColor="text1"/>
                <w:sz w:val="20"/>
                <w:szCs w:val="20"/>
                <w:lang w:val="ro-RO"/>
              </w:rPr>
              <w:t>Compatibil</w:t>
            </w:r>
          </w:p>
        </w:tc>
        <w:tc>
          <w:tcPr>
            <w:tcW w:w="1276" w:type="dxa"/>
          </w:tcPr>
          <w:p w14:paraId="1ACBBE29" w14:textId="77777777" w:rsidR="008F5636" w:rsidRPr="00D93509" w:rsidRDefault="008F5636" w:rsidP="008F5636">
            <w:pPr>
              <w:pStyle w:val="ColorfulList-Accent11"/>
              <w:spacing w:after="0" w:line="240" w:lineRule="auto"/>
              <w:ind w:left="0"/>
              <w:jc w:val="both"/>
              <w:rPr>
                <w:lang w:val="ro-MD"/>
              </w:rPr>
            </w:pPr>
          </w:p>
        </w:tc>
        <w:tc>
          <w:tcPr>
            <w:tcW w:w="1701" w:type="dxa"/>
          </w:tcPr>
          <w:p w14:paraId="6396655A" w14:textId="77777777" w:rsidR="005D5B0E" w:rsidRPr="003C74D7" w:rsidRDefault="005D5B0E" w:rsidP="005D5B0E">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 xml:space="preserve">Prevederile au fost transpuse în </w:t>
            </w:r>
          </w:p>
          <w:p w14:paraId="1BBB1519" w14:textId="77777777" w:rsidR="005D5B0E" w:rsidRDefault="005D5B0E" w:rsidP="005D5B0E">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154ADD2D" w14:textId="35FF1771" w:rsidR="008F5636" w:rsidRPr="005D5B0E" w:rsidRDefault="008F5636" w:rsidP="003274E5">
            <w:pPr>
              <w:pStyle w:val="ColorfulList-Accent11"/>
              <w:spacing w:after="0" w:line="240" w:lineRule="auto"/>
              <w:ind w:left="0"/>
              <w:jc w:val="both"/>
              <w:rPr>
                <w:lang w:val="ro-RO"/>
              </w:rPr>
            </w:pPr>
          </w:p>
        </w:tc>
        <w:tc>
          <w:tcPr>
            <w:tcW w:w="1460" w:type="dxa"/>
          </w:tcPr>
          <w:p w14:paraId="465B5BF9" w14:textId="77777777" w:rsidR="007820EC" w:rsidRPr="003F755D" w:rsidRDefault="007820EC" w:rsidP="007820EC">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t>Ministerul</w:t>
            </w:r>
            <w:proofErr w:type="spellEnd"/>
            <w:r w:rsidRPr="003F755D">
              <w:rPr>
                <w:rFonts w:ascii="Times New Roman" w:hAnsi="Times New Roman"/>
                <w:sz w:val="20"/>
                <w:szCs w:val="20"/>
                <w:lang w:val="fr-FR"/>
              </w:rPr>
              <w:t xml:space="preserve"> </w:t>
            </w:r>
            <w:r w:rsidRPr="00A81801">
              <w:rPr>
                <w:rFonts w:ascii="Times New Roman" w:hAnsi="Times New Roman"/>
                <w:color w:val="000000" w:themeColor="text1"/>
                <w:sz w:val="20"/>
                <w:szCs w:val="20"/>
              </w:rPr>
              <w:t>Energiei</w:t>
            </w:r>
          </w:p>
          <w:p w14:paraId="38020200" w14:textId="77777777" w:rsidR="007820EC" w:rsidRDefault="007820EC" w:rsidP="007820EC">
            <w:pPr>
              <w:autoSpaceDE w:val="0"/>
              <w:spacing w:after="0" w:line="240" w:lineRule="auto"/>
              <w:rPr>
                <w:rFonts w:ascii="Times New Roman" w:hAnsi="Times New Roman"/>
                <w:sz w:val="20"/>
                <w:szCs w:val="20"/>
                <w:lang w:val="fr-FR"/>
              </w:rPr>
            </w:pPr>
          </w:p>
          <w:p w14:paraId="09771234" w14:textId="77777777" w:rsidR="007820EC" w:rsidRDefault="007820EC" w:rsidP="007820EC">
            <w:pPr>
              <w:autoSpaceDE w:val="0"/>
              <w:spacing w:after="0" w:line="240" w:lineRule="auto"/>
              <w:rPr>
                <w:rFonts w:ascii="Times New Roman" w:hAnsi="Times New Roman"/>
                <w:sz w:val="20"/>
                <w:szCs w:val="20"/>
                <w:lang w:val="fr-FR"/>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sz w:val="20"/>
                <w:szCs w:val="20"/>
                <w:lang w:val="fr-FR"/>
              </w:rPr>
              <w:t>Mediului</w:t>
            </w:r>
            <w:proofErr w:type="spellEnd"/>
          </w:p>
          <w:p w14:paraId="7413B640" w14:textId="77777777" w:rsidR="008F5636" w:rsidRPr="00D93509" w:rsidRDefault="008F5636" w:rsidP="008F5636">
            <w:pPr>
              <w:pStyle w:val="ColorfulList-Accent11"/>
              <w:spacing w:after="0" w:line="240" w:lineRule="auto"/>
              <w:ind w:left="0"/>
              <w:jc w:val="both"/>
              <w:rPr>
                <w:lang w:val="ro-MD"/>
              </w:rPr>
            </w:pPr>
          </w:p>
        </w:tc>
      </w:tr>
      <w:tr w:rsidR="008F5636" w:rsidRPr="00D93509" w14:paraId="4162499C" w14:textId="77777777" w:rsidTr="00A90105">
        <w:trPr>
          <w:trHeight w:val="841"/>
        </w:trPr>
        <w:tc>
          <w:tcPr>
            <w:tcW w:w="4945" w:type="dxa"/>
          </w:tcPr>
          <w:p w14:paraId="3A0A5005" w14:textId="77777777" w:rsidR="008F5636" w:rsidRPr="007820EC" w:rsidRDefault="008F5636" w:rsidP="008F5636">
            <w:pPr>
              <w:pStyle w:val="ColorfulList-Accent11"/>
              <w:spacing w:after="0" w:line="240" w:lineRule="auto"/>
              <w:ind w:left="0"/>
              <w:jc w:val="center"/>
              <w:rPr>
                <w:rFonts w:ascii="Times New Roman" w:hAnsi="Times New Roman"/>
                <w:b/>
                <w:bCs/>
                <w:color w:val="333333"/>
                <w:sz w:val="20"/>
                <w:szCs w:val="20"/>
                <w:shd w:val="clear" w:color="auto" w:fill="FFFFFF"/>
                <w:lang w:val="fr-FR"/>
              </w:rPr>
            </w:pPr>
            <w:r w:rsidRPr="007820EC">
              <w:rPr>
                <w:rFonts w:ascii="Times New Roman" w:hAnsi="Times New Roman"/>
                <w:b/>
                <w:bCs/>
                <w:color w:val="333333"/>
                <w:sz w:val="20"/>
                <w:szCs w:val="20"/>
                <w:shd w:val="clear" w:color="auto" w:fill="FFFFFF"/>
                <w:lang w:val="fr-FR"/>
              </w:rPr>
              <w:lastRenderedPageBreak/>
              <w:t>ANEXA V</w:t>
            </w:r>
          </w:p>
          <w:p w14:paraId="7BB9A1F3" w14:textId="77777777" w:rsidR="008F5636" w:rsidRPr="007820EC" w:rsidRDefault="008F5636" w:rsidP="008F5636">
            <w:pPr>
              <w:pStyle w:val="ColorfulList-Accent11"/>
              <w:spacing w:after="0" w:line="240" w:lineRule="auto"/>
              <w:ind w:left="0"/>
              <w:jc w:val="center"/>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INFORMAȚII PRIVIND INVENTARELE DE GES</w:t>
            </w:r>
          </w:p>
          <w:p w14:paraId="6EEA7945" w14:textId="77777777" w:rsidR="008F5636" w:rsidRPr="007820EC" w:rsidRDefault="008F5636" w:rsidP="008F5636">
            <w:pPr>
              <w:pStyle w:val="ColorfulList-Accent11"/>
              <w:spacing w:after="0" w:line="240" w:lineRule="auto"/>
              <w:ind w:left="0"/>
              <w:jc w:val="center"/>
              <w:rPr>
                <w:rFonts w:ascii="Times New Roman" w:hAnsi="Times New Roman"/>
                <w:b/>
                <w:bCs/>
                <w:sz w:val="20"/>
                <w:szCs w:val="20"/>
                <w:shd w:val="clear" w:color="auto" w:fill="FFFFFF"/>
              </w:rPr>
            </w:pPr>
            <w:proofErr w:type="spellStart"/>
            <w:r w:rsidRPr="007820EC">
              <w:rPr>
                <w:rFonts w:ascii="Times New Roman" w:hAnsi="Times New Roman"/>
                <w:b/>
                <w:bCs/>
                <w:sz w:val="20"/>
                <w:szCs w:val="20"/>
                <w:shd w:val="clear" w:color="auto" w:fill="FFFFFF"/>
              </w:rPr>
              <w:t>Partea</w:t>
            </w:r>
            <w:proofErr w:type="spellEnd"/>
            <w:r w:rsidRPr="007820EC">
              <w:rPr>
                <w:rFonts w:ascii="Times New Roman" w:hAnsi="Times New Roman"/>
                <w:b/>
                <w:bCs/>
                <w:sz w:val="20"/>
                <w:szCs w:val="20"/>
                <w:shd w:val="clear" w:color="auto" w:fill="FFFFFF"/>
              </w:rPr>
              <w:t xml:space="preserve"> 1</w:t>
            </w:r>
          </w:p>
          <w:p w14:paraId="4FB54F26" w14:textId="77777777" w:rsidR="008F5636" w:rsidRPr="007820EC" w:rsidRDefault="008F5636" w:rsidP="008F5636">
            <w:pPr>
              <w:pStyle w:val="ColorfulList-Accent11"/>
              <w:spacing w:after="0" w:line="240" w:lineRule="auto"/>
              <w:ind w:left="0"/>
              <w:jc w:val="center"/>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Informații</w:t>
            </w:r>
            <w:proofErr w:type="spellEnd"/>
            <w:r w:rsidRPr="007820EC">
              <w:rPr>
                <w:rFonts w:ascii="Times New Roman" w:hAnsi="Times New Roman"/>
                <w:sz w:val="20"/>
                <w:szCs w:val="20"/>
                <w:shd w:val="clear" w:color="auto" w:fill="FFFFFF"/>
              </w:rPr>
              <w:t xml:space="preserve"> care </w:t>
            </w:r>
            <w:proofErr w:type="spellStart"/>
            <w:r w:rsidRPr="007820EC">
              <w:rPr>
                <w:rFonts w:ascii="Times New Roman" w:hAnsi="Times New Roman"/>
                <w:sz w:val="20"/>
                <w:szCs w:val="20"/>
                <w:shd w:val="clear" w:color="auto" w:fill="FFFFFF"/>
              </w:rPr>
              <w:t>trebuie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incluse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rapoartele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menționate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articolul</w:t>
            </w:r>
            <w:proofErr w:type="spellEnd"/>
            <w:r w:rsidRPr="007820EC">
              <w:rPr>
                <w:rFonts w:ascii="Times New Roman" w:hAnsi="Times New Roman"/>
                <w:sz w:val="20"/>
                <w:szCs w:val="20"/>
                <w:shd w:val="clear" w:color="auto" w:fill="FFFFFF"/>
              </w:rPr>
              <w:t xml:space="preserve"> 26 </w:t>
            </w:r>
            <w:proofErr w:type="spellStart"/>
            <w:r w:rsidRPr="007820EC">
              <w:rPr>
                <w:rFonts w:ascii="Times New Roman" w:hAnsi="Times New Roman"/>
                <w:sz w:val="20"/>
                <w:szCs w:val="20"/>
                <w:shd w:val="clear" w:color="auto" w:fill="FFFFFF"/>
              </w:rPr>
              <w:t>alineatul</w:t>
            </w:r>
            <w:proofErr w:type="spellEnd"/>
            <w:r w:rsidRPr="007820EC">
              <w:rPr>
                <w:rFonts w:ascii="Times New Roman" w:hAnsi="Times New Roman"/>
                <w:sz w:val="20"/>
                <w:szCs w:val="20"/>
                <w:shd w:val="clear" w:color="auto" w:fill="FFFFFF"/>
              </w:rPr>
              <w:t xml:space="preserve"> (3):</w:t>
            </w:r>
          </w:p>
          <w:p w14:paraId="14353413"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emisiile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antropice</w:t>
            </w:r>
            <w:proofErr w:type="spellEnd"/>
            <w:r w:rsidRPr="007820EC">
              <w:rPr>
                <w:rFonts w:ascii="Times New Roman" w:hAnsi="Times New Roman"/>
                <w:sz w:val="20"/>
                <w:szCs w:val="20"/>
                <w:shd w:val="clear" w:color="auto" w:fill="FFFFFF"/>
                <w:lang w:val="fr-FR"/>
              </w:rPr>
              <w:t xml:space="preserve"> de GES </w:t>
            </w:r>
            <w:proofErr w:type="spellStart"/>
            <w:r w:rsidRPr="007820EC">
              <w:rPr>
                <w:rFonts w:ascii="Times New Roman" w:hAnsi="Times New Roman"/>
                <w:sz w:val="20"/>
                <w:szCs w:val="20"/>
                <w:shd w:val="clear" w:color="auto" w:fill="FFFFFF"/>
                <w:lang w:val="fr-FR"/>
              </w:rPr>
              <w:t>enumerate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partea</w:t>
            </w:r>
            <w:proofErr w:type="spellEnd"/>
            <w:r w:rsidRPr="007820EC">
              <w:rPr>
                <w:rFonts w:ascii="Times New Roman" w:hAnsi="Times New Roman"/>
                <w:sz w:val="20"/>
                <w:szCs w:val="20"/>
                <w:shd w:val="clear" w:color="auto" w:fill="FFFFFF"/>
                <w:lang w:val="fr-FR"/>
              </w:rPr>
              <w:t xml:space="preserve"> 2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prezenta </w:t>
            </w:r>
            <w:proofErr w:type="spellStart"/>
            <w:r w:rsidRPr="007820EC">
              <w:rPr>
                <w:rFonts w:ascii="Times New Roman" w:hAnsi="Times New Roman"/>
                <w:sz w:val="20"/>
                <w:szCs w:val="20"/>
                <w:shd w:val="clear" w:color="auto" w:fill="FFFFFF"/>
                <w:lang w:val="fr-FR"/>
              </w:rPr>
              <w:t>anexă</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emisiile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antropice</w:t>
            </w:r>
            <w:proofErr w:type="spellEnd"/>
            <w:r w:rsidRPr="007820EC">
              <w:rPr>
                <w:rFonts w:ascii="Times New Roman" w:hAnsi="Times New Roman"/>
                <w:sz w:val="20"/>
                <w:szCs w:val="20"/>
                <w:shd w:val="clear" w:color="auto" w:fill="FFFFFF"/>
                <w:lang w:val="fr-FR"/>
              </w:rPr>
              <w:t xml:space="preserve"> de GES </w:t>
            </w:r>
            <w:proofErr w:type="spellStart"/>
            <w:r w:rsidRPr="007820EC">
              <w:rPr>
                <w:rFonts w:ascii="Times New Roman" w:hAnsi="Times New Roman"/>
                <w:sz w:val="20"/>
                <w:szCs w:val="20"/>
                <w:shd w:val="clear" w:color="auto" w:fill="FFFFFF"/>
                <w:lang w:val="fr-FR"/>
              </w:rPr>
              <w:t>menționate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articolul</w:t>
            </w:r>
            <w:proofErr w:type="spellEnd"/>
            <w:r w:rsidRPr="007820EC">
              <w:rPr>
                <w:rFonts w:ascii="Times New Roman" w:hAnsi="Times New Roman"/>
                <w:sz w:val="20"/>
                <w:szCs w:val="20"/>
                <w:shd w:val="clear" w:color="auto" w:fill="FFFFFF"/>
                <w:lang w:val="fr-FR"/>
              </w:rPr>
              <w:t xml:space="preserve"> 2 </w:t>
            </w:r>
            <w:proofErr w:type="spellStart"/>
            <w:r w:rsidRPr="007820EC">
              <w:rPr>
                <w:rFonts w:ascii="Times New Roman" w:hAnsi="Times New Roman"/>
                <w:sz w:val="20"/>
                <w:szCs w:val="20"/>
                <w:shd w:val="clear" w:color="auto" w:fill="FFFFFF"/>
                <w:lang w:val="fr-FR"/>
              </w:rPr>
              <w:t>alineatul</w:t>
            </w:r>
            <w:proofErr w:type="spellEnd"/>
            <w:r w:rsidRPr="007820EC">
              <w:rPr>
                <w:rFonts w:ascii="Times New Roman" w:hAnsi="Times New Roman"/>
                <w:sz w:val="20"/>
                <w:szCs w:val="20"/>
                <w:shd w:val="clear" w:color="auto" w:fill="FFFFFF"/>
                <w:lang w:val="fr-FR"/>
              </w:rPr>
              <w:t xml:space="preserve"> (1)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Regulamentul</w:t>
            </w:r>
            <w:proofErr w:type="spellEnd"/>
            <w:r w:rsidRPr="007820EC">
              <w:rPr>
                <w:rFonts w:ascii="Times New Roman" w:hAnsi="Times New Roman"/>
                <w:sz w:val="20"/>
                <w:szCs w:val="20"/>
                <w:shd w:val="clear" w:color="auto" w:fill="FFFFFF"/>
                <w:lang w:val="fr-FR"/>
              </w:rPr>
              <w:t xml:space="preserve"> (UE) 2018/842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w:t>
            </w:r>
          </w:p>
          <w:p w14:paraId="2FA89DF4"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datele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privire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emisiile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antropice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monoxid</w:t>
            </w:r>
            <w:proofErr w:type="spellEnd"/>
            <w:r w:rsidRPr="007820EC">
              <w:rPr>
                <w:rFonts w:ascii="Times New Roman" w:hAnsi="Times New Roman"/>
                <w:sz w:val="20"/>
                <w:szCs w:val="20"/>
                <w:shd w:val="clear" w:color="auto" w:fill="FFFFFF"/>
                <w:lang w:val="fr-FR"/>
              </w:rPr>
              <w:t xml:space="preserve"> de carbon (CO), de </w:t>
            </w:r>
            <w:proofErr w:type="spellStart"/>
            <w:r w:rsidRPr="007820EC">
              <w:rPr>
                <w:rFonts w:ascii="Times New Roman" w:hAnsi="Times New Roman"/>
                <w:sz w:val="20"/>
                <w:szCs w:val="20"/>
                <w:shd w:val="clear" w:color="auto" w:fill="FFFFFF"/>
                <w:lang w:val="fr-FR"/>
              </w:rPr>
              <w:t>dioxid</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sulf</w:t>
            </w:r>
            <w:proofErr w:type="spellEnd"/>
            <w:r w:rsidRPr="007820EC">
              <w:rPr>
                <w:rFonts w:ascii="Times New Roman" w:hAnsi="Times New Roman"/>
                <w:sz w:val="20"/>
                <w:szCs w:val="20"/>
                <w:shd w:val="clear" w:color="auto" w:fill="FFFFFF"/>
                <w:lang w:val="fr-FR"/>
              </w:rPr>
              <w:t xml:space="preserve"> (SO</w:t>
            </w:r>
            <w:r w:rsidRPr="007820EC">
              <w:rPr>
                <w:rStyle w:val="sub"/>
                <w:rFonts w:ascii="Times New Roman" w:hAnsi="Times New Roman"/>
                <w:sz w:val="20"/>
                <w:szCs w:val="20"/>
                <w:shd w:val="clear" w:color="auto" w:fill="FFFFFF"/>
                <w:vertAlign w:val="subscript"/>
                <w:lang w:val="fr-FR"/>
              </w:rPr>
              <w:t>2</w:t>
            </w:r>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oxizi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azot</w:t>
            </w:r>
            <w:proofErr w:type="spellEnd"/>
            <w:r w:rsidRPr="007820EC">
              <w:rPr>
                <w:rFonts w:ascii="Times New Roman" w:hAnsi="Times New Roman"/>
                <w:sz w:val="20"/>
                <w:szCs w:val="20"/>
                <w:shd w:val="clear" w:color="auto" w:fill="FFFFFF"/>
                <w:lang w:val="fr-FR"/>
              </w:rPr>
              <w:t xml:space="preserve"> (NOx) și de </w:t>
            </w:r>
            <w:proofErr w:type="spellStart"/>
            <w:r w:rsidRPr="007820EC">
              <w:rPr>
                <w:rFonts w:ascii="Times New Roman" w:hAnsi="Times New Roman"/>
                <w:sz w:val="20"/>
                <w:szCs w:val="20"/>
                <w:shd w:val="clear" w:color="auto" w:fill="FFFFFF"/>
                <w:lang w:val="fr-FR"/>
              </w:rPr>
              <w:t>compuși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organici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volatili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consecvente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datele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deja</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temeiul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articolului</w:t>
            </w:r>
            <w:proofErr w:type="spellEnd"/>
            <w:r w:rsidRPr="007820EC">
              <w:rPr>
                <w:rFonts w:ascii="Times New Roman" w:hAnsi="Times New Roman"/>
                <w:sz w:val="20"/>
                <w:szCs w:val="20"/>
                <w:shd w:val="clear" w:color="auto" w:fill="FFFFFF"/>
                <w:lang w:val="fr-FR"/>
              </w:rPr>
              <w:t xml:space="preserve"> 8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Directiva</w:t>
            </w:r>
            <w:proofErr w:type="spellEnd"/>
            <w:r w:rsidRPr="007820EC">
              <w:rPr>
                <w:rFonts w:ascii="Times New Roman" w:hAnsi="Times New Roman"/>
                <w:sz w:val="20"/>
                <w:szCs w:val="20"/>
                <w:shd w:val="clear" w:color="auto" w:fill="FFFFFF"/>
                <w:lang w:val="fr-FR"/>
              </w:rPr>
              <w:t xml:space="preserve"> (UE) 2016/2284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w:t>
            </w:r>
          </w:p>
          <w:p w14:paraId="4A955C52"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emisiile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antropice</w:t>
            </w:r>
            <w:proofErr w:type="spellEnd"/>
            <w:r w:rsidRPr="007820EC">
              <w:rPr>
                <w:rFonts w:ascii="Times New Roman" w:hAnsi="Times New Roman"/>
                <w:sz w:val="20"/>
                <w:szCs w:val="20"/>
                <w:shd w:val="clear" w:color="auto" w:fill="FFFFFF"/>
                <w:lang w:val="fr-FR"/>
              </w:rPr>
              <w:t xml:space="preserve"> de GES în </w:t>
            </w:r>
            <w:proofErr w:type="spellStart"/>
            <w:r w:rsidRPr="007820EC">
              <w:rPr>
                <w:rFonts w:ascii="Times New Roman" w:hAnsi="Times New Roman"/>
                <w:sz w:val="20"/>
                <w:szCs w:val="20"/>
                <w:shd w:val="clear" w:color="auto" w:fill="FFFFFF"/>
                <w:lang w:val="fr-FR"/>
              </w:rPr>
              <w:t>funcție</w:t>
            </w:r>
            <w:proofErr w:type="spellEnd"/>
            <w:r w:rsidRPr="007820EC">
              <w:rPr>
                <w:rFonts w:ascii="Times New Roman" w:hAnsi="Times New Roman"/>
                <w:sz w:val="20"/>
                <w:szCs w:val="20"/>
                <w:shd w:val="clear" w:color="auto" w:fill="FFFFFF"/>
                <w:lang w:val="fr-FR"/>
              </w:rPr>
              <w:t xml:space="preserve"> de surse și </w:t>
            </w:r>
            <w:proofErr w:type="spellStart"/>
            <w:r w:rsidRPr="007820EC">
              <w:rPr>
                <w:rFonts w:ascii="Times New Roman" w:hAnsi="Times New Roman"/>
                <w:sz w:val="20"/>
                <w:szCs w:val="20"/>
                <w:shd w:val="clear" w:color="auto" w:fill="FFFFFF"/>
                <w:lang w:val="fr-FR"/>
              </w:rPr>
              <w:t>absorbțiile</w:t>
            </w:r>
            <w:proofErr w:type="spellEnd"/>
            <w:r w:rsidRPr="007820EC">
              <w:rPr>
                <w:rFonts w:ascii="Times New Roman" w:hAnsi="Times New Roman"/>
                <w:sz w:val="20"/>
                <w:szCs w:val="20"/>
                <w:shd w:val="clear" w:color="auto" w:fill="FFFFFF"/>
                <w:lang w:val="fr-FR"/>
              </w:rPr>
              <w:t xml:space="preserve"> de CO</w:t>
            </w:r>
            <w:r w:rsidRPr="007820EC">
              <w:rPr>
                <w:rStyle w:val="sub"/>
                <w:rFonts w:ascii="Times New Roman" w:hAnsi="Times New Roman"/>
                <w:sz w:val="20"/>
                <w:szCs w:val="20"/>
                <w:shd w:val="clear" w:color="auto" w:fill="FFFFFF"/>
                <w:vertAlign w:val="subscript"/>
                <w:lang w:val="fr-FR"/>
              </w:rPr>
              <w:t>2</w:t>
            </w:r>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funcție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absorbanții</w:t>
            </w:r>
            <w:proofErr w:type="spellEnd"/>
            <w:r w:rsidRPr="007820EC">
              <w:rPr>
                <w:rFonts w:ascii="Times New Roman" w:hAnsi="Times New Roman"/>
                <w:sz w:val="20"/>
                <w:szCs w:val="20"/>
                <w:shd w:val="clear" w:color="auto" w:fill="FFFFFF"/>
                <w:lang w:val="fr-FR"/>
              </w:rPr>
              <w:t xml:space="preserve"> care </w:t>
            </w:r>
            <w:proofErr w:type="spellStart"/>
            <w:r w:rsidRPr="007820EC">
              <w:rPr>
                <w:rFonts w:ascii="Times New Roman" w:hAnsi="Times New Roman"/>
                <w:sz w:val="20"/>
                <w:szCs w:val="20"/>
                <w:shd w:val="clear" w:color="auto" w:fill="FFFFFF"/>
                <w:lang w:val="fr-FR"/>
              </w:rPr>
              <w:t>rezultă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LULUCF,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 în conformitate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metodologiile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specificate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partea</w:t>
            </w:r>
            <w:proofErr w:type="spellEnd"/>
            <w:r w:rsidRPr="007820EC">
              <w:rPr>
                <w:rFonts w:ascii="Times New Roman" w:hAnsi="Times New Roman"/>
                <w:sz w:val="20"/>
                <w:szCs w:val="20"/>
                <w:shd w:val="clear" w:color="auto" w:fill="FFFFFF"/>
                <w:lang w:val="fr-FR"/>
              </w:rPr>
              <w:t xml:space="preserve"> 3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prezenta </w:t>
            </w:r>
            <w:proofErr w:type="spellStart"/>
            <w:r w:rsidRPr="007820EC">
              <w:rPr>
                <w:rFonts w:ascii="Times New Roman" w:hAnsi="Times New Roman"/>
                <w:sz w:val="20"/>
                <w:szCs w:val="20"/>
                <w:shd w:val="clear" w:color="auto" w:fill="FFFFFF"/>
                <w:lang w:val="fr-FR"/>
              </w:rPr>
              <w:t>anexă</w:t>
            </w:r>
            <w:proofErr w:type="spellEnd"/>
            <w:r w:rsidRPr="007820EC">
              <w:rPr>
                <w:rFonts w:ascii="Times New Roman" w:hAnsi="Times New Roman"/>
                <w:sz w:val="20"/>
                <w:szCs w:val="20"/>
                <w:shd w:val="clear" w:color="auto" w:fill="FFFFFF"/>
                <w:lang w:val="fr-FR"/>
              </w:rPr>
              <w:t xml:space="preserve">. Aceste date </w:t>
            </w:r>
            <w:proofErr w:type="spellStart"/>
            <w:r w:rsidRPr="007820EC">
              <w:rPr>
                <w:rFonts w:ascii="Times New Roman" w:hAnsi="Times New Roman"/>
                <w:sz w:val="20"/>
                <w:szCs w:val="20"/>
                <w:shd w:val="clear" w:color="auto" w:fill="FFFFFF"/>
                <w:lang w:val="fr-FR"/>
              </w:rPr>
              <w:t>trebuie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să</w:t>
            </w:r>
            <w:proofErr w:type="spellEnd"/>
            <w:r w:rsidRPr="007820EC">
              <w:rPr>
                <w:rFonts w:ascii="Times New Roman" w:hAnsi="Times New Roman"/>
                <w:sz w:val="20"/>
                <w:szCs w:val="20"/>
                <w:shd w:val="clear" w:color="auto" w:fill="FFFFFF"/>
                <w:lang w:val="fr-FR"/>
              </w:rPr>
              <w:t xml:space="preserve"> fie de </w:t>
            </w:r>
            <w:proofErr w:type="spellStart"/>
            <w:r w:rsidRPr="007820EC">
              <w:rPr>
                <w:rFonts w:ascii="Times New Roman" w:hAnsi="Times New Roman"/>
                <w:sz w:val="20"/>
                <w:szCs w:val="20"/>
                <w:shd w:val="clear" w:color="auto" w:fill="FFFFFF"/>
                <w:lang w:val="fr-FR"/>
              </w:rPr>
              <w:t>asemenea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relevante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raportul</w:t>
            </w:r>
            <w:proofErr w:type="spellEnd"/>
            <w:r w:rsidRPr="007820EC">
              <w:rPr>
                <w:rFonts w:ascii="Times New Roman" w:hAnsi="Times New Roman"/>
                <w:sz w:val="20"/>
                <w:szCs w:val="20"/>
                <w:shd w:val="clear" w:color="auto" w:fill="FFFFFF"/>
                <w:lang w:val="fr-FR"/>
              </w:rPr>
              <w:t xml:space="preserve"> de conformitate în </w:t>
            </w:r>
            <w:proofErr w:type="spellStart"/>
            <w:r w:rsidRPr="007820EC">
              <w:rPr>
                <w:rFonts w:ascii="Times New Roman" w:hAnsi="Times New Roman"/>
                <w:sz w:val="20"/>
                <w:szCs w:val="20"/>
                <w:shd w:val="clear" w:color="auto" w:fill="FFFFFF"/>
                <w:lang w:val="fr-FR"/>
              </w:rPr>
              <w:t>temeiul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articolului</w:t>
            </w:r>
            <w:proofErr w:type="spellEnd"/>
            <w:r w:rsidRPr="007820EC">
              <w:rPr>
                <w:rFonts w:ascii="Times New Roman" w:hAnsi="Times New Roman"/>
                <w:sz w:val="20"/>
                <w:szCs w:val="20"/>
                <w:shd w:val="clear" w:color="auto" w:fill="FFFFFF"/>
                <w:lang w:val="fr-FR"/>
              </w:rPr>
              <w:t xml:space="preserve"> 14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Regulamentul</w:t>
            </w:r>
            <w:proofErr w:type="spellEnd"/>
            <w:r w:rsidRPr="007820EC">
              <w:rPr>
                <w:rFonts w:ascii="Times New Roman" w:hAnsi="Times New Roman"/>
                <w:sz w:val="20"/>
                <w:szCs w:val="20"/>
                <w:shd w:val="clear" w:color="auto" w:fill="FFFFFF"/>
                <w:lang w:val="fr-FR"/>
              </w:rPr>
              <w:t xml:space="preserve"> (UE) 2018/</w:t>
            </w:r>
            <w:proofErr w:type="gramStart"/>
            <w:r w:rsidRPr="007820EC">
              <w:rPr>
                <w:rFonts w:ascii="Times New Roman" w:hAnsi="Times New Roman"/>
                <w:sz w:val="20"/>
                <w:szCs w:val="20"/>
                <w:shd w:val="clear" w:color="auto" w:fill="FFFFFF"/>
                <w:lang w:val="fr-FR"/>
              </w:rPr>
              <w:t>841;</w:t>
            </w:r>
            <w:proofErr w:type="gramEnd"/>
          </w:p>
          <w:p w14:paraId="37530C95"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orice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modificări</w:t>
            </w:r>
            <w:proofErr w:type="spellEnd"/>
            <w:r w:rsidRPr="007820EC">
              <w:rPr>
                <w:rFonts w:ascii="Times New Roman" w:hAnsi="Times New Roman"/>
                <w:sz w:val="20"/>
                <w:szCs w:val="20"/>
                <w:shd w:val="clear" w:color="auto" w:fill="FFFFFF"/>
                <w:lang w:val="fr-FR"/>
              </w:rPr>
              <w:t xml:space="preserve"> ale </w:t>
            </w:r>
            <w:proofErr w:type="spellStart"/>
            <w:r w:rsidRPr="007820EC">
              <w:rPr>
                <w:rFonts w:ascii="Times New Roman" w:hAnsi="Times New Roman"/>
                <w:sz w:val="20"/>
                <w:szCs w:val="20"/>
                <w:shd w:val="clear" w:color="auto" w:fill="FFFFFF"/>
                <w:lang w:val="fr-FR"/>
              </w:rPr>
              <w:t>informațiilor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menționate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literele</w:t>
            </w:r>
            <w:proofErr w:type="spellEnd"/>
            <w:r w:rsidRPr="007820EC">
              <w:rPr>
                <w:rFonts w:ascii="Times New Roman" w:hAnsi="Times New Roman"/>
                <w:sz w:val="20"/>
                <w:szCs w:val="20"/>
                <w:shd w:val="clear" w:color="auto" w:fill="FFFFFF"/>
                <w:lang w:val="fr-FR"/>
              </w:rPr>
              <w:t xml:space="preserve"> (a), (b) și (c) </w:t>
            </w:r>
            <w:proofErr w:type="spellStart"/>
            <w:r w:rsidRPr="007820EC">
              <w:rPr>
                <w:rFonts w:ascii="Times New Roman" w:hAnsi="Times New Roman"/>
                <w:sz w:val="20"/>
                <w:szCs w:val="20"/>
                <w:shd w:val="clear" w:color="auto" w:fill="FFFFFF"/>
                <w:lang w:val="fr-FR"/>
              </w:rPr>
              <w:t>referitoare</w:t>
            </w:r>
            <w:proofErr w:type="spellEnd"/>
            <w:r w:rsidRPr="007820EC">
              <w:rPr>
                <w:rFonts w:ascii="Times New Roman" w:hAnsi="Times New Roman"/>
                <w:sz w:val="20"/>
                <w:szCs w:val="20"/>
                <w:shd w:val="clear" w:color="auto" w:fill="FFFFFF"/>
                <w:lang w:val="fr-FR"/>
              </w:rPr>
              <w:t xml:space="preserve"> la anii </w:t>
            </w:r>
            <w:proofErr w:type="spellStart"/>
            <w:r w:rsidRPr="007820EC">
              <w:rPr>
                <w:rFonts w:ascii="Times New Roman" w:hAnsi="Times New Roman"/>
                <w:sz w:val="20"/>
                <w:szCs w:val="20"/>
                <w:shd w:val="clear" w:color="auto" w:fill="FFFFFF"/>
                <w:lang w:val="fr-FR"/>
              </w:rPr>
              <w:t>cuprinși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între</w:t>
            </w:r>
            <w:proofErr w:type="spellEnd"/>
            <w:r w:rsidRPr="007820EC">
              <w:rPr>
                <w:rFonts w:ascii="Times New Roman" w:hAnsi="Times New Roman"/>
                <w:sz w:val="20"/>
                <w:szCs w:val="20"/>
                <w:shd w:val="clear" w:color="auto" w:fill="FFFFFF"/>
                <w:lang w:val="fr-FR"/>
              </w:rPr>
              <w:t xml:space="preserve"> anul </w:t>
            </w:r>
            <w:proofErr w:type="spellStart"/>
            <w:r w:rsidRPr="007820EC">
              <w:rPr>
                <w:rFonts w:ascii="Times New Roman" w:hAnsi="Times New Roman"/>
                <w:sz w:val="20"/>
                <w:szCs w:val="20"/>
                <w:shd w:val="clear" w:color="auto" w:fill="FFFFFF"/>
                <w:lang w:val="fr-FR"/>
              </w:rPr>
              <w:t>sau</w:t>
            </w:r>
            <w:proofErr w:type="spellEnd"/>
            <w:r w:rsidRPr="007820EC">
              <w:rPr>
                <w:rFonts w:ascii="Times New Roman" w:hAnsi="Times New Roman"/>
                <w:sz w:val="20"/>
                <w:szCs w:val="20"/>
                <w:shd w:val="clear" w:color="auto" w:fill="FFFFFF"/>
                <w:lang w:val="fr-FR"/>
              </w:rPr>
              <w:t xml:space="preserve"> perioada de </w:t>
            </w:r>
            <w:proofErr w:type="spellStart"/>
            <w:r w:rsidRPr="007820EC">
              <w:rPr>
                <w:rFonts w:ascii="Times New Roman" w:hAnsi="Times New Roman"/>
                <w:sz w:val="20"/>
                <w:szCs w:val="20"/>
                <w:shd w:val="clear" w:color="auto" w:fill="FFFFFF"/>
                <w:lang w:val="fr-FR"/>
              </w:rPr>
              <w:t>referință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relevantă</w:t>
            </w:r>
            <w:proofErr w:type="spellEnd"/>
            <w:r w:rsidRPr="007820EC">
              <w:rPr>
                <w:rFonts w:ascii="Times New Roman" w:hAnsi="Times New Roman"/>
                <w:sz w:val="20"/>
                <w:szCs w:val="20"/>
                <w:shd w:val="clear" w:color="auto" w:fill="FFFFFF"/>
                <w:lang w:val="fr-FR"/>
              </w:rPr>
              <w:t xml:space="preserve"> și anul X-3, </w:t>
            </w:r>
            <w:proofErr w:type="spellStart"/>
            <w:r w:rsidRPr="007820EC">
              <w:rPr>
                <w:rFonts w:ascii="Times New Roman" w:hAnsi="Times New Roman"/>
                <w:sz w:val="20"/>
                <w:szCs w:val="20"/>
                <w:shd w:val="clear" w:color="auto" w:fill="FFFFFF"/>
                <w:lang w:val="fr-FR"/>
              </w:rPr>
              <w:t>indicând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motivele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respectivelor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modificări</w:t>
            </w:r>
            <w:proofErr w:type="spellEnd"/>
            <w:r w:rsidRPr="007820EC">
              <w:rPr>
                <w:rFonts w:ascii="Times New Roman" w:hAnsi="Times New Roman"/>
                <w:sz w:val="20"/>
                <w:szCs w:val="20"/>
                <w:shd w:val="clear" w:color="auto" w:fill="FFFFFF"/>
                <w:lang w:val="fr-FR"/>
              </w:rPr>
              <w:t>;</w:t>
            </w:r>
          </w:p>
          <w:p w14:paraId="18BC971E"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informații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privind</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indicatorii</w:t>
            </w:r>
            <w:proofErr w:type="spellEnd"/>
            <w:r w:rsidRPr="007820EC">
              <w:rPr>
                <w:rFonts w:ascii="Times New Roman" w:hAnsi="Times New Roman"/>
                <w:sz w:val="20"/>
                <w:szCs w:val="20"/>
                <w:shd w:val="clear" w:color="auto" w:fill="FFFFFF"/>
              </w:rPr>
              <w:t xml:space="preserve">, conform </w:t>
            </w:r>
            <w:proofErr w:type="spellStart"/>
            <w:r w:rsidRPr="007820EC">
              <w:rPr>
                <w:rFonts w:ascii="Times New Roman" w:hAnsi="Times New Roman"/>
                <w:sz w:val="20"/>
                <w:szCs w:val="20"/>
                <w:shd w:val="clear" w:color="auto" w:fill="FFFFFF"/>
              </w:rPr>
              <w:t>celor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stabilite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partea</w:t>
            </w:r>
            <w:proofErr w:type="spellEnd"/>
            <w:r w:rsidRPr="007820EC">
              <w:rPr>
                <w:rFonts w:ascii="Times New Roman" w:hAnsi="Times New Roman"/>
                <w:sz w:val="20"/>
                <w:szCs w:val="20"/>
                <w:shd w:val="clear" w:color="auto" w:fill="FFFFFF"/>
              </w:rPr>
              <w:t xml:space="preserve"> 4 din prezenta </w:t>
            </w:r>
            <w:proofErr w:type="spellStart"/>
            <w:r w:rsidRPr="007820EC">
              <w:rPr>
                <w:rFonts w:ascii="Times New Roman" w:hAnsi="Times New Roman"/>
                <w:sz w:val="20"/>
                <w:szCs w:val="20"/>
                <w:shd w:val="clear" w:color="auto" w:fill="FFFFFF"/>
              </w:rPr>
              <w:t>anexă</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pentru</w:t>
            </w:r>
            <w:proofErr w:type="spellEnd"/>
            <w:r w:rsidRPr="007820EC">
              <w:rPr>
                <w:rFonts w:ascii="Times New Roman" w:hAnsi="Times New Roman"/>
                <w:sz w:val="20"/>
                <w:szCs w:val="20"/>
                <w:shd w:val="clear" w:color="auto" w:fill="FFFFFF"/>
              </w:rPr>
              <w:t xml:space="preserve"> anul X-</w:t>
            </w:r>
            <w:proofErr w:type="gramStart"/>
            <w:r w:rsidRPr="007820EC">
              <w:rPr>
                <w:rFonts w:ascii="Times New Roman" w:hAnsi="Times New Roman"/>
                <w:sz w:val="20"/>
                <w:szCs w:val="20"/>
                <w:shd w:val="clear" w:color="auto" w:fill="FFFFFF"/>
              </w:rPr>
              <w:t>2;</w:t>
            </w:r>
            <w:proofErr w:type="gramEnd"/>
          </w:p>
          <w:p w14:paraId="3CBCFEE6"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informații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sintetizate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privind</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transferurile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încheiate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temeiul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articolului</w:t>
            </w:r>
            <w:proofErr w:type="spellEnd"/>
            <w:r w:rsidRPr="007820EC">
              <w:rPr>
                <w:rFonts w:ascii="Times New Roman" w:hAnsi="Times New Roman"/>
                <w:sz w:val="20"/>
                <w:szCs w:val="20"/>
                <w:shd w:val="clear" w:color="auto" w:fill="FFFFFF"/>
              </w:rPr>
              <w:t xml:space="preserve"> 5 din </w:t>
            </w:r>
            <w:proofErr w:type="spellStart"/>
            <w:r w:rsidRPr="007820EC">
              <w:rPr>
                <w:rFonts w:ascii="Times New Roman" w:hAnsi="Times New Roman"/>
                <w:sz w:val="20"/>
                <w:szCs w:val="20"/>
                <w:shd w:val="clear" w:color="auto" w:fill="FFFFFF"/>
              </w:rPr>
              <w:t>Regulamentul</w:t>
            </w:r>
            <w:proofErr w:type="spellEnd"/>
            <w:r w:rsidRPr="007820EC">
              <w:rPr>
                <w:rFonts w:ascii="Times New Roman" w:hAnsi="Times New Roman"/>
                <w:sz w:val="20"/>
                <w:szCs w:val="20"/>
                <w:shd w:val="clear" w:color="auto" w:fill="FFFFFF"/>
              </w:rPr>
              <w:t xml:space="preserve"> (UE) 2018/842 și al </w:t>
            </w:r>
            <w:proofErr w:type="spellStart"/>
            <w:r w:rsidRPr="007820EC">
              <w:rPr>
                <w:rFonts w:ascii="Times New Roman" w:hAnsi="Times New Roman"/>
                <w:sz w:val="20"/>
                <w:szCs w:val="20"/>
                <w:shd w:val="clear" w:color="auto" w:fill="FFFFFF"/>
              </w:rPr>
              <w:t>articolelor</w:t>
            </w:r>
            <w:proofErr w:type="spellEnd"/>
            <w:r w:rsidRPr="007820EC">
              <w:rPr>
                <w:rFonts w:ascii="Times New Roman" w:hAnsi="Times New Roman"/>
                <w:sz w:val="20"/>
                <w:szCs w:val="20"/>
                <w:shd w:val="clear" w:color="auto" w:fill="FFFFFF"/>
              </w:rPr>
              <w:t xml:space="preserve"> 12 și 13 din </w:t>
            </w:r>
            <w:proofErr w:type="spellStart"/>
            <w:r w:rsidRPr="007820EC">
              <w:rPr>
                <w:rFonts w:ascii="Times New Roman" w:hAnsi="Times New Roman"/>
                <w:sz w:val="20"/>
                <w:szCs w:val="20"/>
                <w:shd w:val="clear" w:color="auto" w:fill="FFFFFF"/>
              </w:rPr>
              <w:t>Regulamentul</w:t>
            </w:r>
            <w:proofErr w:type="spellEnd"/>
            <w:r w:rsidRPr="007820EC">
              <w:rPr>
                <w:rFonts w:ascii="Times New Roman" w:hAnsi="Times New Roman"/>
                <w:sz w:val="20"/>
                <w:szCs w:val="20"/>
                <w:shd w:val="clear" w:color="auto" w:fill="FFFFFF"/>
              </w:rPr>
              <w:t xml:space="preserve"> (UE) 2018/841, </w:t>
            </w:r>
            <w:proofErr w:type="spellStart"/>
            <w:r w:rsidRPr="007820EC">
              <w:rPr>
                <w:rFonts w:ascii="Times New Roman" w:hAnsi="Times New Roman"/>
                <w:sz w:val="20"/>
                <w:szCs w:val="20"/>
                <w:shd w:val="clear" w:color="auto" w:fill="FFFFFF"/>
              </w:rPr>
              <w:t>pentru</w:t>
            </w:r>
            <w:proofErr w:type="spellEnd"/>
            <w:r w:rsidRPr="007820EC">
              <w:rPr>
                <w:rFonts w:ascii="Times New Roman" w:hAnsi="Times New Roman"/>
                <w:sz w:val="20"/>
                <w:szCs w:val="20"/>
                <w:shd w:val="clear" w:color="auto" w:fill="FFFFFF"/>
              </w:rPr>
              <w:t xml:space="preserve"> anul X-</w:t>
            </w:r>
            <w:proofErr w:type="gramStart"/>
            <w:r w:rsidRPr="007820EC">
              <w:rPr>
                <w:rFonts w:ascii="Times New Roman" w:hAnsi="Times New Roman"/>
                <w:sz w:val="20"/>
                <w:szCs w:val="20"/>
                <w:shd w:val="clear" w:color="auto" w:fill="FFFFFF"/>
              </w:rPr>
              <w:t>1;</w:t>
            </w:r>
            <w:proofErr w:type="gramEnd"/>
          </w:p>
          <w:p w14:paraId="1E2D2B30"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lastRenderedPageBreak/>
              <w:t>informații</w:t>
            </w:r>
            <w:proofErr w:type="spellEnd"/>
            <w:r w:rsidRPr="007820EC">
              <w:rPr>
                <w:rFonts w:ascii="Times New Roman" w:hAnsi="Times New Roman"/>
                <w:sz w:val="20"/>
                <w:szCs w:val="20"/>
                <w:shd w:val="clear" w:color="auto" w:fill="FFFFFF"/>
              </w:rPr>
              <w:t xml:space="preserve"> cu </w:t>
            </w:r>
            <w:proofErr w:type="spellStart"/>
            <w:r w:rsidRPr="007820EC">
              <w:rPr>
                <w:rFonts w:ascii="Times New Roman" w:hAnsi="Times New Roman"/>
                <w:sz w:val="20"/>
                <w:szCs w:val="20"/>
                <w:shd w:val="clear" w:color="auto" w:fill="FFFFFF"/>
              </w:rPr>
              <w:t>privire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măsurile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luate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vederea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îmbunătățirii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estimărilor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referitoare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inventare</w:t>
            </w:r>
            <w:proofErr w:type="spellEnd"/>
            <w:r w:rsidRPr="007820EC">
              <w:rPr>
                <w:rFonts w:ascii="Times New Roman" w:hAnsi="Times New Roman"/>
                <w:sz w:val="20"/>
                <w:szCs w:val="20"/>
                <w:shd w:val="clear" w:color="auto" w:fill="FFFFFF"/>
              </w:rPr>
              <w:t xml:space="preserve">, în special în </w:t>
            </w:r>
            <w:proofErr w:type="spellStart"/>
            <w:r w:rsidRPr="007820EC">
              <w:rPr>
                <w:rFonts w:ascii="Times New Roman" w:hAnsi="Times New Roman"/>
                <w:sz w:val="20"/>
                <w:szCs w:val="20"/>
                <w:shd w:val="clear" w:color="auto" w:fill="FFFFFF"/>
              </w:rPr>
              <w:t>domenii</w:t>
            </w:r>
            <w:proofErr w:type="spell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inventar</w:t>
            </w:r>
            <w:proofErr w:type="spellEnd"/>
            <w:r w:rsidRPr="007820EC">
              <w:rPr>
                <w:rFonts w:ascii="Times New Roman" w:hAnsi="Times New Roman"/>
                <w:sz w:val="20"/>
                <w:szCs w:val="20"/>
                <w:shd w:val="clear" w:color="auto" w:fill="FFFFFF"/>
              </w:rPr>
              <w:t xml:space="preserve"> care au </w:t>
            </w:r>
            <w:proofErr w:type="spellStart"/>
            <w:r w:rsidRPr="007820EC">
              <w:rPr>
                <w:rFonts w:ascii="Times New Roman" w:hAnsi="Times New Roman"/>
                <w:sz w:val="20"/>
                <w:szCs w:val="20"/>
                <w:shd w:val="clear" w:color="auto" w:fill="FFFFFF"/>
              </w:rPr>
              <w:t>făcut</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obiectul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unor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modificări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sau</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recomandări</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urma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evaluărilor</w:t>
            </w:r>
            <w:proofErr w:type="spellEnd"/>
            <w:r w:rsidRPr="007820EC">
              <w:rPr>
                <w:rFonts w:ascii="Times New Roman" w:hAnsi="Times New Roman"/>
                <w:sz w:val="20"/>
                <w:szCs w:val="20"/>
                <w:shd w:val="clear" w:color="auto" w:fill="FFFFFF"/>
              </w:rPr>
              <w:t xml:space="preserve"> de </w:t>
            </w:r>
            <w:proofErr w:type="spellStart"/>
            <w:r w:rsidRPr="007820EC">
              <w:rPr>
                <w:rFonts w:ascii="Times New Roman" w:hAnsi="Times New Roman"/>
                <w:sz w:val="20"/>
                <w:szCs w:val="20"/>
                <w:shd w:val="clear" w:color="auto" w:fill="FFFFFF"/>
              </w:rPr>
              <w:t>către</w:t>
            </w:r>
            <w:proofErr w:type="spellEnd"/>
            <w:r w:rsidRPr="007820EC">
              <w:rPr>
                <w:rFonts w:ascii="Times New Roman" w:hAnsi="Times New Roman"/>
                <w:sz w:val="20"/>
                <w:szCs w:val="20"/>
                <w:shd w:val="clear" w:color="auto" w:fill="FFFFFF"/>
              </w:rPr>
              <w:t xml:space="preserve"> </w:t>
            </w:r>
            <w:proofErr w:type="spellStart"/>
            <w:proofErr w:type="gramStart"/>
            <w:r w:rsidRPr="007820EC">
              <w:rPr>
                <w:rFonts w:ascii="Times New Roman" w:hAnsi="Times New Roman"/>
                <w:sz w:val="20"/>
                <w:szCs w:val="20"/>
                <w:shd w:val="clear" w:color="auto" w:fill="FFFFFF"/>
              </w:rPr>
              <w:t>experți</w:t>
            </w:r>
            <w:proofErr w:type="spellEnd"/>
            <w:r w:rsidRPr="007820EC">
              <w:rPr>
                <w:rFonts w:ascii="Times New Roman" w:hAnsi="Times New Roman"/>
                <w:sz w:val="20"/>
                <w:szCs w:val="20"/>
                <w:shd w:val="clear" w:color="auto" w:fill="FFFFFF"/>
              </w:rPr>
              <w:t>;</w:t>
            </w:r>
            <w:proofErr w:type="gramEnd"/>
          </w:p>
          <w:p w14:paraId="1380109D"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alocarea</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reală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sau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estimată</w:t>
            </w:r>
            <w:proofErr w:type="spellEnd"/>
            <w:r w:rsidRPr="007820EC">
              <w:rPr>
                <w:rFonts w:ascii="Times New Roman" w:hAnsi="Times New Roman"/>
                <w:sz w:val="20"/>
                <w:szCs w:val="20"/>
                <w:shd w:val="clear" w:color="auto" w:fill="FFFFFF"/>
                <w:lang w:val="fr-FR"/>
              </w:rPr>
              <w:t xml:space="preserve"> a </w:t>
            </w:r>
            <w:proofErr w:type="spellStart"/>
            <w:r w:rsidRPr="007820EC">
              <w:rPr>
                <w:rFonts w:ascii="Times New Roman" w:hAnsi="Times New Roman"/>
                <w:sz w:val="20"/>
                <w:szCs w:val="20"/>
                <w:shd w:val="clear" w:color="auto" w:fill="FFFFFF"/>
                <w:lang w:val="fr-FR"/>
              </w:rPr>
              <w:t>emisiilor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verificate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raportate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operatorii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instalații</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temeiul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Directivei</w:t>
            </w:r>
            <w:proofErr w:type="spellEnd"/>
            <w:r w:rsidRPr="007820EC">
              <w:rPr>
                <w:rFonts w:ascii="Times New Roman" w:hAnsi="Times New Roman"/>
                <w:sz w:val="20"/>
                <w:szCs w:val="20"/>
                <w:shd w:val="clear" w:color="auto" w:fill="FFFFFF"/>
                <w:lang w:val="fr-FR"/>
              </w:rPr>
              <w:t xml:space="preserve"> 2003/87/CE </w:t>
            </w:r>
            <w:proofErr w:type="spellStart"/>
            <w:r w:rsidRPr="007820EC">
              <w:rPr>
                <w:rFonts w:ascii="Times New Roman" w:hAnsi="Times New Roman"/>
                <w:sz w:val="20"/>
                <w:szCs w:val="20"/>
                <w:shd w:val="clear" w:color="auto" w:fill="FFFFFF"/>
                <w:lang w:val="fr-FR"/>
              </w:rPr>
              <w:t>către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categoriile</w:t>
            </w:r>
            <w:proofErr w:type="spellEnd"/>
            <w:r w:rsidRPr="007820EC">
              <w:rPr>
                <w:rFonts w:ascii="Times New Roman" w:hAnsi="Times New Roman"/>
                <w:sz w:val="20"/>
                <w:szCs w:val="20"/>
                <w:shd w:val="clear" w:color="auto" w:fill="FFFFFF"/>
                <w:lang w:val="fr-FR"/>
              </w:rPr>
              <w:t xml:space="preserve"> de surse </w:t>
            </w:r>
            <w:proofErr w:type="spellStart"/>
            <w:r w:rsidRPr="007820EC">
              <w:rPr>
                <w:rFonts w:ascii="Times New Roman" w:hAnsi="Times New Roman"/>
                <w:sz w:val="20"/>
                <w:szCs w:val="20"/>
                <w:shd w:val="clear" w:color="auto" w:fill="FFFFFF"/>
                <w:lang w:val="fr-FR"/>
              </w:rPr>
              <w:t>din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inventarul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național</w:t>
            </w:r>
            <w:proofErr w:type="spellEnd"/>
            <w:r w:rsidRPr="007820EC">
              <w:rPr>
                <w:rFonts w:ascii="Times New Roman" w:hAnsi="Times New Roman"/>
                <w:sz w:val="20"/>
                <w:szCs w:val="20"/>
                <w:shd w:val="clear" w:color="auto" w:fill="FFFFFF"/>
                <w:lang w:val="fr-FR"/>
              </w:rPr>
              <w:t xml:space="preserve"> al GES și </w:t>
            </w:r>
            <w:proofErr w:type="spellStart"/>
            <w:r w:rsidRPr="007820EC">
              <w:rPr>
                <w:rFonts w:ascii="Times New Roman" w:hAnsi="Times New Roman"/>
                <w:sz w:val="20"/>
                <w:szCs w:val="20"/>
                <w:shd w:val="clear" w:color="auto" w:fill="FFFFFF"/>
                <w:lang w:val="fr-FR"/>
              </w:rPr>
              <w:t>raportul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dintre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aceste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verificate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totalul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emisiilor</w:t>
            </w:r>
            <w:proofErr w:type="spellEnd"/>
            <w:r w:rsidRPr="007820EC">
              <w:rPr>
                <w:rFonts w:ascii="Times New Roman" w:hAnsi="Times New Roman"/>
                <w:sz w:val="20"/>
                <w:szCs w:val="20"/>
                <w:shd w:val="clear" w:color="auto" w:fill="FFFFFF"/>
                <w:lang w:val="fr-FR"/>
              </w:rPr>
              <w:t xml:space="preserve"> de GES </w:t>
            </w:r>
            <w:proofErr w:type="spellStart"/>
            <w:r w:rsidRPr="007820EC">
              <w:rPr>
                <w:rFonts w:ascii="Times New Roman" w:hAnsi="Times New Roman"/>
                <w:sz w:val="20"/>
                <w:szCs w:val="20"/>
                <w:shd w:val="clear" w:color="auto" w:fill="FFFFFF"/>
                <w:lang w:val="fr-FR"/>
              </w:rPr>
              <w:t>raportate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cadrul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respectivelor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categorii</w:t>
            </w:r>
            <w:proofErr w:type="spellEnd"/>
            <w:r w:rsidRPr="007820EC">
              <w:rPr>
                <w:rFonts w:ascii="Times New Roman" w:hAnsi="Times New Roman"/>
                <w:sz w:val="20"/>
                <w:szCs w:val="20"/>
                <w:shd w:val="clear" w:color="auto" w:fill="FFFFFF"/>
                <w:lang w:val="fr-FR"/>
              </w:rPr>
              <w:t xml:space="preserve"> de surse,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w:t>
            </w:r>
          </w:p>
          <w:p w14:paraId="71D4FE2A"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shd w:val="clear" w:color="auto" w:fill="FFFFFF"/>
                <w:lang w:val="fr-FR"/>
              </w:rPr>
            </w:pPr>
            <w:proofErr w:type="gramStart"/>
            <w:r w:rsidRPr="007820EC">
              <w:rPr>
                <w:rFonts w:ascii="Times New Roman" w:hAnsi="Times New Roman"/>
                <w:sz w:val="20"/>
                <w:szCs w:val="20"/>
                <w:shd w:val="clear" w:color="auto" w:fill="FFFFFF"/>
                <w:lang w:val="fr-FR"/>
              </w:rPr>
              <w:t>în</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cazurile</w:t>
            </w:r>
            <w:proofErr w:type="spellEnd"/>
            <w:r w:rsidRPr="007820EC">
              <w:rPr>
                <w:rFonts w:ascii="Times New Roman" w:hAnsi="Times New Roman"/>
                <w:sz w:val="20"/>
                <w:szCs w:val="20"/>
                <w:shd w:val="clear" w:color="auto" w:fill="FFFFFF"/>
                <w:lang w:val="fr-FR"/>
              </w:rPr>
              <w:t xml:space="preserve"> în care este relevant, </w:t>
            </w:r>
            <w:proofErr w:type="spellStart"/>
            <w:r w:rsidRPr="007820EC">
              <w:rPr>
                <w:rFonts w:ascii="Times New Roman" w:hAnsi="Times New Roman"/>
                <w:sz w:val="20"/>
                <w:szCs w:val="20"/>
                <w:shd w:val="clear" w:color="auto" w:fill="FFFFFF"/>
                <w:lang w:val="fr-FR"/>
              </w:rPr>
              <w:t>rezultatele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verificărilor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efectuate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ceea</w:t>
            </w:r>
            <w:proofErr w:type="spellEnd"/>
            <w:r w:rsidRPr="007820EC">
              <w:rPr>
                <w:rFonts w:ascii="Times New Roman" w:hAnsi="Times New Roman"/>
                <w:sz w:val="20"/>
                <w:szCs w:val="20"/>
                <w:shd w:val="clear" w:color="auto" w:fill="FFFFFF"/>
                <w:lang w:val="fr-FR"/>
              </w:rPr>
              <w:t xml:space="preserve"> ce </w:t>
            </w:r>
            <w:proofErr w:type="spellStart"/>
            <w:r w:rsidRPr="007820EC">
              <w:rPr>
                <w:rFonts w:ascii="Times New Roman" w:hAnsi="Times New Roman"/>
                <w:sz w:val="20"/>
                <w:szCs w:val="20"/>
                <w:shd w:val="clear" w:color="auto" w:fill="FFFFFF"/>
                <w:lang w:val="fr-FR"/>
              </w:rPr>
              <w:t>privește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consecvența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inventarele</w:t>
            </w:r>
            <w:proofErr w:type="spellEnd"/>
            <w:r w:rsidRPr="007820EC">
              <w:rPr>
                <w:rFonts w:ascii="Times New Roman" w:hAnsi="Times New Roman"/>
                <w:sz w:val="20"/>
                <w:szCs w:val="20"/>
                <w:shd w:val="clear" w:color="auto" w:fill="FFFFFF"/>
                <w:lang w:val="fr-FR"/>
              </w:rPr>
              <w:t xml:space="preserve"> de GES,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verificate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temeiul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Directivei</w:t>
            </w:r>
            <w:proofErr w:type="spellEnd"/>
            <w:r w:rsidRPr="007820EC">
              <w:rPr>
                <w:rFonts w:ascii="Times New Roman" w:hAnsi="Times New Roman"/>
                <w:sz w:val="20"/>
                <w:szCs w:val="20"/>
                <w:shd w:val="clear" w:color="auto" w:fill="FFFFFF"/>
                <w:lang w:val="fr-FR"/>
              </w:rPr>
              <w:t xml:space="preserve"> 2003/87/CE;</w:t>
            </w:r>
          </w:p>
          <w:p w14:paraId="68B94EE8"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lang w:val="fr-FR"/>
              </w:rPr>
            </w:pPr>
            <w:proofErr w:type="gramStart"/>
            <w:r w:rsidRPr="007820EC">
              <w:rPr>
                <w:rFonts w:ascii="Times New Roman" w:hAnsi="Times New Roman"/>
                <w:sz w:val="20"/>
                <w:szCs w:val="20"/>
                <w:shd w:val="clear" w:color="auto" w:fill="FFFFFF"/>
                <w:lang w:val="fr-FR"/>
              </w:rPr>
              <w:t>în</w:t>
            </w:r>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cazurile</w:t>
            </w:r>
            <w:proofErr w:type="spellEnd"/>
            <w:r w:rsidRPr="007820EC">
              <w:rPr>
                <w:rFonts w:ascii="Times New Roman" w:hAnsi="Times New Roman"/>
                <w:sz w:val="20"/>
                <w:szCs w:val="20"/>
                <w:shd w:val="clear" w:color="auto" w:fill="FFFFFF"/>
                <w:lang w:val="fr-FR"/>
              </w:rPr>
              <w:t xml:space="preserve"> în care este relevant, </w:t>
            </w:r>
            <w:proofErr w:type="spellStart"/>
            <w:r w:rsidRPr="007820EC">
              <w:rPr>
                <w:rFonts w:ascii="Times New Roman" w:hAnsi="Times New Roman"/>
                <w:sz w:val="20"/>
                <w:szCs w:val="20"/>
                <w:shd w:val="clear" w:color="auto" w:fill="FFFFFF"/>
                <w:lang w:val="fr-FR"/>
              </w:rPr>
              <w:t>rezultatele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verificărilor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efectuate</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ceea</w:t>
            </w:r>
            <w:proofErr w:type="spellEnd"/>
            <w:r w:rsidRPr="007820EC">
              <w:rPr>
                <w:rFonts w:ascii="Times New Roman" w:hAnsi="Times New Roman"/>
                <w:sz w:val="20"/>
                <w:szCs w:val="20"/>
                <w:shd w:val="clear" w:color="auto" w:fill="FFFFFF"/>
                <w:lang w:val="fr-FR"/>
              </w:rPr>
              <w:t xml:space="preserve"> ce </w:t>
            </w:r>
            <w:proofErr w:type="spellStart"/>
            <w:r w:rsidRPr="007820EC">
              <w:rPr>
                <w:rFonts w:ascii="Times New Roman" w:hAnsi="Times New Roman"/>
                <w:sz w:val="20"/>
                <w:szCs w:val="20"/>
                <w:shd w:val="clear" w:color="auto" w:fill="FFFFFF"/>
                <w:lang w:val="fr-FR"/>
              </w:rPr>
              <w:t>privește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consecvența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datelor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folosite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estimarea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emisiilor</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pregătirea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inventarelor</w:t>
            </w:r>
            <w:proofErr w:type="spellEnd"/>
            <w:r w:rsidRPr="007820EC">
              <w:rPr>
                <w:rFonts w:ascii="Times New Roman" w:hAnsi="Times New Roman"/>
                <w:sz w:val="20"/>
                <w:szCs w:val="20"/>
                <w:shd w:val="clear" w:color="auto" w:fill="FFFFFF"/>
                <w:lang w:val="fr-FR"/>
              </w:rPr>
              <w:t xml:space="preserve"> de GES,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anul X-2,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w:t>
            </w:r>
          </w:p>
          <w:p w14:paraId="621E0DE3" w14:textId="0344D43F" w:rsidR="008F5636" w:rsidRPr="007820EC" w:rsidRDefault="008F5636" w:rsidP="000C5A3B">
            <w:pPr>
              <w:pStyle w:val="ColorfulList-Accent11"/>
              <w:numPr>
                <w:ilvl w:val="0"/>
                <w:numId w:val="63"/>
              </w:numPr>
              <w:spacing w:after="0" w:line="240" w:lineRule="auto"/>
              <w:jc w:val="both"/>
              <w:rPr>
                <w:rFonts w:ascii="Times New Roman" w:hAnsi="Times New Roman"/>
                <w:sz w:val="20"/>
                <w:szCs w:val="20"/>
                <w:lang w:val="fr-FR"/>
              </w:rPr>
            </w:pPr>
            <w:proofErr w:type="spellStart"/>
            <w:proofErr w:type="gramStart"/>
            <w:r w:rsidRPr="007820EC">
              <w:rPr>
                <w:rFonts w:ascii="Times New Roman" w:hAnsi="Times New Roman"/>
                <w:sz w:val="20"/>
                <w:szCs w:val="20"/>
                <w:shd w:val="clear" w:color="auto" w:fill="FFFFFF"/>
                <w:lang w:val="fr-FR"/>
              </w:rPr>
              <w:t>datele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folosite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întocmirea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inventarelor</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poluanți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atmosferici</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temeiul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Directivei</w:t>
            </w:r>
            <w:proofErr w:type="spellEnd"/>
            <w:r w:rsidRPr="007820EC">
              <w:rPr>
                <w:rFonts w:ascii="Times New Roman" w:hAnsi="Times New Roman"/>
                <w:sz w:val="20"/>
                <w:szCs w:val="20"/>
                <w:shd w:val="clear" w:color="auto" w:fill="FFFFFF"/>
                <w:lang w:val="fr-FR"/>
              </w:rPr>
              <w:t xml:space="preserve"> (UE)2016/2284;</w:t>
            </w:r>
          </w:p>
          <w:p w14:paraId="028F2D16" w14:textId="3450D1DF" w:rsidR="008F5636" w:rsidRPr="007820EC" w:rsidRDefault="008F5636" w:rsidP="000C5A3B">
            <w:pPr>
              <w:pStyle w:val="ColorfulList-Accent11"/>
              <w:numPr>
                <w:ilvl w:val="0"/>
                <w:numId w:val="63"/>
              </w:numPr>
              <w:spacing w:after="0" w:line="240" w:lineRule="auto"/>
              <w:jc w:val="both"/>
              <w:rPr>
                <w:rFonts w:ascii="Times New Roman" w:hAnsi="Times New Roman"/>
                <w:sz w:val="20"/>
                <w:szCs w:val="20"/>
                <w:lang w:val="fr-FR"/>
              </w:rPr>
            </w:pPr>
            <w:proofErr w:type="spellStart"/>
            <w:r w:rsidRPr="007820EC">
              <w:rPr>
                <w:rFonts w:ascii="Times New Roman" w:hAnsi="Times New Roman"/>
                <w:sz w:val="20"/>
                <w:szCs w:val="20"/>
                <w:shd w:val="clear" w:color="auto" w:fill="FFFFFF"/>
              </w:rPr>
              <w:t>datele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raportate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temeiul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articolului</w:t>
            </w:r>
            <w:proofErr w:type="spellEnd"/>
            <w:r w:rsidRPr="007820EC">
              <w:rPr>
                <w:rFonts w:ascii="Times New Roman" w:hAnsi="Times New Roman"/>
                <w:sz w:val="20"/>
                <w:szCs w:val="20"/>
                <w:shd w:val="clear" w:color="auto" w:fill="FFFFFF"/>
              </w:rPr>
              <w:t xml:space="preserve"> 19 </w:t>
            </w:r>
            <w:proofErr w:type="spellStart"/>
            <w:r w:rsidRPr="007820EC">
              <w:rPr>
                <w:rFonts w:ascii="Times New Roman" w:hAnsi="Times New Roman"/>
                <w:sz w:val="20"/>
                <w:szCs w:val="20"/>
                <w:shd w:val="clear" w:color="auto" w:fill="FFFFFF"/>
              </w:rPr>
              <w:t>alineatul</w:t>
            </w:r>
            <w:proofErr w:type="spellEnd"/>
            <w:r w:rsidRPr="007820EC">
              <w:rPr>
                <w:rFonts w:ascii="Times New Roman" w:hAnsi="Times New Roman"/>
                <w:sz w:val="20"/>
                <w:szCs w:val="20"/>
                <w:shd w:val="clear" w:color="auto" w:fill="FFFFFF"/>
              </w:rPr>
              <w:t xml:space="preserve"> (1) din </w:t>
            </w:r>
            <w:proofErr w:type="spellStart"/>
            <w:r w:rsidRPr="007820EC">
              <w:rPr>
                <w:rFonts w:ascii="Times New Roman" w:hAnsi="Times New Roman"/>
                <w:sz w:val="20"/>
                <w:szCs w:val="20"/>
                <w:shd w:val="clear" w:color="auto" w:fill="FFFFFF"/>
              </w:rPr>
              <w:t>Regulamentul</w:t>
            </w:r>
            <w:proofErr w:type="spellEnd"/>
            <w:r w:rsidRPr="007820EC">
              <w:rPr>
                <w:rFonts w:ascii="Times New Roman" w:hAnsi="Times New Roman"/>
                <w:sz w:val="20"/>
                <w:szCs w:val="20"/>
                <w:shd w:val="clear" w:color="auto" w:fill="FFFFFF"/>
              </w:rPr>
              <w:t xml:space="preserve"> (UE) nr. 517/2014 și al </w:t>
            </w:r>
            <w:proofErr w:type="spellStart"/>
            <w:r w:rsidRPr="007820EC">
              <w:rPr>
                <w:rFonts w:ascii="Times New Roman" w:hAnsi="Times New Roman"/>
                <w:sz w:val="20"/>
                <w:szCs w:val="20"/>
                <w:shd w:val="clear" w:color="auto" w:fill="FFFFFF"/>
              </w:rPr>
              <w:t>anexei</w:t>
            </w:r>
            <w:proofErr w:type="spellEnd"/>
            <w:r w:rsidRPr="007820EC">
              <w:rPr>
                <w:rFonts w:ascii="Times New Roman" w:hAnsi="Times New Roman"/>
                <w:sz w:val="20"/>
                <w:szCs w:val="20"/>
                <w:shd w:val="clear" w:color="auto" w:fill="FFFFFF"/>
              </w:rPr>
              <w:t xml:space="preserve"> VII la </w:t>
            </w:r>
            <w:proofErr w:type="spellStart"/>
            <w:r w:rsidRPr="007820EC">
              <w:rPr>
                <w:rFonts w:ascii="Times New Roman" w:hAnsi="Times New Roman"/>
                <w:sz w:val="20"/>
                <w:szCs w:val="20"/>
                <w:shd w:val="clear" w:color="auto" w:fill="FFFFFF"/>
              </w:rPr>
              <w:t>respectivul</w:t>
            </w:r>
            <w:proofErr w:type="spellEnd"/>
            <w:r w:rsidRPr="007820EC">
              <w:rPr>
                <w:rFonts w:ascii="Times New Roman" w:hAnsi="Times New Roman"/>
                <w:sz w:val="20"/>
                <w:szCs w:val="20"/>
                <w:shd w:val="clear" w:color="auto" w:fill="FFFFFF"/>
              </w:rPr>
              <w:t xml:space="preserve"> </w:t>
            </w:r>
            <w:proofErr w:type="spellStart"/>
            <w:proofErr w:type="gramStart"/>
            <w:r w:rsidRPr="007820EC">
              <w:rPr>
                <w:rFonts w:ascii="Times New Roman" w:hAnsi="Times New Roman"/>
                <w:sz w:val="20"/>
                <w:szCs w:val="20"/>
                <w:shd w:val="clear" w:color="auto" w:fill="FFFFFF"/>
              </w:rPr>
              <w:t>regulament</w:t>
            </w:r>
            <w:proofErr w:type="spellEnd"/>
            <w:r w:rsidRPr="007820EC">
              <w:rPr>
                <w:rFonts w:ascii="Times New Roman" w:hAnsi="Times New Roman"/>
                <w:sz w:val="20"/>
                <w:szCs w:val="20"/>
                <w:shd w:val="clear" w:color="auto" w:fill="FFFFFF"/>
              </w:rPr>
              <w:t>;</w:t>
            </w:r>
            <w:proofErr w:type="gramEnd"/>
          </w:p>
          <w:p w14:paraId="1B9030BB" w14:textId="3AD12E60" w:rsidR="008F5636" w:rsidRPr="007820EC" w:rsidRDefault="008F5636" w:rsidP="000C5A3B">
            <w:pPr>
              <w:pStyle w:val="ColorfulList-Accent11"/>
              <w:numPr>
                <w:ilvl w:val="0"/>
                <w:numId w:val="63"/>
              </w:numPr>
              <w:spacing w:after="0" w:line="240" w:lineRule="auto"/>
              <w:jc w:val="both"/>
              <w:rPr>
                <w:rFonts w:ascii="Times New Roman" w:hAnsi="Times New Roman"/>
                <w:sz w:val="20"/>
                <w:szCs w:val="20"/>
                <w:lang w:val="fr-FR"/>
              </w:rPr>
            </w:pPr>
            <w:proofErr w:type="spellStart"/>
            <w:r w:rsidRPr="007820EC">
              <w:rPr>
                <w:rFonts w:ascii="Times New Roman" w:hAnsi="Times New Roman"/>
                <w:sz w:val="20"/>
                <w:szCs w:val="20"/>
                <w:shd w:val="clear" w:color="auto" w:fill="FFFFFF"/>
              </w:rPr>
              <w:t>datele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privind</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energia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raportate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temeiul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articolului</w:t>
            </w:r>
            <w:proofErr w:type="spellEnd"/>
            <w:r w:rsidRPr="007820EC">
              <w:rPr>
                <w:rFonts w:ascii="Times New Roman" w:hAnsi="Times New Roman"/>
                <w:sz w:val="20"/>
                <w:szCs w:val="20"/>
                <w:shd w:val="clear" w:color="auto" w:fill="FFFFFF"/>
              </w:rPr>
              <w:t xml:space="preserve"> 4 din </w:t>
            </w:r>
            <w:proofErr w:type="spellStart"/>
            <w:r w:rsidRPr="007820EC">
              <w:rPr>
                <w:rFonts w:ascii="Times New Roman" w:hAnsi="Times New Roman"/>
                <w:sz w:val="20"/>
                <w:szCs w:val="20"/>
                <w:shd w:val="clear" w:color="auto" w:fill="FFFFFF"/>
              </w:rPr>
              <w:t>Regulamentul</w:t>
            </w:r>
            <w:proofErr w:type="spellEnd"/>
            <w:r w:rsidRPr="007820EC">
              <w:rPr>
                <w:rFonts w:ascii="Times New Roman" w:hAnsi="Times New Roman"/>
                <w:sz w:val="20"/>
                <w:szCs w:val="20"/>
                <w:shd w:val="clear" w:color="auto" w:fill="FFFFFF"/>
              </w:rPr>
              <w:t xml:space="preserve"> (CE) nr. 1099/2008 și al </w:t>
            </w:r>
            <w:proofErr w:type="spellStart"/>
            <w:r w:rsidRPr="007820EC">
              <w:rPr>
                <w:rFonts w:ascii="Times New Roman" w:hAnsi="Times New Roman"/>
                <w:sz w:val="20"/>
                <w:szCs w:val="20"/>
                <w:shd w:val="clear" w:color="auto" w:fill="FFFFFF"/>
              </w:rPr>
              <w:t>anexei</w:t>
            </w:r>
            <w:proofErr w:type="spellEnd"/>
            <w:r w:rsidRPr="007820EC">
              <w:rPr>
                <w:rFonts w:ascii="Times New Roman" w:hAnsi="Times New Roman"/>
                <w:sz w:val="20"/>
                <w:szCs w:val="20"/>
                <w:shd w:val="clear" w:color="auto" w:fill="FFFFFF"/>
              </w:rPr>
              <w:t xml:space="preserve"> B la </w:t>
            </w:r>
            <w:proofErr w:type="spellStart"/>
            <w:r w:rsidRPr="007820EC">
              <w:rPr>
                <w:rFonts w:ascii="Times New Roman" w:hAnsi="Times New Roman"/>
                <w:sz w:val="20"/>
                <w:szCs w:val="20"/>
                <w:shd w:val="clear" w:color="auto" w:fill="FFFFFF"/>
              </w:rPr>
              <w:t>respectivul</w:t>
            </w:r>
            <w:proofErr w:type="spellEnd"/>
            <w:r w:rsidRPr="007820EC">
              <w:rPr>
                <w:rFonts w:ascii="Times New Roman" w:hAnsi="Times New Roman"/>
                <w:sz w:val="20"/>
                <w:szCs w:val="20"/>
                <w:shd w:val="clear" w:color="auto" w:fill="FFFFFF"/>
              </w:rPr>
              <w:t xml:space="preserve"> </w:t>
            </w:r>
            <w:proofErr w:type="spellStart"/>
            <w:proofErr w:type="gramStart"/>
            <w:r w:rsidRPr="007820EC">
              <w:rPr>
                <w:rFonts w:ascii="Times New Roman" w:hAnsi="Times New Roman"/>
                <w:sz w:val="20"/>
                <w:szCs w:val="20"/>
                <w:shd w:val="clear" w:color="auto" w:fill="FFFFFF"/>
              </w:rPr>
              <w:t>regulament</w:t>
            </w:r>
            <w:proofErr w:type="spellEnd"/>
            <w:r w:rsidRPr="007820EC">
              <w:rPr>
                <w:rFonts w:ascii="Times New Roman" w:hAnsi="Times New Roman"/>
                <w:sz w:val="20"/>
                <w:szCs w:val="20"/>
                <w:shd w:val="clear" w:color="auto" w:fill="FFFFFF"/>
              </w:rPr>
              <w:t>;</w:t>
            </w:r>
            <w:proofErr w:type="gramEnd"/>
          </w:p>
          <w:p w14:paraId="02611989" w14:textId="1204EDA8"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lang w:val="fr-FR"/>
              </w:rPr>
            </w:pPr>
            <w:proofErr w:type="gramStart"/>
            <w:r w:rsidRPr="007820EC">
              <w:rPr>
                <w:rFonts w:ascii="Times New Roman" w:hAnsi="Times New Roman"/>
                <w:sz w:val="20"/>
                <w:szCs w:val="20"/>
                <w:lang w:val="fr-FR"/>
              </w:rPr>
              <w:t>o</w:t>
            </w:r>
            <w:proofErr w:type="gram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descriere</w:t>
            </w:r>
            <w:proofErr w:type="spellEnd"/>
            <w:r w:rsidRPr="007820EC">
              <w:rPr>
                <w:rFonts w:ascii="Times New Roman" w:hAnsi="Times New Roman"/>
                <w:sz w:val="20"/>
                <w:szCs w:val="20"/>
                <w:lang w:val="fr-FR"/>
              </w:rPr>
              <w:t xml:space="preserve"> a </w:t>
            </w:r>
            <w:proofErr w:type="spellStart"/>
            <w:r w:rsidRPr="007820EC">
              <w:rPr>
                <w:rFonts w:ascii="Times New Roman" w:hAnsi="Times New Roman"/>
                <w:sz w:val="20"/>
                <w:szCs w:val="20"/>
                <w:lang w:val="fr-FR"/>
              </w:rPr>
              <w:t>modificărilor</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aduse</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sistemului</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național</w:t>
            </w:r>
            <w:proofErr w:type="spellEnd"/>
            <w:r w:rsidRPr="007820EC">
              <w:rPr>
                <w:rFonts w:ascii="Times New Roman" w:hAnsi="Times New Roman"/>
                <w:sz w:val="20"/>
                <w:szCs w:val="20"/>
                <w:lang w:val="fr-FR"/>
              </w:rPr>
              <w:t xml:space="preserve"> de </w:t>
            </w:r>
            <w:proofErr w:type="spellStart"/>
            <w:r w:rsidRPr="007820EC">
              <w:rPr>
                <w:rFonts w:ascii="Times New Roman" w:hAnsi="Times New Roman"/>
                <w:sz w:val="20"/>
                <w:szCs w:val="20"/>
                <w:lang w:val="fr-FR"/>
              </w:rPr>
              <w:t>inventariere</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dacă</w:t>
            </w:r>
            <w:proofErr w:type="spellEnd"/>
            <w:r w:rsidRPr="007820EC">
              <w:rPr>
                <w:rFonts w:ascii="Times New Roman" w:hAnsi="Times New Roman"/>
                <w:sz w:val="20"/>
                <w:szCs w:val="20"/>
                <w:lang w:val="fr-FR"/>
              </w:rPr>
              <w:t xml:space="preserve"> există;</w:t>
            </w:r>
          </w:p>
          <w:p w14:paraId="469FE037" w14:textId="77777777" w:rsidR="008F5636" w:rsidRPr="007820EC" w:rsidRDefault="008F5636" w:rsidP="000C5A3B">
            <w:pPr>
              <w:pStyle w:val="ColorfulList-Accent11"/>
              <w:numPr>
                <w:ilvl w:val="0"/>
                <w:numId w:val="62"/>
              </w:numPr>
              <w:spacing w:after="0" w:line="240" w:lineRule="auto"/>
              <w:ind w:left="357" w:hanging="357"/>
              <w:jc w:val="both"/>
              <w:rPr>
                <w:rFonts w:ascii="Times New Roman" w:hAnsi="Times New Roman"/>
                <w:sz w:val="20"/>
                <w:szCs w:val="20"/>
                <w:lang w:val="fr-FR"/>
              </w:rPr>
            </w:pPr>
            <w:r w:rsidRPr="007820EC">
              <w:rPr>
                <w:rFonts w:ascii="Times New Roman" w:hAnsi="Times New Roman"/>
                <w:sz w:val="20"/>
                <w:szCs w:val="20"/>
                <w:shd w:val="clear" w:color="auto" w:fill="FFFFFF"/>
              </w:rPr>
              <w:t xml:space="preserve">o </w:t>
            </w:r>
            <w:proofErr w:type="spellStart"/>
            <w:r w:rsidRPr="007820EC">
              <w:rPr>
                <w:rFonts w:ascii="Times New Roman" w:hAnsi="Times New Roman"/>
                <w:sz w:val="20"/>
                <w:szCs w:val="20"/>
                <w:shd w:val="clear" w:color="auto" w:fill="FFFFFF"/>
              </w:rPr>
              <w:t>descriere</w:t>
            </w:r>
            <w:proofErr w:type="spellEnd"/>
            <w:r w:rsidRPr="007820EC">
              <w:rPr>
                <w:rFonts w:ascii="Times New Roman" w:hAnsi="Times New Roman"/>
                <w:sz w:val="20"/>
                <w:szCs w:val="20"/>
                <w:shd w:val="clear" w:color="auto" w:fill="FFFFFF"/>
              </w:rPr>
              <w:t xml:space="preserve"> a </w:t>
            </w:r>
            <w:proofErr w:type="spellStart"/>
            <w:r w:rsidRPr="007820EC">
              <w:rPr>
                <w:rFonts w:ascii="Times New Roman" w:hAnsi="Times New Roman"/>
                <w:sz w:val="20"/>
                <w:szCs w:val="20"/>
                <w:shd w:val="clear" w:color="auto" w:fill="FFFFFF"/>
              </w:rPr>
              <w:t>modificărilor</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aduse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registrului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național</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dacă</w:t>
            </w:r>
            <w:proofErr w:type="spellEnd"/>
            <w:r w:rsidRPr="007820EC">
              <w:rPr>
                <w:rFonts w:ascii="Times New Roman" w:hAnsi="Times New Roman"/>
                <w:sz w:val="20"/>
                <w:szCs w:val="20"/>
                <w:shd w:val="clear" w:color="auto" w:fill="FFFFFF"/>
              </w:rPr>
              <w:t xml:space="preserve"> </w:t>
            </w:r>
            <w:proofErr w:type="gramStart"/>
            <w:r w:rsidRPr="007820EC">
              <w:rPr>
                <w:rFonts w:ascii="Times New Roman" w:hAnsi="Times New Roman"/>
                <w:sz w:val="20"/>
                <w:szCs w:val="20"/>
                <w:shd w:val="clear" w:color="auto" w:fill="FFFFFF"/>
              </w:rPr>
              <w:t>există;</w:t>
            </w:r>
            <w:proofErr w:type="gramEnd"/>
          </w:p>
          <w:p w14:paraId="07C75E2B" w14:textId="77777777" w:rsidR="008F5636" w:rsidRPr="00DA5A25" w:rsidRDefault="008F5636" w:rsidP="000C5A3B">
            <w:pPr>
              <w:pStyle w:val="ColorfulList-Accent11"/>
              <w:numPr>
                <w:ilvl w:val="0"/>
                <w:numId w:val="62"/>
              </w:numPr>
              <w:spacing w:after="0" w:line="240" w:lineRule="auto"/>
              <w:ind w:left="357" w:hanging="357"/>
              <w:jc w:val="both"/>
              <w:rPr>
                <w:rFonts w:ascii="Times New Roman" w:hAnsi="Times New Roman"/>
                <w:sz w:val="20"/>
                <w:szCs w:val="20"/>
                <w:lang w:val="fr-FR"/>
              </w:rPr>
            </w:pPr>
            <w:proofErr w:type="spellStart"/>
            <w:proofErr w:type="gramStart"/>
            <w:r w:rsidRPr="007820EC">
              <w:rPr>
                <w:rFonts w:ascii="Times New Roman" w:hAnsi="Times New Roman"/>
                <w:sz w:val="20"/>
                <w:szCs w:val="20"/>
                <w:shd w:val="clear" w:color="auto" w:fill="FFFFFF"/>
                <w:lang w:val="fr-FR"/>
              </w:rPr>
              <w:t>informații</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privire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planurile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asigurare</w:t>
            </w:r>
            <w:proofErr w:type="spellEnd"/>
            <w:r w:rsidRPr="007820EC">
              <w:rPr>
                <w:rFonts w:ascii="Times New Roman" w:hAnsi="Times New Roman"/>
                <w:sz w:val="20"/>
                <w:szCs w:val="20"/>
                <w:shd w:val="clear" w:color="auto" w:fill="FFFFFF"/>
                <w:lang w:val="fr-FR"/>
              </w:rPr>
              <w:t xml:space="preserve"> a </w:t>
            </w:r>
            <w:proofErr w:type="spellStart"/>
            <w:r w:rsidRPr="007820EC">
              <w:rPr>
                <w:rFonts w:ascii="Times New Roman" w:hAnsi="Times New Roman"/>
                <w:sz w:val="20"/>
                <w:szCs w:val="20"/>
                <w:shd w:val="clear" w:color="auto" w:fill="FFFFFF"/>
                <w:lang w:val="fr-FR"/>
              </w:rPr>
              <w:t>calității</w:t>
            </w:r>
            <w:proofErr w:type="spellEnd"/>
            <w:r w:rsidRPr="007820EC">
              <w:rPr>
                <w:rFonts w:ascii="Times New Roman" w:hAnsi="Times New Roman"/>
                <w:sz w:val="20"/>
                <w:szCs w:val="20"/>
                <w:shd w:val="clear" w:color="auto" w:fill="FFFFFF"/>
                <w:lang w:val="fr-FR"/>
              </w:rPr>
              <w:t xml:space="preserve"> și de control al </w:t>
            </w:r>
            <w:proofErr w:type="spellStart"/>
            <w:r w:rsidRPr="007820EC">
              <w:rPr>
                <w:rFonts w:ascii="Times New Roman" w:hAnsi="Times New Roman"/>
                <w:sz w:val="20"/>
                <w:szCs w:val="20"/>
                <w:shd w:val="clear" w:color="auto" w:fill="FFFFFF"/>
                <w:lang w:val="fr-FR"/>
              </w:rPr>
              <w:t>calității</w:t>
            </w:r>
            <w:proofErr w:type="spellEnd"/>
            <w:r w:rsidRPr="007820EC">
              <w:rPr>
                <w:rFonts w:ascii="Times New Roman" w:hAnsi="Times New Roman"/>
                <w:sz w:val="20"/>
                <w:szCs w:val="20"/>
                <w:shd w:val="clear" w:color="auto" w:fill="FFFFFF"/>
                <w:lang w:val="fr-FR"/>
              </w:rPr>
              <w:t xml:space="preserve">, o </w:t>
            </w:r>
            <w:proofErr w:type="spellStart"/>
            <w:r w:rsidRPr="007820EC">
              <w:rPr>
                <w:rFonts w:ascii="Times New Roman" w:hAnsi="Times New Roman"/>
                <w:sz w:val="20"/>
                <w:szCs w:val="20"/>
                <w:shd w:val="clear" w:color="auto" w:fill="FFFFFF"/>
                <w:lang w:val="fr-FR"/>
              </w:rPr>
              <w:t>evaluare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generală</w:t>
            </w:r>
            <w:proofErr w:type="spellEnd"/>
            <w:r w:rsidRPr="007820EC">
              <w:rPr>
                <w:rFonts w:ascii="Times New Roman" w:hAnsi="Times New Roman"/>
                <w:sz w:val="20"/>
                <w:szCs w:val="20"/>
                <w:shd w:val="clear" w:color="auto" w:fill="FFFFFF"/>
                <w:lang w:val="fr-FR"/>
              </w:rPr>
              <w:t xml:space="preserve"> a </w:t>
            </w:r>
            <w:proofErr w:type="spellStart"/>
            <w:r w:rsidRPr="007820EC">
              <w:rPr>
                <w:rFonts w:ascii="Times New Roman" w:hAnsi="Times New Roman"/>
                <w:sz w:val="20"/>
                <w:szCs w:val="20"/>
                <w:shd w:val="clear" w:color="auto" w:fill="FFFFFF"/>
                <w:lang w:val="fr-FR"/>
              </w:rPr>
              <w:t>gradului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incertitudine</w:t>
            </w:r>
            <w:proofErr w:type="spellEnd"/>
            <w:r w:rsidRPr="007820EC">
              <w:rPr>
                <w:rFonts w:ascii="Times New Roman" w:hAnsi="Times New Roman"/>
                <w:sz w:val="20"/>
                <w:szCs w:val="20"/>
                <w:shd w:val="clear" w:color="auto" w:fill="FFFFFF"/>
                <w:lang w:val="fr-FR"/>
              </w:rPr>
              <w:t xml:space="preserve">, o </w:t>
            </w:r>
            <w:proofErr w:type="spellStart"/>
            <w:r w:rsidRPr="007820EC">
              <w:rPr>
                <w:rFonts w:ascii="Times New Roman" w:hAnsi="Times New Roman"/>
                <w:sz w:val="20"/>
                <w:szCs w:val="20"/>
                <w:shd w:val="clear" w:color="auto" w:fill="FFFFFF"/>
                <w:lang w:val="fr-FR"/>
              </w:rPr>
              <w:t>evaluare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generală</w:t>
            </w:r>
            <w:proofErr w:type="spellEnd"/>
            <w:r w:rsidRPr="007820EC">
              <w:rPr>
                <w:rFonts w:ascii="Times New Roman" w:hAnsi="Times New Roman"/>
                <w:sz w:val="20"/>
                <w:szCs w:val="20"/>
                <w:shd w:val="clear" w:color="auto" w:fill="FFFFFF"/>
                <w:lang w:val="fr-FR"/>
              </w:rPr>
              <w:t xml:space="preserve"> a </w:t>
            </w:r>
            <w:proofErr w:type="spellStart"/>
            <w:r w:rsidRPr="007820EC">
              <w:rPr>
                <w:rFonts w:ascii="Times New Roman" w:hAnsi="Times New Roman"/>
                <w:sz w:val="20"/>
                <w:szCs w:val="20"/>
                <w:shd w:val="clear" w:color="auto" w:fill="FFFFFF"/>
                <w:lang w:val="fr-FR"/>
              </w:rPr>
              <w:t>gradului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exhaustivitate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orice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alte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elemente</w:t>
            </w:r>
            <w:proofErr w:type="spellEnd"/>
            <w:r w:rsidRPr="007820EC">
              <w:rPr>
                <w:rFonts w:ascii="Times New Roman" w:hAnsi="Times New Roman"/>
                <w:sz w:val="20"/>
                <w:szCs w:val="20"/>
                <w:shd w:val="clear" w:color="auto" w:fill="FFFFFF"/>
                <w:lang w:val="fr-FR"/>
              </w:rPr>
              <w:t xml:space="preserve"> ale </w:t>
            </w:r>
            <w:proofErr w:type="spellStart"/>
            <w:r w:rsidRPr="007820EC">
              <w:rPr>
                <w:rFonts w:ascii="Times New Roman" w:hAnsi="Times New Roman"/>
                <w:sz w:val="20"/>
                <w:szCs w:val="20"/>
                <w:shd w:val="clear" w:color="auto" w:fill="FFFFFF"/>
                <w:lang w:val="fr-FR"/>
              </w:rPr>
              <w:t>raportului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inventarul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național</w:t>
            </w:r>
            <w:proofErr w:type="spellEnd"/>
            <w:r w:rsidRPr="007820EC">
              <w:rPr>
                <w:rFonts w:ascii="Times New Roman" w:hAnsi="Times New Roman"/>
                <w:sz w:val="20"/>
                <w:szCs w:val="20"/>
                <w:shd w:val="clear" w:color="auto" w:fill="FFFFFF"/>
                <w:lang w:val="fr-FR"/>
              </w:rPr>
              <w:t xml:space="preserve"> al GES </w:t>
            </w:r>
            <w:proofErr w:type="spellStart"/>
            <w:r w:rsidRPr="007820EC">
              <w:rPr>
                <w:rFonts w:ascii="Times New Roman" w:hAnsi="Times New Roman"/>
                <w:sz w:val="20"/>
                <w:szCs w:val="20"/>
                <w:shd w:val="clear" w:color="auto" w:fill="FFFFFF"/>
                <w:lang w:val="fr-FR"/>
              </w:rPr>
              <w:t>necesare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pregătirea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raportului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inventarul</w:t>
            </w:r>
            <w:proofErr w:type="spellEnd"/>
            <w:r w:rsidRPr="007820EC">
              <w:rPr>
                <w:rFonts w:ascii="Times New Roman" w:hAnsi="Times New Roman"/>
                <w:sz w:val="20"/>
                <w:szCs w:val="20"/>
                <w:shd w:val="clear" w:color="auto" w:fill="FFFFFF"/>
                <w:lang w:val="fr-FR"/>
              </w:rPr>
              <w:t xml:space="preserve"> GES la </w:t>
            </w:r>
            <w:proofErr w:type="spellStart"/>
            <w:r w:rsidRPr="007820EC">
              <w:rPr>
                <w:rFonts w:ascii="Times New Roman" w:hAnsi="Times New Roman"/>
                <w:sz w:val="20"/>
                <w:szCs w:val="20"/>
                <w:shd w:val="clear" w:color="auto" w:fill="FFFFFF"/>
                <w:lang w:val="fr-FR"/>
              </w:rPr>
              <w:t>nivelul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Uniunii</w:t>
            </w:r>
            <w:proofErr w:type="spellEnd"/>
            <w:r w:rsidRPr="007820EC">
              <w:rPr>
                <w:rFonts w:ascii="Times New Roman" w:hAnsi="Times New Roman"/>
                <w:sz w:val="20"/>
                <w:szCs w:val="20"/>
                <w:shd w:val="clear" w:color="auto" w:fill="FFFFFF"/>
                <w:lang w:val="fr-FR"/>
              </w:rPr>
              <w:t>;</w:t>
            </w:r>
          </w:p>
          <w:p w14:paraId="6DFE4ADB" w14:textId="3416B3FC" w:rsidR="00DA5A25" w:rsidRPr="00DA5A25" w:rsidRDefault="00000000" w:rsidP="00DA5A25">
            <w:pPr>
              <w:pStyle w:val="ColorfulList-Accent11"/>
              <w:spacing w:after="0" w:line="240" w:lineRule="auto"/>
              <w:ind w:left="0"/>
              <w:jc w:val="both"/>
              <w:rPr>
                <w:rFonts w:ascii="Times New Roman" w:hAnsi="Times New Roman"/>
                <w:sz w:val="20"/>
                <w:szCs w:val="20"/>
                <w:lang w:val="fr-FR"/>
              </w:rPr>
            </w:pPr>
            <w:hyperlink r:id="rId117" w:tooltip="32023R0857: REPLACED" w:history="1">
              <w:r w:rsidR="00DA5A25" w:rsidRPr="00DA5A25">
                <w:rPr>
                  <w:rStyle w:val="af6"/>
                  <w:rFonts w:ascii="Times New Roman" w:eastAsia="Arial Unicode MS" w:hAnsi="Times New Roman"/>
                  <w:b/>
                  <w:bCs/>
                  <w:color w:val="23527C"/>
                  <w:sz w:val="20"/>
                  <w:szCs w:val="20"/>
                  <w:shd w:val="clear" w:color="auto" w:fill="FFFFFF"/>
                </w:rPr>
                <w:t>▼M4</w:t>
              </w:r>
            </w:hyperlink>
          </w:p>
          <w:p w14:paraId="69E445E0" w14:textId="75599BD5" w:rsidR="00DA5A25" w:rsidRDefault="008F5636" w:rsidP="000C5A3B">
            <w:pPr>
              <w:pStyle w:val="ColorfulList-Accent11"/>
              <w:numPr>
                <w:ilvl w:val="0"/>
                <w:numId w:val="62"/>
              </w:numPr>
              <w:spacing w:after="0" w:line="240" w:lineRule="auto"/>
              <w:ind w:left="357" w:hanging="357"/>
              <w:jc w:val="both"/>
              <w:rPr>
                <w:rFonts w:ascii="Times New Roman" w:hAnsi="Times New Roman"/>
                <w:sz w:val="20"/>
                <w:szCs w:val="20"/>
                <w:lang w:val="fr-FR"/>
              </w:rPr>
            </w:pPr>
            <w:proofErr w:type="spellStart"/>
            <w:proofErr w:type="gramStart"/>
            <w:r w:rsidRPr="007820EC">
              <w:rPr>
                <w:rFonts w:ascii="Times New Roman" w:hAnsi="Times New Roman"/>
                <w:sz w:val="20"/>
                <w:szCs w:val="20"/>
                <w:lang w:val="fr-FR"/>
              </w:rPr>
              <w:t>informații</w:t>
            </w:r>
            <w:proofErr w:type="spellEnd"/>
            <w:proofErr w:type="gram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cu</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privire</w:t>
            </w:r>
            <w:proofErr w:type="spellEnd"/>
            <w:r w:rsidR="00DA5A25">
              <w:rPr>
                <w:rFonts w:ascii="Times New Roman" w:hAnsi="Times New Roman"/>
                <w:sz w:val="20"/>
                <w:szCs w:val="20"/>
                <w:lang w:val="fr-FR"/>
              </w:rPr>
              <w:t>:</w:t>
            </w:r>
          </w:p>
          <w:p w14:paraId="7436781D" w14:textId="5D490A8C" w:rsidR="00DA5A25" w:rsidRDefault="008F5636" w:rsidP="00DA5A25">
            <w:pPr>
              <w:pStyle w:val="ColorfulList-Accent11"/>
              <w:numPr>
                <w:ilvl w:val="0"/>
                <w:numId w:val="133"/>
              </w:numPr>
              <w:spacing w:after="0" w:line="240" w:lineRule="auto"/>
              <w:jc w:val="both"/>
              <w:rPr>
                <w:rFonts w:ascii="Times New Roman" w:hAnsi="Times New Roman"/>
                <w:sz w:val="20"/>
                <w:szCs w:val="20"/>
                <w:lang w:val="fr-FR"/>
              </w:rPr>
            </w:pPr>
            <w:proofErr w:type="gramStart"/>
            <w:r w:rsidRPr="007820EC">
              <w:rPr>
                <w:rFonts w:ascii="Times New Roman" w:hAnsi="Times New Roman"/>
                <w:sz w:val="20"/>
                <w:szCs w:val="20"/>
                <w:lang w:val="fr-FR"/>
              </w:rPr>
              <w:t>la</w:t>
            </w:r>
            <w:proofErr w:type="gram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intențiile</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statelor</w:t>
            </w:r>
            <w:proofErr w:type="spellEnd"/>
            <w:r w:rsidRPr="007820EC">
              <w:rPr>
                <w:rFonts w:ascii="Times New Roman" w:hAnsi="Times New Roman"/>
                <w:sz w:val="20"/>
                <w:szCs w:val="20"/>
                <w:lang w:val="fr-FR"/>
              </w:rPr>
              <w:t xml:space="preserve"> membre de a </w:t>
            </w:r>
            <w:proofErr w:type="spellStart"/>
            <w:r w:rsidRPr="007820EC">
              <w:rPr>
                <w:rFonts w:ascii="Times New Roman" w:hAnsi="Times New Roman"/>
                <w:sz w:val="20"/>
                <w:szCs w:val="20"/>
                <w:lang w:val="fr-FR"/>
              </w:rPr>
              <w:t>utiliza</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flexibilitățile</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prevăzute</w:t>
            </w:r>
            <w:proofErr w:type="spellEnd"/>
            <w:r w:rsidRPr="007820EC">
              <w:rPr>
                <w:rFonts w:ascii="Times New Roman" w:hAnsi="Times New Roman"/>
                <w:sz w:val="20"/>
                <w:szCs w:val="20"/>
                <w:lang w:val="fr-FR"/>
              </w:rPr>
              <w:t xml:space="preserve"> la </w:t>
            </w:r>
            <w:proofErr w:type="spellStart"/>
            <w:r w:rsidRPr="007820EC">
              <w:rPr>
                <w:rFonts w:ascii="Times New Roman" w:hAnsi="Times New Roman"/>
                <w:sz w:val="20"/>
                <w:szCs w:val="20"/>
                <w:lang w:val="fr-FR"/>
              </w:rPr>
              <w:t>articolul</w:t>
            </w:r>
            <w:proofErr w:type="spellEnd"/>
            <w:r w:rsidRPr="007820EC">
              <w:rPr>
                <w:rFonts w:ascii="Times New Roman" w:hAnsi="Times New Roman"/>
                <w:sz w:val="20"/>
                <w:szCs w:val="20"/>
                <w:lang w:val="fr-FR"/>
              </w:rPr>
              <w:t xml:space="preserve"> 5 </w:t>
            </w:r>
            <w:proofErr w:type="spellStart"/>
            <w:r w:rsidRPr="007820EC">
              <w:rPr>
                <w:rFonts w:ascii="Times New Roman" w:hAnsi="Times New Roman"/>
                <w:sz w:val="20"/>
                <w:szCs w:val="20"/>
                <w:lang w:val="fr-FR"/>
              </w:rPr>
              <w:t>alineatele</w:t>
            </w:r>
            <w:proofErr w:type="spellEnd"/>
            <w:r w:rsidRPr="007820EC">
              <w:rPr>
                <w:rFonts w:ascii="Times New Roman" w:hAnsi="Times New Roman"/>
                <w:sz w:val="20"/>
                <w:szCs w:val="20"/>
                <w:lang w:val="fr-FR"/>
              </w:rPr>
              <w:t xml:space="preserve"> (4) și (5) </w:t>
            </w:r>
            <w:proofErr w:type="spellStart"/>
            <w:r w:rsidRPr="007820EC">
              <w:rPr>
                <w:rFonts w:ascii="Times New Roman" w:hAnsi="Times New Roman"/>
                <w:sz w:val="20"/>
                <w:szCs w:val="20"/>
                <w:lang w:val="fr-FR"/>
              </w:rPr>
              <w:t>din</w:t>
            </w:r>
            <w:proofErr w:type="spellEnd"/>
            <w:r w:rsidRPr="007820EC">
              <w:rPr>
                <w:rFonts w:ascii="Times New Roman" w:hAnsi="Times New Roman"/>
                <w:sz w:val="20"/>
                <w:szCs w:val="20"/>
                <w:lang w:val="fr-FR"/>
              </w:rPr>
              <w:t xml:space="preserve"> </w:t>
            </w:r>
            <w:proofErr w:type="spellStart"/>
            <w:r w:rsidRPr="007820EC">
              <w:rPr>
                <w:rFonts w:ascii="Times New Roman" w:hAnsi="Times New Roman"/>
                <w:sz w:val="20"/>
                <w:szCs w:val="20"/>
                <w:lang w:val="fr-FR"/>
              </w:rPr>
              <w:t>Regulamentul</w:t>
            </w:r>
            <w:proofErr w:type="spellEnd"/>
            <w:r w:rsidRPr="007820EC">
              <w:rPr>
                <w:rFonts w:ascii="Times New Roman" w:hAnsi="Times New Roman"/>
                <w:sz w:val="20"/>
                <w:szCs w:val="20"/>
                <w:lang w:val="fr-FR"/>
              </w:rPr>
              <w:t xml:space="preserve"> (UE) 2018/842</w:t>
            </w:r>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inclusiv</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lastRenderedPageBreak/>
              <w:t>dacă</w:t>
            </w:r>
            <w:proofErr w:type="spellEnd"/>
            <w:r w:rsidR="00DA5A25">
              <w:rPr>
                <w:rFonts w:ascii="Times New Roman" w:hAnsi="Times New Roman"/>
                <w:sz w:val="20"/>
                <w:szCs w:val="20"/>
                <w:lang w:val="fr-FR"/>
              </w:rPr>
              <w:t xml:space="preserve"> este </w:t>
            </w:r>
            <w:proofErr w:type="spellStart"/>
            <w:r w:rsidR="00DA5A25">
              <w:rPr>
                <w:rFonts w:ascii="Times New Roman" w:hAnsi="Times New Roman"/>
                <w:sz w:val="20"/>
                <w:szCs w:val="20"/>
                <w:lang w:val="fr-FR"/>
              </w:rPr>
              <w:t>posibil</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informații</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privind</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cantitățile</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tipul</w:t>
            </w:r>
            <w:proofErr w:type="spellEnd"/>
            <w:r w:rsidR="00DA5A25">
              <w:rPr>
                <w:rFonts w:ascii="Times New Roman" w:hAnsi="Times New Roman"/>
                <w:sz w:val="20"/>
                <w:szCs w:val="20"/>
                <w:lang w:val="fr-FR"/>
              </w:rPr>
              <w:t xml:space="preserve"> de </w:t>
            </w:r>
            <w:proofErr w:type="spellStart"/>
            <w:r w:rsidR="00DA5A25">
              <w:rPr>
                <w:rFonts w:ascii="Times New Roman" w:hAnsi="Times New Roman"/>
                <w:sz w:val="20"/>
                <w:szCs w:val="20"/>
                <w:lang w:val="fr-FR"/>
              </w:rPr>
              <w:t>transfer</w:t>
            </w:r>
            <w:proofErr w:type="spellEnd"/>
            <w:r w:rsidR="00DA5A25">
              <w:rPr>
                <w:rFonts w:ascii="Times New Roman" w:hAnsi="Times New Roman"/>
                <w:sz w:val="20"/>
                <w:szCs w:val="20"/>
                <w:lang w:val="fr-FR"/>
              </w:rPr>
              <w:t xml:space="preserve"> și </w:t>
            </w:r>
            <w:proofErr w:type="spellStart"/>
            <w:r w:rsidR="00DA5A25">
              <w:rPr>
                <w:rFonts w:ascii="Times New Roman" w:hAnsi="Times New Roman"/>
                <w:sz w:val="20"/>
                <w:szCs w:val="20"/>
                <w:lang w:val="fr-FR"/>
              </w:rPr>
              <w:t>gama</w:t>
            </w:r>
            <w:proofErr w:type="spellEnd"/>
            <w:r w:rsidR="00DA5A25">
              <w:rPr>
                <w:rFonts w:ascii="Times New Roman" w:hAnsi="Times New Roman"/>
                <w:sz w:val="20"/>
                <w:szCs w:val="20"/>
                <w:lang w:val="fr-FR"/>
              </w:rPr>
              <w:t xml:space="preserve"> de </w:t>
            </w:r>
            <w:proofErr w:type="spellStart"/>
            <w:r w:rsidR="00DA5A25">
              <w:rPr>
                <w:rFonts w:ascii="Times New Roman" w:hAnsi="Times New Roman"/>
                <w:sz w:val="20"/>
                <w:szCs w:val="20"/>
                <w:lang w:val="fr-FR"/>
              </w:rPr>
              <w:t>prețuri</w:t>
            </w:r>
            <w:proofErr w:type="spellEnd"/>
            <w:r w:rsidR="00DA5A25">
              <w:rPr>
                <w:rFonts w:ascii="Times New Roman" w:hAnsi="Times New Roman"/>
                <w:sz w:val="20"/>
                <w:szCs w:val="20"/>
                <w:lang w:val="fr-FR"/>
              </w:rPr>
              <w:t xml:space="preserve"> </w:t>
            </w:r>
            <w:proofErr w:type="spellStart"/>
            <w:r w:rsidR="00DA5A25">
              <w:rPr>
                <w:rFonts w:ascii="Times New Roman" w:hAnsi="Times New Roman"/>
                <w:sz w:val="20"/>
                <w:szCs w:val="20"/>
                <w:lang w:val="fr-FR"/>
              </w:rPr>
              <w:t>estimată</w:t>
            </w:r>
            <w:proofErr w:type="spellEnd"/>
            <w:r w:rsidR="00DA5A25">
              <w:rPr>
                <w:rFonts w:ascii="Times New Roman" w:hAnsi="Times New Roman"/>
                <w:sz w:val="20"/>
                <w:szCs w:val="20"/>
                <w:lang w:val="fr-FR"/>
              </w:rPr>
              <w:t>;</w:t>
            </w:r>
          </w:p>
          <w:p w14:paraId="40AED4CD" w14:textId="32E482D8" w:rsidR="008F5636" w:rsidRDefault="008F5636" w:rsidP="00DA5A25">
            <w:pPr>
              <w:pStyle w:val="ColorfulList-Accent11"/>
              <w:numPr>
                <w:ilvl w:val="0"/>
                <w:numId w:val="133"/>
              </w:numPr>
              <w:spacing w:after="0" w:line="240" w:lineRule="auto"/>
              <w:jc w:val="both"/>
              <w:rPr>
                <w:rFonts w:ascii="Times New Roman" w:hAnsi="Times New Roman"/>
                <w:sz w:val="20"/>
                <w:szCs w:val="20"/>
                <w:lang w:val="en-US"/>
              </w:rPr>
            </w:pPr>
            <w:r w:rsidRPr="001A1E50">
              <w:rPr>
                <w:rFonts w:ascii="Times New Roman" w:hAnsi="Times New Roman"/>
                <w:sz w:val="20"/>
                <w:szCs w:val="20"/>
                <w:lang w:val="fr-FR"/>
              </w:rPr>
              <w:t xml:space="preserve"> </w:t>
            </w:r>
            <w:proofErr w:type="spellStart"/>
            <w:r w:rsidRPr="00DA5A25">
              <w:rPr>
                <w:rFonts w:ascii="Times New Roman" w:hAnsi="Times New Roman"/>
                <w:sz w:val="20"/>
                <w:szCs w:val="20"/>
                <w:lang w:val="en-US"/>
              </w:rPr>
              <w:t>utilizarea</w:t>
            </w:r>
            <w:proofErr w:type="spellEnd"/>
            <w:r w:rsidRPr="00DA5A25">
              <w:rPr>
                <w:rFonts w:ascii="Times New Roman" w:hAnsi="Times New Roman"/>
                <w:sz w:val="20"/>
                <w:szCs w:val="20"/>
                <w:lang w:val="en-US"/>
              </w:rPr>
              <w:t xml:space="preserve"> </w:t>
            </w:r>
            <w:proofErr w:type="spellStart"/>
            <w:r w:rsidRPr="00DA5A25">
              <w:rPr>
                <w:rFonts w:ascii="Times New Roman" w:hAnsi="Times New Roman"/>
                <w:sz w:val="20"/>
                <w:szCs w:val="20"/>
                <w:lang w:val="en-US"/>
              </w:rPr>
              <w:t>veniturilor</w:t>
            </w:r>
            <w:proofErr w:type="spellEnd"/>
            <w:r w:rsidRPr="00DA5A25">
              <w:rPr>
                <w:rFonts w:ascii="Times New Roman" w:hAnsi="Times New Roman"/>
                <w:sz w:val="20"/>
                <w:szCs w:val="20"/>
                <w:lang w:val="en-US"/>
              </w:rPr>
              <w:t xml:space="preserve"> </w:t>
            </w:r>
            <w:proofErr w:type="spellStart"/>
            <w:r w:rsidR="00DA5A25" w:rsidRPr="00DA5A25">
              <w:rPr>
                <w:rFonts w:ascii="Times New Roman" w:hAnsi="Times New Roman"/>
                <w:sz w:val="20"/>
                <w:szCs w:val="20"/>
                <w:lang w:val="en-US"/>
              </w:rPr>
              <w:t>m</w:t>
            </w:r>
            <w:r w:rsidR="00DA5A25">
              <w:rPr>
                <w:rFonts w:ascii="Times New Roman" w:hAnsi="Times New Roman"/>
                <w:sz w:val="20"/>
                <w:szCs w:val="20"/>
                <w:lang w:val="en-US"/>
              </w:rPr>
              <w:t>enționate</w:t>
            </w:r>
            <w:proofErr w:type="spellEnd"/>
            <w:r w:rsidR="00DA5A25">
              <w:rPr>
                <w:rFonts w:ascii="Times New Roman" w:hAnsi="Times New Roman"/>
                <w:sz w:val="20"/>
                <w:szCs w:val="20"/>
                <w:lang w:val="en-US"/>
              </w:rPr>
              <w:t xml:space="preserve"> la </w:t>
            </w:r>
            <w:proofErr w:type="spellStart"/>
            <w:r w:rsidRPr="00DA5A25">
              <w:rPr>
                <w:rFonts w:ascii="Times New Roman" w:hAnsi="Times New Roman"/>
                <w:sz w:val="20"/>
                <w:szCs w:val="20"/>
                <w:lang w:val="en-US"/>
              </w:rPr>
              <w:t>articolului</w:t>
            </w:r>
            <w:proofErr w:type="spellEnd"/>
            <w:r w:rsidRPr="00DA5A25">
              <w:rPr>
                <w:rFonts w:ascii="Times New Roman" w:hAnsi="Times New Roman"/>
                <w:sz w:val="20"/>
                <w:szCs w:val="20"/>
                <w:lang w:val="en-US"/>
              </w:rPr>
              <w:t xml:space="preserve"> 5 </w:t>
            </w:r>
            <w:proofErr w:type="spellStart"/>
            <w:r w:rsidRPr="00DA5A25">
              <w:rPr>
                <w:rFonts w:ascii="Times New Roman" w:hAnsi="Times New Roman"/>
                <w:sz w:val="20"/>
                <w:szCs w:val="20"/>
                <w:lang w:val="en-US"/>
              </w:rPr>
              <w:t>alineatul</w:t>
            </w:r>
            <w:proofErr w:type="spellEnd"/>
            <w:r w:rsidRPr="00DA5A25">
              <w:rPr>
                <w:rFonts w:ascii="Times New Roman" w:hAnsi="Times New Roman"/>
                <w:sz w:val="20"/>
                <w:szCs w:val="20"/>
                <w:lang w:val="en-US"/>
              </w:rPr>
              <w:t xml:space="preserve"> (6) din</w:t>
            </w:r>
            <w:r w:rsidR="00DA5A25">
              <w:rPr>
                <w:rFonts w:ascii="Times New Roman" w:hAnsi="Times New Roman"/>
                <w:sz w:val="20"/>
                <w:szCs w:val="20"/>
                <w:lang w:val="en-US"/>
              </w:rPr>
              <w:t xml:space="preserve"> </w:t>
            </w:r>
            <w:proofErr w:type="spellStart"/>
            <w:r w:rsidR="00DA5A25" w:rsidRPr="007820EC">
              <w:rPr>
                <w:rFonts w:ascii="Times New Roman" w:hAnsi="Times New Roman"/>
                <w:sz w:val="20"/>
                <w:szCs w:val="20"/>
                <w:lang w:val="fr-FR"/>
              </w:rPr>
              <w:t>Regulamentul</w:t>
            </w:r>
            <w:proofErr w:type="spellEnd"/>
            <w:r w:rsidR="00DA5A25" w:rsidRPr="007820EC">
              <w:rPr>
                <w:rFonts w:ascii="Times New Roman" w:hAnsi="Times New Roman"/>
                <w:sz w:val="20"/>
                <w:szCs w:val="20"/>
                <w:lang w:val="fr-FR"/>
              </w:rPr>
              <w:t xml:space="preserve"> (UE) 2018/842</w:t>
            </w:r>
            <w:r w:rsidR="00DA5A25">
              <w:rPr>
                <w:rFonts w:ascii="Times New Roman" w:hAnsi="Times New Roman"/>
                <w:sz w:val="20"/>
                <w:szCs w:val="20"/>
                <w:lang w:val="en-US"/>
              </w:rPr>
              <w:t>;</w:t>
            </w:r>
          </w:p>
          <w:p w14:paraId="5557539B" w14:textId="26786D65" w:rsidR="00DA5A25" w:rsidRPr="00DA5A25" w:rsidRDefault="00DA5A25" w:rsidP="00DA5A25">
            <w:pPr>
              <w:pStyle w:val="ColorfulList-Accent11"/>
              <w:numPr>
                <w:ilvl w:val="0"/>
                <w:numId w:val="133"/>
              </w:numPr>
              <w:spacing w:after="0" w:line="240" w:lineRule="auto"/>
              <w:jc w:val="both"/>
              <w:rPr>
                <w:rFonts w:ascii="Times New Roman" w:hAnsi="Times New Roman"/>
                <w:sz w:val="20"/>
                <w:szCs w:val="20"/>
                <w:lang w:val="fr-FR"/>
              </w:rPr>
            </w:pPr>
            <w:proofErr w:type="spellStart"/>
            <w:proofErr w:type="gramStart"/>
            <w:r w:rsidRPr="00DA5A25">
              <w:rPr>
                <w:rFonts w:ascii="Times New Roman" w:eastAsia="Arial Unicode MS" w:hAnsi="Times New Roman"/>
                <w:sz w:val="20"/>
                <w:szCs w:val="20"/>
                <w:shd w:val="clear" w:color="auto" w:fill="FFFFFF"/>
                <w:lang w:val="fr-FR"/>
              </w:rPr>
              <w:t>intențiile</w:t>
            </w:r>
            <w:proofErr w:type="spellEnd"/>
            <w:proofErr w:type="gramEnd"/>
            <w:r w:rsidRPr="00DA5A25">
              <w:rPr>
                <w:rFonts w:ascii="Times New Roman" w:eastAsia="Arial Unicode MS" w:hAnsi="Times New Roman"/>
                <w:sz w:val="20"/>
                <w:szCs w:val="20"/>
                <w:shd w:val="clear" w:color="auto" w:fill="FFFFFF"/>
                <w:lang w:val="fr-FR"/>
              </w:rPr>
              <w:t xml:space="preserve"> </w:t>
            </w:r>
            <w:proofErr w:type="spellStart"/>
            <w:r w:rsidRPr="00DA5A25">
              <w:rPr>
                <w:rFonts w:ascii="Times New Roman" w:eastAsia="Arial Unicode MS" w:hAnsi="Times New Roman"/>
                <w:sz w:val="20"/>
                <w:szCs w:val="20"/>
                <w:shd w:val="clear" w:color="auto" w:fill="FFFFFF"/>
                <w:lang w:val="fr-FR"/>
              </w:rPr>
              <w:t>statului</w:t>
            </w:r>
            <w:proofErr w:type="spellEnd"/>
            <w:r w:rsidRPr="00DA5A25">
              <w:rPr>
                <w:rFonts w:ascii="Times New Roman" w:eastAsia="Arial Unicode MS" w:hAnsi="Times New Roman"/>
                <w:sz w:val="20"/>
                <w:szCs w:val="20"/>
                <w:shd w:val="clear" w:color="auto" w:fill="FFFFFF"/>
                <w:lang w:val="fr-FR"/>
              </w:rPr>
              <w:t xml:space="preserve"> membru de a </w:t>
            </w:r>
            <w:proofErr w:type="spellStart"/>
            <w:r w:rsidRPr="00DA5A25">
              <w:rPr>
                <w:rFonts w:ascii="Times New Roman" w:eastAsia="Arial Unicode MS" w:hAnsi="Times New Roman"/>
                <w:sz w:val="20"/>
                <w:szCs w:val="20"/>
                <w:shd w:val="clear" w:color="auto" w:fill="FFFFFF"/>
                <w:lang w:val="fr-FR"/>
              </w:rPr>
              <w:t>utiliza</w:t>
            </w:r>
            <w:proofErr w:type="spellEnd"/>
            <w:r w:rsidRPr="00DA5A25">
              <w:rPr>
                <w:rFonts w:ascii="Times New Roman" w:eastAsia="Arial Unicode MS" w:hAnsi="Times New Roman"/>
                <w:sz w:val="20"/>
                <w:szCs w:val="20"/>
                <w:shd w:val="clear" w:color="auto" w:fill="FFFFFF"/>
                <w:lang w:val="fr-FR"/>
              </w:rPr>
              <w:t xml:space="preserve"> </w:t>
            </w:r>
            <w:proofErr w:type="spellStart"/>
            <w:r w:rsidRPr="00DA5A25">
              <w:rPr>
                <w:rFonts w:ascii="Times New Roman" w:eastAsia="Arial Unicode MS" w:hAnsi="Times New Roman"/>
                <w:sz w:val="20"/>
                <w:szCs w:val="20"/>
                <w:shd w:val="clear" w:color="auto" w:fill="FFFFFF"/>
                <w:lang w:val="fr-FR"/>
              </w:rPr>
              <w:t>mecanismul</w:t>
            </w:r>
            <w:proofErr w:type="spellEnd"/>
            <w:r w:rsidRPr="00DA5A25">
              <w:rPr>
                <w:rFonts w:ascii="Times New Roman" w:eastAsia="Arial Unicode MS" w:hAnsi="Times New Roman"/>
                <w:sz w:val="20"/>
                <w:szCs w:val="20"/>
                <w:shd w:val="clear" w:color="auto" w:fill="FFFFFF"/>
                <w:lang w:val="fr-FR"/>
              </w:rPr>
              <w:t xml:space="preserve"> de </w:t>
            </w:r>
            <w:proofErr w:type="spellStart"/>
            <w:r w:rsidRPr="00DA5A25">
              <w:rPr>
                <w:rFonts w:ascii="Times New Roman" w:eastAsia="Arial Unicode MS" w:hAnsi="Times New Roman"/>
                <w:sz w:val="20"/>
                <w:szCs w:val="20"/>
                <w:shd w:val="clear" w:color="auto" w:fill="FFFFFF"/>
                <w:lang w:val="fr-FR"/>
              </w:rPr>
              <w:t>flexibilitate</w:t>
            </w:r>
            <w:proofErr w:type="spellEnd"/>
            <w:r w:rsidRPr="00DA5A25">
              <w:rPr>
                <w:rFonts w:ascii="Times New Roman" w:eastAsia="Arial Unicode MS" w:hAnsi="Times New Roman"/>
                <w:sz w:val="20"/>
                <w:szCs w:val="20"/>
                <w:shd w:val="clear" w:color="auto" w:fill="FFFFFF"/>
                <w:lang w:val="fr-FR"/>
              </w:rPr>
              <w:t xml:space="preserve"> </w:t>
            </w:r>
            <w:proofErr w:type="spellStart"/>
            <w:r w:rsidRPr="00DA5A25">
              <w:rPr>
                <w:rFonts w:ascii="Times New Roman" w:eastAsia="Arial Unicode MS" w:hAnsi="Times New Roman"/>
                <w:sz w:val="20"/>
                <w:szCs w:val="20"/>
                <w:shd w:val="clear" w:color="auto" w:fill="FFFFFF"/>
                <w:lang w:val="fr-FR"/>
              </w:rPr>
              <w:t>menționat</w:t>
            </w:r>
            <w:proofErr w:type="spellEnd"/>
            <w:r w:rsidRPr="00DA5A25">
              <w:rPr>
                <w:rFonts w:ascii="Times New Roman" w:eastAsia="Arial Unicode MS" w:hAnsi="Times New Roman"/>
                <w:sz w:val="20"/>
                <w:szCs w:val="20"/>
                <w:shd w:val="clear" w:color="auto" w:fill="FFFFFF"/>
                <w:lang w:val="fr-FR"/>
              </w:rPr>
              <w:t xml:space="preserve"> la </w:t>
            </w:r>
            <w:proofErr w:type="spellStart"/>
            <w:r w:rsidRPr="00DA5A25">
              <w:rPr>
                <w:rFonts w:ascii="Times New Roman" w:eastAsia="Arial Unicode MS" w:hAnsi="Times New Roman"/>
                <w:sz w:val="20"/>
                <w:szCs w:val="20"/>
                <w:shd w:val="clear" w:color="auto" w:fill="FFFFFF"/>
                <w:lang w:val="fr-FR"/>
              </w:rPr>
              <w:t>articolul</w:t>
            </w:r>
            <w:proofErr w:type="spellEnd"/>
            <w:r>
              <w:rPr>
                <w:rFonts w:ascii="Times New Roman" w:eastAsia="Arial Unicode MS" w:hAnsi="Times New Roman"/>
                <w:sz w:val="20"/>
                <w:szCs w:val="20"/>
                <w:shd w:val="clear" w:color="auto" w:fill="FFFFFF"/>
                <w:lang w:val="fr-FR"/>
              </w:rPr>
              <w:t xml:space="preserve"> </w:t>
            </w:r>
            <w:r w:rsidRPr="00DA5A25">
              <w:rPr>
                <w:rFonts w:ascii="Times New Roman" w:eastAsia="Arial Unicode MS" w:hAnsi="Times New Roman"/>
                <w:sz w:val="20"/>
                <w:szCs w:val="20"/>
                <w:shd w:val="clear" w:color="auto" w:fill="FFFFFF"/>
                <w:lang w:val="fr-FR"/>
              </w:rPr>
              <w:t xml:space="preserve">7 </w:t>
            </w:r>
            <w:proofErr w:type="spellStart"/>
            <w:r w:rsidRPr="00DA5A25">
              <w:rPr>
                <w:rFonts w:ascii="Times New Roman" w:eastAsia="Arial Unicode MS" w:hAnsi="Times New Roman"/>
                <w:sz w:val="20"/>
                <w:szCs w:val="20"/>
                <w:shd w:val="clear" w:color="auto" w:fill="FFFFFF"/>
                <w:lang w:val="fr-FR"/>
              </w:rPr>
              <w:t>alineatul</w:t>
            </w:r>
            <w:proofErr w:type="spellEnd"/>
            <w:r>
              <w:rPr>
                <w:rFonts w:ascii="Times New Roman" w:eastAsia="Arial Unicode MS" w:hAnsi="Times New Roman"/>
                <w:sz w:val="20"/>
                <w:szCs w:val="20"/>
                <w:shd w:val="clear" w:color="auto" w:fill="FFFFFF"/>
                <w:lang w:val="fr-FR"/>
              </w:rPr>
              <w:t xml:space="preserve"> </w:t>
            </w:r>
            <w:r w:rsidRPr="00DA5A25">
              <w:rPr>
                <w:rFonts w:ascii="Times New Roman" w:eastAsia="Arial Unicode MS" w:hAnsi="Times New Roman"/>
                <w:sz w:val="20"/>
                <w:szCs w:val="20"/>
                <w:shd w:val="clear" w:color="auto" w:fill="FFFFFF"/>
                <w:lang w:val="fr-FR"/>
              </w:rPr>
              <w:t xml:space="preserve">(1) </w:t>
            </w:r>
            <w:proofErr w:type="spellStart"/>
            <w:r w:rsidRPr="00DA5A25">
              <w:rPr>
                <w:rFonts w:ascii="Times New Roman" w:eastAsia="Arial Unicode MS" w:hAnsi="Times New Roman"/>
                <w:sz w:val="20"/>
                <w:szCs w:val="20"/>
                <w:shd w:val="clear" w:color="auto" w:fill="FFFFFF"/>
                <w:lang w:val="fr-FR"/>
              </w:rPr>
              <w:t>din</w:t>
            </w:r>
            <w:proofErr w:type="spellEnd"/>
            <w:r w:rsidRPr="00DA5A25">
              <w:rPr>
                <w:rFonts w:ascii="Times New Roman" w:eastAsia="Arial Unicode MS" w:hAnsi="Times New Roman"/>
                <w:sz w:val="20"/>
                <w:szCs w:val="20"/>
                <w:shd w:val="clear" w:color="auto" w:fill="FFFFFF"/>
                <w:lang w:val="fr-FR"/>
              </w:rPr>
              <w:t xml:space="preserve"> </w:t>
            </w:r>
            <w:proofErr w:type="spellStart"/>
            <w:r w:rsidRPr="00DA5A25">
              <w:rPr>
                <w:rFonts w:ascii="Times New Roman" w:eastAsia="Arial Unicode MS" w:hAnsi="Times New Roman"/>
                <w:sz w:val="20"/>
                <w:szCs w:val="20"/>
                <w:shd w:val="clear" w:color="auto" w:fill="FFFFFF"/>
                <w:lang w:val="fr-FR"/>
              </w:rPr>
              <w:t>Regulamentul</w:t>
            </w:r>
            <w:proofErr w:type="spellEnd"/>
            <w:r w:rsidRPr="00DA5A25">
              <w:rPr>
                <w:rFonts w:ascii="Times New Roman" w:eastAsia="Arial Unicode MS" w:hAnsi="Times New Roman"/>
                <w:sz w:val="20"/>
                <w:szCs w:val="20"/>
                <w:shd w:val="clear" w:color="auto" w:fill="FFFFFF"/>
                <w:lang w:val="fr-FR"/>
              </w:rPr>
              <w:t xml:space="preserve"> (UE)</w:t>
            </w:r>
            <w:r>
              <w:rPr>
                <w:rFonts w:ascii="Times New Roman" w:eastAsia="Arial Unicode MS" w:hAnsi="Times New Roman"/>
                <w:sz w:val="20"/>
                <w:szCs w:val="20"/>
                <w:shd w:val="clear" w:color="auto" w:fill="FFFFFF"/>
                <w:lang w:val="fr-FR"/>
              </w:rPr>
              <w:t xml:space="preserve"> </w:t>
            </w:r>
            <w:r w:rsidRPr="00DA5A25">
              <w:rPr>
                <w:rFonts w:ascii="Times New Roman" w:eastAsia="Arial Unicode MS" w:hAnsi="Times New Roman"/>
                <w:sz w:val="20"/>
                <w:szCs w:val="20"/>
                <w:shd w:val="clear" w:color="auto" w:fill="FFFFFF"/>
                <w:lang w:val="fr-FR"/>
              </w:rPr>
              <w:t>2018/842</w:t>
            </w:r>
          </w:p>
          <w:p w14:paraId="4DF83F61" w14:textId="5C095699" w:rsidR="00DA5A25" w:rsidRPr="001A1E50" w:rsidRDefault="00000000" w:rsidP="008F5636">
            <w:pPr>
              <w:pStyle w:val="ColorfulList-Accent11"/>
              <w:spacing w:after="0" w:line="240" w:lineRule="auto"/>
              <w:ind w:left="0"/>
              <w:jc w:val="both"/>
              <w:rPr>
                <w:rFonts w:ascii="Times New Roman" w:hAnsi="Times New Roman"/>
                <w:sz w:val="20"/>
                <w:szCs w:val="20"/>
                <w:shd w:val="clear" w:color="auto" w:fill="FFFFFF"/>
                <w:lang w:val="fr-FR"/>
              </w:rPr>
            </w:pPr>
            <w:hyperlink r:id="rId118" w:tooltip="32018R1999" w:history="1">
              <w:r w:rsidR="00DA5A25" w:rsidRPr="001A1E50">
                <w:rPr>
                  <w:rStyle w:val="af6"/>
                  <w:rFonts w:ascii="Times New Roman" w:eastAsia="Arial Unicode MS" w:hAnsi="Times New Roman"/>
                  <w:b/>
                  <w:bCs/>
                  <w:color w:val="23527C"/>
                  <w:sz w:val="20"/>
                  <w:szCs w:val="20"/>
                  <w:shd w:val="clear" w:color="auto" w:fill="FFFFFF"/>
                  <w:lang w:val="fr-FR"/>
                </w:rPr>
                <w:t>▼B</w:t>
              </w:r>
            </w:hyperlink>
          </w:p>
          <w:p w14:paraId="1E38F794" w14:textId="74255FDF"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1A1E50">
              <w:rPr>
                <w:rFonts w:ascii="Times New Roman" w:hAnsi="Times New Roman"/>
                <w:sz w:val="20"/>
                <w:szCs w:val="20"/>
                <w:shd w:val="clear" w:color="auto" w:fill="FFFFFF"/>
                <w:lang w:val="fr-FR"/>
              </w:rPr>
              <w:t xml:space="preserve">Un stat membru </w:t>
            </w:r>
            <w:proofErr w:type="spellStart"/>
            <w:r w:rsidRPr="001A1E50">
              <w:rPr>
                <w:rFonts w:ascii="Times New Roman" w:hAnsi="Times New Roman"/>
                <w:sz w:val="20"/>
                <w:szCs w:val="20"/>
                <w:shd w:val="clear" w:color="auto" w:fill="FFFFFF"/>
                <w:lang w:val="fr-FR"/>
              </w:rPr>
              <w:t>poate</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solicita</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să</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îi</w:t>
            </w:r>
            <w:proofErr w:type="spellEnd"/>
            <w:r w:rsidRPr="001A1E50">
              <w:rPr>
                <w:rFonts w:ascii="Times New Roman" w:hAnsi="Times New Roman"/>
                <w:sz w:val="20"/>
                <w:szCs w:val="20"/>
                <w:shd w:val="clear" w:color="auto" w:fill="FFFFFF"/>
                <w:lang w:val="fr-FR"/>
              </w:rPr>
              <w:t xml:space="preserve"> fie </w:t>
            </w:r>
            <w:proofErr w:type="spellStart"/>
            <w:r w:rsidRPr="001A1E50">
              <w:rPr>
                <w:rFonts w:ascii="Times New Roman" w:hAnsi="Times New Roman"/>
                <w:sz w:val="20"/>
                <w:szCs w:val="20"/>
                <w:shd w:val="clear" w:color="auto" w:fill="FFFFFF"/>
                <w:lang w:val="fr-FR"/>
              </w:rPr>
              <w:t>acordată</w:t>
            </w:r>
            <w:proofErr w:type="spellEnd"/>
            <w:r w:rsidRPr="001A1E50">
              <w:rPr>
                <w:rFonts w:ascii="Times New Roman" w:hAnsi="Times New Roman"/>
                <w:sz w:val="20"/>
                <w:szCs w:val="20"/>
                <w:shd w:val="clear" w:color="auto" w:fill="FFFFFF"/>
                <w:lang w:val="fr-FR"/>
              </w:rPr>
              <w:t xml:space="preserve"> de </w:t>
            </w:r>
            <w:proofErr w:type="spellStart"/>
            <w:r w:rsidRPr="001A1E50">
              <w:rPr>
                <w:rFonts w:ascii="Times New Roman" w:hAnsi="Times New Roman"/>
                <w:sz w:val="20"/>
                <w:szCs w:val="20"/>
                <w:shd w:val="clear" w:color="auto" w:fill="FFFFFF"/>
                <w:lang w:val="fr-FR"/>
              </w:rPr>
              <w:t>către</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Comisie</w:t>
            </w:r>
            <w:proofErr w:type="spellEnd"/>
            <w:r w:rsidRPr="001A1E50">
              <w:rPr>
                <w:rFonts w:ascii="Times New Roman" w:hAnsi="Times New Roman"/>
                <w:sz w:val="20"/>
                <w:szCs w:val="20"/>
                <w:shd w:val="clear" w:color="auto" w:fill="FFFFFF"/>
                <w:lang w:val="fr-FR"/>
              </w:rPr>
              <w:t xml:space="preserve"> o </w:t>
            </w:r>
            <w:proofErr w:type="spellStart"/>
            <w:r w:rsidRPr="001A1E50">
              <w:rPr>
                <w:rFonts w:ascii="Times New Roman" w:hAnsi="Times New Roman"/>
                <w:sz w:val="20"/>
                <w:szCs w:val="20"/>
                <w:shd w:val="clear" w:color="auto" w:fill="FFFFFF"/>
                <w:lang w:val="fr-FR"/>
              </w:rPr>
              <w:t>derogare</w:t>
            </w:r>
            <w:proofErr w:type="spellEnd"/>
            <w:r w:rsidRPr="001A1E50">
              <w:rPr>
                <w:rFonts w:ascii="Times New Roman" w:hAnsi="Times New Roman"/>
                <w:sz w:val="20"/>
                <w:szCs w:val="20"/>
                <w:shd w:val="clear" w:color="auto" w:fill="FFFFFF"/>
                <w:lang w:val="fr-FR"/>
              </w:rPr>
              <w:t xml:space="preserve"> de la </w:t>
            </w:r>
            <w:proofErr w:type="spellStart"/>
            <w:r w:rsidRPr="001A1E50">
              <w:rPr>
                <w:rFonts w:ascii="Times New Roman" w:hAnsi="Times New Roman"/>
                <w:sz w:val="20"/>
                <w:szCs w:val="20"/>
                <w:shd w:val="clear" w:color="auto" w:fill="FFFFFF"/>
                <w:lang w:val="fr-FR"/>
              </w:rPr>
              <w:t>primul</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paragraf</w:t>
            </w:r>
            <w:proofErr w:type="spellEnd"/>
            <w:r w:rsidRPr="001A1E50">
              <w:rPr>
                <w:rFonts w:ascii="Times New Roman" w:hAnsi="Times New Roman"/>
                <w:sz w:val="20"/>
                <w:szCs w:val="20"/>
                <w:shd w:val="clear" w:color="auto" w:fill="FFFFFF"/>
                <w:lang w:val="fr-FR"/>
              </w:rPr>
              <w:t xml:space="preserve"> litera (c) </w:t>
            </w:r>
            <w:proofErr w:type="spellStart"/>
            <w:r w:rsidRPr="001A1E50">
              <w:rPr>
                <w:rFonts w:ascii="Times New Roman" w:hAnsi="Times New Roman"/>
                <w:sz w:val="20"/>
                <w:szCs w:val="20"/>
                <w:shd w:val="clear" w:color="auto" w:fill="FFFFFF"/>
                <w:lang w:val="fr-FR"/>
              </w:rPr>
              <w:t>pentru</w:t>
            </w:r>
            <w:proofErr w:type="spellEnd"/>
            <w:r w:rsidRPr="001A1E50">
              <w:rPr>
                <w:rFonts w:ascii="Times New Roman" w:hAnsi="Times New Roman"/>
                <w:sz w:val="20"/>
                <w:szCs w:val="20"/>
                <w:shd w:val="clear" w:color="auto" w:fill="FFFFFF"/>
                <w:lang w:val="fr-FR"/>
              </w:rPr>
              <w:t xml:space="preserve"> a </w:t>
            </w:r>
            <w:proofErr w:type="spellStart"/>
            <w:r w:rsidRPr="001A1E50">
              <w:rPr>
                <w:rFonts w:ascii="Times New Roman" w:hAnsi="Times New Roman"/>
                <w:sz w:val="20"/>
                <w:szCs w:val="20"/>
                <w:shd w:val="clear" w:color="auto" w:fill="FFFFFF"/>
                <w:lang w:val="fr-FR"/>
              </w:rPr>
              <w:t>aplica</w:t>
            </w:r>
            <w:proofErr w:type="spellEnd"/>
            <w:r w:rsidRPr="001A1E50">
              <w:rPr>
                <w:rFonts w:ascii="Times New Roman" w:hAnsi="Times New Roman"/>
                <w:sz w:val="20"/>
                <w:szCs w:val="20"/>
                <w:shd w:val="clear" w:color="auto" w:fill="FFFFFF"/>
                <w:lang w:val="fr-FR"/>
              </w:rPr>
              <w:t xml:space="preserve"> o </w:t>
            </w:r>
            <w:proofErr w:type="spellStart"/>
            <w:r w:rsidRPr="001A1E50">
              <w:rPr>
                <w:rFonts w:ascii="Times New Roman" w:hAnsi="Times New Roman"/>
                <w:sz w:val="20"/>
                <w:szCs w:val="20"/>
                <w:shd w:val="clear" w:color="auto" w:fill="FFFFFF"/>
                <w:lang w:val="fr-FR"/>
              </w:rPr>
              <w:t>metodologie</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diferită</w:t>
            </w:r>
            <w:proofErr w:type="spellEnd"/>
            <w:r w:rsidRPr="001A1E50">
              <w:rPr>
                <w:rFonts w:ascii="Times New Roman" w:hAnsi="Times New Roman"/>
                <w:sz w:val="20"/>
                <w:szCs w:val="20"/>
                <w:shd w:val="clear" w:color="auto" w:fill="FFFFFF"/>
                <w:lang w:val="fr-FR"/>
              </w:rPr>
              <w:t xml:space="preserve"> de cea </w:t>
            </w:r>
            <w:proofErr w:type="spellStart"/>
            <w:r w:rsidRPr="001A1E50">
              <w:rPr>
                <w:rFonts w:ascii="Times New Roman" w:hAnsi="Times New Roman"/>
                <w:sz w:val="20"/>
                <w:szCs w:val="20"/>
                <w:shd w:val="clear" w:color="auto" w:fill="FFFFFF"/>
                <w:lang w:val="fr-FR"/>
              </w:rPr>
              <w:t>specificată</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partea</w:t>
            </w:r>
            <w:proofErr w:type="spellEnd"/>
            <w:r w:rsidR="000B379B" w:rsidRPr="001A1E50">
              <w:rPr>
                <w:rFonts w:ascii="Times New Roman" w:hAnsi="Times New Roman"/>
                <w:sz w:val="20"/>
                <w:szCs w:val="20"/>
                <w:shd w:val="clear" w:color="auto" w:fill="FFFFFF"/>
                <w:lang w:val="fr-FR"/>
              </w:rPr>
              <w:t xml:space="preserve"> </w:t>
            </w:r>
            <w:r w:rsidRPr="001A1E50">
              <w:rPr>
                <w:rFonts w:ascii="Times New Roman" w:hAnsi="Times New Roman"/>
                <w:sz w:val="20"/>
                <w:szCs w:val="20"/>
                <w:shd w:val="clear" w:color="auto" w:fill="FFFFFF"/>
                <w:lang w:val="fr-FR"/>
              </w:rPr>
              <w:t xml:space="preserve">3 </w:t>
            </w:r>
            <w:proofErr w:type="spellStart"/>
            <w:r w:rsidRPr="001A1E50">
              <w:rPr>
                <w:rFonts w:ascii="Times New Roman" w:hAnsi="Times New Roman"/>
                <w:sz w:val="20"/>
                <w:szCs w:val="20"/>
                <w:shd w:val="clear" w:color="auto" w:fill="FFFFFF"/>
                <w:lang w:val="fr-FR"/>
              </w:rPr>
              <w:t>din</w:t>
            </w:r>
            <w:proofErr w:type="spellEnd"/>
            <w:r w:rsidRPr="001A1E50">
              <w:rPr>
                <w:rFonts w:ascii="Times New Roman" w:hAnsi="Times New Roman"/>
                <w:sz w:val="20"/>
                <w:szCs w:val="20"/>
                <w:shd w:val="clear" w:color="auto" w:fill="FFFFFF"/>
                <w:lang w:val="fr-FR"/>
              </w:rPr>
              <w:t xml:space="preserve"> prezenta </w:t>
            </w:r>
            <w:proofErr w:type="spellStart"/>
            <w:r w:rsidRPr="001A1E50">
              <w:rPr>
                <w:rFonts w:ascii="Times New Roman" w:hAnsi="Times New Roman"/>
                <w:sz w:val="20"/>
                <w:szCs w:val="20"/>
                <w:shd w:val="clear" w:color="auto" w:fill="FFFFFF"/>
                <w:lang w:val="fr-FR"/>
              </w:rPr>
              <w:t>anexă</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cazul</w:t>
            </w:r>
            <w:proofErr w:type="spellEnd"/>
            <w:r w:rsidRPr="001A1E50">
              <w:rPr>
                <w:rFonts w:ascii="Times New Roman" w:hAnsi="Times New Roman"/>
                <w:sz w:val="20"/>
                <w:szCs w:val="20"/>
                <w:shd w:val="clear" w:color="auto" w:fill="FFFFFF"/>
                <w:lang w:val="fr-FR"/>
              </w:rPr>
              <w:t xml:space="preserve"> în care </w:t>
            </w:r>
            <w:proofErr w:type="spellStart"/>
            <w:r w:rsidRPr="001A1E50">
              <w:rPr>
                <w:rFonts w:ascii="Times New Roman" w:hAnsi="Times New Roman"/>
                <w:sz w:val="20"/>
                <w:szCs w:val="20"/>
                <w:shd w:val="clear" w:color="auto" w:fill="FFFFFF"/>
                <w:lang w:val="fr-FR"/>
              </w:rPr>
              <w:t>îmbunătățirea</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necesară</w:t>
            </w:r>
            <w:proofErr w:type="spellEnd"/>
            <w:r w:rsidRPr="001A1E50">
              <w:rPr>
                <w:rFonts w:ascii="Times New Roman" w:hAnsi="Times New Roman"/>
                <w:sz w:val="20"/>
                <w:szCs w:val="20"/>
                <w:shd w:val="clear" w:color="auto" w:fill="FFFFFF"/>
                <w:lang w:val="fr-FR"/>
              </w:rPr>
              <w:t xml:space="preserve"> a </w:t>
            </w:r>
            <w:proofErr w:type="spellStart"/>
            <w:r w:rsidRPr="001A1E50">
              <w:rPr>
                <w:rFonts w:ascii="Times New Roman" w:hAnsi="Times New Roman"/>
                <w:sz w:val="20"/>
                <w:szCs w:val="20"/>
                <w:shd w:val="clear" w:color="auto" w:fill="FFFFFF"/>
                <w:lang w:val="fr-FR"/>
              </w:rPr>
              <w:t>metodologiei</w:t>
            </w:r>
            <w:proofErr w:type="spellEnd"/>
            <w:r w:rsidRPr="001A1E50">
              <w:rPr>
                <w:rFonts w:ascii="Times New Roman" w:hAnsi="Times New Roman"/>
                <w:sz w:val="20"/>
                <w:szCs w:val="20"/>
                <w:shd w:val="clear" w:color="auto" w:fill="FFFFFF"/>
                <w:lang w:val="fr-FR"/>
              </w:rPr>
              <w:t xml:space="preserve"> nu </w:t>
            </w:r>
            <w:proofErr w:type="spellStart"/>
            <w:r w:rsidRPr="001A1E50">
              <w:rPr>
                <w:rFonts w:ascii="Times New Roman" w:hAnsi="Times New Roman"/>
                <w:sz w:val="20"/>
                <w:szCs w:val="20"/>
                <w:shd w:val="clear" w:color="auto" w:fill="FFFFFF"/>
                <w:lang w:val="fr-FR"/>
              </w:rPr>
              <w:t>poate</w:t>
            </w:r>
            <w:proofErr w:type="spellEnd"/>
            <w:r w:rsidRPr="001A1E50">
              <w:rPr>
                <w:rFonts w:ascii="Times New Roman" w:hAnsi="Times New Roman"/>
                <w:sz w:val="20"/>
                <w:szCs w:val="20"/>
                <w:shd w:val="clear" w:color="auto" w:fill="FFFFFF"/>
                <w:lang w:val="fr-FR"/>
              </w:rPr>
              <w:t xml:space="preserve"> fi </w:t>
            </w:r>
            <w:proofErr w:type="spellStart"/>
            <w:r w:rsidRPr="001A1E50">
              <w:rPr>
                <w:rFonts w:ascii="Times New Roman" w:hAnsi="Times New Roman"/>
                <w:sz w:val="20"/>
                <w:szCs w:val="20"/>
                <w:shd w:val="clear" w:color="auto" w:fill="FFFFFF"/>
                <w:lang w:val="fr-FR"/>
              </w:rPr>
              <w:t>realizată</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timp</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util</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pentru</w:t>
            </w:r>
            <w:proofErr w:type="spellEnd"/>
            <w:r w:rsidRPr="001A1E50">
              <w:rPr>
                <w:rFonts w:ascii="Times New Roman" w:hAnsi="Times New Roman"/>
                <w:sz w:val="20"/>
                <w:szCs w:val="20"/>
                <w:shd w:val="clear" w:color="auto" w:fill="FFFFFF"/>
                <w:lang w:val="fr-FR"/>
              </w:rPr>
              <w:t xml:space="preserve"> a fi </w:t>
            </w:r>
            <w:proofErr w:type="spellStart"/>
            <w:r w:rsidRPr="001A1E50">
              <w:rPr>
                <w:rFonts w:ascii="Times New Roman" w:hAnsi="Times New Roman"/>
                <w:sz w:val="20"/>
                <w:szCs w:val="20"/>
                <w:shd w:val="clear" w:color="auto" w:fill="FFFFFF"/>
                <w:lang w:val="fr-FR"/>
              </w:rPr>
              <w:t>luată</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considerare</w:t>
            </w:r>
            <w:proofErr w:type="spellEnd"/>
            <w:r w:rsidRPr="001A1E50">
              <w:rPr>
                <w:rFonts w:ascii="Times New Roman" w:hAnsi="Times New Roman"/>
                <w:sz w:val="20"/>
                <w:szCs w:val="20"/>
                <w:shd w:val="clear" w:color="auto" w:fill="FFFFFF"/>
                <w:lang w:val="fr-FR"/>
              </w:rPr>
              <w:t xml:space="preserve"> la </w:t>
            </w:r>
            <w:proofErr w:type="spellStart"/>
            <w:r w:rsidRPr="001A1E50">
              <w:rPr>
                <w:rFonts w:ascii="Times New Roman" w:hAnsi="Times New Roman"/>
                <w:sz w:val="20"/>
                <w:szCs w:val="20"/>
                <w:shd w:val="clear" w:color="auto" w:fill="FFFFFF"/>
                <w:lang w:val="fr-FR"/>
              </w:rPr>
              <w:t>inventarele</w:t>
            </w:r>
            <w:proofErr w:type="spellEnd"/>
            <w:r w:rsidRPr="001A1E50">
              <w:rPr>
                <w:rFonts w:ascii="Times New Roman" w:hAnsi="Times New Roman"/>
                <w:sz w:val="20"/>
                <w:szCs w:val="20"/>
                <w:shd w:val="clear" w:color="auto" w:fill="FFFFFF"/>
                <w:lang w:val="fr-FR"/>
              </w:rPr>
              <w:t xml:space="preserve"> GES </w:t>
            </w:r>
            <w:proofErr w:type="spellStart"/>
            <w:r w:rsidRPr="001A1E50">
              <w:rPr>
                <w:rFonts w:ascii="Times New Roman" w:hAnsi="Times New Roman"/>
                <w:sz w:val="20"/>
                <w:szCs w:val="20"/>
                <w:shd w:val="clear" w:color="auto" w:fill="FFFFFF"/>
                <w:lang w:val="fr-FR"/>
              </w:rPr>
              <w:t>pentru</w:t>
            </w:r>
            <w:proofErr w:type="spellEnd"/>
            <w:r w:rsidRPr="001A1E50">
              <w:rPr>
                <w:rFonts w:ascii="Times New Roman" w:hAnsi="Times New Roman"/>
                <w:sz w:val="20"/>
                <w:szCs w:val="20"/>
                <w:shd w:val="clear" w:color="auto" w:fill="FFFFFF"/>
                <w:lang w:val="fr-FR"/>
              </w:rPr>
              <w:t xml:space="preserve"> perioada 2021-2030 </w:t>
            </w:r>
            <w:proofErr w:type="spellStart"/>
            <w:r w:rsidRPr="001A1E50">
              <w:rPr>
                <w:rFonts w:ascii="Times New Roman" w:hAnsi="Times New Roman"/>
                <w:sz w:val="20"/>
                <w:szCs w:val="20"/>
                <w:shd w:val="clear" w:color="auto" w:fill="FFFFFF"/>
                <w:lang w:val="fr-FR"/>
              </w:rPr>
              <w:t>sau</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cazul</w:t>
            </w:r>
            <w:proofErr w:type="spellEnd"/>
            <w:r w:rsidRPr="001A1E50">
              <w:rPr>
                <w:rFonts w:ascii="Times New Roman" w:hAnsi="Times New Roman"/>
                <w:sz w:val="20"/>
                <w:szCs w:val="20"/>
                <w:shd w:val="clear" w:color="auto" w:fill="FFFFFF"/>
                <w:lang w:val="fr-FR"/>
              </w:rPr>
              <w:t xml:space="preserve"> în care </w:t>
            </w:r>
            <w:proofErr w:type="spellStart"/>
            <w:r w:rsidRPr="001A1E50">
              <w:rPr>
                <w:rFonts w:ascii="Times New Roman" w:hAnsi="Times New Roman"/>
                <w:sz w:val="20"/>
                <w:szCs w:val="20"/>
                <w:shd w:val="clear" w:color="auto" w:fill="FFFFFF"/>
                <w:lang w:val="fr-FR"/>
              </w:rPr>
              <w:t>costul</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îmbunătățirii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metodologiei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ar</w:t>
            </w:r>
            <w:proofErr w:type="spellEnd"/>
            <w:r w:rsidRPr="001A1E50">
              <w:rPr>
                <w:rFonts w:ascii="Times New Roman" w:hAnsi="Times New Roman"/>
                <w:sz w:val="20"/>
                <w:szCs w:val="20"/>
                <w:shd w:val="clear" w:color="auto" w:fill="FFFFFF"/>
                <w:lang w:val="fr-FR"/>
              </w:rPr>
              <w:t xml:space="preserve"> fi </w:t>
            </w:r>
            <w:proofErr w:type="spellStart"/>
            <w:r w:rsidRPr="001A1E50">
              <w:rPr>
                <w:rFonts w:ascii="Times New Roman" w:hAnsi="Times New Roman"/>
                <w:sz w:val="20"/>
                <w:szCs w:val="20"/>
                <w:shd w:val="clear" w:color="auto" w:fill="FFFFFF"/>
                <w:lang w:val="fr-FR"/>
              </w:rPr>
              <w:t>disproporționat</w:t>
            </w:r>
            <w:proofErr w:type="spellEnd"/>
            <w:r w:rsidRPr="001A1E50">
              <w:rPr>
                <w:rFonts w:ascii="Times New Roman" w:hAnsi="Times New Roman"/>
                <w:sz w:val="20"/>
                <w:szCs w:val="20"/>
                <w:shd w:val="clear" w:color="auto" w:fill="FFFFFF"/>
                <w:lang w:val="fr-FR"/>
              </w:rPr>
              <w:t xml:space="preserve"> de </w:t>
            </w:r>
            <w:proofErr w:type="spellStart"/>
            <w:r w:rsidRPr="001A1E50">
              <w:rPr>
                <w:rFonts w:ascii="Times New Roman" w:hAnsi="Times New Roman"/>
                <w:sz w:val="20"/>
                <w:szCs w:val="20"/>
                <w:shd w:val="clear" w:color="auto" w:fill="FFFFFF"/>
                <w:lang w:val="fr-FR"/>
              </w:rPr>
              <w:t>mare</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raport</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cu</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beneficiile</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aduse</w:t>
            </w:r>
            <w:proofErr w:type="spellEnd"/>
            <w:r w:rsidRPr="001A1E50">
              <w:rPr>
                <w:rFonts w:ascii="Times New Roman" w:hAnsi="Times New Roman"/>
                <w:sz w:val="20"/>
                <w:szCs w:val="20"/>
                <w:shd w:val="clear" w:color="auto" w:fill="FFFFFF"/>
                <w:lang w:val="fr-FR"/>
              </w:rPr>
              <w:t xml:space="preserve"> de </w:t>
            </w:r>
            <w:proofErr w:type="spellStart"/>
            <w:r w:rsidRPr="001A1E50">
              <w:rPr>
                <w:rFonts w:ascii="Times New Roman" w:hAnsi="Times New Roman"/>
                <w:sz w:val="20"/>
                <w:szCs w:val="20"/>
                <w:shd w:val="clear" w:color="auto" w:fill="FFFFFF"/>
                <w:lang w:val="fr-FR"/>
              </w:rPr>
              <w:t>aplicarea</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unei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astfel</w:t>
            </w:r>
            <w:proofErr w:type="spellEnd"/>
            <w:r w:rsidRPr="001A1E50">
              <w:rPr>
                <w:rFonts w:ascii="Times New Roman" w:hAnsi="Times New Roman"/>
                <w:sz w:val="20"/>
                <w:szCs w:val="20"/>
                <w:shd w:val="clear" w:color="auto" w:fill="FFFFFF"/>
                <w:lang w:val="fr-FR"/>
              </w:rPr>
              <w:t xml:space="preserve"> de </w:t>
            </w:r>
            <w:proofErr w:type="spellStart"/>
            <w:r w:rsidRPr="001A1E50">
              <w:rPr>
                <w:rFonts w:ascii="Times New Roman" w:hAnsi="Times New Roman"/>
                <w:sz w:val="20"/>
                <w:szCs w:val="20"/>
                <w:shd w:val="clear" w:color="auto" w:fill="FFFFFF"/>
                <w:lang w:val="fr-FR"/>
              </w:rPr>
              <w:t>metodologii</w:t>
            </w:r>
            <w:proofErr w:type="spellEnd"/>
            <w:r w:rsidRPr="001A1E50">
              <w:rPr>
                <w:rFonts w:ascii="Times New Roman" w:hAnsi="Times New Roman"/>
                <w:sz w:val="20"/>
                <w:szCs w:val="20"/>
                <w:shd w:val="clear" w:color="auto" w:fill="FFFFFF"/>
                <w:lang w:val="fr-FR"/>
              </w:rPr>
              <w:t xml:space="preserve"> în </w:t>
            </w:r>
            <w:proofErr w:type="spellStart"/>
            <w:r w:rsidRPr="001A1E50">
              <w:rPr>
                <w:rFonts w:ascii="Times New Roman" w:hAnsi="Times New Roman"/>
                <w:sz w:val="20"/>
                <w:szCs w:val="20"/>
                <w:shd w:val="clear" w:color="auto" w:fill="FFFFFF"/>
                <w:lang w:val="fr-FR"/>
              </w:rPr>
              <w:t>vederea</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îmbunătățirii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contabilizării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emisiilor</w:t>
            </w:r>
            <w:proofErr w:type="spellEnd"/>
            <w:r w:rsidRPr="001A1E50">
              <w:rPr>
                <w:rFonts w:ascii="Times New Roman" w:hAnsi="Times New Roman"/>
                <w:sz w:val="20"/>
                <w:szCs w:val="20"/>
                <w:shd w:val="clear" w:color="auto" w:fill="FFFFFF"/>
                <w:lang w:val="fr-FR"/>
              </w:rPr>
              <w:t xml:space="preserve"> și </w:t>
            </w:r>
            <w:proofErr w:type="spellStart"/>
            <w:r w:rsidRPr="001A1E50">
              <w:rPr>
                <w:rFonts w:ascii="Times New Roman" w:hAnsi="Times New Roman"/>
                <w:sz w:val="20"/>
                <w:szCs w:val="20"/>
                <w:shd w:val="clear" w:color="auto" w:fill="FFFFFF"/>
                <w:lang w:val="fr-FR"/>
              </w:rPr>
              <w:t>absorbțiilor</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din</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cauza</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importanței</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reduse</w:t>
            </w:r>
            <w:proofErr w:type="spellEnd"/>
            <w:r w:rsidRPr="001A1E50">
              <w:rPr>
                <w:rFonts w:ascii="Times New Roman" w:hAnsi="Times New Roman"/>
                <w:sz w:val="20"/>
                <w:szCs w:val="20"/>
                <w:shd w:val="clear" w:color="auto" w:fill="FFFFFF"/>
                <w:lang w:val="fr-FR"/>
              </w:rPr>
              <w:t xml:space="preserve"> a </w:t>
            </w:r>
            <w:proofErr w:type="spellStart"/>
            <w:r w:rsidRPr="001A1E50">
              <w:rPr>
                <w:rFonts w:ascii="Times New Roman" w:hAnsi="Times New Roman"/>
                <w:sz w:val="20"/>
                <w:szCs w:val="20"/>
                <w:shd w:val="clear" w:color="auto" w:fill="FFFFFF"/>
                <w:lang w:val="fr-FR"/>
              </w:rPr>
              <w:t>emisiilor</w:t>
            </w:r>
            <w:proofErr w:type="spellEnd"/>
            <w:r w:rsidRPr="001A1E50">
              <w:rPr>
                <w:rFonts w:ascii="Times New Roman" w:hAnsi="Times New Roman"/>
                <w:sz w:val="20"/>
                <w:szCs w:val="20"/>
                <w:shd w:val="clear" w:color="auto" w:fill="FFFFFF"/>
                <w:lang w:val="fr-FR"/>
              </w:rPr>
              <w:t xml:space="preserve"> și a </w:t>
            </w:r>
            <w:proofErr w:type="spellStart"/>
            <w:r w:rsidRPr="001A1E50">
              <w:rPr>
                <w:rFonts w:ascii="Times New Roman" w:hAnsi="Times New Roman"/>
                <w:sz w:val="20"/>
                <w:szCs w:val="20"/>
                <w:shd w:val="clear" w:color="auto" w:fill="FFFFFF"/>
                <w:lang w:val="fr-FR"/>
              </w:rPr>
              <w:t>absorbțiilor</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din</w:t>
            </w:r>
            <w:proofErr w:type="spellEnd"/>
            <w:r w:rsidRPr="001A1E50">
              <w:rPr>
                <w:rFonts w:ascii="Times New Roman" w:hAnsi="Times New Roman"/>
                <w:sz w:val="20"/>
                <w:szCs w:val="20"/>
                <w:shd w:val="clear" w:color="auto" w:fill="FFFFFF"/>
                <w:lang w:val="fr-FR"/>
              </w:rPr>
              <w:t xml:space="preserve"> </w:t>
            </w:r>
            <w:proofErr w:type="spellStart"/>
            <w:r w:rsidRPr="001A1E50">
              <w:rPr>
                <w:rFonts w:ascii="Times New Roman" w:hAnsi="Times New Roman"/>
                <w:sz w:val="20"/>
                <w:szCs w:val="20"/>
                <w:shd w:val="clear" w:color="auto" w:fill="FFFFFF"/>
                <w:lang w:val="fr-FR"/>
              </w:rPr>
              <w:t>rezervoarele</w:t>
            </w:r>
            <w:proofErr w:type="spellEnd"/>
            <w:r w:rsidRPr="001A1E50">
              <w:rPr>
                <w:rFonts w:ascii="Times New Roman" w:hAnsi="Times New Roman"/>
                <w:sz w:val="20"/>
                <w:szCs w:val="20"/>
                <w:shd w:val="clear" w:color="auto" w:fill="FFFFFF"/>
                <w:lang w:val="fr-FR"/>
              </w:rPr>
              <w:t xml:space="preserve"> de carbon în </w:t>
            </w:r>
            <w:proofErr w:type="spellStart"/>
            <w:r w:rsidRPr="001A1E50">
              <w:rPr>
                <w:rFonts w:ascii="Times New Roman" w:hAnsi="Times New Roman"/>
                <w:sz w:val="20"/>
                <w:szCs w:val="20"/>
                <w:shd w:val="clear" w:color="auto" w:fill="FFFFFF"/>
                <w:lang w:val="fr-FR"/>
              </w:rPr>
              <w:t>cauză</w:t>
            </w:r>
            <w:proofErr w:type="spellEnd"/>
            <w:r w:rsidRPr="001A1E50">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Statele</w:t>
            </w:r>
            <w:proofErr w:type="spellEnd"/>
            <w:r w:rsidRPr="007820EC">
              <w:rPr>
                <w:rFonts w:ascii="Times New Roman" w:hAnsi="Times New Roman"/>
                <w:sz w:val="20"/>
                <w:szCs w:val="20"/>
                <w:shd w:val="clear" w:color="auto" w:fill="FFFFFF"/>
                <w:lang w:val="fr-FR"/>
              </w:rPr>
              <w:t xml:space="preserve"> membre care </w:t>
            </w:r>
            <w:proofErr w:type="spellStart"/>
            <w:r w:rsidRPr="007820EC">
              <w:rPr>
                <w:rFonts w:ascii="Times New Roman" w:hAnsi="Times New Roman"/>
                <w:sz w:val="20"/>
                <w:szCs w:val="20"/>
                <w:shd w:val="clear" w:color="auto" w:fill="FFFFFF"/>
                <w:lang w:val="fr-FR"/>
              </w:rPr>
              <w:t>doresc</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beneficieze</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această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derogare</w:t>
            </w:r>
            <w:proofErr w:type="spellEnd"/>
            <w:r w:rsidRPr="007820EC">
              <w:rPr>
                <w:rFonts w:ascii="Times New Roman" w:hAnsi="Times New Roman"/>
                <w:sz w:val="20"/>
                <w:szCs w:val="20"/>
                <w:shd w:val="clear" w:color="auto" w:fill="FFFFFF"/>
                <w:lang w:val="fr-FR"/>
              </w:rPr>
              <w:t xml:space="preserve"> transmit </w:t>
            </w:r>
            <w:proofErr w:type="spellStart"/>
            <w:r w:rsidRPr="007820EC">
              <w:rPr>
                <w:rFonts w:ascii="Times New Roman" w:hAnsi="Times New Roman"/>
                <w:sz w:val="20"/>
                <w:szCs w:val="20"/>
                <w:shd w:val="clear" w:color="auto" w:fill="FFFFFF"/>
                <w:lang w:val="fr-FR"/>
              </w:rPr>
              <w:t>Comisiei</w:t>
            </w:r>
            <w:proofErr w:type="spellEnd"/>
            <w:r w:rsidRPr="007820EC">
              <w:rPr>
                <w:rFonts w:ascii="Times New Roman" w:hAnsi="Times New Roman"/>
                <w:sz w:val="20"/>
                <w:szCs w:val="20"/>
                <w:shd w:val="clear" w:color="auto" w:fill="FFFFFF"/>
                <w:lang w:val="fr-FR"/>
              </w:rPr>
              <w:t xml:space="preserve"> o </w:t>
            </w:r>
            <w:proofErr w:type="spellStart"/>
            <w:r w:rsidRPr="007820EC">
              <w:rPr>
                <w:rFonts w:ascii="Times New Roman" w:hAnsi="Times New Roman"/>
                <w:sz w:val="20"/>
                <w:szCs w:val="20"/>
                <w:shd w:val="clear" w:color="auto" w:fill="FFFFFF"/>
                <w:lang w:val="fr-FR"/>
              </w:rPr>
              <w:t>cerere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motivată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până</w:t>
            </w:r>
            <w:proofErr w:type="spellEnd"/>
            <w:r w:rsidRPr="007820EC">
              <w:rPr>
                <w:rFonts w:ascii="Times New Roman" w:hAnsi="Times New Roman"/>
                <w:sz w:val="20"/>
                <w:szCs w:val="20"/>
                <w:shd w:val="clear" w:color="auto" w:fill="FFFFFF"/>
                <w:lang w:val="fr-FR"/>
              </w:rPr>
              <w:t xml:space="preserve"> la 31 </w:t>
            </w:r>
            <w:proofErr w:type="spellStart"/>
            <w:r w:rsidRPr="007820EC">
              <w:rPr>
                <w:rFonts w:ascii="Times New Roman" w:hAnsi="Times New Roman"/>
                <w:sz w:val="20"/>
                <w:szCs w:val="20"/>
                <w:shd w:val="clear" w:color="auto" w:fill="FFFFFF"/>
                <w:lang w:val="fr-FR"/>
              </w:rPr>
              <w:t>decembrie</w:t>
            </w:r>
            <w:proofErr w:type="spellEnd"/>
            <w:r w:rsidRPr="007820EC">
              <w:rPr>
                <w:rFonts w:ascii="Times New Roman" w:hAnsi="Times New Roman"/>
                <w:sz w:val="20"/>
                <w:szCs w:val="20"/>
                <w:shd w:val="clear" w:color="auto" w:fill="FFFFFF"/>
                <w:lang w:val="fr-FR"/>
              </w:rPr>
              <w:t xml:space="preserve"> 2020, </w:t>
            </w:r>
            <w:proofErr w:type="spellStart"/>
            <w:r w:rsidRPr="007820EC">
              <w:rPr>
                <w:rFonts w:ascii="Times New Roman" w:hAnsi="Times New Roman"/>
                <w:sz w:val="20"/>
                <w:szCs w:val="20"/>
                <w:shd w:val="clear" w:color="auto" w:fill="FFFFFF"/>
                <w:lang w:val="fr-FR"/>
              </w:rPr>
              <w:t>indicând</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termenul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până</w:t>
            </w:r>
            <w:proofErr w:type="spellEnd"/>
            <w:r w:rsidRPr="007820EC">
              <w:rPr>
                <w:rFonts w:ascii="Times New Roman" w:hAnsi="Times New Roman"/>
                <w:sz w:val="20"/>
                <w:szCs w:val="20"/>
                <w:shd w:val="clear" w:color="auto" w:fill="FFFFFF"/>
                <w:lang w:val="fr-FR"/>
              </w:rPr>
              <w:t xml:space="preserve"> la care </w:t>
            </w:r>
            <w:proofErr w:type="spellStart"/>
            <w:r w:rsidRPr="007820EC">
              <w:rPr>
                <w:rFonts w:ascii="Times New Roman" w:hAnsi="Times New Roman"/>
                <w:sz w:val="20"/>
                <w:szCs w:val="20"/>
                <w:shd w:val="clear" w:color="auto" w:fill="FFFFFF"/>
                <w:lang w:val="fr-FR"/>
              </w:rPr>
              <w:t>ar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putea</w:t>
            </w:r>
            <w:proofErr w:type="spellEnd"/>
            <w:r w:rsidRPr="007820EC">
              <w:rPr>
                <w:rFonts w:ascii="Times New Roman" w:hAnsi="Times New Roman"/>
                <w:sz w:val="20"/>
                <w:szCs w:val="20"/>
                <w:shd w:val="clear" w:color="auto" w:fill="FFFFFF"/>
                <w:lang w:val="fr-FR"/>
              </w:rPr>
              <w:t xml:space="preserve"> fi </w:t>
            </w:r>
            <w:proofErr w:type="spellStart"/>
            <w:r w:rsidRPr="007820EC">
              <w:rPr>
                <w:rFonts w:ascii="Times New Roman" w:hAnsi="Times New Roman"/>
                <w:sz w:val="20"/>
                <w:szCs w:val="20"/>
                <w:shd w:val="clear" w:color="auto" w:fill="FFFFFF"/>
                <w:lang w:val="fr-FR"/>
              </w:rPr>
              <w:t>pusă</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aplicare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îmbunătățirea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metodologiei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sau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metodologia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alternativă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propusă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sau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ambele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precum</w:t>
            </w:r>
            <w:proofErr w:type="spellEnd"/>
            <w:r w:rsidRPr="007820EC">
              <w:rPr>
                <w:rFonts w:ascii="Times New Roman" w:hAnsi="Times New Roman"/>
                <w:sz w:val="20"/>
                <w:szCs w:val="20"/>
                <w:shd w:val="clear" w:color="auto" w:fill="FFFFFF"/>
                <w:lang w:val="fr-FR"/>
              </w:rPr>
              <w:t xml:space="preserve"> și o </w:t>
            </w:r>
            <w:proofErr w:type="spellStart"/>
            <w:r w:rsidRPr="007820EC">
              <w:rPr>
                <w:rFonts w:ascii="Times New Roman" w:hAnsi="Times New Roman"/>
                <w:sz w:val="20"/>
                <w:szCs w:val="20"/>
                <w:shd w:val="clear" w:color="auto" w:fill="FFFFFF"/>
                <w:lang w:val="fr-FR"/>
              </w:rPr>
              <w:t>evaluare</w:t>
            </w:r>
            <w:proofErr w:type="spellEnd"/>
            <w:r w:rsidRPr="007820EC">
              <w:rPr>
                <w:rFonts w:ascii="Times New Roman" w:hAnsi="Times New Roman"/>
                <w:sz w:val="20"/>
                <w:szCs w:val="20"/>
                <w:shd w:val="clear" w:color="auto" w:fill="FFFFFF"/>
                <w:lang w:val="fr-FR"/>
              </w:rPr>
              <w:t xml:space="preserve"> a </w:t>
            </w:r>
            <w:proofErr w:type="spellStart"/>
            <w:r w:rsidRPr="007820EC">
              <w:rPr>
                <w:rFonts w:ascii="Times New Roman" w:hAnsi="Times New Roman"/>
                <w:sz w:val="20"/>
                <w:szCs w:val="20"/>
                <w:shd w:val="clear" w:color="auto" w:fill="FFFFFF"/>
                <w:lang w:val="fr-FR"/>
              </w:rPr>
              <w:t>impactului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potențial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asupra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exactității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contabilizării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Comisia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poate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solicita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transmiterea</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informații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suplimentare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într</w:t>
            </w:r>
            <w:proofErr w:type="spellEnd"/>
            <w:r w:rsidRPr="007820EC">
              <w:rPr>
                <w:rFonts w:ascii="Times New Roman" w:hAnsi="Times New Roman"/>
                <w:sz w:val="20"/>
                <w:szCs w:val="20"/>
                <w:shd w:val="clear" w:color="auto" w:fill="FFFFFF"/>
                <w:lang w:val="fr-FR"/>
              </w:rPr>
              <w:t xml:space="preserve">-un </w:t>
            </w:r>
            <w:proofErr w:type="spellStart"/>
            <w:r w:rsidRPr="007820EC">
              <w:rPr>
                <w:rFonts w:ascii="Times New Roman" w:hAnsi="Times New Roman"/>
                <w:sz w:val="20"/>
                <w:szCs w:val="20"/>
                <w:shd w:val="clear" w:color="auto" w:fill="FFFFFF"/>
                <w:lang w:val="fr-FR"/>
              </w:rPr>
              <w:t>termen</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rezonabil</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specificat</w:t>
            </w:r>
            <w:proofErr w:type="spellEnd"/>
            <w:r w:rsidRPr="007820EC">
              <w:rPr>
                <w:rFonts w:ascii="Times New Roman" w:hAnsi="Times New Roman"/>
                <w:sz w:val="20"/>
                <w:szCs w:val="20"/>
                <w:shd w:val="clear" w:color="auto" w:fill="FFFFFF"/>
                <w:lang w:val="fr-FR"/>
              </w:rPr>
              <w:t xml:space="preserve">. În </w:t>
            </w:r>
            <w:proofErr w:type="spellStart"/>
            <w:r w:rsidRPr="007820EC">
              <w:rPr>
                <w:rFonts w:ascii="Times New Roman" w:hAnsi="Times New Roman"/>
                <w:sz w:val="20"/>
                <w:szCs w:val="20"/>
                <w:shd w:val="clear" w:color="auto" w:fill="FFFFFF"/>
                <w:lang w:val="fr-FR"/>
              </w:rPr>
              <w:t>cazul</w:t>
            </w:r>
            <w:proofErr w:type="spellEnd"/>
            <w:r w:rsidRPr="007820EC">
              <w:rPr>
                <w:rFonts w:ascii="Times New Roman" w:hAnsi="Times New Roman"/>
                <w:sz w:val="20"/>
                <w:szCs w:val="20"/>
                <w:shd w:val="clear" w:color="auto" w:fill="FFFFFF"/>
                <w:lang w:val="fr-FR"/>
              </w:rPr>
              <w:t xml:space="preserve"> în care </w:t>
            </w:r>
            <w:proofErr w:type="spellStart"/>
            <w:r w:rsidRPr="007820EC">
              <w:rPr>
                <w:rFonts w:ascii="Times New Roman" w:hAnsi="Times New Roman"/>
                <w:sz w:val="20"/>
                <w:szCs w:val="20"/>
                <w:shd w:val="clear" w:color="auto" w:fill="FFFFFF"/>
                <w:lang w:val="fr-FR"/>
              </w:rPr>
              <w:t>Comisia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consideră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cererea</w:t>
            </w:r>
            <w:proofErr w:type="spellEnd"/>
            <w:r w:rsidRPr="007820EC">
              <w:rPr>
                <w:rFonts w:ascii="Times New Roman" w:hAnsi="Times New Roman"/>
                <w:sz w:val="20"/>
                <w:szCs w:val="20"/>
                <w:shd w:val="clear" w:color="auto" w:fill="FFFFFF"/>
                <w:lang w:val="fr-FR"/>
              </w:rPr>
              <w:t xml:space="preserve"> este </w:t>
            </w:r>
            <w:proofErr w:type="spellStart"/>
            <w:r w:rsidRPr="007820EC">
              <w:rPr>
                <w:rFonts w:ascii="Times New Roman" w:hAnsi="Times New Roman"/>
                <w:sz w:val="20"/>
                <w:szCs w:val="20"/>
                <w:shd w:val="clear" w:color="auto" w:fill="FFFFFF"/>
                <w:lang w:val="fr-FR"/>
              </w:rPr>
              <w:t>întemeiată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aceasta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acordă</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derogarea</w:t>
            </w:r>
            <w:proofErr w:type="spellEnd"/>
            <w:r w:rsidRPr="007820EC">
              <w:rPr>
                <w:rFonts w:ascii="Times New Roman" w:hAnsi="Times New Roman"/>
                <w:sz w:val="20"/>
                <w:szCs w:val="20"/>
                <w:shd w:val="clear" w:color="auto" w:fill="FFFFFF"/>
                <w:lang w:val="fr-FR"/>
              </w:rPr>
              <w:t xml:space="preserve">. </w:t>
            </w:r>
            <w:r w:rsidRPr="007820EC">
              <w:rPr>
                <w:rFonts w:ascii="Times New Roman" w:hAnsi="Times New Roman"/>
                <w:sz w:val="20"/>
                <w:szCs w:val="20"/>
                <w:shd w:val="clear" w:color="auto" w:fill="FFFFFF"/>
              </w:rPr>
              <w:t xml:space="preserve">În </w:t>
            </w:r>
            <w:proofErr w:type="spellStart"/>
            <w:r w:rsidRPr="007820EC">
              <w:rPr>
                <w:rFonts w:ascii="Times New Roman" w:hAnsi="Times New Roman"/>
                <w:sz w:val="20"/>
                <w:szCs w:val="20"/>
                <w:shd w:val="clear" w:color="auto" w:fill="FFFFFF"/>
              </w:rPr>
              <w:t>cazul</w:t>
            </w:r>
            <w:proofErr w:type="spellEnd"/>
            <w:r w:rsidRPr="007820EC">
              <w:rPr>
                <w:rFonts w:ascii="Times New Roman" w:hAnsi="Times New Roman"/>
                <w:sz w:val="20"/>
                <w:szCs w:val="20"/>
                <w:shd w:val="clear" w:color="auto" w:fill="FFFFFF"/>
              </w:rPr>
              <w:t xml:space="preserve"> în care </w:t>
            </w:r>
            <w:proofErr w:type="spellStart"/>
            <w:r w:rsidRPr="007820EC">
              <w:rPr>
                <w:rFonts w:ascii="Times New Roman" w:hAnsi="Times New Roman"/>
                <w:sz w:val="20"/>
                <w:szCs w:val="20"/>
                <w:shd w:val="clear" w:color="auto" w:fill="FFFFFF"/>
              </w:rPr>
              <w:t>Comisia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respinge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cererea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aceasta</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își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motivează</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decizia</w:t>
            </w:r>
            <w:proofErr w:type="spellEnd"/>
            <w:r w:rsidRPr="007820EC">
              <w:rPr>
                <w:rFonts w:ascii="Times New Roman" w:hAnsi="Times New Roman"/>
                <w:sz w:val="20"/>
                <w:szCs w:val="20"/>
                <w:shd w:val="clear" w:color="auto" w:fill="FFFFFF"/>
              </w:rPr>
              <w:t>.</w:t>
            </w:r>
          </w:p>
          <w:p w14:paraId="57B7D4EE" w14:textId="77777777" w:rsidR="008F5636" w:rsidRPr="007820EC" w:rsidRDefault="008F5636" w:rsidP="008F5636">
            <w:pPr>
              <w:pStyle w:val="ti-grseq-1"/>
              <w:shd w:val="clear" w:color="auto" w:fill="FFFFFF"/>
              <w:spacing w:before="0" w:beforeAutospacing="0" w:after="0" w:afterAutospacing="0"/>
              <w:jc w:val="both"/>
              <w:rPr>
                <w:b/>
                <w:bCs/>
                <w:sz w:val="20"/>
                <w:szCs w:val="20"/>
                <w:lang w:val="ro-MD"/>
              </w:rPr>
            </w:pPr>
            <w:proofErr w:type="spellStart"/>
            <w:r w:rsidRPr="007820EC">
              <w:rPr>
                <w:rStyle w:val="bold"/>
                <w:b/>
                <w:bCs/>
                <w:sz w:val="20"/>
                <w:szCs w:val="20"/>
                <w:lang w:val="fr-FR"/>
              </w:rPr>
              <w:t>Partea</w:t>
            </w:r>
            <w:proofErr w:type="spellEnd"/>
            <w:r w:rsidRPr="007820EC">
              <w:rPr>
                <w:rStyle w:val="bold"/>
                <w:b/>
                <w:bCs/>
                <w:sz w:val="20"/>
                <w:szCs w:val="20"/>
                <w:lang w:val="fr-FR"/>
              </w:rPr>
              <w:t xml:space="preserve"> 2</w:t>
            </w:r>
          </w:p>
          <w:p w14:paraId="42708F45" w14:textId="77777777" w:rsidR="008F5636" w:rsidRPr="007820EC" w:rsidRDefault="008F5636" w:rsidP="008F5636">
            <w:pPr>
              <w:pStyle w:val="Normal4"/>
              <w:shd w:val="clear" w:color="auto" w:fill="FFFFFF"/>
              <w:spacing w:before="0" w:beforeAutospacing="0" w:after="0" w:afterAutospacing="0"/>
              <w:jc w:val="both"/>
              <w:rPr>
                <w:sz w:val="20"/>
                <w:szCs w:val="20"/>
              </w:rPr>
            </w:pPr>
            <w:r w:rsidRPr="007820EC">
              <w:rPr>
                <w:sz w:val="20"/>
                <w:szCs w:val="20"/>
              </w:rPr>
              <w:t>GES vizate sunt:</w:t>
            </w:r>
          </w:p>
          <w:p w14:paraId="09903A24"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Dioxidul</w:t>
            </w:r>
            <w:proofErr w:type="spellEnd"/>
            <w:r w:rsidRPr="007820EC">
              <w:rPr>
                <w:rFonts w:ascii="Times New Roman" w:hAnsi="Times New Roman"/>
                <w:sz w:val="20"/>
                <w:szCs w:val="20"/>
                <w:shd w:val="clear" w:color="auto" w:fill="FFFFFF"/>
                <w:lang w:val="fr-FR"/>
              </w:rPr>
              <w:t xml:space="preserve"> de carbon (CO</w:t>
            </w:r>
            <w:r w:rsidRPr="007820EC">
              <w:rPr>
                <w:rStyle w:val="sub"/>
                <w:rFonts w:ascii="Times New Roman" w:hAnsi="Times New Roman"/>
                <w:sz w:val="20"/>
                <w:szCs w:val="20"/>
                <w:shd w:val="clear" w:color="auto" w:fill="FFFFFF"/>
                <w:vertAlign w:val="subscript"/>
                <w:lang w:val="fr-FR"/>
              </w:rPr>
              <w:t>2</w:t>
            </w:r>
            <w:r w:rsidRPr="007820EC">
              <w:rPr>
                <w:rFonts w:ascii="Times New Roman" w:hAnsi="Times New Roman"/>
                <w:sz w:val="20"/>
                <w:szCs w:val="20"/>
                <w:shd w:val="clear" w:color="auto" w:fill="FFFFFF"/>
                <w:lang w:val="fr-FR"/>
              </w:rPr>
              <w:t>)</w:t>
            </w:r>
          </w:p>
          <w:p w14:paraId="2D532443"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Metanul</w:t>
            </w:r>
            <w:proofErr w:type="spellEnd"/>
            <w:r w:rsidRPr="007820EC">
              <w:rPr>
                <w:rFonts w:ascii="Times New Roman" w:hAnsi="Times New Roman"/>
                <w:sz w:val="20"/>
                <w:szCs w:val="20"/>
                <w:shd w:val="clear" w:color="auto" w:fill="FFFFFF"/>
                <w:lang w:val="fr-FR"/>
              </w:rPr>
              <w:t xml:space="preserve"> (CH</w:t>
            </w:r>
            <w:r w:rsidRPr="007820EC">
              <w:rPr>
                <w:rStyle w:val="sub"/>
                <w:rFonts w:ascii="Times New Roman" w:hAnsi="Times New Roman"/>
                <w:sz w:val="20"/>
                <w:szCs w:val="20"/>
                <w:shd w:val="clear" w:color="auto" w:fill="FFFFFF"/>
                <w:vertAlign w:val="subscript"/>
                <w:lang w:val="fr-FR"/>
              </w:rPr>
              <w:t>4</w:t>
            </w:r>
            <w:r w:rsidRPr="007820EC">
              <w:rPr>
                <w:rFonts w:ascii="Times New Roman" w:hAnsi="Times New Roman"/>
                <w:sz w:val="20"/>
                <w:szCs w:val="20"/>
                <w:shd w:val="clear" w:color="auto" w:fill="FFFFFF"/>
                <w:lang w:val="fr-FR"/>
              </w:rPr>
              <w:t>)</w:t>
            </w:r>
          </w:p>
          <w:p w14:paraId="440D4823"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Oxidul</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azot</w:t>
            </w:r>
            <w:proofErr w:type="spellEnd"/>
            <w:r w:rsidRPr="007820EC">
              <w:rPr>
                <w:rFonts w:ascii="Times New Roman" w:hAnsi="Times New Roman"/>
                <w:sz w:val="20"/>
                <w:szCs w:val="20"/>
                <w:shd w:val="clear" w:color="auto" w:fill="FFFFFF"/>
                <w:lang w:val="fr-FR"/>
              </w:rPr>
              <w:t xml:space="preserve"> (N</w:t>
            </w:r>
            <w:r w:rsidRPr="007820EC">
              <w:rPr>
                <w:rStyle w:val="sub"/>
                <w:rFonts w:ascii="Times New Roman" w:hAnsi="Times New Roman"/>
                <w:sz w:val="20"/>
                <w:szCs w:val="20"/>
                <w:shd w:val="clear" w:color="auto" w:fill="FFFFFF"/>
                <w:vertAlign w:val="subscript"/>
                <w:lang w:val="fr-FR"/>
              </w:rPr>
              <w:t>2</w:t>
            </w:r>
            <w:r w:rsidRPr="007820EC">
              <w:rPr>
                <w:rFonts w:ascii="Times New Roman" w:hAnsi="Times New Roman"/>
                <w:sz w:val="20"/>
                <w:szCs w:val="20"/>
                <w:shd w:val="clear" w:color="auto" w:fill="FFFFFF"/>
                <w:lang w:val="fr-FR"/>
              </w:rPr>
              <w:t>O)</w:t>
            </w:r>
          </w:p>
          <w:p w14:paraId="61E6EE87"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Hexafluorura</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sulf</w:t>
            </w:r>
            <w:proofErr w:type="spellEnd"/>
            <w:r w:rsidRPr="007820EC">
              <w:rPr>
                <w:rFonts w:ascii="Times New Roman" w:hAnsi="Times New Roman"/>
                <w:sz w:val="20"/>
                <w:szCs w:val="20"/>
                <w:shd w:val="clear" w:color="auto" w:fill="FFFFFF"/>
                <w:lang w:val="fr-FR"/>
              </w:rPr>
              <w:t xml:space="preserve"> (SF</w:t>
            </w:r>
            <w:r w:rsidRPr="007820EC">
              <w:rPr>
                <w:rStyle w:val="sub"/>
                <w:rFonts w:ascii="Times New Roman" w:hAnsi="Times New Roman"/>
                <w:sz w:val="20"/>
                <w:szCs w:val="20"/>
                <w:shd w:val="clear" w:color="auto" w:fill="FFFFFF"/>
                <w:vertAlign w:val="subscript"/>
                <w:lang w:val="fr-FR"/>
              </w:rPr>
              <w:t>6</w:t>
            </w:r>
            <w:r w:rsidRPr="007820EC">
              <w:rPr>
                <w:rFonts w:ascii="Times New Roman" w:hAnsi="Times New Roman"/>
                <w:sz w:val="20"/>
                <w:szCs w:val="20"/>
                <w:shd w:val="clear" w:color="auto" w:fill="FFFFFF"/>
                <w:lang w:val="fr-FR"/>
              </w:rPr>
              <w:t>)</w:t>
            </w:r>
          </w:p>
          <w:p w14:paraId="6A68C078"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Trifluorura</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azot</w:t>
            </w:r>
            <w:proofErr w:type="spellEnd"/>
            <w:r w:rsidRPr="007820EC">
              <w:rPr>
                <w:rFonts w:ascii="Times New Roman" w:hAnsi="Times New Roman"/>
                <w:sz w:val="20"/>
                <w:szCs w:val="20"/>
                <w:shd w:val="clear" w:color="auto" w:fill="FFFFFF"/>
                <w:lang w:val="fr-FR"/>
              </w:rPr>
              <w:t xml:space="preserve"> (NF</w:t>
            </w:r>
            <w:r w:rsidRPr="007820EC">
              <w:rPr>
                <w:rStyle w:val="sub"/>
                <w:rFonts w:ascii="Times New Roman" w:hAnsi="Times New Roman"/>
                <w:sz w:val="20"/>
                <w:szCs w:val="20"/>
                <w:shd w:val="clear" w:color="auto" w:fill="FFFFFF"/>
                <w:vertAlign w:val="subscript"/>
                <w:lang w:val="fr-FR"/>
              </w:rPr>
              <w:t>3</w:t>
            </w:r>
            <w:r w:rsidRPr="007820EC">
              <w:rPr>
                <w:rFonts w:ascii="Times New Roman" w:hAnsi="Times New Roman"/>
                <w:sz w:val="20"/>
                <w:szCs w:val="20"/>
                <w:shd w:val="clear" w:color="auto" w:fill="FFFFFF"/>
                <w:lang w:val="fr-FR"/>
              </w:rPr>
              <w:t>)</w:t>
            </w:r>
          </w:p>
          <w:p w14:paraId="114C4A17"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7820EC">
              <w:rPr>
                <w:rFonts w:ascii="Times New Roman" w:hAnsi="Times New Roman"/>
                <w:sz w:val="20"/>
                <w:szCs w:val="20"/>
                <w:shd w:val="clear" w:color="auto" w:fill="FFFFFF"/>
                <w:lang w:val="fr-FR"/>
              </w:rPr>
              <w:t>Hidrofluorocarburi</w:t>
            </w:r>
            <w:proofErr w:type="spellEnd"/>
            <w:r w:rsidRPr="007820EC">
              <w:rPr>
                <w:rFonts w:ascii="Times New Roman" w:hAnsi="Times New Roman"/>
                <w:sz w:val="20"/>
                <w:szCs w:val="20"/>
                <w:shd w:val="clear" w:color="auto" w:fill="FFFFFF"/>
                <w:lang w:val="fr-FR"/>
              </w:rPr>
              <w:t xml:space="preserve"> (HFC-</w:t>
            </w:r>
            <w:proofErr w:type="spellStart"/>
            <w:r w:rsidRPr="007820EC">
              <w:rPr>
                <w:rFonts w:ascii="Times New Roman" w:hAnsi="Times New Roman"/>
                <w:sz w:val="20"/>
                <w:szCs w:val="20"/>
                <w:shd w:val="clear" w:color="auto" w:fill="FFFFFF"/>
                <w:lang w:val="fr-FR"/>
              </w:rPr>
              <w:t>uri</w:t>
            </w:r>
            <w:proofErr w:type="spellEnd"/>
            <w:proofErr w:type="gramStart"/>
            <w:r w:rsidRPr="007820EC">
              <w:rPr>
                <w:rFonts w:ascii="Times New Roman" w:hAnsi="Times New Roman"/>
                <w:sz w:val="20"/>
                <w:szCs w:val="20"/>
                <w:shd w:val="clear" w:color="auto" w:fill="FFFFFF"/>
                <w:lang w:val="fr-FR"/>
              </w:rPr>
              <w:t>):</w:t>
            </w:r>
            <w:proofErr w:type="gramEnd"/>
          </w:p>
          <w:p w14:paraId="7908FBB1" w14:textId="3905F25F" w:rsidR="008F5636" w:rsidRPr="007A2B9D" w:rsidRDefault="008F5636" w:rsidP="008F5636">
            <w:pPr>
              <w:pStyle w:val="ColorfulList-Accent11"/>
              <w:spacing w:after="0" w:line="240" w:lineRule="auto"/>
              <w:ind w:left="0"/>
              <w:jc w:val="both"/>
              <w:rPr>
                <w:rStyle w:val="sub"/>
                <w:rFonts w:ascii="Times New Roman" w:hAnsi="Times New Roman"/>
                <w:sz w:val="20"/>
                <w:szCs w:val="20"/>
                <w:shd w:val="clear" w:color="auto" w:fill="FFFFFF"/>
                <w:vertAlign w:val="subscript"/>
                <w:lang w:val="fr-FR"/>
              </w:rPr>
            </w:pPr>
            <w:r w:rsidRPr="007A2B9D">
              <w:rPr>
                <w:rFonts w:ascii="Times New Roman" w:hAnsi="Times New Roman"/>
                <w:sz w:val="20"/>
                <w:szCs w:val="20"/>
                <w:shd w:val="clear" w:color="auto" w:fill="FFFFFF"/>
                <w:lang w:val="fr-FR"/>
              </w:rPr>
              <w:t>-HFC-23 CHF</w:t>
            </w:r>
            <w:r w:rsidRPr="007A2B9D">
              <w:rPr>
                <w:rStyle w:val="sub"/>
                <w:rFonts w:ascii="Times New Roman" w:hAnsi="Times New Roman"/>
                <w:sz w:val="20"/>
                <w:szCs w:val="20"/>
                <w:shd w:val="clear" w:color="auto" w:fill="FFFFFF"/>
                <w:vertAlign w:val="subscript"/>
                <w:lang w:val="fr-FR"/>
              </w:rPr>
              <w:t>3</w:t>
            </w:r>
          </w:p>
          <w:p w14:paraId="439E9FE1" w14:textId="2F623BB0" w:rsidR="008F5636" w:rsidRPr="007820EC" w:rsidRDefault="008F5636" w:rsidP="008F5636">
            <w:pPr>
              <w:pStyle w:val="Normal4"/>
              <w:spacing w:before="0" w:beforeAutospacing="0" w:after="0" w:afterAutospacing="0"/>
              <w:jc w:val="both"/>
              <w:rPr>
                <w:rStyle w:val="sub"/>
                <w:sz w:val="20"/>
                <w:szCs w:val="20"/>
                <w:vertAlign w:val="subscript"/>
              </w:rPr>
            </w:pPr>
            <w:r w:rsidRPr="007820EC">
              <w:rPr>
                <w:sz w:val="20"/>
                <w:szCs w:val="20"/>
              </w:rPr>
              <w:t>-HFC-32 CH</w:t>
            </w:r>
            <w:r w:rsidRPr="007820EC">
              <w:rPr>
                <w:rStyle w:val="sub"/>
                <w:sz w:val="20"/>
                <w:szCs w:val="20"/>
                <w:vertAlign w:val="subscript"/>
              </w:rPr>
              <w:t>2</w:t>
            </w:r>
            <w:r w:rsidRPr="007820EC">
              <w:rPr>
                <w:sz w:val="20"/>
                <w:szCs w:val="20"/>
              </w:rPr>
              <w:t>F</w:t>
            </w:r>
            <w:r w:rsidRPr="007820EC">
              <w:rPr>
                <w:rStyle w:val="sub"/>
                <w:sz w:val="20"/>
                <w:szCs w:val="20"/>
                <w:vertAlign w:val="subscript"/>
              </w:rPr>
              <w:t>2</w:t>
            </w:r>
          </w:p>
          <w:p w14:paraId="6698AACC" w14:textId="5B6D6897" w:rsidR="008F5636" w:rsidRPr="007820EC" w:rsidRDefault="008F5636" w:rsidP="008F5636">
            <w:pPr>
              <w:pStyle w:val="Normal4"/>
              <w:spacing w:before="0" w:beforeAutospacing="0" w:after="0" w:afterAutospacing="0"/>
              <w:jc w:val="both"/>
              <w:rPr>
                <w:sz w:val="20"/>
                <w:szCs w:val="20"/>
                <w:shd w:val="clear" w:color="auto" w:fill="FFFFFF"/>
              </w:rPr>
            </w:pPr>
            <w:r w:rsidRPr="007820EC">
              <w:rPr>
                <w:rStyle w:val="sub"/>
                <w:sz w:val="20"/>
                <w:szCs w:val="20"/>
                <w:vertAlign w:val="subscript"/>
              </w:rPr>
              <w:t>-</w:t>
            </w:r>
            <w:r w:rsidRPr="007820EC">
              <w:rPr>
                <w:sz w:val="20"/>
                <w:szCs w:val="20"/>
                <w:shd w:val="clear" w:color="auto" w:fill="FFFFFF"/>
              </w:rPr>
              <w:t xml:space="preserve"> HFC-41 CH</w:t>
            </w:r>
            <w:r w:rsidRPr="007820EC">
              <w:rPr>
                <w:rStyle w:val="sub"/>
                <w:sz w:val="20"/>
                <w:szCs w:val="20"/>
                <w:shd w:val="clear" w:color="auto" w:fill="FFFFFF"/>
                <w:vertAlign w:val="subscript"/>
              </w:rPr>
              <w:t>3</w:t>
            </w:r>
            <w:r w:rsidRPr="007820EC">
              <w:rPr>
                <w:sz w:val="20"/>
                <w:szCs w:val="20"/>
                <w:shd w:val="clear" w:color="auto" w:fill="FFFFFF"/>
              </w:rPr>
              <w:t>F</w:t>
            </w:r>
          </w:p>
          <w:p w14:paraId="0F52410D" w14:textId="0888C47F"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shd w:val="clear" w:color="auto" w:fill="FFFFFF"/>
              </w:rPr>
              <w:t>- HFC-125 CHF</w:t>
            </w:r>
            <w:r w:rsidRPr="007820EC">
              <w:rPr>
                <w:rStyle w:val="sub"/>
                <w:sz w:val="20"/>
                <w:szCs w:val="20"/>
                <w:shd w:val="clear" w:color="auto" w:fill="FFFFFF"/>
                <w:vertAlign w:val="subscript"/>
              </w:rPr>
              <w:t>2</w:t>
            </w:r>
            <w:r w:rsidRPr="007820EC">
              <w:rPr>
                <w:sz w:val="20"/>
                <w:szCs w:val="20"/>
                <w:shd w:val="clear" w:color="auto" w:fill="FFFFFF"/>
              </w:rPr>
              <w:t>CF</w:t>
            </w:r>
            <w:r w:rsidRPr="007820EC">
              <w:rPr>
                <w:rStyle w:val="sub"/>
                <w:sz w:val="20"/>
                <w:szCs w:val="20"/>
                <w:shd w:val="clear" w:color="auto" w:fill="FFFFFF"/>
                <w:vertAlign w:val="subscript"/>
              </w:rPr>
              <w:t>3</w:t>
            </w:r>
          </w:p>
          <w:p w14:paraId="01E6E0DB" w14:textId="739C6AEE" w:rsidR="008F5636" w:rsidRPr="007820EC" w:rsidRDefault="008F5636" w:rsidP="008F5636">
            <w:pPr>
              <w:pStyle w:val="Normal4"/>
              <w:spacing w:before="0" w:beforeAutospacing="0" w:after="0" w:afterAutospacing="0"/>
              <w:jc w:val="both"/>
              <w:rPr>
                <w:rStyle w:val="sub"/>
                <w:color w:val="333333"/>
                <w:sz w:val="20"/>
                <w:szCs w:val="20"/>
                <w:shd w:val="clear" w:color="auto" w:fill="FFFFFF"/>
                <w:vertAlign w:val="subscript"/>
              </w:rPr>
            </w:pPr>
            <w:r w:rsidRPr="007820EC">
              <w:rPr>
                <w:rStyle w:val="sub"/>
                <w:sz w:val="20"/>
                <w:szCs w:val="20"/>
                <w:shd w:val="clear" w:color="auto" w:fill="FFFFFF"/>
                <w:vertAlign w:val="subscript"/>
              </w:rPr>
              <w:t>-</w:t>
            </w:r>
            <w:r w:rsidRPr="007820EC">
              <w:rPr>
                <w:color w:val="333333"/>
                <w:sz w:val="20"/>
                <w:szCs w:val="20"/>
                <w:shd w:val="clear" w:color="auto" w:fill="FFFFFF"/>
              </w:rPr>
              <w:t xml:space="preserve"> HFC-134 CHF</w:t>
            </w:r>
            <w:r w:rsidRPr="007820EC">
              <w:rPr>
                <w:rStyle w:val="sub"/>
                <w:color w:val="333333"/>
                <w:sz w:val="20"/>
                <w:szCs w:val="20"/>
                <w:shd w:val="clear" w:color="auto" w:fill="FFFFFF"/>
                <w:vertAlign w:val="subscript"/>
              </w:rPr>
              <w:t>2</w:t>
            </w:r>
            <w:r w:rsidRPr="007820EC">
              <w:rPr>
                <w:color w:val="333333"/>
                <w:sz w:val="20"/>
                <w:szCs w:val="20"/>
                <w:shd w:val="clear" w:color="auto" w:fill="FFFFFF"/>
              </w:rPr>
              <w:t>CHF</w:t>
            </w:r>
            <w:r w:rsidRPr="007820EC">
              <w:rPr>
                <w:rStyle w:val="sub"/>
                <w:color w:val="333333"/>
                <w:sz w:val="20"/>
                <w:szCs w:val="20"/>
                <w:shd w:val="clear" w:color="auto" w:fill="FFFFFF"/>
                <w:vertAlign w:val="subscript"/>
              </w:rPr>
              <w:t>2</w:t>
            </w:r>
          </w:p>
          <w:p w14:paraId="52BF191B" w14:textId="536697E4" w:rsidR="008F5636" w:rsidRPr="007820EC" w:rsidRDefault="008F5636" w:rsidP="008F5636">
            <w:pPr>
              <w:pStyle w:val="Normal4"/>
              <w:spacing w:before="0" w:beforeAutospacing="0" w:after="0" w:afterAutospacing="0"/>
              <w:jc w:val="both"/>
              <w:rPr>
                <w:rStyle w:val="sub"/>
                <w:color w:val="333333"/>
                <w:sz w:val="20"/>
                <w:szCs w:val="20"/>
                <w:shd w:val="clear" w:color="auto" w:fill="FFFFFF"/>
                <w:vertAlign w:val="subscript"/>
              </w:rPr>
            </w:pPr>
            <w:r w:rsidRPr="007820EC">
              <w:rPr>
                <w:rStyle w:val="sub"/>
                <w:color w:val="333333"/>
                <w:sz w:val="20"/>
                <w:szCs w:val="20"/>
                <w:shd w:val="clear" w:color="auto" w:fill="FFFFFF"/>
                <w:vertAlign w:val="subscript"/>
              </w:rPr>
              <w:t>-</w:t>
            </w:r>
            <w:r w:rsidRPr="007820EC">
              <w:rPr>
                <w:color w:val="333333"/>
                <w:sz w:val="20"/>
                <w:szCs w:val="20"/>
                <w:shd w:val="clear" w:color="auto" w:fill="FFFFFF"/>
              </w:rPr>
              <w:t xml:space="preserve"> HFC-134a CH</w:t>
            </w:r>
            <w:r w:rsidRPr="007820EC">
              <w:rPr>
                <w:rStyle w:val="sub"/>
                <w:color w:val="333333"/>
                <w:sz w:val="20"/>
                <w:szCs w:val="20"/>
                <w:shd w:val="clear" w:color="auto" w:fill="FFFFFF"/>
                <w:vertAlign w:val="subscript"/>
              </w:rPr>
              <w:t>2</w:t>
            </w:r>
            <w:r w:rsidRPr="007820EC">
              <w:rPr>
                <w:color w:val="333333"/>
                <w:sz w:val="20"/>
                <w:szCs w:val="20"/>
                <w:shd w:val="clear" w:color="auto" w:fill="FFFFFF"/>
              </w:rPr>
              <w:t>FCF</w:t>
            </w:r>
            <w:r w:rsidRPr="007820EC">
              <w:rPr>
                <w:rStyle w:val="sub"/>
                <w:color w:val="333333"/>
                <w:sz w:val="20"/>
                <w:szCs w:val="20"/>
                <w:shd w:val="clear" w:color="auto" w:fill="FFFFFF"/>
                <w:vertAlign w:val="subscript"/>
              </w:rPr>
              <w:t>3</w:t>
            </w:r>
          </w:p>
          <w:p w14:paraId="21DDE3CA" w14:textId="0437E053"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shd w:val="clear" w:color="auto" w:fill="FFFFFF"/>
              </w:rPr>
              <w:t>-HFC-143 CH</w:t>
            </w:r>
            <w:r w:rsidRPr="007820EC">
              <w:rPr>
                <w:rStyle w:val="sub"/>
                <w:sz w:val="20"/>
                <w:szCs w:val="20"/>
                <w:shd w:val="clear" w:color="auto" w:fill="FFFFFF"/>
                <w:vertAlign w:val="subscript"/>
              </w:rPr>
              <w:t>2</w:t>
            </w:r>
            <w:r w:rsidRPr="007820EC">
              <w:rPr>
                <w:sz w:val="20"/>
                <w:szCs w:val="20"/>
                <w:shd w:val="clear" w:color="auto" w:fill="FFFFFF"/>
              </w:rPr>
              <w:t>FCHF</w:t>
            </w:r>
            <w:r w:rsidRPr="007820EC">
              <w:rPr>
                <w:rStyle w:val="sub"/>
                <w:sz w:val="20"/>
                <w:szCs w:val="20"/>
                <w:shd w:val="clear" w:color="auto" w:fill="FFFFFF"/>
                <w:vertAlign w:val="subscript"/>
              </w:rPr>
              <w:t>2</w:t>
            </w:r>
          </w:p>
          <w:p w14:paraId="6EA58E1E" w14:textId="66733D48"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HFC-143a CH</w:t>
            </w:r>
            <w:r w:rsidRPr="007820EC">
              <w:rPr>
                <w:rStyle w:val="sub"/>
                <w:sz w:val="20"/>
                <w:szCs w:val="20"/>
                <w:shd w:val="clear" w:color="auto" w:fill="FFFFFF"/>
                <w:vertAlign w:val="subscript"/>
              </w:rPr>
              <w:t>3</w:t>
            </w:r>
            <w:r w:rsidRPr="007820EC">
              <w:rPr>
                <w:sz w:val="20"/>
                <w:szCs w:val="20"/>
                <w:shd w:val="clear" w:color="auto" w:fill="FFFFFF"/>
              </w:rPr>
              <w:t>CF</w:t>
            </w:r>
            <w:r w:rsidRPr="007820EC">
              <w:rPr>
                <w:rStyle w:val="sub"/>
                <w:sz w:val="20"/>
                <w:szCs w:val="20"/>
                <w:shd w:val="clear" w:color="auto" w:fill="FFFFFF"/>
                <w:vertAlign w:val="subscript"/>
              </w:rPr>
              <w:t>3</w:t>
            </w:r>
          </w:p>
          <w:p w14:paraId="6E02E3C5" w14:textId="7D6A5FD7" w:rsidR="008F5636" w:rsidRPr="007820EC" w:rsidRDefault="008F5636" w:rsidP="008F5636">
            <w:pPr>
              <w:pStyle w:val="Normal4"/>
              <w:spacing w:before="0" w:beforeAutospacing="0" w:after="0" w:afterAutospacing="0"/>
              <w:jc w:val="both"/>
              <w:rPr>
                <w:sz w:val="20"/>
                <w:szCs w:val="20"/>
                <w:shd w:val="clear" w:color="auto" w:fill="FFFFFF"/>
              </w:rPr>
            </w:pPr>
            <w:r w:rsidRPr="007820EC">
              <w:rPr>
                <w:sz w:val="20"/>
                <w:szCs w:val="20"/>
                <w:shd w:val="clear" w:color="auto" w:fill="FFFFFF"/>
              </w:rPr>
              <w:t>-HFC-152 CH</w:t>
            </w:r>
            <w:r w:rsidRPr="007820EC">
              <w:rPr>
                <w:rStyle w:val="sub"/>
                <w:sz w:val="20"/>
                <w:szCs w:val="20"/>
                <w:shd w:val="clear" w:color="auto" w:fill="FFFFFF"/>
                <w:vertAlign w:val="subscript"/>
              </w:rPr>
              <w:t>2</w:t>
            </w:r>
            <w:r w:rsidRPr="007820EC">
              <w:rPr>
                <w:sz w:val="20"/>
                <w:szCs w:val="20"/>
                <w:shd w:val="clear" w:color="auto" w:fill="FFFFFF"/>
              </w:rPr>
              <w:t>FCH</w:t>
            </w:r>
            <w:r w:rsidRPr="007820EC">
              <w:rPr>
                <w:rStyle w:val="sub"/>
                <w:sz w:val="20"/>
                <w:szCs w:val="20"/>
                <w:shd w:val="clear" w:color="auto" w:fill="FFFFFF"/>
                <w:vertAlign w:val="subscript"/>
              </w:rPr>
              <w:t>2</w:t>
            </w:r>
            <w:r w:rsidRPr="007820EC">
              <w:rPr>
                <w:sz w:val="20"/>
                <w:szCs w:val="20"/>
                <w:shd w:val="clear" w:color="auto" w:fill="FFFFFF"/>
              </w:rPr>
              <w:t>F</w:t>
            </w:r>
          </w:p>
          <w:p w14:paraId="74EBB60F" w14:textId="28D50B6B"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shd w:val="clear" w:color="auto" w:fill="FFFFFF"/>
              </w:rPr>
              <w:lastRenderedPageBreak/>
              <w:t>- HFC-152a CH</w:t>
            </w:r>
            <w:r w:rsidRPr="007820EC">
              <w:rPr>
                <w:rStyle w:val="sub"/>
                <w:sz w:val="20"/>
                <w:szCs w:val="20"/>
                <w:shd w:val="clear" w:color="auto" w:fill="FFFFFF"/>
                <w:vertAlign w:val="subscript"/>
              </w:rPr>
              <w:t>3</w:t>
            </w:r>
            <w:r w:rsidRPr="007820EC">
              <w:rPr>
                <w:sz w:val="20"/>
                <w:szCs w:val="20"/>
                <w:shd w:val="clear" w:color="auto" w:fill="FFFFFF"/>
              </w:rPr>
              <w:t>CHF</w:t>
            </w:r>
            <w:r w:rsidRPr="007820EC">
              <w:rPr>
                <w:rStyle w:val="sub"/>
                <w:sz w:val="20"/>
                <w:szCs w:val="20"/>
                <w:shd w:val="clear" w:color="auto" w:fill="FFFFFF"/>
                <w:vertAlign w:val="subscript"/>
              </w:rPr>
              <w:t>2</w:t>
            </w:r>
          </w:p>
          <w:p w14:paraId="4B2F913F" w14:textId="5D237865" w:rsidR="008F5636" w:rsidRPr="007820EC" w:rsidRDefault="008F5636" w:rsidP="008F5636">
            <w:pPr>
              <w:pStyle w:val="Normal4"/>
              <w:spacing w:before="0" w:beforeAutospacing="0" w:after="0" w:afterAutospacing="0"/>
              <w:jc w:val="both"/>
              <w:rPr>
                <w:sz w:val="20"/>
                <w:szCs w:val="20"/>
              </w:rPr>
            </w:pPr>
            <w:r w:rsidRPr="007820EC">
              <w:rPr>
                <w:sz w:val="20"/>
                <w:szCs w:val="20"/>
              </w:rPr>
              <w:t>-HFC-161 CH</w:t>
            </w:r>
            <w:r w:rsidRPr="007820EC">
              <w:rPr>
                <w:rStyle w:val="sub"/>
                <w:sz w:val="20"/>
                <w:szCs w:val="20"/>
                <w:vertAlign w:val="subscript"/>
              </w:rPr>
              <w:t>3</w:t>
            </w:r>
            <w:r w:rsidRPr="007820EC">
              <w:rPr>
                <w:sz w:val="20"/>
                <w:szCs w:val="20"/>
              </w:rPr>
              <w:t>CH</w:t>
            </w:r>
            <w:r w:rsidRPr="007820EC">
              <w:rPr>
                <w:rStyle w:val="sub"/>
                <w:sz w:val="20"/>
                <w:szCs w:val="20"/>
                <w:vertAlign w:val="subscript"/>
              </w:rPr>
              <w:t>2</w:t>
            </w:r>
            <w:r w:rsidRPr="007820EC">
              <w:rPr>
                <w:sz w:val="20"/>
                <w:szCs w:val="20"/>
              </w:rPr>
              <w:t>F</w:t>
            </w:r>
          </w:p>
          <w:p w14:paraId="34CEB08E" w14:textId="210A4323"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rPr>
              <w:t>-</w:t>
            </w:r>
            <w:r w:rsidRPr="007820EC">
              <w:rPr>
                <w:sz w:val="20"/>
                <w:szCs w:val="20"/>
                <w:shd w:val="clear" w:color="auto" w:fill="FFFFFF"/>
              </w:rPr>
              <w:t xml:space="preserve"> HFC-227ea CF</w:t>
            </w:r>
            <w:r w:rsidRPr="007820EC">
              <w:rPr>
                <w:rStyle w:val="sub"/>
                <w:sz w:val="20"/>
                <w:szCs w:val="20"/>
                <w:shd w:val="clear" w:color="auto" w:fill="FFFFFF"/>
                <w:vertAlign w:val="subscript"/>
              </w:rPr>
              <w:t>3</w:t>
            </w:r>
            <w:r w:rsidRPr="007820EC">
              <w:rPr>
                <w:sz w:val="20"/>
                <w:szCs w:val="20"/>
                <w:shd w:val="clear" w:color="auto" w:fill="FFFFFF"/>
              </w:rPr>
              <w:t>CHFCF</w:t>
            </w:r>
            <w:r w:rsidRPr="007820EC">
              <w:rPr>
                <w:rStyle w:val="sub"/>
                <w:sz w:val="20"/>
                <w:szCs w:val="20"/>
                <w:shd w:val="clear" w:color="auto" w:fill="FFFFFF"/>
                <w:vertAlign w:val="subscript"/>
              </w:rPr>
              <w:t>3</w:t>
            </w:r>
          </w:p>
          <w:p w14:paraId="21BE5A5A" w14:textId="02B26675" w:rsidR="008F5636" w:rsidRPr="007820EC" w:rsidRDefault="008F5636" w:rsidP="008F5636">
            <w:pPr>
              <w:pStyle w:val="Normal4"/>
              <w:spacing w:before="0" w:beforeAutospacing="0" w:after="0" w:afterAutospacing="0"/>
              <w:jc w:val="both"/>
              <w:rPr>
                <w:sz w:val="20"/>
                <w:szCs w:val="20"/>
                <w:shd w:val="clear" w:color="auto" w:fill="FFFFFF"/>
              </w:rPr>
            </w:pPr>
            <w:r w:rsidRPr="007820EC">
              <w:rPr>
                <w:rStyle w:val="sub"/>
                <w:sz w:val="20"/>
                <w:szCs w:val="20"/>
                <w:shd w:val="clear" w:color="auto" w:fill="FFFFFF"/>
                <w:vertAlign w:val="subscript"/>
              </w:rPr>
              <w:t>-</w:t>
            </w:r>
            <w:r w:rsidRPr="007820EC">
              <w:rPr>
                <w:sz w:val="20"/>
                <w:szCs w:val="20"/>
                <w:shd w:val="clear" w:color="auto" w:fill="FFFFFF"/>
              </w:rPr>
              <w:t xml:space="preserve"> HFC-236cb CF</w:t>
            </w:r>
            <w:r w:rsidRPr="007820EC">
              <w:rPr>
                <w:rStyle w:val="sub"/>
                <w:sz w:val="20"/>
                <w:szCs w:val="20"/>
                <w:shd w:val="clear" w:color="auto" w:fill="FFFFFF"/>
                <w:vertAlign w:val="subscript"/>
              </w:rPr>
              <w:t>3</w:t>
            </w:r>
            <w:r w:rsidRPr="007820EC">
              <w:rPr>
                <w:sz w:val="20"/>
                <w:szCs w:val="20"/>
                <w:shd w:val="clear" w:color="auto" w:fill="FFFFFF"/>
              </w:rPr>
              <w:t>CF</w:t>
            </w:r>
            <w:r w:rsidRPr="007820EC">
              <w:rPr>
                <w:rStyle w:val="sub"/>
                <w:sz w:val="20"/>
                <w:szCs w:val="20"/>
                <w:shd w:val="clear" w:color="auto" w:fill="FFFFFF"/>
                <w:vertAlign w:val="subscript"/>
              </w:rPr>
              <w:t>2</w:t>
            </w:r>
            <w:r w:rsidRPr="007820EC">
              <w:rPr>
                <w:sz w:val="20"/>
                <w:szCs w:val="20"/>
                <w:shd w:val="clear" w:color="auto" w:fill="FFFFFF"/>
              </w:rPr>
              <w:t>CH</w:t>
            </w:r>
            <w:r w:rsidRPr="007820EC">
              <w:rPr>
                <w:rStyle w:val="sub"/>
                <w:sz w:val="20"/>
                <w:szCs w:val="20"/>
                <w:shd w:val="clear" w:color="auto" w:fill="FFFFFF"/>
                <w:vertAlign w:val="subscript"/>
              </w:rPr>
              <w:t>2</w:t>
            </w:r>
            <w:r w:rsidRPr="007820EC">
              <w:rPr>
                <w:sz w:val="20"/>
                <w:szCs w:val="20"/>
                <w:shd w:val="clear" w:color="auto" w:fill="FFFFFF"/>
              </w:rPr>
              <w:t>F</w:t>
            </w:r>
          </w:p>
          <w:p w14:paraId="11114F74" w14:textId="6337C91D"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shd w:val="clear" w:color="auto" w:fill="FFFFFF"/>
              </w:rPr>
              <w:t>- HFC-236ea CF</w:t>
            </w:r>
            <w:r w:rsidRPr="007820EC">
              <w:rPr>
                <w:rStyle w:val="sub"/>
                <w:sz w:val="20"/>
                <w:szCs w:val="20"/>
                <w:shd w:val="clear" w:color="auto" w:fill="FFFFFF"/>
                <w:vertAlign w:val="subscript"/>
              </w:rPr>
              <w:t>3</w:t>
            </w:r>
            <w:r w:rsidRPr="007820EC">
              <w:rPr>
                <w:sz w:val="20"/>
                <w:szCs w:val="20"/>
                <w:shd w:val="clear" w:color="auto" w:fill="FFFFFF"/>
              </w:rPr>
              <w:t>CHFCHF</w:t>
            </w:r>
            <w:r w:rsidRPr="007820EC">
              <w:rPr>
                <w:rStyle w:val="sub"/>
                <w:sz w:val="20"/>
                <w:szCs w:val="20"/>
                <w:shd w:val="clear" w:color="auto" w:fill="FFFFFF"/>
                <w:vertAlign w:val="subscript"/>
              </w:rPr>
              <w:t>2</w:t>
            </w:r>
          </w:p>
          <w:p w14:paraId="6E2B4229" w14:textId="1BDA2FEE"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HFC-236fa CF</w:t>
            </w:r>
            <w:r w:rsidRPr="007820EC">
              <w:rPr>
                <w:rStyle w:val="sub"/>
                <w:sz w:val="20"/>
                <w:szCs w:val="20"/>
                <w:shd w:val="clear" w:color="auto" w:fill="FFFFFF"/>
                <w:vertAlign w:val="subscript"/>
              </w:rPr>
              <w:t>3</w:t>
            </w:r>
            <w:r w:rsidRPr="007820EC">
              <w:rPr>
                <w:sz w:val="20"/>
                <w:szCs w:val="20"/>
                <w:shd w:val="clear" w:color="auto" w:fill="FFFFFF"/>
              </w:rPr>
              <w:t>CH</w:t>
            </w:r>
            <w:r w:rsidRPr="007820EC">
              <w:rPr>
                <w:rStyle w:val="sub"/>
                <w:sz w:val="20"/>
                <w:szCs w:val="20"/>
                <w:shd w:val="clear" w:color="auto" w:fill="FFFFFF"/>
                <w:vertAlign w:val="subscript"/>
              </w:rPr>
              <w:t>2</w:t>
            </w:r>
            <w:r w:rsidRPr="007820EC">
              <w:rPr>
                <w:sz w:val="20"/>
                <w:szCs w:val="20"/>
                <w:shd w:val="clear" w:color="auto" w:fill="FFFFFF"/>
              </w:rPr>
              <w:t>CF</w:t>
            </w:r>
            <w:r w:rsidRPr="007820EC">
              <w:rPr>
                <w:rStyle w:val="sub"/>
                <w:sz w:val="20"/>
                <w:szCs w:val="20"/>
                <w:shd w:val="clear" w:color="auto" w:fill="FFFFFF"/>
                <w:vertAlign w:val="subscript"/>
              </w:rPr>
              <w:t>3</w:t>
            </w:r>
          </w:p>
          <w:p w14:paraId="1C6D86F8" w14:textId="3692DF1E"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HFC-245fa CHF</w:t>
            </w:r>
            <w:r w:rsidRPr="007820EC">
              <w:rPr>
                <w:rStyle w:val="sub"/>
                <w:sz w:val="20"/>
                <w:szCs w:val="20"/>
                <w:shd w:val="clear" w:color="auto" w:fill="FFFFFF"/>
                <w:vertAlign w:val="subscript"/>
              </w:rPr>
              <w:t>2</w:t>
            </w:r>
            <w:r w:rsidRPr="007820EC">
              <w:rPr>
                <w:sz w:val="20"/>
                <w:szCs w:val="20"/>
                <w:shd w:val="clear" w:color="auto" w:fill="FFFFFF"/>
              </w:rPr>
              <w:t>CH</w:t>
            </w:r>
            <w:r w:rsidRPr="007820EC">
              <w:rPr>
                <w:rStyle w:val="sub"/>
                <w:sz w:val="20"/>
                <w:szCs w:val="20"/>
                <w:shd w:val="clear" w:color="auto" w:fill="FFFFFF"/>
                <w:vertAlign w:val="subscript"/>
              </w:rPr>
              <w:t>2</w:t>
            </w:r>
            <w:r w:rsidRPr="007820EC">
              <w:rPr>
                <w:sz w:val="20"/>
                <w:szCs w:val="20"/>
                <w:shd w:val="clear" w:color="auto" w:fill="FFFFFF"/>
              </w:rPr>
              <w:t>CF</w:t>
            </w:r>
            <w:r w:rsidRPr="007820EC">
              <w:rPr>
                <w:rStyle w:val="sub"/>
                <w:sz w:val="20"/>
                <w:szCs w:val="20"/>
                <w:shd w:val="clear" w:color="auto" w:fill="FFFFFF"/>
                <w:vertAlign w:val="subscript"/>
              </w:rPr>
              <w:t>3</w:t>
            </w:r>
          </w:p>
          <w:p w14:paraId="3B864B07" w14:textId="54B74684"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HFC-245ca CH</w:t>
            </w:r>
            <w:r w:rsidRPr="007820EC">
              <w:rPr>
                <w:rStyle w:val="sub"/>
                <w:sz w:val="20"/>
                <w:szCs w:val="20"/>
                <w:shd w:val="clear" w:color="auto" w:fill="FFFFFF"/>
                <w:vertAlign w:val="subscript"/>
              </w:rPr>
              <w:t>2</w:t>
            </w:r>
            <w:r w:rsidRPr="007820EC">
              <w:rPr>
                <w:sz w:val="20"/>
                <w:szCs w:val="20"/>
                <w:shd w:val="clear" w:color="auto" w:fill="FFFFFF"/>
              </w:rPr>
              <w:t>FCF</w:t>
            </w:r>
            <w:r w:rsidRPr="007820EC">
              <w:rPr>
                <w:rStyle w:val="sub"/>
                <w:sz w:val="20"/>
                <w:szCs w:val="20"/>
                <w:shd w:val="clear" w:color="auto" w:fill="FFFFFF"/>
                <w:vertAlign w:val="subscript"/>
              </w:rPr>
              <w:t>2</w:t>
            </w:r>
            <w:r w:rsidRPr="007820EC">
              <w:rPr>
                <w:sz w:val="20"/>
                <w:szCs w:val="20"/>
                <w:shd w:val="clear" w:color="auto" w:fill="FFFFFF"/>
              </w:rPr>
              <w:t>CHF</w:t>
            </w:r>
            <w:r w:rsidRPr="007820EC">
              <w:rPr>
                <w:rStyle w:val="sub"/>
                <w:sz w:val="20"/>
                <w:szCs w:val="20"/>
                <w:shd w:val="clear" w:color="auto" w:fill="FFFFFF"/>
                <w:vertAlign w:val="subscript"/>
              </w:rPr>
              <w:t>2</w:t>
            </w:r>
          </w:p>
          <w:p w14:paraId="16190920" w14:textId="5DB71A7E"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HFC-365mfc CH</w:t>
            </w:r>
            <w:r w:rsidRPr="007820EC">
              <w:rPr>
                <w:rStyle w:val="sub"/>
                <w:sz w:val="20"/>
                <w:szCs w:val="20"/>
                <w:shd w:val="clear" w:color="auto" w:fill="FFFFFF"/>
                <w:vertAlign w:val="subscript"/>
              </w:rPr>
              <w:t>3</w:t>
            </w:r>
            <w:r w:rsidRPr="007820EC">
              <w:rPr>
                <w:sz w:val="20"/>
                <w:szCs w:val="20"/>
                <w:shd w:val="clear" w:color="auto" w:fill="FFFFFF"/>
              </w:rPr>
              <w:t>CF</w:t>
            </w:r>
            <w:r w:rsidRPr="007820EC">
              <w:rPr>
                <w:rStyle w:val="sub"/>
                <w:sz w:val="20"/>
                <w:szCs w:val="20"/>
                <w:shd w:val="clear" w:color="auto" w:fill="FFFFFF"/>
                <w:vertAlign w:val="subscript"/>
              </w:rPr>
              <w:t>2</w:t>
            </w:r>
            <w:r w:rsidRPr="007820EC">
              <w:rPr>
                <w:sz w:val="20"/>
                <w:szCs w:val="20"/>
                <w:shd w:val="clear" w:color="auto" w:fill="FFFFFF"/>
              </w:rPr>
              <w:t>CH</w:t>
            </w:r>
            <w:r w:rsidRPr="007820EC">
              <w:rPr>
                <w:rStyle w:val="sub"/>
                <w:sz w:val="20"/>
                <w:szCs w:val="20"/>
                <w:shd w:val="clear" w:color="auto" w:fill="FFFFFF"/>
                <w:vertAlign w:val="subscript"/>
              </w:rPr>
              <w:t>2</w:t>
            </w:r>
            <w:r w:rsidRPr="007820EC">
              <w:rPr>
                <w:sz w:val="20"/>
                <w:szCs w:val="20"/>
                <w:shd w:val="clear" w:color="auto" w:fill="FFFFFF"/>
              </w:rPr>
              <w:t>CF</w:t>
            </w:r>
            <w:r w:rsidRPr="007820EC">
              <w:rPr>
                <w:rStyle w:val="sub"/>
                <w:sz w:val="20"/>
                <w:szCs w:val="20"/>
                <w:shd w:val="clear" w:color="auto" w:fill="FFFFFF"/>
                <w:vertAlign w:val="subscript"/>
              </w:rPr>
              <w:t>3</w:t>
            </w:r>
          </w:p>
          <w:p w14:paraId="3B844997" w14:textId="77777777" w:rsidR="008F5636" w:rsidRPr="007820EC" w:rsidRDefault="008F5636" w:rsidP="008F5636">
            <w:pPr>
              <w:pStyle w:val="Normal4"/>
              <w:spacing w:before="0" w:beforeAutospacing="0" w:after="0" w:afterAutospacing="0"/>
              <w:jc w:val="both"/>
              <w:rPr>
                <w:sz w:val="20"/>
                <w:szCs w:val="20"/>
                <w:shd w:val="clear" w:color="auto" w:fill="FFFFFF"/>
              </w:rPr>
            </w:pPr>
            <w:r w:rsidRPr="007820EC">
              <w:rPr>
                <w:rStyle w:val="sub"/>
                <w:sz w:val="20"/>
                <w:szCs w:val="20"/>
                <w:shd w:val="clear" w:color="auto" w:fill="FFFFFF"/>
                <w:vertAlign w:val="subscript"/>
              </w:rPr>
              <w:t>-</w:t>
            </w:r>
            <w:r w:rsidRPr="007820EC">
              <w:rPr>
                <w:sz w:val="20"/>
                <w:szCs w:val="20"/>
                <w:shd w:val="clear" w:color="auto" w:fill="FFFFFF"/>
              </w:rPr>
              <w:t xml:space="preserve"> HFC-43-10mee CF</w:t>
            </w:r>
            <w:r w:rsidRPr="007820EC">
              <w:rPr>
                <w:rStyle w:val="sub"/>
                <w:sz w:val="20"/>
                <w:szCs w:val="20"/>
                <w:shd w:val="clear" w:color="auto" w:fill="FFFFFF"/>
                <w:vertAlign w:val="subscript"/>
              </w:rPr>
              <w:t>3</w:t>
            </w:r>
            <w:r w:rsidRPr="007820EC">
              <w:rPr>
                <w:sz w:val="20"/>
                <w:szCs w:val="20"/>
                <w:shd w:val="clear" w:color="auto" w:fill="FFFFFF"/>
              </w:rPr>
              <w:t>CHFCHFCF</w:t>
            </w:r>
            <w:r w:rsidRPr="007820EC">
              <w:rPr>
                <w:rStyle w:val="sub"/>
                <w:sz w:val="20"/>
                <w:szCs w:val="20"/>
                <w:shd w:val="clear" w:color="auto" w:fill="FFFFFF"/>
                <w:vertAlign w:val="subscript"/>
              </w:rPr>
              <w:t>2</w:t>
            </w:r>
            <w:r w:rsidRPr="007820EC">
              <w:rPr>
                <w:sz w:val="20"/>
                <w:szCs w:val="20"/>
                <w:shd w:val="clear" w:color="auto" w:fill="FFFFFF"/>
              </w:rPr>
              <w:t>CF</w:t>
            </w:r>
            <w:r w:rsidRPr="007820EC">
              <w:rPr>
                <w:rStyle w:val="sub"/>
                <w:sz w:val="20"/>
                <w:szCs w:val="20"/>
                <w:shd w:val="clear" w:color="auto" w:fill="FFFFFF"/>
                <w:vertAlign w:val="subscript"/>
              </w:rPr>
              <w:t>3</w:t>
            </w:r>
            <w:r w:rsidRPr="007820EC">
              <w:rPr>
                <w:sz w:val="20"/>
                <w:szCs w:val="20"/>
                <w:shd w:val="clear" w:color="auto" w:fill="FFFFFF"/>
              </w:rPr>
              <w:t> sau (C</w:t>
            </w:r>
            <w:r w:rsidRPr="007820EC">
              <w:rPr>
                <w:rStyle w:val="sub"/>
                <w:sz w:val="20"/>
                <w:szCs w:val="20"/>
                <w:shd w:val="clear" w:color="auto" w:fill="FFFFFF"/>
                <w:vertAlign w:val="subscript"/>
              </w:rPr>
              <w:t>5</w:t>
            </w:r>
            <w:r w:rsidRPr="007820EC">
              <w:rPr>
                <w:sz w:val="20"/>
                <w:szCs w:val="20"/>
                <w:shd w:val="clear" w:color="auto" w:fill="FFFFFF"/>
              </w:rPr>
              <w:t>H</w:t>
            </w:r>
            <w:r w:rsidRPr="007820EC">
              <w:rPr>
                <w:rStyle w:val="sub"/>
                <w:sz w:val="20"/>
                <w:szCs w:val="20"/>
                <w:shd w:val="clear" w:color="auto" w:fill="FFFFFF"/>
                <w:vertAlign w:val="subscript"/>
              </w:rPr>
              <w:t>2</w:t>
            </w:r>
            <w:r w:rsidRPr="007820EC">
              <w:rPr>
                <w:sz w:val="20"/>
                <w:szCs w:val="20"/>
                <w:shd w:val="clear" w:color="auto" w:fill="FFFFFF"/>
              </w:rPr>
              <w:t>F</w:t>
            </w:r>
            <w:r w:rsidRPr="007820EC">
              <w:rPr>
                <w:rStyle w:val="sub"/>
                <w:sz w:val="20"/>
                <w:szCs w:val="20"/>
                <w:shd w:val="clear" w:color="auto" w:fill="FFFFFF"/>
                <w:vertAlign w:val="subscript"/>
              </w:rPr>
              <w:t>10</w:t>
            </w:r>
            <w:r w:rsidRPr="007820EC">
              <w:rPr>
                <w:sz w:val="20"/>
                <w:szCs w:val="20"/>
                <w:shd w:val="clear" w:color="auto" w:fill="FFFFFF"/>
              </w:rPr>
              <w:t>)</w:t>
            </w:r>
          </w:p>
          <w:p w14:paraId="50278173" w14:textId="61E8D019" w:rsidR="008F5636" w:rsidRPr="007820EC" w:rsidRDefault="008F5636" w:rsidP="008F5636">
            <w:pPr>
              <w:pStyle w:val="Normal4"/>
              <w:spacing w:before="0" w:beforeAutospacing="0" w:after="0" w:afterAutospacing="0"/>
              <w:jc w:val="both"/>
              <w:rPr>
                <w:sz w:val="20"/>
                <w:szCs w:val="20"/>
                <w:shd w:val="clear" w:color="auto" w:fill="FFFFFF"/>
              </w:rPr>
            </w:pPr>
            <w:r w:rsidRPr="007820EC">
              <w:rPr>
                <w:sz w:val="20"/>
                <w:szCs w:val="20"/>
                <w:shd w:val="clear" w:color="auto" w:fill="FFFFFF"/>
              </w:rPr>
              <w:t>Perfluorocarburi (PFC-uri):</w:t>
            </w:r>
          </w:p>
          <w:p w14:paraId="1023D161" w14:textId="2A5DEDDA"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shd w:val="clear" w:color="auto" w:fill="FFFFFF"/>
              </w:rPr>
              <w:t>-PFC-14, Perfluorometan, CF</w:t>
            </w:r>
            <w:r w:rsidRPr="007820EC">
              <w:rPr>
                <w:rStyle w:val="sub"/>
                <w:sz w:val="20"/>
                <w:szCs w:val="20"/>
                <w:shd w:val="clear" w:color="auto" w:fill="FFFFFF"/>
                <w:vertAlign w:val="subscript"/>
              </w:rPr>
              <w:t>4</w:t>
            </w:r>
          </w:p>
          <w:p w14:paraId="707A8F45" w14:textId="31588EF5"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PFC-116, Perfluoroetan, C</w:t>
            </w:r>
            <w:r w:rsidRPr="007820EC">
              <w:rPr>
                <w:rStyle w:val="sub"/>
                <w:sz w:val="20"/>
                <w:szCs w:val="20"/>
                <w:shd w:val="clear" w:color="auto" w:fill="FFFFFF"/>
                <w:vertAlign w:val="subscript"/>
              </w:rPr>
              <w:t>2</w:t>
            </w:r>
            <w:r w:rsidRPr="007820EC">
              <w:rPr>
                <w:sz w:val="20"/>
                <w:szCs w:val="20"/>
                <w:shd w:val="clear" w:color="auto" w:fill="FFFFFF"/>
              </w:rPr>
              <w:t>F</w:t>
            </w:r>
            <w:r w:rsidRPr="007820EC">
              <w:rPr>
                <w:rStyle w:val="sub"/>
                <w:sz w:val="20"/>
                <w:szCs w:val="20"/>
                <w:shd w:val="clear" w:color="auto" w:fill="FFFFFF"/>
                <w:vertAlign w:val="subscript"/>
              </w:rPr>
              <w:t>6</w:t>
            </w:r>
          </w:p>
          <w:p w14:paraId="2D712040" w14:textId="7AB9EF3D"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sz w:val="20"/>
                <w:szCs w:val="20"/>
              </w:rPr>
              <w:t>-</w:t>
            </w:r>
            <w:r w:rsidRPr="007820EC">
              <w:rPr>
                <w:sz w:val="20"/>
                <w:szCs w:val="20"/>
                <w:shd w:val="clear" w:color="auto" w:fill="FFFFFF"/>
              </w:rPr>
              <w:t xml:space="preserve"> PFC-218, Perfluoropropan, C</w:t>
            </w:r>
            <w:r w:rsidRPr="007820EC">
              <w:rPr>
                <w:rStyle w:val="sub"/>
                <w:sz w:val="20"/>
                <w:szCs w:val="20"/>
                <w:shd w:val="clear" w:color="auto" w:fill="FFFFFF"/>
                <w:vertAlign w:val="subscript"/>
              </w:rPr>
              <w:t>3</w:t>
            </w:r>
            <w:r w:rsidRPr="007820EC">
              <w:rPr>
                <w:sz w:val="20"/>
                <w:szCs w:val="20"/>
                <w:shd w:val="clear" w:color="auto" w:fill="FFFFFF"/>
              </w:rPr>
              <w:t>F</w:t>
            </w:r>
            <w:r w:rsidRPr="007820EC">
              <w:rPr>
                <w:rStyle w:val="sub"/>
                <w:sz w:val="20"/>
                <w:szCs w:val="20"/>
                <w:shd w:val="clear" w:color="auto" w:fill="FFFFFF"/>
                <w:vertAlign w:val="subscript"/>
              </w:rPr>
              <w:t>8</w:t>
            </w:r>
          </w:p>
          <w:p w14:paraId="4A1BF0EB" w14:textId="71825B3A"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PFC-318, Perfluorociclobutan, c-C</w:t>
            </w:r>
            <w:r w:rsidRPr="007820EC">
              <w:rPr>
                <w:rStyle w:val="sub"/>
                <w:sz w:val="20"/>
                <w:szCs w:val="20"/>
                <w:shd w:val="clear" w:color="auto" w:fill="FFFFFF"/>
                <w:vertAlign w:val="subscript"/>
              </w:rPr>
              <w:t>4</w:t>
            </w:r>
            <w:r w:rsidRPr="007820EC">
              <w:rPr>
                <w:sz w:val="20"/>
                <w:szCs w:val="20"/>
                <w:shd w:val="clear" w:color="auto" w:fill="FFFFFF"/>
              </w:rPr>
              <w:t>F</w:t>
            </w:r>
            <w:r w:rsidRPr="007820EC">
              <w:rPr>
                <w:rStyle w:val="sub"/>
                <w:sz w:val="20"/>
                <w:szCs w:val="20"/>
                <w:shd w:val="clear" w:color="auto" w:fill="FFFFFF"/>
                <w:vertAlign w:val="subscript"/>
              </w:rPr>
              <w:t>8</w:t>
            </w:r>
          </w:p>
          <w:p w14:paraId="30F2B6FC" w14:textId="297F7655"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Perfluorociclopropan c-C</w:t>
            </w:r>
            <w:r w:rsidRPr="007820EC">
              <w:rPr>
                <w:rStyle w:val="sub"/>
                <w:sz w:val="20"/>
                <w:szCs w:val="20"/>
                <w:shd w:val="clear" w:color="auto" w:fill="FFFFFF"/>
                <w:vertAlign w:val="subscript"/>
              </w:rPr>
              <w:t>3</w:t>
            </w:r>
            <w:r w:rsidRPr="007820EC">
              <w:rPr>
                <w:sz w:val="20"/>
                <w:szCs w:val="20"/>
                <w:shd w:val="clear" w:color="auto" w:fill="FFFFFF"/>
              </w:rPr>
              <w:t>F</w:t>
            </w:r>
            <w:r w:rsidRPr="007820EC">
              <w:rPr>
                <w:rStyle w:val="sub"/>
                <w:sz w:val="20"/>
                <w:szCs w:val="20"/>
                <w:shd w:val="clear" w:color="auto" w:fill="FFFFFF"/>
                <w:vertAlign w:val="subscript"/>
              </w:rPr>
              <w:t>6</w:t>
            </w:r>
          </w:p>
          <w:p w14:paraId="19EB6463" w14:textId="7F994E88"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PFC-3-1-10, Perfluorobutan, C</w:t>
            </w:r>
            <w:r w:rsidRPr="007820EC">
              <w:rPr>
                <w:rStyle w:val="sub"/>
                <w:sz w:val="20"/>
                <w:szCs w:val="20"/>
                <w:shd w:val="clear" w:color="auto" w:fill="FFFFFF"/>
                <w:vertAlign w:val="subscript"/>
              </w:rPr>
              <w:t>4</w:t>
            </w:r>
            <w:r w:rsidRPr="007820EC">
              <w:rPr>
                <w:sz w:val="20"/>
                <w:szCs w:val="20"/>
                <w:shd w:val="clear" w:color="auto" w:fill="FFFFFF"/>
              </w:rPr>
              <w:t>F</w:t>
            </w:r>
            <w:r w:rsidRPr="007820EC">
              <w:rPr>
                <w:rStyle w:val="sub"/>
                <w:sz w:val="20"/>
                <w:szCs w:val="20"/>
                <w:shd w:val="clear" w:color="auto" w:fill="FFFFFF"/>
                <w:vertAlign w:val="subscript"/>
              </w:rPr>
              <w:t>10</w:t>
            </w:r>
          </w:p>
          <w:p w14:paraId="3766B5D0" w14:textId="01F22F0A"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PFC-4-1-12, Perfluoropentan, C</w:t>
            </w:r>
            <w:r w:rsidRPr="007820EC">
              <w:rPr>
                <w:rStyle w:val="sub"/>
                <w:sz w:val="20"/>
                <w:szCs w:val="20"/>
                <w:shd w:val="clear" w:color="auto" w:fill="FFFFFF"/>
                <w:vertAlign w:val="subscript"/>
              </w:rPr>
              <w:t>5</w:t>
            </w:r>
            <w:r w:rsidRPr="007820EC">
              <w:rPr>
                <w:sz w:val="20"/>
                <w:szCs w:val="20"/>
                <w:shd w:val="clear" w:color="auto" w:fill="FFFFFF"/>
              </w:rPr>
              <w:t>F</w:t>
            </w:r>
            <w:r w:rsidRPr="007820EC">
              <w:rPr>
                <w:rStyle w:val="sub"/>
                <w:sz w:val="20"/>
                <w:szCs w:val="20"/>
                <w:shd w:val="clear" w:color="auto" w:fill="FFFFFF"/>
                <w:vertAlign w:val="subscript"/>
              </w:rPr>
              <w:t>12</w:t>
            </w:r>
          </w:p>
          <w:p w14:paraId="43034DE7" w14:textId="3DE6C3FF" w:rsidR="008F5636" w:rsidRPr="007820EC" w:rsidRDefault="008F5636" w:rsidP="008F5636">
            <w:pPr>
              <w:pStyle w:val="Normal4"/>
              <w:spacing w:before="0" w:beforeAutospacing="0" w:after="0" w:afterAutospacing="0"/>
              <w:jc w:val="both"/>
              <w:rPr>
                <w:rStyle w:val="sub"/>
                <w:sz w:val="20"/>
                <w:szCs w:val="20"/>
                <w:shd w:val="clear" w:color="auto" w:fill="FFFFFF"/>
                <w:vertAlign w:val="subscript"/>
              </w:rPr>
            </w:pPr>
            <w:r w:rsidRPr="007820EC">
              <w:rPr>
                <w:rStyle w:val="sub"/>
                <w:sz w:val="20"/>
                <w:szCs w:val="20"/>
                <w:shd w:val="clear" w:color="auto" w:fill="FFFFFF"/>
                <w:vertAlign w:val="subscript"/>
              </w:rPr>
              <w:t>--</w:t>
            </w:r>
            <w:r w:rsidRPr="007820EC">
              <w:rPr>
                <w:sz w:val="20"/>
                <w:szCs w:val="20"/>
                <w:shd w:val="clear" w:color="auto" w:fill="FFFFFF"/>
              </w:rPr>
              <w:t xml:space="preserve"> PFC-5-1-14, Perfluorohexan, C</w:t>
            </w:r>
            <w:r w:rsidRPr="007820EC">
              <w:rPr>
                <w:rStyle w:val="sub"/>
                <w:sz w:val="20"/>
                <w:szCs w:val="20"/>
                <w:shd w:val="clear" w:color="auto" w:fill="FFFFFF"/>
                <w:vertAlign w:val="subscript"/>
              </w:rPr>
              <w:t>6</w:t>
            </w:r>
            <w:r w:rsidRPr="007820EC">
              <w:rPr>
                <w:sz w:val="20"/>
                <w:szCs w:val="20"/>
                <w:shd w:val="clear" w:color="auto" w:fill="FFFFFF"/>
              </w:rPr>
              <w:t>F</w:t>
            </w:r>
            <w:r w:rsidRPr="007820EC">
              <w:rPr>
                <w:rStyle w:val="sub"/>
                <w:sz w:val="20"/>
                <w:szCs w:val="20"/>
                <w:shd w:val="clear" w:color="auto" w:fill="FFFFFF"/>
                <w:vertAlign w:val="subscript"/>
              </w:rPr>
              <w:t>14</w:t>
            </w:r>
          </w:p>
          <w:p w14:paraId="58F9EA79" w14:textId="077F607A" w:rsidR="008F5636" w:rsidRPr="007820EC" w:rsidRDefault="008F5636" w:rsidP="008F5636">
            <w:pPr>
              <w:pStyle w:val="Normal4"/>
              <w:spacing w:before="0" w:beforeAutospacing="0" w:after="0" w:afterAutospacing="0"/>
              <w:jc w:val="both"/>
              <w:rPr>
                <w:sz w:val="20"/>
                <w:szCs w:val="20"/>
              </w:rPr>
            </w:pPr>
            <w:r w:rsidRPr="007820EC">
              <w:rPr>
                <w:rStyle w:val="sub"/>
                <w:sz w:val="20"/>
                <w:szCs w:val="20"/>
                <w:shd w:val="clear" w:color="auto" w:fill="FFFFFF"/>
                <w:vertAlign w:val="subscript"/>
              </w:rPr>
              <w:t>-</w:t>
            </w:r>
            <w:r w:rsidRPr="007820EC">
              <w:rPr>
                <w:sz w:val="20"/>
                <w:szCs w:val="20"/>
                <w:shd w:val="clear" w:color="auto" w:fill="FFFFFF"/>
              </w:rPr>
              <w:t xml:space="preserve"> PFC-9-1-18, C</w:t>
            </w:r>
            <w:r w:rsidRPr="007820EC">
              <w:rPr>
                <w:rStyle w:val="sub"/>
                <w:sz w:val="20"/>
                <w:szCs w:val="20"/>
                <w:shd w:val="clear" w:color="auto" w:fill="FFFFFF"/>
                <w:vertAlign w:val="subscript"/>
              </w:rPr>
              <w:t>10</w:t>
            </w:r>
            <w:r w:rsidRPr="007820EC">
              <w:rPr>
                <w:sz w:val="20"/>
                <w:szCs w:val="20"/>
                <w:shd w:val="clear" w:color="auto" w:fill="FFFFFF"/>
              </w:rPr>
              <w:t>F</w:t>
            </w:r>
            <w:r w:rsidRPr="007820EC">
              <w:rPr>
                <w:rStyle w:val="sub"/>
                <w:sz w:val="20"/>
                <w:szCs w:val="20"/>
                <w:shd w:val="clear" w:color="auto" w:fill="FFFFFF"/>
                <w:vertAlign w:val="subscript"/>
              </w:rPr>
              <w:t>18</w:t>
            </w:r>
          </w:p>
          <w:p w14:paraId="0B7DF6CC" w14:textId="124C854E" w:rsidR="00DA5A25" w:rsidRPr="00DA5A25" w:rsidRDefault="00000000" w:rsidP="008F5636">
            <w:pPr>
              <w:pStyle w:val="ti-grseq-1"/>
              <w:shd w:val="clear" w:color="auto" w:fill="FFFFFF"/>
              <w:spacing w:before="0" w:beforeAutospacing="0" w:after="0" w:afterAutospacing="0"/>
              <w:jc w:val="both"/>
              <w:rPr>
                <w:rStyle w:val="bold"/>
                <w:b/>
                <w:bCs/>
                <w:color w:val="333333"/>
                <w:sz w:val="20"/>
                <w:szCs w:val="20"/>
                <w:lang w:val="ro-MD"/>
              </w:rPr>
            </w:pPr>
            <w:hyperlink r:id="rId119" w:tooltip="32023R0839: REPLACED" w:history="1">
              <w:r w:rsidR="00DA5A25" w:rsidRPr="00DA5A25">
                <w:rPr>
                  <w:rStyle w:val="af6"/>
                  <w:rFonts w:eastAsia="Arial Unicode MS"/>
                  <w:b/>
                  <w:bCs/>
                  <w:color w:val="23527C"/>
                  <w:sz w:val="20"/>
                  <w:szCs w:val="20"/>
                  <w:shd w:val="clear" w:color="auto" w:fill="FFFFFF"/>
                  <w:lang w:val="ro-MD"/>
                </w:rPr>
                <w:t>▼M3</w:t>
              </w:r>
            </w:hyperlink>
          </w:p>
          <w:p w14:paraId="4B12F7C8" w14:textId="750993F4" w:rsidR="008F5636" w:rsidRPr="007820EC" w:rsidRDefault="008F5636" w:rsidP="008F5636">
            <w:pPr>
              <w:pStyle w:val="ti-grseq-1"/>
              <w:shd w:val="clear" w:color="auto" w:fill="FFFFFF"/>
              <w:spacing w:before="0" w:beforeAutospacing="0" w:after="0" w:afterAutospacing="0"/>
              <w:jc w:val="both"/>
              <w:rPr>
                <w:b/>
                <w:bCs/>
                <w:color w:val="333333"/>
                <w:sz w:val="20"/>
                <w:szCs w:val="20"/>
                <w:lang w:val="ro-MD"/>
              </w:rPr>
            </w:pPr>
            <w:r w:rsidRPr="007820EC">
              <w:rPr>
                <w:rStyle w:val="bold"/>
                <w:b/>
                <w:bCs/>
                <w:color w:val="333333"/>
                <w:sz w:val="20"/>
                <w:szCs w:val="20"/>
                <w:lang w:val="ro-MD"/>
              </w:rPr>
              <w:t>Partea 3</w:t>
            </w:r>
          </w:p>
          <w:p w14:paraId="31B8893A" w14:textId="200014F9" w:rsidR="008F5636" w:rsidRPr="007820EC" w:rsidRDefault="008F5636" w:rsidP="008F5636">
            <w:pPr>
              <w:pStyle w:val="ti-grseq-1"/>
              <w:shd w:val="clear" w:color="auto" w:fill="FFFFFF"/>
              <w:spacing w:before="0" w:beforeAutospacing="0" w:after="0" w:afterAutospacing="0"/>
              <w:jc w:val="both"/>
              <w:rPr>
                <w:b/>
                <w:bCs/>
                <w:color w:val="333333"/>
                <w:sz w:val="20"/>
                <w:szCs w:val="20"/>
                <w:lang w:val="ro-MD"/>
              </w:rPr>
            </w:pPr>
            <w:r w:rsidRPr="007820EC">
              <w:rPr>
                <w:rStyle w:val="bold"/>
                <w:b/>
                <w:bCs/>
                <w:color w:val="333333"/>
                <w:sz w:val="20"/>
                <w:szCs w:val="20"/>
                <w:lang w:val="ro-MD"/>
              </w:rPr>
              <w:t>Metodologii pentru monitorizarea și raportarea în sectorul LULUCF</w:t>
            </w:r>
          </w:p>
          <w:p w14:paraId="086436AA" w14:textId="75674C26" w:rsidR="00DA5A25" w:rsidRPr="00DA5A25" w:rsidRDefault="00DA5A25" w:rsidP="008F5636">
            <w:pPr>
              <w:pStyle w:val="ti-grseq-1"/>
              <w:shd w:val="clear" w:color="auto" w:fill="FFFFFF"/>
              <w:spacing w:before="0" w:beforeAutospacing="0" w:after="0" w:afterAutospacing="0"/>
              <w:jc w:val="both"/>
              <w:rPr>
                <w:sz w:val="20"/>
                <w:szCs w:val="20"/>
                <w:lang w:val="ro-MD"/>
              </w:rPr>
            </w:pPr>
            <w:r w:rsidRPr="00DA5A25">
              <w:rPr>
                <w:rFonts w:eastAsia="Arial Unicode MS"/>
                <w:color w:val="333333"/>
                <w:sz w:val="20"/>
                <w:szCs w:val="20"/>
                <w:shd w:val="clear" w:color="auto" w:fill="FFFFFF"/>
                <w:lang w:val="ro-MD"/>
              </w:rPr>
              <w:t>Pentru monitorizarea și raportarea în sectorul LULUCF, statele membre utilizează date explicite la nivel geografic privind transformarea destinației terenurilor în conformitate cu orientările IPCC din 2006 pentru inventarele naționale ale GES. Comisia oferă sprijin și asistență adecvate statelor membre pentru a asigura coerența și transparența datelor colectate. Statele membre sunt încurajate să exploreze sinergiile și oportunitățile de consolidare a raportării cu alte domenii de politică relevante și să depună eforturi pentru a realiza inventare ale gazelor cu efect de seră care să permită interoperabilitatea cu bazele de date electronice și cu sistemele de informații geografice relevante, inclusiv:</w:t>
            </w:r>
          </w:p>
          <w:p w14:paraId="01B8313F" w14:textId="63E9D727" w:rsidR="00DA5A25" w:rsidRPr="00DA5A25" w:rsidRDefault="00DA5A25" w:rsidP="00DA5A25">
            <w:pPr>
              <w:pStyle w:val="ti-grseq-1"/>
              <w:numPr>
                <w:ilvl w:val="0"/>
                <w:numId w:val="251"/>
              </w:numPr>
              <w:shd w:val="clear" w:color="auto" w:fill="FFFFFF"/>
              <w:spacing w:before="0" w:beforeAutospacing="0" w:after="0" w:afterAutospacing="0"/>
              <w:jc w:val="both"/>
              <w:rPr>
                <w:sz w:val="20"/>
                <w:szCs w:val="20"/>
                <w:lang w:val="ro-MD"/>
              </w:rPr>
            </w:pPr>
            <w:r w:rsidRPr="00DA5A25">
              <w:rPr>
                <w:rFonts w:eastAsia="Arial Unicode MS"/>
                <w:sz w:val="20"/>
                <w:szCs w:val="20"/>
                <w:shd w:val="clear" w:color="auto" w:fill="FFFFFF"/>
                <w:lang w:val="ro-MD"/>
              </w:rPr>
              <w:t>un sistem de monitorizare a unităților privind destinația terenurilor pe terenuri cu stocuri mari de carbon, astfel cum sunt definite la articolul</w:t>
            </w:r>
            <w:r>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29 alineatul</w:t>
            </w:r>
            <w:r>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(4) din Directiva (UE)</w:t>
            </w:r>
            <w:r>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2018/2001;</w:t>
            </w:r>
          </w:p>
          <w:p w14:paraId="36E35409" w14:textId="72F8995E" w:rsidR="00DA5A25" w:rsidRPr="00DA5A25" w:rsidRDefault="00DA5A25" w:rsidP="00DA5A25">
            <w:pPr>
              <w:pStyle w:val="ti-grseq-1"/>
              <w:numPr>
                <w:ilvl w:val="0"/>
                <w:numId w:val="251"/>
              </w:numPr>
              <w:shd w:val="clear" w:color="auto" w:fill="FFFFFF"/>
              <w:spacing w:before="0" w:beforeAutospacing="0" w:after="0" w:afterAutospacing="0"/>
              <w:jc w:val="both"/>
              <w:rPr>
                <w:sz w:val="20"/>
                <w:szCs w:val="20"/>
                <w:lang w:val="ro-MD"/>
              </w:rPr>
            </w:pPr>
            <w:r w:rsidRPr="00DA5A25">
              <w:rPr>
                <w:rFonts w:eastAsia="Arial Unicode MS"/>
                <w:sz w:val="20"/>
                <w:szCs w:val="20"/>
                <w:shd w:val="clear" w:color="auto" w:fill="FFFFFF"/>
                <w:lang w:val="ro-MD"/>
              </w:rPr>
              <w:t>un sistem de monitorizare a unităților privind destinația terenurilor care fac obiectul protecției, definit ca teren care se încadrează în una sau mai multe dintre următoarele categorii:</w:t>
            </w:r>
          </w:p>
          <w:p w14:paraId="2BC44840" w14:textId="08A13F3E" w:rsidR="00DA5A25" w:rsidRPr="00DA5A25" w:rsidRDefault="00DA5A25"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ro-MD"/>
              </w:rPr>
            </w:pPr>
            <w:r w:rsidRPr="00DA5A25">
              <w:rPr>
                <w:rFonts w:eastAsia="Arial Unicode MS"/>
                <w:sz w:val="20"/>
                <w:szCs w:val="20"/>
                <w:shd w:val="clear" w:color="auto" w:fill="FFFFFF"/>
                <w:lang w:val="ro-MD"/>
              </w:rPr>
              <w:t>- terenuri bogate în biodiversitate, astfel cum sunt definite la articolul 29 alineatul (3) din Directiva (UE) 2018/2001;</w:t>
            </w:r>
          </w:p>
          <w:p w14:paraId="71A5E084" w14:textId="1436BC23" w:rsidR="00DA5A25" w:rsidRPr="00DA5A25" w:rsidRDefault="00DA5A25"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ro-MD"/>
              </w:rPr>
            </w:pPr>
            <w:r w:rsidRPr="00DA5A25">
              <w:rPr>
                <w:rFonts w:eastAsia="Arial Unicode MS"/>
                <w:sz w:val="20"/>
                <w:szCs w:val="20"/>
                <w:shd w:val="clear" w:color="auto" w:fill="FFFFFF"/>
                <w:lang w:val="ro-MD"/>
              </w:rPr>
              <w:lastRenderedPageBreak/>
              <w:t>- siturile de importanță comunitară adoptate și ariile speciale de conservare desemnate în conformitate cu articolul 4 din Directiva</w:t>
            </w:r>
            <w:r>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92/43/CEE a Consiliului</w:t>
            </w:r>
            <w:r>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w:t>
            </w:r>
            <w:r>
              <w:fldChar w:fldCharType="begin"/>
            </w:r>
            <w:r>
              <w:instrText>HYPERLINK "https://eur-lex.europa.eu/legal-content/RO/TXT/?uri=CELEX:02018R1999-20230516" \l "E0036"</w:instrText>
            </w:r>
            <w:r>
              <w:fldChar w:fldCharType="separate"/>
            </w:r>
            <w:r w:rsidRPr="00DA5A25">
              <w:rPr>
                <w:rStyle w:val="superscript"/>
                <w:rFonts w:eastAsia="Arial Unicode MS"/>
                <w:sz w:val="20"/>
                <w:szCs w:val="20"/>
                <w:shd w:val="clear" w:color="auto" w:fill="FFFFFF"/>
                <w:vertAlign w:val="superscript"/>
                <w:lang w:val="ro-MD"/>
              </w:rPr>
              <w:t>33</w:t>
            </w:r>
            <w:r w:rsidRPr="00DA5A25">
              <w:rPr>
                <w:rStyle w:val="af6"/>
                <w:rFonts w:eastAsia="Arial Unicode MS"/>
                <w:color w:val="auto"/>
                <w:sz w:val="20"/>
                <w:szCs w:val="20"/>
                <w:shd w:val="clear" w:color="auto" w:fill="FFFFFF"/>
                <w:lang w:val="ro-MD"/>
              </w:rPr>
              <w:t> </w:t>
            </w:r>
            <w:r>
              <w:rPr>
                <w:rStyle w:val="af6"/>
                <w:rFonts w:eastAsia="Arial Unicode MS"/>
                <w:color w:val="auto"/>
                <w:sz w:val="20"/>
                <w:szCs w:val="20"/>
                <w:shd w:val="clear" w:color="auto" w:fill="FFFFFF"/>
                <w:lang w:val="ro-MD"/>
              </w:rPr>
              <w:fldChar w:fldCharType="end"/>
            </w:r>
            <w:r w:rsidRPr="00DA5A25">
              <w:rPr>
                <w:rFonts w:eastAsia="Arial Unicode MS"/>
                <w:sz w:val="20"/>
                <w:szCs w:val="20"/>
                <w:shd w:val="clear" w:color="auto" w:fill="FFFFFF"/>
                <w:lang w:val="ro-MD"/>
              </w:rPr>
              <w:t>) și unitățile terestre din afara celor care fac obiectul măsurilor de protecție și de conservare în temeiul articolului</w:t>
            </w:r>
            <w:r w:rsidR="00B642E6">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6 alineatele</w:t>
            </w:r>
            <w:r w:rsidR="00B642E6">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(1) și</w:t>
            </w:r>
            <w:r w:rsidR="00B642E6">
              <w:rPr>
                <w:rFonts w:eastAsia="Arial Unicode MS"/>
                <w:sz w:val="20"/>
                <w:szCs w:val="20"/>
                <w:shd w:val="clear" w:color="auto" w:fill="FFFFFF"/>
                <w:lang w:val="ro-MD"/>
              </w:rPr>
              <w:t xml:space="preserve"> </w:t>
            </w:r>
            <w:r w:rsidRPr="00DA5A25">
              <w:rPr>
                <w:rFonts w:eastAsia="Arial Unicode MS"/>
                <w:sz w:val="20"/>
                <w:szCs w:val="20"/>
                <w:shd w:val="clear" w:color="auto" w:fill="FFFFFF"/>
                <w:lang w:val="ro-MD"/>
              </w:rPr>
              <w:t>(2) din directiva respectivă în vederea îndeplinirii obiectivelor de conservare a siturilor;</w:t>
            </w:r>
          </w:p>
          <w:p w14:paraId="286E197B" w14:textId="244617F5" w:rsidR="00DA5A25" w:rsidRDefault="00DA5A25"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ro-MD"/>
              </w:rPr>
            </w:pPr>
            <w:r w:rsidRPr="00B642E6">
              <w:rPr>
                <w:rFonts w:eastAsia="Arial Unicode MS"/>
                <w:sz w:val="20"/>
                <w:szCs w:val="20"/>
                <w:shd w:val="clear" w:color="auto" w:fill="FFFFFF"/>
                <w:lang w:val="ro-MD"/>
              </w:rPr>
              <w:t>-ariile de reproducere și de odihnă ale speciilor enumerate în anexa</w:t>
            </w:r>
            <w:r w:rsidR="00B642E6" w:rsidRPr="00B642E6">
              <w:rPr>
                <w:rFonts w:eastAsia="Arial Unicode MS"/>
                <w:sz w:val="20"/>
                <w:szCs w:val="20"/>
                <w:shd w:val="clear" w:color="auto" w:fill="FFFFFF"/>
                <w:lang w:val="ro-MD"/>
              </w:rPr>
              <w:t xml:space="preserve"> </w:t>
            </w:r>
            <w:r w:rsidRPr="00B642E6">
              <w:rPr>
                <w:rFonts w:eastAsia="Arial Unicode MS"/>
                <w:sz w:val="20"/>
                <w:szCs w:val="20"/>
                <w:shd w:val="clear" w:color="auto" w:fill="FFFFFF"/>
                <w:lang w:val="ro-MD"/>
              </w:rPr>
              <w:t>IV la Directiva</w:t>
            </w:r>
            <w:r w:rsidR="00B642E6">
              <w:rPr>
                <w:rFonts w:eastAsia="Arial Unicode MS"/>
                <w:sz w:val="20"/>
                <w:szCs w:val="20"/>
                <w:shd w:val="clear" w:color="auto" w:fill="FFFFFF"/>
                <w:lang w:val="ro-MD"/>
              </w:rPr>
              <w:t xml:space="preserve"> </w:t>
            </w:r>
            <w:r w:rsidRPr="00B642E6">
              <w:rPr>
                <w:rFonts w:eastAsia="Arial Unicode MS"/>
                <w:sz w:val="20"/>
                <w:szCs w:val="20"/>
                <w:shd w:val="clear" w:color="auto" w:fill="FFFFFF"/>
                <w:lang w:val="ro-MD"/>
              </w:rPr>
              <w:t>92/43/CEE care fac obiectul măsurilor de protecție prevăzute la articolul</w:t>
            </w:r>
            <w:r w:rsidR="00B642E6">
              <w:rPr>
                <w:rFonts w:eastAsia="Arial Unicode MS"/>
                <w:sz w:val="20"/>
                <w:szCs w:val="20"/>
                <w:shd w:val="clear" w:color="auto" w:fill="FFFFFF"/>
                <w:lang w:val="ro-MD"/>
              </w:rPr>
              <w:t xml:space="preserve"> </w:t>
            </w:r>
            <w:r w:rsidRPr="00B642E6">
              <w:rPr>
                <w:rFonts w:eastAsia="Arial Unicode MS"/>
                <w:sz w:val="20"/>
                <w:szCs w:val="20"/>
                <w:shd w:val="clear" w:color="auto" w:fill="FFFFFF"/>
                <w:lang w:val="ro-MD"/>
              </w:rPr>
              <w:t>12 din directiva respectivă;</w:t>
            </w:r>
          </w:p>
          <w:p w14:paraId="37A350E5" w14:textId="717132A9"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ro-MD"/>
              </w:rPr>
              <w:t>-</w:t>
            </w: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habitatele</w:t>
            </w:r>
            <w:proofErr w:type="spellEnd"/>
            <w:r w:rsidRPr="00B642E6">
              <w:rPr>
                <w:rFonts w:eastAsia="Arial Unicode MS"/>
                <w:sz w:val="20"/>
                <w:szCs w:val="20"/>
                <w:shd w:val="clear" w:color="auto" w:fill="FFFFFF"/>
                <w:lang w:val="fr-FR"/>
              </w:rPr>
              <w:t xml:space="preserve"> naturale </w:t>
            </w:r>
            <w:proofErr w:type="spellStart"/>
            <w:r w:rsidRPr="00B642E6">
              <w:rPr>
                <w:rFonts w:eastAsia="Arial Unicode MS"/>
                <w:sz w:val="20"/>
                <w:szCs w:val="20"/>
                <w:shd w:val="clear" w:color="auto" w:fill="FFFFFF"/>
                <w:lang w:val="fr-FR"/>
              </w:rPr>
              <w:t>enumerate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 la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92/43/CEE și </w:t>
            </w:r>
            <w:proofErr w:type="spellStart"/>
            <w:r w:rsidRPr="00B642E6">
              <w:rPr>
                <w:rFonts w:eastAsia="Arial Unicode MS"/>
                <w:sz w:val="20"/>
                <w:szCs w:val="20"/>
                <w:shd w:val="clear" w:color="auto" w:fill="FFFFFF"/>
                <w:lang w:val="fr-FR"/>
              </w:rPr>
              <w:t>habitatele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enumerate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II la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92/43/CEE care se </w:t>
            </w:r>
            <w:proofErr w:type="spellStart"/>
            <w:r w:rsidRPr="00B642E6">
              <w:rPr>
                <w:rFonts w:eastAsia="Arial Unicode MS"/>
                <w:sz w:val="20"/>
                <w:szCs w:val="20"/>
                <w:shd w:val="clear" w:color="auto" w:fill="FFFFFF"/>
                <w:lang w:val="fr-FR"/>
              </w:rPr>
              <w:t>găsesc</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afara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siturilor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importanță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comunitară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ariilor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și care </w:t>
            </w:r>
            <w:proofErr w:type="spellStart"/>
            <w:r w:rsidRPr="00B642E6">
              <w:rPr>
                <w:rFonts w:eastAsia="Arial Unicode MS"/>
                <w:sz w:val="20"/>
                <w:szCs w:val="20"/>
                <w:shd w:val="clear" w:color="auto" w:fill="FFFFFF"/>
                <w:lang w:val="fr-FR"/>
              </w:rPr>
              <w:t>contribuie</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atingerea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stadiu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corespunzător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habitatelor</w:t>
            </w:r>
            <w:proofErr w:type="spellEnd"/>
            <w:r w:rsidRPr="00B642E6">
              <w:rPr>
                <w:rFonts w:eastAsia="Arial Unicode MS"/>
                <w:sz w:val="20"/>
                <w:szCs w:val="20"/>
                <w:shd w:val="clear" w:color="auto" w:fill="FFFFFF"/>
                <w:lang w:val="fr-FR"/>
              </w:rPr>
              <w:t xml:space="preserve"> și </w:t>
            </w:r>
            <w:proofErr w:type="spellStart"/>
            <w:r w:rsidRPr="00B642E6">
              <w:rPr>
                <w:rFonts w:eastAsia="Arial Unicode MS"/>
                <w:sz w:val="20"/>
                <w:szCs w:val="20"/>
                <w:shd w:val="clear" w:color="auto" w:fill="FFFFFF"/>
                <w:lang w:val="fr-FR"/>
              </w:rPr>
              <w:t>speciilor</w:t>
            </w:r>
            <w:proofErr w:type="spellEnd"/>
            <w:r w:rsidRPr="00B642E6">
              <w:rPr>
                <w:rFonts w:eastAsia="Arial Unicode MS"/>
                <w:sz w:val="20"/>
                <w:szCs w:val="20"/>
                <w:shd w:val="clear" w:color="auto" w:fill="FFFFFF"/>
                <w:lang w:val="fr-FR"/>
              </w:rPr>
              <w:t xml:space="preserve"> respective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articolului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respectivă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care pot face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preventive</w:t>
            </w:r>
            <w:proofErr w:type="spellEnd"/>
            <w:r w:rsidRPr="00B642E6">
              <w:rPr>
                <w:rFonts w:eastAsia="Arial Unicode MS"/>
                <w:sz w:val="20"/>
                <w:szCs w:val="20"/>
                <w:shd w:val="clear" w:color="auto" w:fill="FFFFFF"/>
                <w:lang w:val="fr-FR"/>
              </w:rPr>
              <w:t xml:space="preserve"> și de </w:t>
            </w:r>
            <w:proofErr w:type="spellStart"/>
            <w:r w:rsidRPr="00B642E6">
              <w:rPr>
                <w:rFonts w:eastAsia="Arial Unicode MS"/>
                <w:sz w:val="20"/>
                <w:szCs w:val="20"/>
                <w:shd w:val="clear" w:color="auto" w:fill="FFFFFF"/>
                <w:lang w:val="fr-FR"/>
              </w:rPr>
              <w:t>remediere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Directivei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2004/35/CE</w:t>
            </w:r>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w:t>
            </w:r>
            <w:hyperlink r:id="rId120" w:anchor="E0037" w:history="1">
              <w:r>
                <w:rPr>
                  <w:rStyle w:val="af6"/>
                  <w:rFonts w:eastAsia="Arial Unicode MS"/>
                  <w:color w:val="auto"/>
                  <w:sz w:val="20"/>
                  <w:szCs w:val="20"/>
                  <w:shd w:val="clear" w:color="auto" w:fill="FFFFFF"/>
                  <w:lang w:val="fr-FR"/>
                </w:rPr>
                <w:t xml:space="preserve"> </w:t>
              </w:r>
              <w:r w:rsidRPr="00B642E6">
                <w:rPr>
                  <w:rStyle w:val="superscript"/>
                  <w:rFonts w:eastAsia="Arial Unicode MS"/>
                  <w:sz w:val="20"/>
                  <w:szCs w:val="20"/>
                  <w:shd w:val="clear" w:color="auto" w:fill="FFFFFF"/>
                  <w:vertAlign w:val="superscript"/>
                  <w:lang w:val="fr-FR"/>
                </w:rPr>
                <w:t>34</w:t>
              </w:r>
              <w:r w:rsidRPr="00B642E6">
                <w:rPr>
                  <w:rStyle w:val="af6"/>
                  <w:rFonts w:eastAsia="Arial Unicode MS"/>
                  <w:color w:val="auto"/>
                  <w:sz w:val="20"/>
                  <w:szCs w:val="20"/>
                  <w:shd w:val="clear" w:color="auto" w:fill="FFFFFF"/>
                  <w:lang w:val="fr-FR"/>
                </w:rPr>
                <w:t> </w:t>
              </w:r>
            </w:hyperlink>
            <w:r w:rsidRPr="00B642E6">
              <w:rPr>
                <w:rFonts w:eastAsia="Arial Unicode MS"/>
                <w:sz w:val="20"/>
                <w:szCs w:val="20"/>
                <w:shd w:val="clear" w:color="auto" w:fill="FFFFFF"/>
                <w:lang w:val="fr-FR"/>
              </w:rPr>
              <w:t>);</w:t>
            </w:r>
          </w:p>
          <w:p w14:paraId="1A7CA4B6" w14:textId="1099A58F"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w:t>
            </w:r>
            <w:proofErr w:type="spellStart"/>
            <w:r w:rsidRPr="00B642E6">
              <w:rPr>
                <w:rFonts w:eastAsia="Arial Unicode MS"/>
                <w:sz w:val="20"/>
                <w:szCs w:val="20"/>
                <w:shd w:val="clear" w:color="auto" w:fill="FFFFFF"/>
                <w:lang w:val="fr-FR"/>
              </w:rPr>
              <w:t>ariile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protecție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clasificate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articolului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4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2009/147/CE a </w:t>
            </w:r>
            <w:proofErr w:type="spellStart"/>
            <w:r w:rsidRPr="00B642E6">
              <w:rPr>
                <w:rFonts w:eastAsia="Arial Unicode MS"/>
                <w:sz w:val="20"/>
                <w:szCs w:val="20"/>
                <w:shd w:val="clear" w:color="auto" w:fill="FFFFFF"/>
                <w:lang w:val="fr-FR"/>
              </w:rPr>
              <w:t>Parlamentului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European</w:t>
            </w:r>
            <w:proofErr w:type="spellEnd"/>
            <w:r w:rsidRPr="00B642E6">
              <w:rPr>
                <w:rFonts w:eastAsia="Arial Unicode MS"/>
                <w:sz w:val="20"/>
                <w:szCs w:val="20"/>
                <w:shd w:val="clear" w:color="auto" w:fill="FFFFFF"/>
                <w:lang w:val="fr-FR"/>
              </w:rPr>
              <w:t xml:space="preserve"> și a </w:t>
            </w:r>
            <w:proofErr w:type="spellStart"/>
            <w:r w:rsidRPr="00B642E6">
              <w:rPr>
                <w:rFonts w:eastAsia="Arial Unicode MS"/>
                <w:sz w:val="20"/>
                <w:szCs w:val="20"/>
                <w:shd w:val="clear" w:color="auto" w:fill="FFFFFF"/>
                <w:lang w:val="fr-FR"/>
              </w:rPr>
              <w:t>Consiliului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w:t>
            </w:r>
            <w:hyperlink r:id="rId121" w:anchor="E0038" w:history="1">
              <w:r w:rsidRPr="00B642E6">
                <w:rPr>
                  <w:rStyle w:val="superscript"/>
                  <w:rFonts w:eastAsia="Arial Unicode MS"/>
                  <w:sz w:val="20"/>
                  <w:szCs w:val="20"/>
                  <w:shd w:val="clear" w:color="auto" w:fill="FFFFFF"/>
                  <w:vertAlign w:val="superscript"/>
                  <w:lang w:val="fr-FR"/>
                </w:rPr>
                <w:t>35</w:t>
              </w:r>
              <w:r w:rsidRPr="00B642E6">
                <w:rPr>
                  <w:rStyle w:val="af6"/>
                  <w:rFonts w:eastAsia="Arial Unicode MS"/>
                  <w:color w:val="auto"/>
                  <w:sz w:val="20"/>
                  <w:szCs w:val="20"/>
                  <w:shd w:val="clear" w:color="auto" w:fill="FFFFFF"/>
                  <w:lang w:val="fr-FR"/>
                </w:rPr>
                <w:t> </w:t>
              </w:r>
            </w:hyperlink>
            <w:r w:rsidRPr="00B642E6">
              <w:rPr>
                <w:rFonts w:eastAsia="Arial Unicode MS"/>
                <w:sz w:val="20"/>
                <w:szCs w:val="20"/>
                <w:shd w:val="clear" w:color="auto" w:fill="FFFFFF"/>
                <w:lang w:val="fr-FR"/>
              </w:rPr>
              <w:t xml:space="preserve">) și </w:t>
            </w:r>
            <w:proofErr w:type="spellStart"/>
            <w:r w:rsidRPr="00B642E6">
              <w:rPr>
                <w:rFonts w:eastAsia="Arial Unicode MS"/>
                <w:sz w:val="20"/>
                <w:szCs w:val="20"/>
                <w:shd w:val="clear" w:color="auto" w:fill="FFFFFF"/>
                <w:lang w:val="fr-FR"/>
              </w:rPr>
              <w:t>unitățile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afara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celor</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protecție</w:t>
            </w:r>
            <w:proofErr w:type="spellEnd"/>
            <w:r w:rsidRPr="00B642E6">
              <w:rPr>
                <w:rFonts w:eastAsia="Arial Unicode MS"/>
                <w:sz w:val="20"/>
                <w:szCs w:val="20"/>
                <w:shd w:val="clear" w:color="auto" w:fill="FFFFFF"/>
                <w:lang w:val="fr-FR"/>
              </w:rPr>
              <w:t xml:space="preserve"> și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articolului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4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2009/147/CE și al </w:t>
            </w:r>
            <w:proofErr w:type="spellStart"/>
            <w:r w:rsidRPr="00B642E6">
              <w:rPr>
                <w:rFonts w:eastAsia="Arial Unicode MS"/>
                <w:sz w:val="20"/>
                <w:szCs w:val="20"/>
                <w:shd w:val="clear" w:color="auto" w:fill="FFFFFF"/>
                <w:lang w:val="fr-FR"/>
              </w:rPr>
              <w:t>articolului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6 </w:t>
            </w:r>
            <w:proofErr w:type="spellStart"/>
            <w:r w:rsidRPr="00B642E6">
              <w:rPr>
                <w:rFonts w:eastAsia="Arial Unicode MS"/>
                <w:sz w:val="20"/>
                <w:szCs w:val="20"/>
                <w:shd w:val="clear" w:color="auto" w:fill="FFFFFF"/>
                <w:lang w:val="fr-FR"/>
              </w:rPr>
              <w:t>alineatul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92/43/CEE în </w:t>
            </w:r>
            <w:proofErr w:type="spellStart"/>
            <w:r w:rsidRPr="00B642E6">
              <w:rPr>
                <w:rFonts w:eastAsia="Arial Unicode MS"/>
                <w:sz w:val="20"/>
                <w:szCs w:val="20"/>
                <w:shd w:val="clear" w:color="auto" w:fill="FFFFFF"/>
                <w:lang w:val="fr-FR"/>
              </w:rPr>
              <w:t>vederea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îndeplinirii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obiectivelor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siturilor</w:t>
            </w:r>
            <w:proofErr w:type="spellEnd"/>
            <w:r w:rsidRPr="00B642E6">
              <w:rPr>
                <w:rFonts w:eastAsia="Arial Unicode MS"/>
                <w:sz w:val="20"/>
                <w:szCs w:val="20"/>
                <w:shd w:val="clear" w:color="auto" w:fill="FFFFFF"/>
                <w:lang w:val="fr-FR"/>
              </w:rPr>
              <w:t>;</w:t>
            </w:r>
          </w:p>
          <w:p w14:paraId="1DAE054D" w14:textId="55283219"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unitățile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păsărilor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declarate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nefiind</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stare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siguranță</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articolului</w:t>
            </w:r>
            <w:proofErr w:type="spellEnd"/>
            <w:r w:rsidRPr="00B642E6">
              <w:rPr>
                <w:rFonts w:eastAsia="Arial Unicode MS"/>
                <w:sz w:val="20"/>
                <w:szCs w:val="20"/>
                <w:shd w:val="clear" w:color="auto" w:fill="FFFFFF"/>
                <w:lang w:val="fr-FR"/>
              </w:rPr>
              <w:t xml:space="preserve"> 12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2009/147/CE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îndeplini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cerința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prevăzută</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articolul</w:t>
            </w:r>
            <w:proofErr w:type="spellEnd"/>
            <w:r w:rsidRPr="00B642E6">
              <w:rPr>
                <w:rFonts w:eastAsia="Arial Unicode MS"/>
                <w:sz w:val="20"/>
                <w:szCs w:val="20"/>
                <w:shd w:val="clear" w:color="auto" w:fill="FFFFFF"/>
                <w:lang w:val="fr-FR"/>
              </w:rPr>
              <w:t xml:space="preserve"> 4 </w:t>
            </w:r>
            <w:proofErr w:type="spellStart"/>
            <w:r w:rsidRPr="00B642E6">
              <w:rPr>
                <w:rFonts w:eastAsia="Arial Unicode MS"/>
                <w:sz w:val="20"/>
                <w:szCs w:val="20"/>
                <w:shd w:val="clear" w:color="auto" w:fill="FFFFFF"/>
                <w:lang w:val="fr-FR"/>
              </w:rPr>
              <w:t>alineatul</w:t>
            </w:r>
            <w:proofErr w:type="spellEnd"/>
            <w:r w:rsidRPr="00B642E6">
              <w:rPr>
                <w:rFonts w:eastAsia="Arial Unicode MS"/>
                <w:sz w:val="20"/>
                <w:szCs w:val="20"/>
                <w:shd w:val="clear" w:color="auto" w:fill="FFFFFF"/>
                <w:lang w:val="fr-FR"/>
              </w:rPr>
              <w:t xml:space="preserve"> (4) a </w:t>
            </w:r>
            <w:proofErr w:type="spellStart"/>
            <w:r w:rsidRPr="00B642E6">
              <w:rPr>
                <w:rFonts w:eastAsia="Arial Unicode MS"/>
                <w:sz w:val="20"/>
                <w:szCs w:val="20"/>
                <w:shd w:val="clear" w:color="auto" w:fill="FFFFFF"/>
                <w:lang w:val="fr-FR"/>
              </w:rPr>
              <w:t>doua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teză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respectivă</w:t>
            </w:r>
            <w:proofErr w:type="spellEnd"/>
            <w:r w:rsidRPr="00B642E6">
              <w:rPr>
                <w:rFonts w:eastAsia="Arial Unicode MS"/>
                <w:sz w:val="20"/>
                <w:szCs w:val="20"/>
                <w:shd w:val="clear" w:color="auto" w:fill="FFFFFF"/>
                <w:lang w:val="fr-FR"/>
              </w:rPr>
              <w:t xml:space="preserve"> de a </w:t>
            </w:r>
            <w:proofErr w:type="spellStart"/>
            <w:r w:rsidRPr="00B642E6">
              <w:rPr>
                <w:rFonts w:eastAsia="Arial Unicode MS"/>
                <w:sz w:val="20"/>
                <w:szCs w:val="20"/>
                <w:shd w:val="clear" w:color="auto" w:fill="FFFFFF"/>
                <w:lang w:val="fr-FR"/>
              </w:rPr>
              <w:t>depune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eforturi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evita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poluarea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deteriorarea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îndeplini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cerința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prevăzută</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articolul</w:t>
            </w:r>
            <w:proofErr w:type="spellEnd"/>
            <w:r w:rsidRPr="00B642E6">
              <w:rPr>
                <w:rFonts w:eastAsia="Arial Unicode MS"/>
                <w:sz w:val="20"/>
                <w:szCs w:val="20"/>
                <w:shd w:val="clear" w:color="auto" w:fill="FFFFFF"/>
                <w:lang w:val="fr-FR"/>
              </w:rPr>
              <w:t xml:space="preserve"> 3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respectivă</w:t>
            </w:r>
            <w:proofErr w:type="spellEnd"/>
            <w:r w:rsidRPr="00B642E6">
              <w:rPr>
                <w:rFonts w:eastAsia="Arial Unicode MS"/>
                <w:sz w:val="20"/>
                <w:szCs w:val="20"/>
                <w:shd w:val="clear" w:color="auto" w:fill="FFFFFF"/>
                <w:lang w:val="fr-FR"/>
              </w:rPr>
              <w:t xml:space="preserve"> de a conserva și </w:t>
            </w:r>
            <w:proofErr w:type="spellStart"/>
            <w:r w:rsidRPr="00B642E6">
              <w:rPr>
                <w:rFonts w:eastAsia="Arial Unicode MS"/>
                <w:sz w:val="20"/>
                <w:szCs w:val="20"/>
                <w:shd w:val="clear" w:color="auto" w:fill="FFFFFF"/>
                <w:lang w:val="fr-FR"/>
              </w:rPr>
              <w:t>menține</w:t>
            </w:r>
            <w:proofErr w:type="spellEnd"/>
            <w:r w:rsidRPr="00B642E6">
              <w:rPr>
                <w:rFonts w:eastAsia="Arial Unicode MS"/>
                <w:sz w:val="20"/>
                <w:szCs w:val="20"/>
                <w:shd w:val="clear" w:color="auto" w:fill="FFFFFF"/>
                <w:lang w:val="fr-FR"/>
              </w:rPr>
              <w:t xml:space="preserve"> o </w:t>
            </w:r>
            <w:proofErr w:type="spellStart"/>
            <w:r w:rsidRPr="00B642E6">
              <w:rPr>
                <w:rFonts w:eastAsia="Arial Unicode MS"/>
                <w:sz w:val="20"/>
                <w:szCs w:val="20"/>
                <w:shd w:val="clear" w:color="auto" w:fill="FFFFFF"/>
                <w:lang w:val="fr-FR"/>
              </w:rPr>
              <w:t>diversitate</w:t>
            </w:r>
            <w:proofErr w:type="spellEnd"/>
            <w:r w:rsidRPr="00B642E6">
              <w:rPr>
                <w:rFonts w:eastAsia="Arial Unicode MS"/>
                <w:sz w:val="20"/>
                <w:szCs w:val="20"/>
                <w:shd w:val="clear" w:color="auto" w:fill="FFFFFF"/>
                <w:lang w:val="fr-FR"/>
              </w:rPr>
              <w:t xml:space="preserve"> și o </w:t>
            </w:r>
            <w:proofErr w:type="spellStart"/>
            <w:r w:rsidRPr="00B642E6">
              <w:rPr>
                <w:rFonts w:eastAsia="Arial Unicode MS"/>
                <w:sz w:val="20"/>
                <w:szCs w:val="20"/>
                <w:shd w:val="clear" w:color="auto" w:fill="FFFFFF"/>
                <w:lang w:val="fr-FR"/>
              </w:rPr>
              <w:t>suprafață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suficientă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păsări</w:t>
            </w:r>
            <w:proofErr w:type="spellEnd"/>
            <w:r w:rsidRPr="00B642E6">
              <w:rPr>
                <w:rFonts w:eastAsia="Arial Unicode MS"/>
                <w:sz w:val="20"/>
                <w:szCs w:val="20"/>
                <w:shd w:val="clear" w:color="auto" w:fill="FFFFFF"/>
                <w:lang w:val="fr-FR"/>
              </w:rPr>
              <w:t>;</w:t>
            </w:r>
          </w:p>
          <w:p w14:paraId="5476E02D" w14:textId="450738F9"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orice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alte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w:t>
            </w:r>
            <w:proofErr w:type="spellEnd"/>
            <w:r w:rsidRPr="00B642E6">
              <w:rPr>
                <w:rFonts w:eastAsia="Arial Unicode MS"/>
                <w:sz w:val="20"/>
                <w:szCs w:val="20"/>
                <w:shd w:val="clear" w:color="auto" w:fill="FFFFFF"/>
                <w:lang w:val="fr-FR"/>
              </w:rPr>
              <w:t xml:space="preserve"> care </w:t>
            </w:r>
            <w:proofErr w:type="spellStart"/>
            <w:r w:rsidRPr="00B642E6">
              <w:rPr>
                <w:rFonts w:eastAsia="Arial Unicode MS"/>
                <w:sz w:val="20"/>
                <w:szCs w:val="20"/>
                <w:shd w:val="clear" w:color="auto" w:fill="FFFFFF"/>
                <w:lang w:val="fr-FR"/>
              </w:rPr>
              <w:t>statul</w:t>
            </w:r>
            <w:proofErr w:type="spellEnd"/>
            <w:r w:rsidRPr="00B642E6">
              <w:rPr>
                <w:rFonts w:eastAsia="Arial Unicode MS"/>
                <w:sz w:val="20"/>
                <w:szCs w:val="20"/>
                <w:shd w:val="clear" w:color="auto" w:fill="FFFFFF"/>
                <w:lang w:val="fr-FR"/>
              </w:rPr>
              <w:t xml:space="preserve"> membru le </w:t>
            </w:r>
            <w:proofErr w:type="spellStart"/>
            <w:r w:rsidRPr="00B642E6">
              <w:rPr>
                <w:rFonts w:eastAsia="Arial Unicode MS"/>
                <w:sz w:val="20"/>
                <w:szCs w:val="20"/>
                <w:shd w:val="clear" w:color="auto" w:fill="FFFFFF"/>
                <w:lang w:val="fr-FR"/>
              </w:rPr>
              <w:t>desemnează</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scopuri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echivalente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prevăzute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Directivele</w:t>
            </w:r>
            <w:proofErr w:type="spellEnd"/>
            <w:r w:rsidRPr="00B642E6">
              <w:rPr>
                <w:rFonts w:eastAsia="Arial Unicode MS"/>
                <w:sz w:val="20"/>
                <w:szCs w:val="20"/>
                <w:shd w:val="clear" w:color="auto" w:fill="FFFFFF"/>
                <w:lang w:val="fr-FR"/>
              </w:rPr>
              <w:t> 92/43/CEE și</w:t>
            </w:r>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2009/147/</w:t>
            </w:r>
            <w:proofErr w:type="gramStart"/>
            <w:r w:rsidRPr="00B642E6">
              <w:rPr>
                <w:rFonts w:eastAsia="Arial Unicode MS"/>
                <w:sz w:val="20"/>
                <w:szCs w:val="20"/>
                <w:shd w:val="clear" w:color="auto" w:fill="FFFFFF"/>
                <w:lang w:val="fr-FR"/>
              </w:rPr>
              <w:t>CE;</w:t>
            </w:r>
            <w:proofErr w:type="gramEnd"/>
          </w:p>
          <w:p w14:paraId="7B2145E4" w14:textId="77909A9E"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lastRenderedPageBreak/>
              <w:t xml:space="preserve">- </w:t>
            </w:r>
            <w:proofErr w:type="spellStart"/>
            <w:r w:rsidRPr="00B642E6">
              <w:rPr>
                <w:rFonts w:eastAsia="Arial Unicode MS"/>
                <w:sz w:val="20"/>
                <w:szCs w:val="20"/>
                <w:shd w:val="clear" w:color="auto" w:fill="FFFFFF"/>
                <w:lang w:val="fr-FR"/>
              </w:rPr>
              <w:t>unitățile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necesare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protejarea</w:t>
            </w:r>
            <w:proofErr w:type="spellEnd"/>
            <w:r w:rsidRPr="00B642E6">
              <w:rPr>
                <w:rFonts w:eastAsia="Arial Unicode MS"/>
                <w:sz w:val="20"/>
                <w:szCs w:val="20"/>
                <w:shd w:val="clear" w:color="auto" w:fill="FFFFFF"/>
                <w:lang w:val="fr-FR"/>
              </w:rPr>
              <w:t xml:space="preserve"> și </w:t>
            </w:r>
            <w:proofErr w:type="spellStart"/>
            <w:r w:rsidRPr="00B642E6">
              <w:rPr>
                <w:rFonts w:eastAsia="Arial Unicode MS"/>
                <w:sz w:val="20"/>
                <w:szCs w:val="20"/>
                <w:shd w:val="clear" w:color="auto" w:fill="FFFFFF"/>
                <w:lang w:val="fr-FR"/>
              </w:rPr>
              <w:t>asigurarea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nedeteriorării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stării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ecologice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corpurilor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apă</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suprafață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menționate</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articolul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4 </w:t>
            </w:r>
            <w:proofErr w:type="spellStart"/>
            <w:r w:rsidRPr="00B642E6">
              <w:rPr>
                <w:rFonts w:eastAsia="Arial Unicode MS"/>
                <w:sz w:val="20"/>
                <w:szCs w:val="20"/>
                <w:shd w:val="clear" w:color="auto" w:fill="FFFFFF"/>
                <w:lang w:val="fr-FR"/>
              </w:rPr>
              <w:t>alineatul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(1) litera</w:t>
            </w:r>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(a) </w:t>
            </w:r>
            <w:proofErr w:type="spellStart"/>
            <w:r w:rsidRPr="00B642E6">
              <w:rPr>
                <w:rFonts w:eastAsia="Arial Unicode MS"/>
                <w:sz w:val="20"/>
                <w:szCs w:val="20"/>
                <w:shd w:val="clear" w:color="auto" w:fill="FFFFFF"/>
                <w:lang w:val="fr-FR"/>
              </w:rPr>
              <w:t>punctul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(iii)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2000/60/CE a </w:t>
            </w:r>
            <w:proofErr w:type="spellStart"/>
            <w:r w:rsidRPr="00B642E6">
              <w:rPr>
                <w:rFonts w:eastAsia="Arial Unicode MS"/>
                <w:sz w:val="20"/>
                <w:szCs w:val="20"/>
                <w:shd w:val="clear" w:color="auto" w:fill="FFFFFF"/>
                <w:lang w:val="fr-FR"/>
              </w:rPr>
              <w:t>Parlamentului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European</w:t>
            </w:r>
            <w:proofErr w:type="spellEnd"/>
            <w:r w:rsidRPr="00B642E6">
              <w:rPr>
                <w:rFonts w:eastAsia="Arial Unicode MS"/>
                <w:sz w:val="20"/>
                <w:szCs w:val="20"/>
                <w:shd w:val="clear" w:color="auto" w:fill="FFFFFF"/>
                <w:lang w:val="fr-FR"/>
              </w:rPr>
              <w:t xml:space="preserve"> și a </w:t>
            </w:r>
            <w:proofErr w:type="spellStart"/>
            <w:r w:rsidRPr="00B642E6">
              <w:rPr>
                <w:rFonts w:eastAsia="Arial Unicode MS"/>
                <w:sz w:val="20"/>
                <w:szCs w:val="20"/>
                <w:shd w:val="clear" w:color="auto" w:fill="FFFFFF"/>
                <w:lang w:val="fr-FR"/>
              </w:rPr>
              <w:t>Consiliului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w:t>
            </w:r>
            <w:hyperlink r:id="rId122" w:anchor="E0039" w:history="1">
              <w:r w:rsidRPr="00B642E6">
                <w:rPr>
                  <w:rStyle w:val="superscript"/>
                  <w:rFonts w:eastAsia="Arial Unicode MS"/>
                  <w:sz w:val="20"/>
                  <w:szCs w:val="20"/>
                  <w:shd w:val="clear" w:color="auto" w:fill="FFFFFF"/>
                  <w:vertAlign w:val="superscript"/>
                  <w:lang w:val="fr-FR"/>
                </w:rPr>
                <w:t>36</w:t>
              </w:r>
              <w:r w:rsidRPr="00B642E6">
                <w:rPr>
                  <w:rStyle w:val="af6"/>
                  <w:rFonts w:eastAsia="Arial Unicode MS"/>
                  <w:color w:val="auto"/>
                  <w:sz w:val="20"/>
                  <w:szCs w:val="20"/>
                  <w:shd w:val="clear" w:color="auto" w:fill="FFFFFF"/>
                  <w:lang w:val="fr-FR"/>
                </w:rPr>
                <w:t> </w:t>
              </w:r>
            </w:hyperlink>
            <w:proofErr w:type="gramStart"/>
            <w:r w:rsidRPr="00B642E6">
              <w:rPr>
                <w:rFonts w:eastAsia="Arial Unicode MS"/>
                <w:sz w:val="20"/>
                <w:szCs w:val="20"/>
                <w:shd w:val="clear" w:color="auto" w:fill="FFFFFF"/>
                <w:lang w:val="fr-FR"/>
              </w:rPr>
              <w:t>);</w:t>
            </w:r>
            <w:proofErr w:type="gramEnd"/>
          </w:p>
          <w:p w14:paraId="6DF8AFCD" w14:textId="3F138A55" w:rsidR="00B642E6" w:rsidRDefault="00B642E6" w:rsidP="00DA5A25">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w:t>
            </w:r>
            <w:proofErr w:type="spellStart"/>
            <w:r w:rsidRPr="00B642E6">
              <w:rPr>
                <w:rFonts w:eastAsia="Arial Unicode MS"/>
                <w:sz w:val="20"/>
                <w:szCs w:val="20"/>
                <w:shd w:val="clear" w:color="auto" w:fill="FFFFFF"/>
                <w:lang w:val="fr-FR"/>
              </w:rPr>
              <w:t>zonele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inundabile</w:t>
            </w:r>
            <w:proofErr w:type="spellEnd"/>
            <w:r w:rsidRPr="00B642E6">
              <w:rPr>
                <w:rFonts w:eastAsia="Arial Unicode MS"/>
                <w:sz w:val="20"/>
                <w:szCs w:val="20"/>
                <w:shd w:val="clear" w:color="auto" w:fill="FFFFFF"/>
                <w:lang w:val="fr-FR"/>
              </w:rPr>
              <w:t xml:space="preserve"> naturale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zonele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retenție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apelor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inundații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protejate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statele</w:t>
            </w:r>
            <w:proofErr w:type="spellEnd"/>
            <w:r w:rsidRPr="00B642E6">
              <w:rPr>
                <w:rFonts w:eastAsia="Arial Unicode MS"/>
                <w:sz w:val="20"/>
                <w:szCs w:val="20"/>
                <w:shd w:val="clear" w:color="auto" w:fill="FFFFFF"/>
                <w:lang w:val="fr-FR"/>
              </w:rPr>
              <w:t xml:space="preserve"> membre în </w:t>
            </w:r>
            <w:proofErr w:type="spellStart"/>
            <w:r w:rsidRPr="00B642E6">
              <w:rPr>
                <w:rFonts w:eastAsia="Arial Unicode MS"/>
                <w:sz w:val="20"/>
                <w:szCs w:val="20"/>
                <w:shd w:val="clear" w:color="auto" w:fill="FFFFFF"/>
                <w:lang w:val="fr-FR"/>
              </w:rPr>
              <w:t>ceea</w:t>
            </w:r>
            <w:proofErr w:type="spellEnd"/>
            <w:r w:rsidRPr="00B642E6">
              <w:rPr>
                <w:rFonts w:eastAsia="Arial Unicode MS"/>
                <w:sz w:val="20"/>
                <w:szCs w:val="20"/>
                <w:shd w:val="clear" w:color="auto" w:fill="FFFFFF"/>
                <w:lang w:val="fr-FR"/>
              </w:rPr>
              <w:t xml:space="preserve"> ce </w:t>
            </w:r>
            <w:proofErr w:type="spellStart"/>
            <w:r w:rsidRPr="00B642E6">
              <w:rPr>
                <w:rFonts w:eastAsia="Arial Unicode MS"/>
                <w:sz w:val="20"/>
                <w:szCs w:val="20"/>
                <w:shd w:val="clear" w:color="auto" w:fill="FFFFFF"/>
                <w:lang w:val="fr-FR"/>
              </w:rPr>
              <w:t>privește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gestionarea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riscului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inundații</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Directivei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2007/60/CE a </w:t>
            </w:r>
            <w:proofErr w:type="spellStart"/>
            <w:r w:rsidRPr="00B642E6">
              <w:rPr>
                <w:rFonts w:eastAsia="Arial Unicode MS"/>
                <w:sz w:val="20"/>
                <w:szCs w:val="20"/>
                <w:shd w:val="clear" w:color="auto" w:fill="FFFFFF"/>
                <w:lang w:val="fr-FR"/>
              </w:rPr>
              <w:t>Parlamentului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European</w:t>
            </w:r>
            <w:proofErr w:type="spellEnd"/>
            <w:r w:rsidRPr="00B642E6">
              <w:rPr>
                <w:rFonts w:eastAsia="Arial Unicode MS"/>
                <w:sz w:val="20"/>
                <w:szCs w:val="20"/>
                <w:shd w:val="clear" w:color="auto" w:fill="FFFFFF"/>
                <w:lang w:val="fr-FR"/>
              </w:rPr>
              <w:t xml:space="preserve"> și a </w:t>
            </w:r>
            <w:proofErr w:type="spellStart"/>
            <w:r w:rsidRPr="00B642E6">
              <w:rPr>
                <w:rFonts w:eastAsia="Arial Unicode MS"/>
                <w:sz w:val="20"/>
                <w:szCs w:val="20"/>
                <w:shd w:val="clear" w:color="auto" w:fill="FFFFFF"/>
                <w:lang w:val="fr-FR"/>
              </w:rPr>
              <w:t>Consiliului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w:t>
            </w:r>
            <w:hyperlink r:id="rId123" w:anchor="E0040" w:history="1">
              <w:r w:rsidRPr="00B642E6">
                <w:rPr>
                  <w:rStyle w:val="superscript"/>
                  <w:rFonts w:eastAsia="Arial Unicode MS"/>
                  <w:sz w:val="20"/>
                  <w:szCs w:val="20"/>
                  <w:shd w:val="clear" w:color="auto" w:fill="FFFFFF"/>
                  <w:vertAlign w:val="superscript"/>
                  <w:lang w:val="fr-FR"/>
                </w:rPr>
                <w:t>37</w:t>
              </w:r>
              <w:r w:rsidRPr="00B642E6">
                <w:rPr>
                  <w:rStyle w:val="af6"/>
                  <w:rFonts w:eastAsia="Arial Unicode MS"/>
                  <w:color w:val="auto"/>
                  <w:sz w:val="20"/>
                  <w:szCs w:val="20"/>
                  <w:shd w:val="clear" w:color="auto" w:fill="FFFFFF"/>
                  <w:lang w:val="fr-FR"/>
                </w:rPr>
                <w:t> </w:t>
              </w:r>
            </w:hyperlink>
            <w:proofErr w:type="gramStart"/>
            <w:r w:rsidRPr="00B642E6">
              <w:rPr>
                <w:rFonts w:eastAsia="Arial Unicode MS"/>
                <w:sz w:val="20"/>
                <w:szCs w:val="20"/>
                <w:shd w:val="clear" w:color="auto" w:fill="FFFFFF"/>
                <w:lang w:val="fr-FR"/>
              </w:rPr>
              <w:t>);</w:t>
            </w:r>
            <w:proofErr w:type="gramEnd"/>
          </w:p>
          <w:p w14:paraId="26171D5E" w14:textId="43F4F516" w:rsidR="00B642E6" w:rsidRPr="00B642E6" w:rsidRDefault="00B642E6" w:rsidP="00DA5A25">
            <w:pPr>
              <w:pStyle w:val="ti-grseq-1"/>
              <w:shd w:val="clear" w:color="auto" w:fill="FFFFFF"/>
              <w:spacing w:before="0" w:beforeAutospacing="0" w:after="0" w:afterAutospacing="0"/>
              <w:ind w:left="720"/>
              <w:jc w:val="both"/>
              <w:rPr>
                <w:sz w:val="20"/>
                <w:szCs w:val="20"/>
                <w:lang w:val="fr-FR"/>
              </w:rPr>
            </w:pPr>
            <w:r>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zonele</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protejate</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desemnate</w:t>
            </w:r>
            <w:proofErr w:type="spellEnd"/>
            <w:r w:rsidRPr="00B642E6">
              <w:rPr>
                <w:rFonts w:eastAsia="Arial Unicode MS"/>
                <w:sz w:val="20"/>
                <w:szCs w:val="20"/>
                <w:shd w:val="clear" w:color="auto" w:fill="FFFFFF"/>
              </w:rPr>
              <w:t xml:space="preserve"> de </w:t>
            </w:r>
            <w:proofErr w:type="spellStart"/>
            <w:r w:rsidRPr="00B642E6">
              <w:rPr>
                <w:rFonts w:eastAsia="Arial Unicode MS"/>
                <w:sz w:val="20"/>
                <w:szCs w:val="20"/>
                <w:shd w:val="clear" w:color="auto" w:fill="FFFFFF"/>
              </w:rPr>
              <w:t>statele</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membre</w:t>
            </w:r>
            <w:proofErr w:type="spellEnd"/>
            <w:r w:rsidRPr="00B642E6">
              <w:rPr>
                <w:rFonts w:eastAsia="Arial Unicode MS"/>
                <w:sz w:val="20"/>
                <w:szCs w:val="20"/>
                <w:shd w:val="clear" w:color="auto" w:fill="FFFFFF"/>
              </w:rPr>
              <w:t xml:space="preserve"> în </w:t>
            </w:r>
            <w:proofErr w:type="spellStart"/>
            <w:r w:rsidRPr="00B642E6">
              <w:rPr>
                <w:rFonts w:eastAsia="Arial Unicode MS"/>
                <w:sz w:val="20"/>
                <w:szCs w:val="20"/>
                <w:shd w:val="clear" w:color="auto" w:fill="FFFFFF"/>
              </w:rPr>
              <w:t>vederea</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atingerii</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obiectivelor</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privind</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zonele</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protejate</w:t>
            </w:r>
            <w:proofErr w:type="spellEnd"/>
            <w:r w:rsidRPr="00B642E6">
              <w:rPr>
                <w:rFonts w:eastAsia="Arial Unicode MS"/>
                <w:sz w:val="20"/>
                <w:szCs w:val="20"/>
                <w:shd w:val="clear" w:color="auto" w:fill="FFFFFF"/>
              </w:rPr>
              <w:t>;</w:t>
            </w:r>
          </w:p>
          <w:p w14:paraId="703381AA" w14:textId="7C3359C3" w:rsidR="00DA5A25" w:rsidRPr="00B642E6" w:rsidRDefault="00DA5A25" w:rsidP="00DA5A25">
            <w:pPr>
              <w:pStyle w:val="ti-grseq-1"/>
              <w:numPr>
                <w:ilvl w:val="0"/>
                <w:numId w:val="251"/>
              </w:numPr>
              <w:shd w:val="clear" w:color="auto" w:fill="FFFFFF"/>
              <w:spacing w:before="0" w:beforeAutospacing="0" w:after="0" w:afterAutospacing="0"/>
              <w:jc w:val="both"/>
              <w:rPr>
                <w:sz w:val="20"/>
                <w:szCs w:val="20"/>
                <w:lang w:val="ro-MD"/>
              </w:rPr>
            </w:pPr>
            <w:r w:rsidRPr="00DA5A25">
              <w:rPr>
                <w:rFonts w:eastAsia="Arial Unicode MS"/>
                <w:sz w:val="20"/>
                <w:szCs w:val="20"/>
                <w:shd w:val="clear" w:color="auto" w:fill="FFFFFF"/>
                <w:lang w:val="ro-MD"/>
              </w:rPr>
              <w:t>un sistem de monitorizare a unităților privind destinația terenurilor care fac obiectul refacerii, definit ca teren care se încadrează în una sau mai multe dintre următoarele categorii:</w:t>
            </w:r>
          </w:p>
          <w:p w14:paraId="55EB5D78" w14:textId="7FCB798C" w:rsidR="00B642E6" w:rsidRPr="00B642E6" w:rsidRDefault="00B642E6" w:rsidP="00B642E6">
            <w:pPr>
              <w:pStyle w:val="ti-grseq-1"/>
              <w:numPr>
                <w:ilvl w:val="0"/>
                <w:numId w:val="7"/>
              </w:numPr>
              <w:shd w:val="clear" w:color="auto" w:fill="FFFFFF"/>
              <w:spacing w:before="0" w:beforeAutospacing="0" w:after="0" w:afterAutospacing="0"/>
              <w:jc w:val="both"/>
              <w:rPr>
                <w:sz w:val="20"/>
                <w:szCs w:val="20"/>
                <w:lang w:val="fr-FR"/>
              </w:rPr>
            </w:pPr>
            <w:proofErr w:type="spellStart"/>
            <w:proofErr w:type="gramStart"/>
            <w:r w:rsidRPr="00B642E6">
              <w:rPr>
                <w:rFonts w:eastAsia="Arial Unicode MS"/>
                <w:sz w:val="20"/>
                <w:szCs w:val="20"/>
                <w:shd w:val="clear" w:color="auto" w:fill="FFFFFF"/>
                <w:lang w:val="fr-FR"/>
              </w:rPr>
              <w:t>siturile</w:t>
            </w:r>
            <w:proofErr w:type="spellEnd"/>
            <w:proofErr w:type="gram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importanță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comunitară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ariile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și </w:t>
            </w:r>
            <w:proofErr w:type="spellStart"/>
            <w:r w:rsidRPr="00B642E6">
              <w:rPr>
                <w:rFonts w:eastAsia="Arial Unicode MS"/>
                <w:sz w:val="20"/>
                <w:szCs w:val="20"/>
                <w:shd w:val="clear" w:color="auto" w:fill="FFFFFF"/>
                <w:lang w:val="fr-FR"/>
              </w:rPr>
              <w:t>ariile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protecție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astfel</w:t>
            </w:r>
            <w:proofErr w:type="spellEnd"/>
            <w:r w:rsidRPr="00B642E6">
              <w:rPr>
                <w:rFonts w:eastAsia="Arial Unicode MS"/>
                <w:sz w:val="20"/>
                <w:szCs w:val="20"/>
                <w:shd w:val="clear" w:color="auto" w:fill="FFFFFF"/>
                <w:lang w:val="fr-FR"/>
              </w:rPr>
              <w:t xml:space="preserve"> cum </w:t>
            </w:r>
            <w:proofErr w:type="spellStart"/>
            <w:r w:rsidRPr="00B642E6">
              <w:rPr>
                <w:rFonts w:eastAsia="Arial Unicode MS"/>
                <w:sz w:val="20"/>
                <w:szCs w:val="20"/>
                <w:shd w:val="clear" w:color="auto" w:fill="FFFFFF"/>
                <w:lang w:val="fr-FR"/>
              </w:rPr>
              <w:t>sunt</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descrise</w:t>
            </w:r>
            <w:proofErr w:type="spellEnd"/>
            <w:r w:rsidRPr="00B642E6">
              <w:rPr>
                <w:rFonts w:eastAsia="Arial Unicode MS"/>
                <w:sz w:val="20"/>
                <w:szCs w:val="20"/>
                <w:shd w:val="clear" w:color="auto" w:fill="FFFFFF"/>
                <w:lang w:val="fr-FR"/>
              </w:rPr>
              <w:t xml:space="preserve"> la litera (b), </w:t>
            </w:r>
            <w:proofErr w:type="spellStart"/>
            <w:r w:rsidRPr="00B642E6">
              <w:rPr>
                <w:rFonts w:eastAsia="Arial Unicode MS"/>
                <w:sz w:val="20"/>
                <w:szCs w:val="20"/>
                <w:shd w:val="clear" w:color="auto" w:fill="FFFFFF"/>
                <w:lang w:val="fr-FR"/>
              </w:rPr>
              <w:t>împreună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unitățile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afara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acelora</w:t>
            </w:r>
            <w:proofErr w:type="spellEnd"/>
            <w:r w:rsidRPr="00B642E6">
              <w:rPr>
                <w:rFonts w:eastAsia="Arial Unicode MS"/>
                <w:sz w:val="20"/>
                <w:szCs w:val="20"/>
                <w:shd w:val="clear" w:color="auto" w:fill="FFFFFF"/>
                <w:lang w:val="fr-FR"/>
              </w:rPr>
              <w:t xml:space="preserve"> care au </w:t>
            </w:r>
            <w:proofErr w:type="spellStart"/>
            <w:r w:rsidRPr="00B642E6">
              <w:rPr>
                <w:rFonts w:eastAsia="Arial Unicode MS"/>
                <w:sz w:val="20"/>
                <w:szCs w:val="20"/>
                <w:shd w:val="clear" w:color="auto" w:fill="FFFFFF"/>
                <w:lang w:val="fr-FR"/>
              </w:rPr>
              <w:t>fost</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identificate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necesitând</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refacere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compensatorii</w:t>
            </w:r>
            <w:proofErr w:type="spellEnd"/>
            <w:r w:rsidRPr="00B642E6">
              <w:rPr>
                <w:rFonts w:eastAsia="Arial Unicode MS"/>
                <w:sz w:val="20"/>
                <w:szCs w:val="20"/>
                <w:shd w:val="clear" w:color="auto" w:fill="FFFFFF"/>
                <w:lang w:val="fr-FR"/>
              </w:rPr>
              <w:t xml:space="preserve"> care </w:t>
            </w:r>
            <w:proofErr w:type="spellStart"/>
            <w:r w:rsidRPr="00B642E6">
              <w:rPr>
                <w:rFonts w:eastAsia="Arial Unicode MS"/>
                <w:sz w:val="20"/>
                <w:szCs w:val="20"/>
                <w:shd w:val="clear" w:color="auto" w:fill="FFFFFF"/>
                <w:lang w:val="fr-FR"/>
              </w:rPr>
              <w:t>vizează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îndeplinirea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obiectivelor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siturilor</w:t>
            </w:r>
            <w:proofErr w:type="spellEnd"/>
            <w:r w:rsidRPr="00B642E6">
              <w:rPr>
                <w:rFonts w:eastAsia="Arial Unicode MS"/>
                <w:sz w:val="20"/>
                <w:szCs w:val="20"/>
                <w:shd w:val="clear" w:color="auto" w:fill="FFFFFF"/>
                <w:lang w:val="fr-FR"/>
              </w:rPr>
              <w:t>;</w:t>
            </w:r>
          </w:p>
          <w:p w14:paraId="510A3EA7" w14:textId="0C3FCFEF" w:rsidR="00B642E6" w:rsidRDefault="00B642E6" w:rsidP="00B642E6">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păsări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sălbatice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menționate</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articolul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4 </w:t>
            </w:r>
            <w:proofErr w:type="spellStart"/>
            <w:r w:rsidRPr="00B642E6">
              <w:rPr>
                <w:rFonts w:eastAsia="Arial Unicode MS"/>
                <w:sz w:val="20"/>
                <w:szCs w:val="20"/>
                <w:shd w:val="clear" w:color="auto" w:fill="FFFFFF"/>
                <w:lang w:val="fr-FR"/>
              </w:rPr>
              <w:t>alineatul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2009/147/CE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enumerate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 la </w:t>
            </w:r>
            <w:proofErr w:type="spellStart"/>
            <w:r w:rsidRPr="00B642E6">
              <w:rPr>
                <w:rFonts w:eastAsia="Arial Unicode MS"/>
                <w:sz w:val="20"/>
                <w:szCs w:val="20"/>
                <w:shd w:val="clear" w:color="auto" w:fill="FFFFFF"/>
                <w:lang w:val="fr-FR"/>
              </w:rPr>
              <w:t>aceasta</w:t>
            </w:r>
            <w:proofErr w:type="spellEnd"/>
            <w:r w:rsidRPr="00B642E6">
              <w:rPr>
                <w:rFonts w:eastAsia="Arial Unicode MS"/>
                <w:sz w:val="20"/>
                <w:szCs w:val="20"/>
                <w:shd w:val="clear" w:color="auto" w:fill="FFFFFF"/>
                <w:lang w:val="fr-FR"/>
              </w:rPr>
              <w:t xml:space="preserve">, care se </w:t>
            </w:r>
            <w:proofErr w:type="spellStart"/>
            <w:r w:rsidRPr="00B642E6">
              <w:rPr>
                <w:rFonts w:eastAsia="Arial Unicode MS"/>
                <w:sz w:val="20"/>
                <w:szCs w:val="20"/>
                <w:shd w:val="clear" w:color="auto" w:fill="FFFFFF"/>
                <w:lang w:val="fr-FR"/>
              </w:rPr>
              <w:t>găsesc</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afara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ariilor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protecție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specială</w:t>
            </w:r>
            <w:proofErr w:type="spellEnd"/>
            <w:r w:rsidRPr="00B642E6">
              <w:rPr>
                <w:rFonts w:eastAsia="Arial Unicode MS"/>
                <w:sz w:val="20"/>
                <w:szCs w:val="20"/>
                <w:shd w:val="clear" w:color="auto" w:fill="FFFFFF"/>
                <w:lang w:val="fr-FR"/>
              </w:rPr>
              <w:t xml:space="preserve"> și care au </w:t>
            </w:r>
            <w:proofErr w:type="spellStart"/>
            <w:r w:rsidRPr="00B642E6">
              <w:rPr>
                <w:rFonts w:eastAsia="Arial Unicode MS"/>
                <w:sz w:val="20"/>
                <w:szCs w:val="20"/>
                <w:shd w:val="clear" w:color="auto" w:fill="FFFFFF"/>
                <w:lang w:val="fr-FR"/>
              </w:rPr>
              <w:t>fost</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identificate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necesitând</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refacere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sensul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Directivei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2009/147/</w:t>
            </w:r>
            <w:proofErr w:type="gramStart"/>
            <w:r w:rsidRPr="00B642E6">
              <w:rPr>
                <w:rFonts w:eastAsia="Arial Unicode MS"/>
                <w:sz w:val="20"/>
                <w:szCs w:val="20"/>
                <w:shd w:val="clear" w:color="auto" w:fill="FFFFFF"/>
                <w:lang w:val="fr-FR"/>
              </w:rPr>
              <w:t>CE;</w:t>
            </w:r>
            <w:proofErr w:type="gramEnd"/>
          </w:p>
          <w:p w14:paraId="6619935E" w14:textId="585A3E73" w:rsidR="00B642E6" w:rsidRDefault="00B642E6" w:rsidP="00B642E6">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habitatele</w:t>
            </w:r>
            <w:proofErr w:type="spellEnd"/>
            <w:r w:rsidRPr="00B642E6">
              <w:rPr>
                <w:rFonts w:eastAsia="Arial Unicode MS"/>
                <w:sz w:val="20"/>
                <w:szCs w:val="20"/>
                <w:shd w:val="clear" w:color="auto" w:fill="FFFFFF"/>
                <w:lang w:val="fr-FR"/>
              </w:rPr>
              <w:t xml:space="preserve"> naturale </w:t>
            </w:r>
            <w:proofErr w:type="spellStart"/>
            <w:r w:rsidRPr="00B642E6">
              <w:rPr>
                <w:rFonts w:eastAsia="Arial Unicode MS"/>
                <w:sz w:val="20"/>
                <w:szCs w:val="20"/>
                <w:shd w:val="clear" w:color="auto" w:fill="FFFFFF"/>
                <w:lang w:val="fr-FR"/>
              </w:rPr>
              <w:t>enumerate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 la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92/43/CEE și </w:t>
            </w:r>
            <w:proofErr w:type="spellStart"/>
            <w:r w:rsidRPr="00B642E6">
              <w:rPr>
                <w:rFonts w:eastAsia="Arial Unicode MS"/>
                <w:sz w:val="20"/>
                <w:szCs w:val="20"/>
                <w:shd w:val="clear" w:color="auto" w:fill="FFFFFF"/>
                <w:lang w:val="fr-FR"/>
              </w:rPr>
              <w:t>habitatele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enumerate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II la </w:t>
            </w:r>
            <w:proofErr w:type="spellStart"/>
            <w:r w:rsidRPr="00B642E6">
              <w:rPr>
                <w:rFonts w:eastAsia="Arial Unicode MS"/>
                <w:sz w:val="20"/>
                <w:szCs w:val="20"/>
                <w:shd w:val="clear" w:color="auto" w:fill="FFFFFF"/>
                <w:lang w:val="fr-FR"/>
              </w:rPr>
              <w:t>directiva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menționată</w:t>
            </w:r>
            <w:proofErr w:type="spellEnd"/>
            <w:r w:rsidRPr="00B642E6">
              <w:rPr>
                <w:rFonts w:eastAsia="Arial Unicode MS"/>
                <w:sz w:val="20"/>
                <w:szCs w:val="20"/>
                <w:shd w:val="clear" w:color="auto" w:fill="FFFFFF"/>
                <w:lang w:val="fr-FR"/>
              </w:rPr>
              <w:t xml:space="preserve"> care se </w:t>
            </w:r>
            <w:proofErr w:type="spellStart"/>
            <w:r w:rsidRPr="00B642E6">
              <w:rPr>
                <w:rFonts w:eastAsia="Arial Unicode MS"/>
                <w:sz w:val="20"/>
                <w:szCs w:val="20"/>
                <w:shd w:val="clear" w:color="auto" w:fill="FFFFFF"/>
                <w:lang w:val="fr-FR"/>
              </w:rPr>
              <w:t>află</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afara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siturilor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importanță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comunitară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ariilor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speciale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și care </w:t>
            </w:r>
            <w:proofErr w:type="spellStart"/>
            <w:r w:rsidRPr="00B642E6">
              <w:rPr>
                <w:rFonts w:eastAsia="Arial Unicode MS"/>
                <w:sz w:val="20"/>
                <w:szCs w:val="20"/>
                <w:shd w:val="clear" w:color="auto" w:fill="FFFFFF"/>
                <w:lang w:val="fr-FR"/>
              </w:rPr>
              <w:t>sunt</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identificate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necesitând</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refacere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scopul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atingerii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stadiu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corespunzător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conservare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temeiul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Directivei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92/43/CEE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identificate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necesitând</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remediere</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sensul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articolului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6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2004/35/</w:t>
            </w:r>
            <w:proofErr w:type="gramStart"/>
            <w:r w:rsidRPr="00B642E6">
              <w:rPr>
                <w:rFonts w:eastAsia="Arial Unicode MS"/>
                <w:sz w:val="20"/>
                <w:szCs w:val="20"/>
                <w:shd w:val="clear" w:color="auto" w:fill="FFFFFF"/>
                <w:lang w:val="fr-FR"/>
              </w:rPr>
              <w:t>CE;</w:t>
            </w:r>
            <w:proofErr w:type="gramEnd"/>
          </w:p>
          <w:p w14:paraId="2E6EBB73" w14:textId="418BC836" w:rsidR="00B642E6" w:rsidRDefault="00B642E6" w:rsidP="00B642E6">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zonele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identificate</w:t>
            </w:r>
            <w:proofErr w:type="spellEnd"/>
            <w:r w:rsidRPr="00B642E6">
              <w:rPr>
                <w:rFonts w:eastAsia="Arial Unicode MS"/>
                <w:sz w:val="20"/>
                <w:szCs w:val="20"/>
                <w:shd w:val="clear" w:color="auto" w:fill="FFFFFF"/>
                <w:lang w:val="fr-FR"/>
              </w:rPr>
              <w:t xml:space="preserve"> ca </w:t>
            </w:r>
            <w:proofErr w:type="spellStart"/>
            <w:r w:rsidRPr="00B642E6">
              <w:rPr>
                <w:rFonts w:eastAsia="Arial Unicode MS"/>
                <w:sz w:val="20"/>
                <w:szCs w:val="20"/>
                <w:shd w:val="clear" w:color="auto" w:fill="FFFFFF"/>
                <w:lang w:val="fr-FR"/>
              </w:rPr>
              <w:t>având</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nevoie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refacere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cele</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asigurarea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nedeteriorării</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cadrul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unui</w:t>
            </w:r>
            <w:proofErr w:type="spellEnd"/>
            <w:r w:rsidRPr="00B642E6">
              <w:rPr>
                <w:rFonts w:eastAsia="Arial Unicode MS"/>
                <w:sz w:val="20"/>
                <w:szCs w:val="20"/>
                <w:shd w:val="clear" w:color="auto" w:fill="FFFFFF"/>
                <w:lang w:val="fr-FR"/>
              </w:rPr>
              <w:t xml:space="preserve"> plan de </w:t>
            </w:r>
            <w:proofErr w:type="spellStart"/>
            <w:r w:rsidRPr="00B642E6">
              <w:rPr>
                <w:rFonts w:eastAsia="Arial Unicode MS"/>
                <w:sz w:val="20"/>
                <w:szCs w:val="20"/>
                <w:shd w:val="clear" w:color="auto" w:fill="FFFFFF"/>
                <w:lang w:val="fr-FR"/>
              </w:rPr>
              <w:t>refacere</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naturii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aplicabil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într</w:t>
            </w:r>
            <w:proofErr w:type="spellEnd"/>
            <w:r w:rsidRPr="00B642E6">
              <w:rPr>
                <w:rFonts w:eastAsia="Arial Unicode MS"/>
                <w:sz w:val="20"/>
                <w:szCs w:val="20"/>
                <w:shd w:val="clear" w:color="auto" w:fill="FFFFFF"/>
                <w:lang w:val="fr-FR"/>
              </w:rPr>
              <w:t xml:space="preserve">-un stat </w:t>
            </w:r>
            <w:proofErr w:type="gramStart"/>
            <w:r w:rsidRPr="00B642E6">
              <w:rPr>
                <w:rFonts w:eastAsia="Arial Unicode MS"/>
                <w:sz w:val="20"/>
                <w:szCs w:val="20"/>
                <w:shd w:val="clear" w:color="auto" w:fill="FFFFFF"/>
                <w:lang w:val="fr-FR"/>
              </w:rPr>
              <w:t>membru;</w:t>
            </w:r>
            <w:proofErr w:type="gramEnd"/>
          </w:p>
          <w:p w14:paraId="70A85B00" w14:textId="5CA1E6B9" w:rsidR="00B642E6" w:rsidRDefault="00B642E6" w:rsidP="00B642E6">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unitățile</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necesare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readucerea</w:t>
            </w:r>
            <w:proofErr w:type="spellEnd"/>
            <w:r w:rsidRPr="00B642E6">
              <w:rPr>
                <w:rFonts w:eastAsia="Arial Unicode MS"/>
                <w:sz w:val="20"/>
                <w:szCs w:val="20"/>
                <w:shd w:val="clear" w:color="auto" w:fill="FFFFFF"/>
                <w:lang w:val="fr-FR"/>
              </w:rPr>
              <w:t xml:space="preserve"> la o </w:t>
            </w:r>
            <w:proofErr w:type="spellStart"/>
            <w:r w:rsidRPr="00B642E6">
              <w:rPr>
                <w:rFonts w:eastAsia="Arial Unicode MS"/>
                <w:sz w:val="20"/>
                <w:szCs w:val="20"/>
                <w:shd w:val="clear" w:color="auto" w:fill="FFFFFF"/>
                <w:lang w:val="fr-FR"/>
              </w:rPr>
              <w:t>stare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ecologică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lastRenderedPageBreak/>
              <w:t>bună</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corpurilor</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apă</w:t>
            </w:r>
            <w:proofErr w:type="spell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suprafață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menționate</w:t>
            </w:r>
            <w:proofErr w:type="spellEnd"/>
            <w:r w:rsidRPr="00B642E6">
              <w:rPr>
                <w:rFonts w:eastAsia="Arial Unicode MS"/>
                <w:sz w:val="20"/>
                <w:szCs w:val="20"/>
                <w:shd w:val="clear" w:color="auto" w:fill="FFFFFF"/>
                <w:lang w:val="fr-FR"/>
              </w:rPr>
              <w:t xml:space="preserve"> la </w:t>
            </w:r>
            <w:proofErr w:type="spellStart"/>
            <w:r w:rsidRPr="00B642E6">
              <w:rPr>
                <w:rFonts w:eastAsia="Arial Unicode MS"/>
                <w:sz w:val="20"/>
                <w:szCs w:val="20"/>
                <w:shd w:val="clear" w:color="auto" w:fill="FFFFFF"/>
                <w:lang w:val="fr-FR"/>
              </w:rPr>
              <w:t>articolul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4 </w:t>
            </w:r>
            <w:proofErr w:type="spellStart"/>
            <w:r w:rsidRPr="00B642E6">
              <w:rPr>
                <w:rFonts w:eastAsia="Arial Unicode MS"/>
                <w:sz w:val="20"/>
                <w:szCs w:val="20"/>
                <w:shd w:val="clear" w:color="auto" w:fill="FFFFFF"/>
                <w:lang w:val="fr-FR"/>
              </w:rPr>
              <w:t>alineatul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(1) litera</w:t>
            </w:r>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(a) </w:t>
            </w:r>
            <w:proofErr w:type="spellStart"/>
            <w:r w:rsidRPr="00B642E6">
              <w:rPr>
                <w:rFonts w:eastAsia="Arial Unicode MS"/>
                <w:sz w:val="20"/>
                <w:szCs w:val="20"/>
                <w:shd w:val="clear" w:color="auto" w:fill="FFFFFF"/>
                <w:lang w:val="fr-FR"/>
              </w:rPr>
              <w:t>punctul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(iii)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2000/60/CE </w:t>
            </w:r>
            <w:proofErr w:type="spellStart"/>
            <w:r w:rsidRPr="00B642E6">
              <w:rPr>
                <w:rFonts w:eastAsia="Arial Unicode MS"/>
                <w:sz w:val="20"/>
                <w:szCs w:val="20"/>
                <w:shd w:val="clear" w:color="auto" w:fill="FFFFFF"/>
                <w:lang w:val="fr-FR"/>
              </w:rPr>
              <w:t>sau</w:t>
            </w:r>
            <w:proofErr w:type="spellEnd"/>
            <w:r w:rsidRPr="00B642E6">
              <w:rPr>
                <w:rFonts w:eastAsia="Arial Unicode MS"/>
                <w:sz w:val="20"/>
                <w:szCs w:val="20"/>
                <w:shd w:val="clear" w:color="auto" w:fill="FFFFFF"/>
                <w:lang w:val="fr-FR"/>
              </w:rPr>
              <w:t xml:space="preserve"> al </w:t>
            </w:r>
            <w:proofErr w:type="spellStart"/>
            <w:r w:rsidRPr="00B642E6">
              <w:rPr>
                <w:rFonts w:eastAsia="Arial Unicode MS"/>
                <w:sz w:val="20"/>
                <w:szCs w:val="20"/>
                <w:shd w:val="clear" w:color="auto" w:fill="FFFFFF"/>
                <w:lang w:val="fr-FR"/>
              </w:rPr>
              <w:t>măsurilor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necesare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readucerea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corpurilor</w:t>
            </w:r>
            <w:proofErr w:type="spellEnd"/>
            <w:r w:rsidRPr="00B642E6">
              <w:rPr>
                <w:rFonts w:eastAsia="Arial Unicode MS"/>
                <w:sz w:val="20"/>
                <w:szCs w:val="20"/>
                <w:shd w:val="clear" w:color="auto" w:fill="FFFFFF"/>
                <w:lang w:val="fr-FR"/>
              </w:rPr>
              <w:t xml:space="preserve"> respective la o </w:t>
            </w:r>
            <w:proofErr w:type="spellStart"/>
            <w:r w:rsidRPr="00B642E6">
              <w:rPr>
                <w:rFonts w:eastAsia="Arial Unicode MS"/>
                <w:sz w:val="20"/>
                <w:szCs w:val="20"/>
                <w:shd w:val="clear" w:color="auto" w:fill="FFFFFF"/>
                <w:lang w:val="fr-FR"/>
              </w:rPr>
              <w:t>stare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ecologică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foarte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bună</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cazul</w:t>
            </w:r>
            <w:proofErr w:type="spellEnd"/>
            <w:r w:rsidRPr="00B642E6">
              <w:rPr>
                <w:rFonts w:eastAsia="Arial Unicode MS"/>
                <w:sz w:val="20"/>
                <w:szCs w:val="20"/>
                <w:shd w:val="clear" w:color="auto" w:fill="FFFFFF"/>
                <w:lang w:val="fr-FR"/>
              </w:rPr>
              <w:t xml:space="preserve"> în care </w:t>
            </w:r>
            <w:proofErr w:type="spellStart"/>
            <w:r w:rsidRPr="00B642E6">
              <w:rPr>
                <w:rFonts w:eastAsia="Arial Unicode MS"/>
                <w:sz w:val="20"/>
                <w:szCs w:val="20"/>
                <w:shd w:val="clear" w:color="auto" w:fill="FFFFFF"/>
                <w:lang w:val="fr-FR"/>
              </w:rPr>
              <w:t>legea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impune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acest</w:t>
            </w:r>
            <w:proofErr w:type="spellEnd"/>
            <w:r w:rsidRPr="00B642E6">
              <w:rPr>
                <w:rFonts w:eastAsia="Arial Unicode MS"/>
                <w:sz w:val="20"/>
                <w:szCs w:val="20"/>
                <w:shd w:val="clear" w:color="auto" w:fill="FFFFFF"/>
                <w:lang w:val="fr-FR"/>
              </w:rPr>
              <w:t xml:space="preserve"> </w:t>
            </w:r>
            <w:proofErr w:type="spellStart"/>
            <w:proofErr w:type="gramStart"/>
            <w:r w:rsidRPr="00B642E6">
              <w:rPr>
                <w:rFonts w:eastAsia="Arial Unicode MS"/>
                <w:sz w:val="20"/>
                <w:szCs w:val="20"/>
                <w:shd w:val="clear" w:color="auto" w:fill="FFFFFF"/>
                <w:lang w:val="fr-FR"/>
              </w:rPr>
              <w:t>lucru</w:t>
            </w:r>
            <w:proofErr w:type="spellEnd"/>
            <w:r w:rsidRPr="00B642E6">
              <w:rPr>
                <w:rFonts w:eastAsia="Arial Unicode MS"/>
                <w:sz w:val="20"/>
                <w:szCs w:val="20"/>
                <w:shd w:val="clear" w:color="auto" w:fill="FFFFFF"/>
                <w:lang w:val="fr-FR"/>
              </w:rPr>
              <w:t>;</w:t>
            </w:r>
            <w:proofErr w:type="gramEnd"/>
          </w:p>
          <w:p w14:paraId="5B2A93CA" w14:textId="0A445F49" w:rsidR="00B642E6" w:rsidRDefault="00B642E6" w:rsidP="00B642E6">
            <w:pPr>
              <w:pStyle w:val="ti-grseq-1"/>
              <w:shd w:val="clear" w:color="auto" w:fill="FFFFFF"/>
              <w:spacing w:before="0" w:beforeAutospacing="0" w:after="0" w:afterAutospacing="0"/>
              <w:ind w:left="720"/>
              <w:jc w:val="both"/>
              <w:rPr>
                <w:rFonts w:eastAsia="Arial Unicode MS"/>
                <w:sz w:val="20"/>
                <w:szCs w:val="20"/>
                <w:shd w:val="clear" w:color="auto" w:fill="FFFFFF"/>
                <w:lang w:val="fr-FR"/>
              </w:rPr>
            </w:pPr>
            <w:proofErr w:type="spellStart"/>
            <w:proofErr w:type="gramStart"/>
            <w:r w:rsidRPr="00B642E6">
              <w:rPr>
                <w:rFonts w:eastAsia="Arial Unicode MS"/>
                <w:sz w:val="20"/>
                <w:szCs w:val="20"/>
                <w:shd w:val="clear" w:color="auto" w:fill="FFFFFF"/>
                <w:lang w:val="fr-FR"/>
              </w:rPr>
              <w:t>unitățile</w:t>
            </w:r>
            <w:proofErr w:type="spellEnd"/>
            <w:proofErr w:type="gramEnd"/>
            <w:r w:rsidRPr="00B642E6">
              <w:rPr>
                <w:rFonts w:eastAsia="Arial Unicode MS"/>
                <w:sz w:val="20"/>
                <w:szCs w:val="20"/>
                <w:shd w:val="clear" w:color="auto" w:fill="FFFFFF"/>
                <w:lang w:val="fr-FR"/>
              </w:rPr>
              <w:t xml:space="preserve"> de </w:t>
            </w:r>
            <w:proofErr w:type="spellStart"/>
            <w:r w:rsidRPr="00B642E6">
              <w:rPr>
                <w:rFonts w:eastAsia="Arial Unicode MS"/>
                <w:sz w:val="20"/>
                <w:szCs w:val="20"/>
                <w:shd w:val="clear" w:color="auto" w:fill="FFFFFF"/>
                <w:lang w:val="fr-FR"/>
              </w:rPr>
              <w:t>teren</w:t>
            </w:r>
            <w:proofErr w:type="spellEnd"/>
            <w:r w:rsidRPr="00B642E6">
              <w:rPr>
                <w:rFonts w:eastAsia="Arial Unicode MS"/>
                <w:sz w:val="20"/>
                <w:szCs w:val="20"/>
                <w:shd w:val="clear" w:color="auto" w:fill="FFFFFF"/>
                <w:lang w:val="fr-FR"/>
              </w:rPr>
              <w:t xml:space="preserve"> care fac </w:t>
            </w:r>
            <w:proofErr w:type="spellStart"/>
            <w:r w:rsidRPr="00B642E6">
              <w:rPr>
                <w:rFonts w:eastAsia="Arial Unicode MS"/>
                <w:sz w:val="20"/>
                <w:szCs w:val="20"/>
                <w:shd w:val="clear" w:color="auto" w:fill="FFFFFF"/>
                <w:lang w:val="fr-FR"/>
              </w:rPr>
              <w:t>obiectul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măsurilor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pentru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recrearea</w:t>
            </w:r>
            <w:proofErr w:type="spellEnd"/>
            <w:r w:rsidRPr="00B642E6">
              <w:rPr>
                <w:rFonts w:eastAsia="Arial Unicode MS"/>
                <w:sz w:val="20"/>
                <w:szCs w:val="20"/>
                <w:shd w:val="clear" w:color="auto" w:fill="FFFFFF"/>
                <w:lang w:val="fr-FR"/>
              </w:rPr>
              <w:t xml:space="preserve"> și </w:t>
            </w:r>
            <w:proofErr w:type="spellStart"/>
            <w:r w:rsidRPr="00B642E6">
              <w:rPr>
                <w:rFonts w:eastAsia="Arial Unicode MS"/>
                <w:sz w:val="20"/>
                <w:szCs w:val="20"/>
                <w:shd w:val="clear" w:color="auto" w:fill="FFFFFF"/>
                <w:lang w:val="fr-FR"/>
              </w:rPr>
              <w:t>refacerea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zonelor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umede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astfel</w:t>
            </w:r>
            <w:proofErr w:type="spellEnd"/>
            <w:r w:rsidRPr="00B642E6">
              <w:rPr>
                <w:rFonts w:eastAsia="Arial Unicode MS"/>
                <w:sz w:val="20"/>
                <w:szCs w:val="20"/>
                <w:shd w:val="clear" w:color="auto" w:fill="FFFFFF"/>
                <w:lang w:val="fr-FR"/>
              </w:rPr>
              <w:t xml:space="preserve"> cum se </w:t>
            </w:r>
            <w:proofErr w:type="spellStart"/>
            <w:r w:rsidRPr="00B642E6">
              <w:rPr>
                <w:rFonts w:eastAsia="Arial Unicode MS"/>
                <w:sz w:val="20"/>
                <w:szCs w:val="20"/>
                <w:shd w:val="clear" w:color="auto" w:fill="FFFFFF"/>
                <w:lang w:val="fr-FR"/>
              </w:rPr>
              <w:t>menționează</w:t>
            </w:r>
            <w:proofErr w:type="spellEnd"/>
            <w:r w:rsidRPr="00B642E6">
              <w:rPr>
                <w:rFonts w:eastAsia="Arial Unicode MS"/>
                <w:sz w:val="20"/>
                <w:szCs w:val="20"/>
                <w:shd w:val="clear" w:color="auto" w:fill="FFFFFF"/>
                <w:lang w:val="fr-FR"/>
              </w:rPr>
              <w:t xml:space="preserve"> în </w:t>
            </w:r>
            <w:proofErr w:type="spellStart"/>
            <w:r w:rsidRPr="00B642E6">
              <w:rPr>
                <w:rFonts w:eastAsia="Arial Unicode MS"/>
                <w:sz w:val="20"/>
                <w:szCs w:val="20"/>
                <w:shd w:val="clear" w:color="auto" w:fill="FFFFFF"/>
                <w:lang w:val="fr-FR"/>
              </w:rPr>
              <w:t>partea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B </w:t>
            </w:r>
            <w:proofErr w:type="spellStart"/>
            <w:r w:rsidRPr="00B642E6">
              <w:rPr>
                <w:rFonts w:eastAsia="Arial Unicode MS"/>
                <w:sz w:val="20"/>
                <w:szCs w:val="20"/>
                <w:shd w:val="clear" w:color="auto" w:fill="FFFFFF"/>
                <w:lang w:val="fr-FR"/>
              </w:rPr>
              <w:t>punctul</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(vii) </w:t>
            </w:r>
            <w:proofErr w:type="spellStart"/>
            <w:r w:rsidRPr="00B642E6">
              <w:rPr>
                <w:rFonts w:eastAsia="Arial Unicode MS"/>
                <w:sz w:val="20"/>
                <w:szCs w:val="20"/>
                <w:shd w:val="clear" w:color="auto" w:fill="FFFFFF"/>
                <w:lang w:val="fr-FR"/>
              </w:rPr>
              <w:t>din</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anexa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VI la </w:t>
            </w:r>
            <w:proofErr w:type="spellStart"/>
            <w:r w:rsidRPr="00B642E6">
              <w:rPr>
                <w:rFonts w:eastAsia="Arial Unicode MS"/>
                <w:sz w:val="20"/>
                <w:szCs w:val="20"/>
                <w:shd w:val="clear" w:color="auto" w:fill="FFFFFF"/>
                <w:lang w:val="fr-FR"/>
              </w:rPr>
              <w:t>Directiva</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2000/60/CE;</w:t>
            </w:r>
          </w:p>
          <w:p w14:paraId="0EBA467C" w14:textId="36E3F172" w:rsidR="00B642E6" w:rsidRPr="00B642E6" w:rsidRDefault="00B642E6" w:rsidP="00B642E6">
            <w:pPr>
              <w:pStyle w:val="ti-grseq-1"/>
              <w:shd w:val="clear" w:color="auto" w:fill="FFFFFF"/>
              <w:spacing w:before="0" w:beforeAutospacing="0" w:after="0" w:afterAutospacing="0"/>
              <w:ind w:left="720"/>
              <w:jc w:val="both"/>
              <w:rPr>
                <w:sz w:val="20"/>
                <w:szCs w:val="20"/>
                <w:lang w:val="fr-FR"/>
              </w:rPr>
            </w:pPr>
            <w:r w:rsidRPr="00B642E6">
              <w:rPr>
                <w:rFonts w:eastAsia="Arial Unicode MS"/>
                <w:sz w:val="20"/>
                <w:szCs w:val="20"/>
                <w:shd w:val="clear" w:color="auto" w:fill="FFFFFF"/>
                <w:lang w:val="fr-FR"/>
              </w:rPr>
              <w:t>-</w:t>
            </w:r>
            <w:proofErr w:type="spellStart"/>
            <w:r w:rsidRPr="00B642E6">
              <w:rPr>
                <w:rFonts w:eastAsia="Arial Unicode MS"/>
                <w:sz w:val="20"/>
                <w:szCs w:val="20"/>
                <w:shd w:val="clear" w:color="auto" w:fill="FFFFFF"/>
                <w:lang w:val="fr-FR"/>
              </w:rPr>
              <w:t>zonele</w:t>
            </w:r>
            <w:proofErr w:type="spellEnd"/>
            <w:r w:rsidRPr="00B642E6">
              <w:rPr>
                <w:rFonts w:eastAsia="Arial Unicode MS"/>
                <w:sz w:val="20"/>
                <w:szCs w:val="20"/>
                <w:shd w:val="clear" w:color="auto" w:fill="FFFFFF"/>
                <w:lang w:val="fr-FR"/>
              </w:rPr>
              <w:t xml:space="preserve"> care </w:t>
            </w:r>
            <w:proofErr w:type="spellStart"/>
            <w:r w:rsidRPr="00B642E6">
              <w:rPr>
                <w:rFonts w:eastAsia="Arial Unicode MS"/>
                <w:sz w:val="20"/>
                <w:szCs w:val="20"/>
                <w:shd w:val="clear" w:color="auto" w:fill="FFFFFF"/>
                <w:lang w:val="fr-FR"/>
              </w:rPr>
              <w:t>necesită</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refacerea</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ecosistemelor</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astfel</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încât</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să</w:t>
            </w:r>
            <w:proofErr w:type="spellEnd"/>
            <w:r w:rsidRPr="00B642E6">
              <w:rPr>
                <w:rFonts w:eastAsia="Arial Unicode MS"/>
                <w:sz w:val="20"/>
                <w:szCs w:val="20"/>
                <w:shd w:val="clear" w:color="auto" w:fill="FFFFFF"/>
                <w:lang w:val="fr-FR"/>
              </w:rPr>
              <w:t xml:space="preserve"> se </w:t>
            </w:r>
            <w:proofErr w:type="spellStart"/>
            <w:r w:rsidRPr="00B642E6">
              <w:rPr>
                <w:rFonts w:eastAsia="Arial Unicode MS"/>
                <w:sz w:val="20"/>
                <w:szCs w:val="20"/>
                <w:shd w:val="clear" w:color="auto" w:fill="FFFFFF"/>
                <w:lang w:val="fr-FR"/>
              </w:rPr>
              <w:t>obțină</w:t>
            </w:r>
            <w:proofErr w:type="spellEnd"/>
            <w:r w:rsidRPr="00B642E6">
              <w:rPr>
                <w:rFonts w:eastAsia="Arial Unicode MS"/>
                <w:sz w:val="20"/>
                <w:szCs w:val="20"/>
                <w:shd w:val="clear" w:color="auto" w:fill="FFFFFF"/>
                <w:lang w:val="fr-FR"/>
              </w:rPr>
              <w:t xml:space="preserve"> o </w:t>
            </w:r>
            <w:proofErr w:type="spellStart"/>
            <w:r w:rsidRPr="00B642E6">
              <w:rPr>
                <w:rFonts w:eastAsia="Arial Unicode MS"/>
                <w:sz w:val="20"/>
                <w:szCs w:val="20"/>
                <w:shd w:val="clear" w:color="auto" w:fill="FFFFFF"/>
                <w:lang w:val="fr-FR"/>
              </w:rPr>
              <w:t>stare</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bună</w:t>
            </w:r>
            <w:proofErr w:type="spellEnd"/>
            <w:r w:rsidRPr="00B642E6">
              <w:rPr>
                <w:rFonts w:eastAsia="Arial Unicode MS"/>
                <w:sz w:val="20"/>
                <w:szCs w:val="20"/>
                <w:shd w:val="clear" w:color="auto" w:fill="FFFFFF"/>
                <w:lang w:val="fr-FR"/>
              </w:rPr>
              <w:t xml:space="preserve"> a </w:t>
            </w:r>
            <w:proofErr w:type="spellStart"/>
            <w:r w:rsidRPr="00B642E6">
              <w:rPr>
                <w:rFonts w:eastAsia="Arial Unicode MS"/>
                <w:sz w:val="20"/>
                <w:szCs w:val="20"/>
                <w:shd w:val="clear" w:color="auto" w:fill="FFFFFF"/>
                <w:lang w:val="fr-FR"/>
              </w:rPr>
              <w:t>ecosistemului</w:t>
            </w:r>
            <w:proofErr w:type="spellEnd"/>
            <w:r w:rsidRPr="00B642E6">
              <w:rPr>
                <w:rFonts w:eastAsia="Arial Unicode MS"/>
                <w:sz w:val="20"/>
                <w:szCs w:val="20"/>
                <w:shd w:val="clear" w:color="auto" w:fill="FFFFFF"/>
                <w:lang w:val="fr-FR"/>
              </w:rPr>
              <w:t xml:space="preserve"> în conformitate </w:t>
            </w:r>
            <w:proofErr w:type="spellStart"/>
            <w:r w:rsidRPr="00B642E6">
              <w:rPr>
                <w:rFonts w:eastAsia="Arial Unicode MS"/>
                <w:sz w:val="20"/>
                <w:szCs w:val="20"/>
                <w:shd w:val="clear" w:color="auto" w:fill="FFFFFF"/>
                <w:lang w:val="fr-FR"/>
              </w:rPr>
              <w:t>cu</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Regulamentul</w:t>
            </w:r>
            <w:proofErr w:type="spellEnd"/>
            <w:r w:rsidRPr="00B642E6">
              <w:rPr>
                <w:rFonts w:eastAsia="Arial Unicode MS"/>
                <w:sz w:val="20"/>
                <w:szCs w:val="20"/>
                <w:shd w:val="clear" w:color="auto" w:fill="FFFFFF"/>
                <w:lang w:val="fr-FR"/>
              </w:rPr>
              <w:t xml:space="preserve"> (UE)</w:t>
            </w:r>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 xml:space="preserve">2020/852 al </w:t>
            </w:r>
            <w:proofErr w:type="spellStart"/>
            <w:r w:rsidRPr="00B642E6">
              <w:rPr>
                <w:rFonts w:eastAsia="Arial Unicode MS"/>
                <w:sz w:val="20"/>
                <w:szCs w:val="20"/>
                <w:shd w:val="clear" w:color="auto" w:fill="FFFFFF"/>
                <w:lang w:val="fr-FR"/>
              </w:rPr>
              <w:t>Parlamentului</w:t>
            </w:r>
            <w:proofErr w:type="spellEnd"/>
            <w:r w:rsidRPr="00B642E6">
              <w:rPr>
                <w:rFonts w:eastAsia="Arial Unicode MS"/>
                <w:sz w:val="20"/>
                <w:szCs w:val="20"/>
                <w:shd w:val="clear" w:color="auto" w:fill="FFFFFF"/>
                <w:lang w:val="fr-FR"/>
              </w:rPr>
              <w:t xml:space="preserve"> </w:t>
            </w:r>
            <w:proofErr w:type="spellStart"/>
            <w:r w:rsidRPr="00B642E6">
              <w:rPr>
                <w:rFonts w:eastAsia="Arial Unicode MS"/>
                <w:sz w:val="20"/>
                <w:szCs w:val="20"/>
                <w:shd w:val="clear" w:color="auto" w:fill="FFFFFF"/>
                <w:lang w:val="fr-FR"/>
              </w:rPr>
              <w:t>European</w:t>
            </w:r>
            <w:proofErr w:type="spellEnd"/>
            <w:r w:rsidRPr="00B642E6">
              <w:rPr>
                <w:rFonts w:eastAsia="Arial Unicode MS"/>
                <w:sz w:val="20"/>
                <w:szCs w:val="20"/>
                <w:shd w:val="clear" w:color="auto" w:fill="FFFFFF"/>
                <w:lang w:val="fr-FR"/>
              </w:rPr>
              <w:t xml:space="preserve"> și al </w:t>
            </w:r>
            <w:proofErr w:type="spellStart"/>
            <w:r w:rsidRPr="00B642E6">
              <w:rPr>
                <w:rFonts w:eastAsia="Arial Unicode MS"/>
                <w:sz w:val="20"/>
                <w:szCs w:val="20"/>
                <w:shd w:val="clear" w:color="auto" w:fill="FFFFFF"/>
                <w:lang w:val="fr-FR"/>
              </w:rPr>
              <w:t>Consiliului</w:t>
            </w:r>
            <w:proofErr w:type="spellEnd"/>
            <w:r>
              <w:rPr>
                <w:rFonts w:eastAsia="Arial Unicode MS"/>
                <w:sz w:val="20"/>
                <w:szCs w:val="20"/>
                <w:shd w:val="clear" w:color="auto" w:fill="FFFFFF"/>
                <w:lang w:val="fr-FR"/>
              </w:rPr>
              <w:t xml:space="preserve"> </w:t>
            </w:r>
            <w:r w:rsidRPr="00B642E6">
              <w:rPr>
                <w:rFonts w:eastAsia="Arial Unicode MS"/>
                <w:sz w:val="20"/>
                <w:szCs w:val="20"/>
                <w:shd w:val="clear" w:color="auto" w:fill="FFFFFF"/>
                <w:lang w:val="fr-FR"/>
              </w:rPr>
              <w:t>(</w:t>
            </w:r>
            <w:hyperlink r:id="rId124" w:anchor="E0041" w:history="1">
              <w:r w:rsidRPr="00B642E6">
                <w:rPr>
                  <w:rStyle w:val="superscript"/>
                  <w:rFonts w:eastAsia="Arial Unicode MS"/>
                  <w:sz w:val="20"/>
                  <w:szCs w:val="20"/>
                  <w:shd w:val="clear" w:color="auto" w:fill="FFFFFF"/>
                  <w:vertAlign w:val="superscript"/>
                  <w:lang w:val="fr-FR"/>
                </w:rPr>
                <w:t>38</w:t>
              </w:r>
            </w:hyperlink>
            <w:proofErr w:type="gramStart"/>
            <w:r w:rsidRPr="00B642E6">
              <w:rPr>
                <w:rFonts w:eastAsia="Arial Unicode MS"/>
                <w:sz w:val="20"/>
                <w:szCs w:val="20"/>
                <w:shd w:val="clear" w:color="auto" w:fill="FFFFFF"/>
                <w:lang w:val="fr-FR"/>
              </w:rPr>
              <w:t>);</w:t>
            </w:r>
            <w:proofErr w:type="gramEnd"/>
          </w:p>
          <w:p w14:paraId="30B8E4BD" w14:textId="3118C576" w:rsidR="00DA5A25" w:rsidRPr="00B642E6" w:rsidRDefault="00B642E6" w:rsidP="00DA5A25">
            <w:pPr>
              <w:pStyle w:val="ti-grseq-1"/>
              <w:numPr>
                <w:ilvl w:val="0"/>
                <w:numId w:val="251"/>
              </w:numPr>
              <w:shd w:val="clear" w:color="auto" w:fill="FFFFFF"/>
              <w:spacing w:before="0" w:beforeAutospacing="0" w:after="0" w:afterAutospacing="0"/>
              <w:jc w:val="both"/>
              <w:rPr>
                <w:sz w:val="20"/>
                <w:szCs w:val="20"/>
                <w:lang w:val="ro-MD"/>
              </w:rPr>
            </w:pPr>
            <w:r w:rsidRPr="00B642E6">
              <w:rPr>
                <w:rFonts w:eastAsia="Arial Unicode MS"/>
                <w:sz w:val="20"/>
                <w:szCs w:val="20"/>
                <w:shd w:val="clear" w:color="auto" w:fill="FFFFFF"/>
              </w:rPr>
              <w:t xml:space="preserve">un </w:t>
            </w:r>
            <w:proofErr w:type="spellStart"/>
            <w:r w:rsidRPr="00B642E6">
              <w:rPr>
                <w:rFonts w:eastAsia="Arial Unicode MS"/>
                <w:sz w:val="20"/>
                <w:szCs w:val="20"/>
                <w:shd w:val="clear" w:color="auto" w:fill="FFFFFF"/>
              </w:rPr>
              <w:t>sistem</w:t>
            </w:r>
            <w:proofErr w:type="spellEnd"/>
            <w:r w:rsidRPr="00B642E6">
              <w:rPr>
                <w:rFonts w:eastAsia="Arial Unicode MS"/>
                <w:sz w:val="20"/>
                <w:szCs w:val="20"/>
                <w:shd w:val="clear" w:color="auto" w:fill="FFFFFF"/>
              </w:rPr>
              <w:t xml:space="preserve"> de </w:t>
            </w:r>
            <w:proofErr w:type="spellStart"/>
            <w:r w:rsidRPr="00B642E6">
              <w:rPr>
                <w:rFonts w:eastAsia="Arial Unicode MS"/>
                <w:sz w:val="20"/>
                <w:szCs w:val="20"/>
                <w:shd w:val="clear" w:color="auto" w:fill="FFFFFF"/>
              </w:rPr>
              <w:t>monitorizare</w:t>
            </w:r>
            <w:proofErr w:type="spellEnd"/>
            <w:r w:rsidRPr="00B642E6">
              <w:rPr>
                <w:rFonts w:eastAsia="Arial Unicode MS"/>
                <w:sz w:val="20"/>
                <w:szCs w:val="20"/>
                <w:shd w:val="clear" w:color="auto" w:fill="FFFFFF"/>
              </w:rPr>
              <w:t xml:space="preserve"> a </w:t>
            </w:r>
            <w:proofErr w:type="spellStart"/>
            <w:r w:rsidRPr="00B642E6">
              <w:rPr>
                <w:rFonts w:eastAsia="Arial Unicode MS"/>
                <w:sz w:val="20"/>
                <w:szCs w:val="20"/>
                <w:shd w:val="clear" w:color="auto" w:fill="FFFFFF"/>
              </w:rPr>
              <w:t>următoarelor</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unități</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privind</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destinația</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terenurilor</w:t>
            </w:r>
            <w:proofErr w:type="spellEnd"/>
            <w:r w:rsidRPr="00B642E6">
              <w:rPr>
                <w:rFonts w:eastAsia="Arial Unicode MS"/>
                <w:sz w:val="20"/>
                <w:szCs w:val="20"/>
                <w:shd w:val="clear" w:color="auto" w:fill="FFFFFF"/>
              </w:rPr>
              <w:t xml:space="preserve"> cu </w:t>
            </w:r>
            <w:proofErr w:type="spellStart"/>
            <w:r w:rsidRPr="00B642E6">
              <w:rPr>
                <w:rFonts w:eastAsia="Arial Unicode MS"/>
                <w:sz w:val="20"/>
                <w:szCs w:val="20"/>
                <w:shd w:val="clear" w:color="auto" w:fill="FFFFFF"/>
              </w:rPr>
              <w:t>risc</w:t>
            </w:r>
            <w:proofErr w:type="spellEnd"/>
            <w:r w:rsidRPr="00B642E6">
              <w:rPr>
                <w:rFonts w:eastAsia="Arial Unicode MS"/>
                <w:sz w:val="20"/>
                <w:szCs w:val="20"/>
                <w:shd w:val="clear" w:color="auto" w:fill="FFFFFF"/>
              </w:rPr>
              <w:t xml:space="preserve"> climatic </w:t>
            </w:r>
            <w:proofErr w:type="spellStart"/>
            <w:r w:rsidRPr="00B642E6">
              <w:rPr>
                <w:rFonts w:eastAsia="Arial Unicode MS"/>
                <w:sz w:val="20"/>
                <w:szCs w:val="20"/>
                <w:shd w:val="clear" w:color="auto" w:fill="FFFFFF"/>
              </w:rPr>
              <w:t>ridicat</w:t>
            </w:r>
            <w:proofErr w:type="spellEnd"/>
            <w:r w:rsidRPr="00B642E6">
              <w:rPr>
                <w:rFonts w:eastAsia="Arial Unicode MS"/>
                <w:sz w:val="20"/>
                <w:szCs w:val="20"/>
                <w:shd w:val="clear" w:color="auto" w:fill="FFFFFF"/>
              </w:rPr>
              <w:t>:</w:t>
            </w:r>
          </w:p>
          <w:p w14:paraId="52F30970" w14:textId="2E9EF06F" w:rsidR="00B642E6" w:rsidRPr="004F2FF4" w:rsidRDefault="00B642E6" w:rsidP="00B642E6">
            <w:pPr>
              <w:pStyle w:val="ti-grseq-1"/>
              <w:numPr>
                <w:ilvl w:val="0"/>
                <w:numId w:val="7"/>
              </w:numPr>
              <w:shd w:val="clear" w:color="auto" w:fill="FFFFFF"/>
              <w:spacing w:before="0" w:beforeAutospacing="0" w:after="0" w:afterAutospacing="0"/>
              <w:jc w:val="both"/>
              <w:rPr>
                <w:sz w:val="20"/>
                <w:szCs w:val="20"/>
                <w:lang w:val="ro-MD"/>
              </w:rPr>
            </w:pPr>
            <w:proofErr w:type="spellStart"/>
            <w:r w:rsidRPr="00B642E6">
              <w:rPr>
                <w:rFonts w:eastAsia="Arial Unicode MS"/>
                <w:sz w:val="20"/>
                <w:szCs w:val="20"/>
                <w:shd w:val="clear" w:color="auto" w:fill="FFFFFF"/>
              </w:rPr>
              <w:t>zonele</w:t>
            </w:r>
            <w:proofErr w:type="spellEnd"/>
            <w:r w:rsidRPr="00B642E6">
              <w:rPr>
                <w:rFonts w:eastAsia="Arial Unicode MS"/>
                <w:sz w:val="20"/>
                <w:szCs w:val="20"/>
                <w:shd w:val="clear" w:color="auto" w:fill="FFFFFF"/>
              </w:rPr>
              <w:t xml:space="preserve"> care fac </w:t>
            </w:r>
            <w:proofErr w:type="spellStart"/>
            <w:r w:rsidRPr="00B642E6">
              <w:rPr>
                <w:rFonts w:eastAsia="Arial Unicode MS"/>
                <w:sz w:val="20"/>
                <w:szCs w:val="20"/>
                <w:shd w:val="clear" w:color="auto" w:fill="FFFFFF"/>
              </w:rPr>
              <w:t>obiectul</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compensării</w:t>
            </w:r>
            <w:proofErr w:type="spellEnd"/>
            <w:r w:rsidRPr="00B642E6">
              <w:rPr>
                <w:rFonts w:eastAsia="Arial Unicode MS"/>
                <w:sz w:val="20"/>
                <w:szCs w:val="20"/>
                <w:shd w:val="clear" w:color="auto" w:fill="FFFFFF"/>
              </w:rPr>
              <w:t xml:space="preserve"> în </w:t>
            </w:r>
            <w:proofErr w:type="spellStart"/>
            <w:r w:rsidRPr="00B642E6">
              <w:rPr>
                <w:rFonts w:eastAsia="Arial Unicode MS"/>
                <w:sz w:val="20"/>
                <w:szCs w:val="20"/>
                <w:shd w:val="clear" w:color="auto" w:fill="FFFFFF"/>
              </w:rPr>
              <w:t>temeiul</w:t>
            </w:r>
            <w:proofErr w:type="spellEnd"/>
            <w:r w:rsidRPr="00B642E6">
              <w:rPr>
                <w:rFonts w:eastAsia="Arial Unicode MS"/>
                <w:sz w:val="20"/>
                <w:szCs w:val="20"/>
                <w:shd w:val="clear" w:color="auto" w:fill="FFFFFF"/>
              </w:rPr>
              <w:t xml:space="preserve"> </w:t>
            </w:r>
            <w:proofErr w:type="spellStart"/>
            <w:r w:rsidRPr="00B642E6">
              <w:rPr>
                <w:rFonts w:eastAsia="Arial Unicode MS"/>
                <w:sz w:val="20"/>
                <w:szCs w:val="20"/>
                <w:shd w:val="clear" w:color="auto" w:fill="FFFFFF"/>
              </w:rPr>
              <w:t>articolului</w:t>
            </w:r>
            <w:proofErr w:type="spellEnd"/>
            <w:r>
              <w:rPr>
                <w:rFonts w:eastAsia="Arial Unicode MS"/>
                <w:sz w:val="20"/>
                <w:szCs w:val="20"/>
                <w:shd w:val="clear" w:color="auto" w:fill="FFFFFF"/>
              </w:rPr>
              <w:t xml:space="preserve"> </w:t>
            </w:r>
            <w:r w:rsidRPr="00B642E6">
              <w:rPr>
                <w:rFonts w:eastAsia="Arial Unicode MS"/>
                <w:sz w:val="20"/>
                <w:szCs w:val="20"/>
                <w:shd w:val="clear" w:color="auto" w:fill="FFFFFF"/>
              </w:rPr>
              <w:t xml:space="preserve">13b </w:t>
            </w:r>
            <w:proofErr w:type="spellStart"/>
            <w:r w:rsidRPr="00B642E6">
              <w:rPr>
                <w:rFonts w:eastAsia="Arial Unicode MS"/>
                <w:sz w:val="20"/>
                <w:szCs w:val="20"/>
                <w:shd w:val="clear" w:color="auto" w:fill="FFFFFF"/>
              </w:rPr>
              <w:t>alineatele</w:t>
            </w:r>
            <w:proofErr w:type="spellEnd"/>
            <w:r>
              <w:rPr>
                <w:rFonts w:eastAsia="Arial Unicode MS"/>
                <w:sz w:val="20"/>
                <w:szCs w:val="20"/>
                <w:shd w:val="clear" w:color="auto" w:fill="FFFFFF"/>
              </w:rPr>
              <w:t xml:space="preserve"> </w:t>
            </w:r>
            <w:r w:rsidRPr="00B642E6">
              <w:rPr>
                <w:rFonts w:eastAsia="Arial Unicode MS"/>
                <w:sz w:val="20"/>
                <w:szCs w:val="20"/>
                <w:shd w:val="clear" w:color="auto" w:fill="FFFFFF"/>
              </w:rPr>
              <w:t>(5) și</w:t>
            </w:r>
            <w:r>
              <w:rPr>
                <w:rFonts w:eastAsia="Arial Unicode MS"/>
                <w:sz w:val="20"/>
                <w:szCs w:val="20"/>
                <w:shd w:val="clear" w:color="auto" w:fill="FFFFFF"/>
              </w:rPr>
              <w:t xml:space="preserve"> </w:t>
            </w:r>
            <w:r w:rsidRPr="00B642E6">
              <w:rPr>
                <w:rFonts w:eastAsia="Arial Unicode MS"/>
                <w:sz w:val="20"/>
                <w:szCs w:val="20"/>
                <w:shd w:val="clear" w:color="auto" w:fill="FFFFFF"/>
              </w:rPr>
              <w:t xml:space="preserve">(6) din </w:t>
            </w:r>
            <w:proofErr w:type="spellStart"/>
            <w:r w:rsidRPr="00B642E6">
              <w:rPr>
                <w:rFonts w:eastAsia="Arial Unicode MS"/>
                <w:sz w:val="20"/>
                <w:szCs w:val="20"/>
                <w:shd w:val="clear" w:color="auto" w:fill="FFFFFF"/>
              </w:rPr>
              <w:t>Regulamentul</w:t>
            </w:r>
            <w:proofErr w:type="spellEnd"/>
            <w:r w:rsidRPr="00B642E6">
              <w:rPr>
                <w:rFonts w:eastAsia="Arial Unicode MS"/>
                <w:sz w:val="20"/>
                <w:szCs w:val="20"/>
                <w:shd w:val="clear" w:color="auto" w:fill="FFFFFF"/>
              </w:rPr>
              <w:t xml:space="preserve"> (UE)</w:t>
            </w:r>
            <w:r>
              <w:rPr>
                <w:rFonts w:eastAsia="Arial Unicode MS"/>
                <w:sz w:val="20"/>
                <w:szCs w:val="20"/>
                <w:shd w:val="clear" w:color="auto" w:fill="FFFFFF"/>
              </w:rPr>
              <w:t xml:space="preserve"> </w:t>
            </w:r>
            <w:r w:rsidRPr="00B642E6">
              <w:rPr>
                <w:rFonts w:eastAsia="Arial Unicode MS"/>
                <w:sz w:val="20"/>
                <w:szCs w:val="20"/>
                <w:shd w:val="clear" w:color="auto" w:fill="FFFFFF"/>
              </w:rPr>
              <w:t>2018/841;</w:t>
            </w:r>
          </w:p>
          <w:p w14:paraId="7D501727" w14:textId="06D6E80B" w:rsidR="004F2FF4" w:rsidRPr="004F2FF4" w:rsidRDefault="004F2FF4" w:rsidP="00B642E6">
            <w:pPr>
              <w:pStyle w:val="ti-grseq-1"/>
              <w:numPr>
                <w:ilvl w:val="0"/>
                <w:numId w:val="7"/>
              </w:numPr>
              <w:shd w:val="clear" w:color="auto" w:fill="FFFFFF"/>
              <w:spacing w:before="0" w:beforeAutospacing="0" w:after="0" w:afterAutospacing="0"/>
              <w:jc w:val="both"/>
              <w:rPr>
                <w:sz w:val="20"/>
                <w:szCs w:val="20"/>
                <w:lang w:val="ro-MD"/>
              </w:rPr>
            </w:pPr>
            <w:proofErr w:type="spellStart"/>
            <w:proofErr w:type="gramStart"/>
            <w:r w:rsidRPr="004F2FF4">
              <w:rPr>
                <w:rFonts w:eastAsia="Arial Unicode MS"/>
                <w:sz w:val="20"/>
                <w:szCs w:val="20"/>
                <w:shd w:val="clear" w:color="auto" w:fill="FFFFFF"/>
                <w:lang w:val="fr-FR"/>
              </w:rPr>
              <w:t>zonele</w:t>
            </w:r>
            <w:proofErr w:type="spellEnd"/>
            <w:proofErr w:type="gramEnd"/>
            <w:r w:rsidRPr="004F2FF4">
              <w:rPr>
                <w:rFonts w:eastAsia="Arial Unicode MS"/>
                <w:sz w:val="20"/>
                <w:szCs w:val="20"/>
                <w:shd w:val="clear" w:color="auto" w:fill="FFFFFF"/>
                <w:lang w:val="fr-FR"/>
              </w:rPr>
              <w:t xml:space="preserve"> </w:t>
            </w:r>
            <w:proofErr w:type="spellStart"/>
            <w:r w:rsidRPr="004F2FF4">
              <w:rPr>
                <w:rFonts w:eastAsia="Arial Unicode MS"/>
                <w:sz w:val="20"/>
                <w:szCs w:val="20"/>
                <w:shd w:val="clear" w:color="auto" w:fill="FFFFFF"/>
                <w:lang w:val="fr-FR"/>
              </w:rPr>
              <w:t>menționate</w:t>
            </w:r>
            <w:proofErr w:type="spellEnd"/>
            <w:r w:rsidRPr="004F2FF4">
              <w:rPr>
                <w:rFonts w:eastAsia="Arial Unicode MS"/>
                <w:sz w:val="20"/>
                <w:szCs w:val="20"/>
                <w:shd w:val="clear" w:color="auto" w:fill="FFFFFF"/>
                <w:lang w:val="fr-FR"/>
              </w:rPr>
              <w:t xml:space="preserve"> la </w:t>
            </w:r>
            <w:proofErr w:type="spellStart"/>
            <w:r w:rsidRPr="004F2FF4">
              <w:rPr>
                <w:rFonts w:eastAsia="Arial Unicode MS"/>
                <w:sz w:val="20"/>
                <w:szCs w:val="20"/>
                <w:shd w:val="clear" w:color="auto" w:fill="FFFFFF"/>
                <w:lang w:val="fr-FR"/>
              </w:rPr>
              <w:t>articolul</w:t>
            </w:r>
            <w:proofErr w:type="spellEnd"/>
            <w:r w:rsidRPr="004F2FF4">
              <w:rPr>
                <w:rFonts w:eastAsia="Arial Unicode MS"/>
                <w:sz w:val="20"/>
                <w:szCs w:val="20"/>
                <w:shd w:val="clear" w:color="auto" w:fill="FFFFFF"/>
                <w:lang w:val="fr-FR"/>
              </w:rPr>
              <w:t xml:space="preserve"> 5 </w:t>
            </w:r>
            <w:proofErr w:type="spellStart"/>
            <w:r w:rsidRPr="004F2FF4">
              <w:rPr>
                <w:rFonts w:eastAsia="Arial Unicode MS"/>
                <w:sz w:val="20"/>
                <w:szCs w:val="20"/>
                <w:shd w:val="clear" w:color="auto" w:fill="FFFFFF"/>
                <w:lang w:val="fr-FR"/>
              </w:rPr>
              <w:t>alineatul</w:t>
            </w:r>
            <w:proofErr w:type="spellEnd"/>
            <w:r w:rsidRPr="004F2FF4">
              <w:rPr>
                <w:rFonts w:eastAsia="Arial Unicode MS"/>
                <w:sz w:val="20"/>
                <w:szCs w:val="20"/>
                <w:shd w:val="clear" w:color="auto" w:fill="FFFFFF"/>
                <w:lang w:val="fr-FR"/>
              </w:rPr>
              <w:t xml:space="preserve"> (1) </w:t>
            </w:r>
            <w:proofErr w:type="spellStart"/>
            <w:r w:rsidRPr="004F2FF4">
              <w:rPr>
                <w:rFonts w:eastAsia="Arial Unicode MS"/>
                <w:sz w:val="20"/>
                <w:szCs w:val="20"/>
                <w:shd w:val="clear" w:color="auto" w:fill="FFFFFF"/>
                <w:lang w:val="fr-FR"/>
              </w:rPr>
              <w:t>din</w:t>
            </w:r>
            <w:proofErr w:type="spellEnd"/>
            <w:r w:rsidRPr="004F2FF4">
              <w:rPr>
                <w:rFonts w:eastAsia="Arial Unicode MS"/>
                <w:sz w:val="20"/>
                <w:szCs w:val="20"/>
                <w:shd w:val="clear" w:color="auto" w:fill="FFFFFF"/>
                <w:lang w:val="fr-FR"/>
              </w:rPr>
              <w:t xml:space="preserve"> </w:t>
            </w:r>
            <w:proofErr w:type="spellStart"/>
            <w:r w:rsidRPr="004F2FF4">
              <w:rPr>
                <w:rFonts w:eastAsia="Arial Unicode MS"/>
                <w:sz w:val="20"/>
                <w:szCs w:val="20"/>
                <w:shd w:val="clear" w:color="auto" w:fill="FFFFFF"/>
                <w:lang w:val="fr-FR"/>
              </w:rPr>
              <w:t>Directiva</w:t>
            </w:r>
            <w:proofErr w:type="spellEnd"/>
            <w:r w:rsidRPr="004F2FF4">
              <w:rPr>
                <w:rFonts w:eastAsia="Arial Unicode MS"/>
                <w:sz w:val="20"/>
                <w:szCs w:val="20"/>
                <w:shd w:val="clear" w:color="auto" w:fill="FFFFFF"/>
                <w:lang w:val="fr-FR"/>
              </w:rPr>
              <w:t xml:space="preserve"> 2007/60/CE;</w:t>
            </w:r>
          </w:p>
          <w:p w14:paraId="2FE2F864" w14:textId="78B30E1C" w:rsidR="004F2FF4" w:rsidRPr="004F2FF4" w:rsidRDefault="004F2FF4" w:rsidP="00B642E6">
            <w:pPr>
              <w:pStyle w:val="ti-grseq-1"/>
              <w:numPr>
                <w:ilvl w:val="0"/>
                <w:numId w:val="7"/>
              </w:numPr>
              <w:shd w:val="clear" w:color="auto" w:fill="FFFFFF"/>
              <w:spacing w:before="0" w:beforeAutospacing="0" w:after="0" w:afterAutospacing="0"/>
              <w:jc w:val="both"/>
              <w:rPr>
                <w:sz w:val="20"/>
                <w:szCs w:val="20"/>
                <w:lang w:val="ro-MD"/>
              </w:rPr>
            </w:pPr>
            <w:r w:rsidRPr="004F2FF4">
              <w:rPr>
                <w:rFonts w:eastAsia="Arial Unicode MS"/>
                <w:sz w:val="20"/>
                <w:szCs w:val="20"/>
                <w:shd w:val="clear" w:color="auto" w:fill="FFFFFF"/>
                <w:lang w:val="ro-MD"/>
              </w:rPr>
              <w:t>domeniile identificate în strategia națională de adaptare a statelor membre cu riscuri naturale și provocate de om ridicate, care fac obiectul unor măsuri de reducere a riscurilor de dezastre legate de schimbările climatice;</w:t>
            </w:r>
          </w:p>
          <w:p w14:paraId="0D5D02AC" w14:textId="5082F0BF" w:rsidR="00B642E6" w:rsidRPr="004F2FF4" w:rsidRDefault="004F2FF4" w:rsidP="00DA5A25">
            <w:pPr>
              <w:pStyle w:val="ti-grseq-1"/>
              <w:numPr>
                <w:ilvl w:val="0"/>
                <w:numId w:val="251"/>
              </w:numPr>
              <w:shd w:val="clear" w:color="auto" w:fill="FFFFFF"/>
              <w:spacing w:before="0" w:beforeAutospacing="0" w:after="0" w:afterAutospacing="0"/>
              <w:jc w:val="both"/>
              <w:rPr>
                <w:sz w:val="20"/>
                <w:szCs w:val="20"/>
                <w:lang w:val="ro-MD"/>
              </w:rPr>
            </w:pPr>
            <w:r w:rsidRPr="004F2FF4">
              <w:rPr>
                <w:rFonts w:eastAsia="Arial Unicode MS"/>
                <w:sz w:val="20"/>
                <w:szCs w:val="20"/>
                <w:shd w:val="clear" w:color="auto" w:fill="FFFFFF"/>
                <w:lang w:val="ro-MD"/>
              </w:rPr>
              <w:t>un sistem de monitorizare a stocurilor de carbon din sol, utilizând, printre altele, seturile de date anuale furnizate de Studiul-cadru privind utilizarea și ocuparea terenurilor (LUCAS).</w:t>
            </w:r>
          </w:p>
          <w:p w14:paraId="3A309B06" w14:textId="77777777" w:rsidR="004F2FF4" w:rsidRPr="004F2FF4" w:rsidRDefault="004F2FF4" w:rsidP="004F2FF4">
            <w:pPr>
              <w:pStyle w:val="norm"/>
              <w:shd w:val="clear" w:color="auto" w:fill="FFFFFF"/>
              <w:spacing w:before="0" w:beforeAutospacing="0" w:after="0" w:afterAutospacing="0"/>
              <w:jc w:val="both"/>
              <w:rPr>
                <w:rFonts w:eastAsia="Arial Unicode MS"/>
                <w:sz w:val="20"/>
                <w:szCs w:val="20"/>
              </w:rPr>
            </w:pPr>
            <w:r w:rsidRPr="004F2FF4">
              <w:rPr>
                <w:rFonts w:eastAsia="Arial Unicode MS"/>
                <w:sz w:val="20"/>
                <w:szCs w:val="20"/>
              </w:rPr>
              <w:t>Inventarul gazelor cu efect de seră trebuie să permită schimbul și integrarea de date între bazele de date electronice și sistemele de informații geografice, pentru a facilita comparabilitatea și accesibilitatea publică a acestora.</w:t>
            </w:r>
          </w:p>
          <w:p w14:paraId="75B813D0" w14:textId="2F3F82AC" w:rsidR="004F2FF4" w:rsidRPr="004F2FF4" w:rsidRDefault="004F2FF4" w:rsidP="004F2FF4">
            <w:pPr>
              <w:pStyle w:val="norm"/>
              <w:shd w:val="clear" w:color="auto" w:fill="FFFFFF"/>
              <w:spacing w:before="0" w:beforeAutospacing="0" w:after="0" w:afterAutospacing="0"/>
              <w:jc w:val="both"/>
              <w:rPr>
                <w:rFonts w:eastAsia="Arial Unicode MS"/>
                <w:sz w:val="20"/>
                <w:szCs w:val="20"/>
              </w:rPr>
            </w:pPr>
            <w:r w:rsidRPr="004F2FF4">
              <w:rPr>
                <w:rFonts w:eastAsia="Arial Unicode MS"/>
                <w:sz w:val="20"/>
                <w:szCs w:val="20"/>
              </w:rPr>
              <w:t>Pentru perioada 2021-2025, statele membre utilizează cel puțin metodologii de nivel</w:t>
            </w:r>
            <w:r>
              <w:rPr>
                <w:rFonts w:eastAsia="Arial Unicode MS"/>
                <w:sz w:val="20"/>
                <w:szCs w:val="20"/>
              </w:rPr>
              <w:t xml:space="preserve"> </w:t>
            </w:r>
            <w:r w:rsidRPr="004F2FF4">
              <w:rPr>
                <w:rFonts w:eastAsia="Arial Unicode MS"/>
                <w:sz w:val="20"/>
                <w:szCs w:val="20"/>
              </w:rPr>
              <w:t>1 în conformitate cu orientările IPCC din 2006 privind inventarele naționale ale GES, cu excepția unui rezervor de carbon care reprezintă cel puțin 25</w:t>
            </w:r>
            <w:r>
              <w:rPr>
                <w:rFonts w:eastAsia="Arial Unicode MS"/>
                <w:sz w:val="20"/>
                <w:szCs w:val="20"/>
              </w:rPr>
              <w:t xml:space="preserve"> </w:t>
            </w:r>
            <w:r w:rsidRPr="004F2FF4">
              <w:rPr>
                <w:rFonts w:eastAsia="Arial Unicode MS"/>
                <w:sz w:val="20"/>
                <w:szCs w:val="20"/>
              </w:rPr>
              <w:t xml:space="preserve">% din emisiile sau absorbțiile dintr-o categorie de surse sau de absorbanți ce constituie o prioritate în sistemul național de inventariere al unui stat membru, deoarece estimarea sa are o influență semnificativă asupra inventarului total de GES al unei țări în ceea ce privește nivelul absolut al emisiilor și absorbțiilor, tendința înregistrată la nivelul emisiilor și al absorbțiilor sau incertitudinea emisiilor și a absorbțiilor din categoriile de </w:t>
            </w:r>
            <w:r w:rsidRPr="004F2FF4">
              <w:rPr>
                <w:rFonts w:eastAsia="Arial Unicode MS"/>
                <w:sz w:val="20"/>
                <w:szCs w:val="20"/>
              </w:rPr>
              <w:lastRenderedPageBreak/>
              <w:t>destinație a terenurilor, caz în care sunt utilizate cel puțin metodologiile de nivelul</w:t>
            </w:r>
            <w:r>
              <w:rPr>
                <w:rFonts w:eastAsia="Arial Unicode MS"/>
                <w:sz w:val="20"/>
                <w:szCs w:val="20"/>
              </w:rPr>
              <w:t xml:space="preserve"> </w:t>
            </w:r>
            <w:r w:rsidRPr="004F2FF4">
              <w:rPr>
                <w:rFonts w:eastAsia="Arial Unicode MS"/>
                <w:sz w:val="20"/>
                <w:szCs w:val="20"/>
              </w:rPr>
              <w:t>2 în conformitate cu Orientările IPCC din</w:t>
            </w:r>
            <w:r>
              <w:rPr>
                <w:rFonts w:eastAsia="Arial Unicode MS"/>
                <w:sz w:val="20"/>
                <w:szCs w:val="20"/>
              </w:rPr>
              <w:t xml:space="preserve"> </w:t>
            </w:r>
            <w:r w:rsidRPr="004F2FF4">
              <w:rPr>
                <w:rFonts w:eastAsia="Arial Unicode MS"/>
                <w:sz w:val="20"/>
                <w:szCs w:val="20"/>
              </w:rPr>
              <w:t>2006 pentru inventarele naționale ale GES.</w:t>
            </w:r>
          </w:p>
          <w:p w14:paraId="31DCFC36" w14:textId="6EE146E0" w:rsidR="004F2FF4" w:rsidRPr="004F2FF4" w:rsidRDefault="004F2FF4" w:rsidP="004F2FF4">
            <w:pPr>
              <w:pStyle w:val="norm"/>
              <w:shd w:val="clear" w:color="auto" w:fill="FFFFFF"/>
              <w:spacing w:before="0" w:beforeAutospacing="0" w:after="0" w:afterAutospacing="0"/>
              <w:jc w:val="both"/>
              <w:rPr>
                <w:rFonts w:eastAsia="Arial Unicode MS"/>
                <w:sz w:val="20"/>
                <w:szCs w:val="20"/>
              </w:rPr>
            </w:pPr>
            <w:r w:rsidRPr="004F2FF4">
              <w:rPr>
                <w:rFonts w:eastAsia="Arial Unicode MS"/>
                <w:sz w:val="20"/>
                <w:szCs w:val="20"/>
              </w:rPr>
              <w:t>Începând cu prezentarea inventarului gazelor cu efect de seră din 2028, statele membre utilizează cel puțin metodologiile de nivelul</w:t>
            </w:r>
            <w:r>
              <w:rPr>
                <w:rFonts w:eastAsia="Arial Unicode MS"/>
                <w:sz w:val="20"/>
                <w:szCs w:val="20"/>
              </w:rPr>
              <w:t xml:space="preserve"> </w:t>
            </w:r>
            <w:r w:rsidRPr="004F2FF4">
              <w:rPr>
                <w:rFonts w:eastAsia="Arial Unicode MS"/>
                <w:sz w:val="20"/>
                <w:szCs w:val="20"/>
              </w:rPr>
              <w:t>2 în conformitate cu orientările IPCC din 2006 pentru inventarele naționale de GES, în timp ce statele membre, cât mai curând posibil și cel târziu începând cu prezentarea inventarului gazelor cu efect de seră din 2030, aplică metodologia de nivelul</w:t>
            </w:r>
            <w:r>
              <w:rPr>
                <w:rFonts w:eastAsia="Arial Unicode MS"/>
                <w:sz w:val="20"/>
                <w:szCs w:val="20"/>
              </w:rPr>
              <w:t xml:space="preserve"> </w:t>
            </w:r>
            <w:r w:rsidRPr="004F2FF4">
              <w:rPr>
                <w:rFonts w:eastAsia="Arial Unicode MS"/>
                <w:sz w:val="20"/>
                <w:szCs w:val="20"/>
              </w:rPr>
              <w:t>3, în conformitate cu orientările IPCC din 2006 pentru inventarele naționale ale GES, pentru toate estimările emisiilor și absorbțiilor de carbon care se încadrează în zone cu stocuri mari de unități privind destinația terenurilor menționate la litera</w:t>
            </w:r>
            <w:r>
              <w:rPr>
                <w:rFonts w:eastAsia="Arial Unicode MS"/>
                <w:sz w:val="20"/>
                <w:szCs w:val="20"/>
              </w:rPr>
              <w:t xml:space="preserve"> </w:t>
            </w:r>
            <w:r w:rsidRPr="004F2FF4">
              <w:rPr>
                <w:rFonts w:eastAsia="Arial Unicode MS"/>
                <w:sz w:val="20"/>
                <w:szCs w:val="20"/>
              </w:rPr>
              <w:t>(a), în zone cu unități privind destinația terenurilor aflate sub protecție sau în curs de refacere menționate la literele</w:t>
            </w:r>
            <w:r>
              <w:rPr>
                <w:rFonts w:eastAsia="Arial Unicode MS"/>
                <w:sz w:val="20"/>
                <w:szCs w:val="20"/>
              </w:rPr>
              <w:t xml:space="preserve"> </w:t>
            </w:r>
            <w:r w:rsidRPr="004F2FF4">
              <w:rPr>
                <w:rFonts w:eastAsia="Arial Unicode MS"/>
                <w:sz w:val="20"/>
                <w:szCs w:val="20"/>
              </w:rPr>
              <w:t>(b) și</w:t>
            </w:r>
            <w:r>
              <w:rPr>
                <w:rFonts w:eastAsia="Arial Unicode MS"/>
                <w:sz w:val="20"/>
                <w:szCs w:val="20"/>
              </w:rPr>
              <w:t xml:space="preserve"> </w:t>
            </w:r>
            <w:r w:rsidRPr="004F2FF4">
              <w:rPr>
                <w:rFonts w:eastAsia="Arial Unicode MS"/>
                <w:sz w:val="20"/>
                <w:szCs w:val="20"/>
              </w:rPr>
              <w:t>(c) și în zone cu unități privind destinația terenurilor cu risc climatic viitor ridicat, menționate la litera</w:t>
            </w:r>
            <w:r>
              <w:rPr>
                <w:rFonts w:eastAsia="Arial Unicode MS"/>
                <w:sz w:val="20"/>
                <w:szCs w:val="20"/>
              </w:rPr>
              <w:t xml:space="preserve"> </w:t>
            </w:r>
            <w:r w:rsidRPr="004F2FF4">
              <w:rPr>
                <w:rFonts w:eastAsia="Arial Unicode MS"/>
                <w:sz w:val="20"/>
                <w:szCs w:val="20"/>
              </w:rPr>
              <w:t>(d).</w:t>
            </w:r>
          </w:p>
          <w:p w14:paraId="05C481F5" w14:textId="48DE893D" w:rsidR="004F2FF4" w:rsidRPr="004F2FF4" w:rsidRDefault="004F2FF4" w:rsidP="004F2FF4">
            <w:pPr>
              <w:pStyle w:val="norm"/>
              <w:shd w:val="clear" w:color="auto" w:fill="FFFFFF"/>
              <w:spacing w:before="0" w:beforeAutospacing="0" w:after="0" w:afterAutospacing="0"/>
              <w:jc w:val="both"/>
              <w:rPr>
                <w:rFonts w:eastAsia="Arial Unicode MS"/>
                <w:sz w:val="20"/>
                <w:szCs w:val="20"/>
              </w:rPr>
            </w:pPr>
            <w:r w:rsidRPr="004F2FF4">
              <w:rPr>
                <w:rFonts w:eastAsia="Arial Unicode MS"/>
                <w:sz w:val="20"/>
                <w:szCs w:val="20"/>
              </w:rPr>
              <w:t>În pofida paragrafului anterior, în cazul în care o zonă din oricare dintre categoriile enumerate la literele</w:t>
            </w:r>
            <w:r>
              <w:rPr>
                <w:rFonts w:eastAsia="Arial Unicode MS"/>
                <w:sz w:val="20"/>
                <w:szCs w:val="20"/>
              </w:rPr>
              <w:t xml:space="preserve"> </w:t>
            </w:r>
            <w:r w:rsidRPr="004F2FF4">
              <w:rPr>
                <w:rFonts w:eastAsia="Arial Unicode MS"/>
                <w:sz w:val="20"/>
                <w:szCs w:val="20"/>
              </w:rPr>
              <w:t>(a)-(d) reprezintă mai puțin de 1% din suprafața de teren gestionat raportată de statul membru, statele membre utilizează cel puțin metodologiile de nivelul</w:t>
            </w:r>
            <w:r>
              <w:rPr>
                <w:rFonts w:eastAsia="Arial Unicode MS"/>
                <w:sz w:val="20"/>
                <w:szCs w:val="20"/>
              </w:rPr>
              <w:t xml:space="preserve"> </w:t>
            </w:r>
            <w:r w:rsidRPr="004F2FF4">
              <w:rPr>
                <w:rFonts w:eastAsia="Arial Unicode MS"/>
                <w:sz w:val="20"/>
                <w:szCs w:val="20"/>
              </w:rPr>
              <w:t>2 în conformitate cu orientările IPCC din 2006 pentru inventarele naționale ale GES.</w:t>
            </w:r>
          </w:p>
          <w:p w14:paraId="79BC5E23" w14:textId="033DC3A5" w:rsidR="00DA5A25" w:rsidRPr="00DA5A25" w:rsidRDefault="00000000" w:rsidP="008F5636">
            <w:pPr>
              <w:pStyle w:val="ti-grseq-1"/>
              <w:shd w:val="clear" w:color="auto" w:fill="FFFFFF"/>
              <w:spacing w:before="0" w:beforeAutospacing="0" w:after="0" w:afterAutospacing="0"/>
              <w:jc w:val="both"/>
              <w:rPr>
                <w:rStyle w:val="bold"/>
                <w:b/>
                <w:bCs/>
                <w:color w:val="333333"/>
                <w:sz w:val="20"/>
                <w:szCs w:val="20"/>
              </w:rPr>
            </w:pPr>
            <w:hyperlink r:id="rId125" w:tooltip="32018R1999" w:history="1">
              <w:r w:rsidR="00DA5A25" w:rsidRPr="00DA5A25">
                <w:rPr>
                  <w:rStyle w:val="af6"/>
                  <w:rFonts w:eastAsia="Arial Unicode MS"/>
                  <w:b/>
                  <w:bCs/>
                  <w:color w:val="23527C"/>
                  <w:sz w:val="20"/>
                  <w:szCs w:val="20"/>
                  <w:shd w:val="clear" w:color="auto" w:fill="FFFFFF"/>
                </w:rPr>
                <w:t>▼B</w:t>
              </w:r>
            </w:hyperlink>
          </w:p>
          <w:p w14:paraId="656377D7" w14:textId="71698FBE" w:rsidR="008F5636" w:rsidRPr="007820EC" w:rsidRDefault="008F5636" w:rsidP="008F5636">
            <w:pPr>
              <w:pStyle w:val="ti-grseq-1"/>
              <w:shd w:val="clear" w:color="auto" w:fill="FFFFFF"/>
              <w:spacing w:before="0" w:beforeAutospacing="0" w:after="0" w:afterAutospacing="0"/>
              <w:jc w:val="both"/>
              <w:rPr>
                <w:b/>
                <w:bCs/>
                <w:color w:val="333333"/>
                <w:sz w:val="20"/>
                <w:szCs w:val="20"/>
                <w:lang w:val="ro-MD"/>
              </w:rPr>
            </w:pPr>
            <w:proofErr w:type="spellStart"/>
            <w:r w:rsidRPr="00DA5A25">
              <w:rPr>
                <w:rStyle w:val="bold"/>
                <w:b/>
                <w:bCs/>
                <w:color w:val="333333"/>
                <w:sz w:val="20"/>
                <w:szCs w:val="20"/>
                <w:lang w:val="fr-FR"/>
              </w:rPr>
              <w:t>Partea</w:t>
            </w:r>
            <w:proofErr w:type="spellEnd"/>
            <w:r w:rsidRPr="00DA5A25">
              <w:rPr>
                <w:rStyle w:val="bold"/>
                <w:b/>
                <w:bCs/>
                <w:color w:val="333333"/>
                <w:sz w:val="20"/>
                <w:szCs w:val="20"/>
                <w:lang w:val="fr-FR"/>
              </w:rPr>
              <w:t xml:space="preserve"> 4</w:t>
            </w:r>
          </w:p>
          <w:p w14:paraId="3CE40DC1" w14:textId="54150559" w:rsidR="008F5636" w:rsidRPr="00DA5A25" w:rsidRDefault="008F5636" w:rsidP="007C54B2">
            <w:pPr>
              <w:pStyle w:val="ti-grseq-1"/>
              <w:shd w:val="clear" w:color="auto" w:fill="FFFFFF"/>
              <w:spacing w:before="0" w:beforeAutospacing="0" w:after="0" w:afterAutospacing="0"/>
              <w:jc w:val="both"/>
              <w:rPr>
                <w:b/>
                <w:bCs/>
                <w:color w:val="333333"/>
                <w:sz w:val="20"/>
                <w:szCs w:val="20"/>
                <w:lang w:val="fr-FR"/>
              </w:rPr>
            </w:pPr>
            <w:proofErr w:type="spellStart"/>
            <w:r w:rsidRPr="00DA5A25">
              <w:rPr>
                <w:rStyle w:val="bold"/>
                <w:b/>
                <w:bCs/>
                <w:color w:val="333333"/>
                <w:sz w:val="20"/>
                <w:szCs w:val="20"/>
                <w:lang w:val="fr-FR"/>
              </w:rPr>
              <w:t>Indicatori</w:t>
            </w:r>
            <w:proofErr w:type="spellEnd"/>
            <w:r w:rsidRPr="00DA5A25">
              <w:rPr>
                <w:rStyle w:val="bold"/>
                <w:b/>
                <w:bCs/>
                <w:color w:val="333333"/>
                <w:sz w:val="20"/>
                <w:szCs w:val="20"/>
                <w:lang w:val="fr-FR"/>
              </w:rPr>
              <w:t xml:space="preserve"> de </w:t>
            </w:r>
            <w:proofErr w:type="spellStart"/>
            <w:r w:rsidRPr="00DA5A25">
              <w:rPr>
                <w:rStyle w:val="bold"/>
                <w:b/>
                <w:bCs/>
                <w:color w:val="333333"/>
                <w:sz w:val="20"/>
                <w:szCs w:val="20"/>
                <w:lang w:val="fr-FR"/>
              </w:rPr>
              <w:t>inventar</w:t>
            </w:r>
            <w:proofErr w:type="spellEnd"/>
          </w:p>
          <w:tbl>
            <w:tblPr>
              <w:tblpPr w:leftFromText="180" w:rightFromText="180" w:vertAnchor="text" w:horzAnchor="page" w:tblpX="138" w:tblpY="17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0"/>
              <w:gridCol w:w="2693"/>
            </w:tblGrid>
            <w:tr w:rsidR="008F5636" w:rsidRPr="00DA5A25" w14:paraId="0F720A7A" w14:textId="116E2747" w:rsidTr="00907528">
              <w:trPr>
                <w:trHeight w:val="492"/>
              </w:trPr>
              <w:tc>
                <w:tcPr>
                  <w:tcW w:w="1840" w:type="dxa"/>
                </w:tcPr>
                <w:p w14:paraId="0ACDACFD" w14:textId="311EC2E5" w:rsidR="008F5636" w:rsidRPr="007820EC" w:rsidRDefault="008F5636" w:rsidP="008F5636">
                  <w:pPr>
                    <w:pStyle w:val="ColorfulList-Accent11"/>
                    <w:spacing w:after="0" w:line="240" w:lineRule="auto"/>
                    <w:ind w:left="0"/>
                    <w:jc w:val="center"/>
                    <w:rPr>
                      <w:rFonts w:ascii="Times New Roman" w:hAnsi="Times New Roman"/>
                      <w:b/>
                      <w:bCs/>
                      <w:sz w:val="20"/>
                      <w:szCs w:val="20"/>
                      <w:lang w:val="fr-FR"/>
                    </w:rPr>
                  </w:pPr>
                  <w:proofErr w:type="spellStart"/>
                  <w:r w:rsidRPr="00DA5A25">
                    <w:rPr>
                      <w:rFonts w:ascii="Times New Roman" w:hAnsi="Times New Roman"/>
                      <w:b/>
                      <w:bCs/>
                      <w:color w:val="333333"/>
                      <w:sz w:val="20"/>
                      <w:szCs w:val="20"/>
                      <w:shd w:val="clear" w:color="auto" w:fill="FFFFFF"/>
                      <w:lang w:val="fr-FR"/>
                    </w:rPr>
                    <w:t>Denumirea</w:t>
                  </w:r>
                  <w:proofErr w:type="spellEnd"/>
                  <w:r w:rsidRPr="00DA5A25">
                    <w:rPr>
                      <w:rFonts w:ascii="Times New Roman" w:hAnsi="Times New Roman"/>
                      <w:b/>
                      <w:bCs/>
                      <w:color w:val="333333"/>
                      <w:sz w:val="20"/>
                      <w:szCs w:val="20"/>
                      <w:shd w:val="clear" w:color="auto" w:fill="FFFFFF"/>
                      <w:lang w:val="fr-FR"/>
                    </w:rPr>
                    <w:t xml:space="preserve"> </w:t>
                  </w:r>
                  <w:proofErr w:type="spellStart"/>
                  <w:r w:rsidRPr="00DA5A25">
                    <w:rPr>
                      <w:rFonts w:ascii="Times New Roman" w:hAnsi="Times New Roman"/>
                      <w:b/>
                      <w:bCs/>
                      <w:color w:val="333333"/>
                      <w:sz w:val="20"/>
                      <w:szCs w:val="20"/>
                      <w:shd w:val="clear" w:color="auto" w:fill="FFFFFF"/>
                      <w:lang w:val="fr-FR"/>
                    </w:rPr>
                    <w:t>indicatorului</w:t>
                  </w:r>
                  <w:proofErr w:type="spellEnd"/>
                </w:p>
              </w:tc>
              <w:tc>
                <w:tcPr>
                  <w:tcW w:w="2693" w:type="dxa"/>
                </w:tcPr>
                <w:p w14:paraId="49E5942D" w14:textId="6748AB9F" w:rsidR="008F5636" w:rsidRPr="007820EC" w:rsidRDefault="008F5636" w:rsidP="008F5636">
                  <w:pPr>
                    <w:pStyle w:val="ColorfulList-Accent11"/>
                    <w:spacing w:after="0" w:line="240" w:lineRule="auto"/>
                    <w:ind w:left="0"/>
                    <w:jc w:val="center"/>
                    <w:rPr>
                      <w:rFonts w:ascii="Times New Roman" w:hAnsi="Times New Roman"/>
                      <w:b/>
                      <w:bCs/>
                      <w:sz w:val="20"/>
                      <w:szCs w:val="20"/>
                      <w:lang w:val="fr-FR"/>
                    </w:rPr>
                  </w:pPr>
                  <w:r w:rsidRPr="00DA5A25">
                    <w:rPr>
                      <w:rFonts w:ascii="Times New Roman" w:hAnsi="Times New Roman"/>
                      <w:b/>
                      <w:bCs/>
                      <w:color w:val="333333"/>
                      <w:sz w:val="20"/>
                      <w:szCs w:val="20"/>
                      <w:shd w:val="clear" w:color="auto" w:fill="FFFFFF"/>
                      <w:lang w:val="fr-FR"/>
                    </w:rPr>
                    <w:t>Indicator</w:t>
                  </w:r>
                </w:p>
              </w:tc>
            </w:tr>
            <w:tr w:rsidR="008F5636" w:rsidRPr="00263A32" w14:paraId="001998B1" w14:textId="77777777" w:rsidTr="00907528">
              <w:trPr>
                <w:trHeight w:val="492"/>
              </w:trPr>
              <w:tc>
                <w:tcPr>
                  <w:tcW w:w="1840" w:type="dxa"/>
                </w:tcPr>
                <w:p w14:paraId="79DEB185" w14:textId="4B275440" w:rsidR="008F5636" w:rsidRPr="007820EC" w:rsidRDefault="008F5636" w:rsidP="008F5636">
                  <w:pPr>
                    <w:pStyle w:val="ColorfulList-Accent11"/>
                    <w:spacing w:after="0" w:line="240" w:lineRule="auto"/>
                    <w:ind w:left="0"/>
                    <w:jc w:val="both"/>
                    <w:rPr>
                      <w:rFonts w:ascii="Times New Roman" w:hAnsi="Times New Roman"/>
                      <w:b/>
                      <w:bCs/>
                      <w:sz w:val="20"/>
                      <w:szCs w:val="20"/>
                      <w:lang w:val="fr-FR"/>
                    </w:rPr>
                  </w:pPr>
                  <w:r w:rsidRPr="00DA5A25">
                    <w:rPr>
                      <w:rFonts w:ascii="Times New Roman" w:hAnsi="Times New Roman"/>
                      <w:color w:val="333333"/>
                      <w:sz w:val="20"/>
                      <w:szCs w:val="20"/>
                      <w:shd w:val="clear" w:color="auto" w:fill="FFFFFF"/>
                      <w:lang w:val="fr-FR"/>
                    </w:rPr>
                    <w:t>TRANSFORMARE B0</w:t>
                  </w:r>
                </w:p>
              </w:tc>
              <w:tc>
                <w:tcPr>
                  <w:tcW w:w="2693" w:type="dxa"/>
                </w:tcPr>
                <w:p w14:paraId="140FF0DA" w14:textId="7B4B5D8A" w:rsidR="008F5636" w:rsidRPr="007820EC" w:rsidRDefault="008F5636" w:rsidP="008F5636">
                  <w:pPr>
                    <w:pStyle w:val="tbl-txt"/>
                    <w:spacing w:before="0" w:beforeAutospacing="0" w:after="0" w:afterAutospacing="0"/>
                    <w:jc w:val="both"/>
                    <w:rPr>
                      <w:color w:val="333333"/>
                      <w:sz w:val="20"/>
                      <w:szCs w:val="20"/>
                      <w:lang w:val="ro-MD"/>
                    </w:rPr>
                  </w:pPr>
                  <w:proofErr w:type="spellStart"/>
                  <w:r w:rsidRPr="007820EC">
                    <w:rPr>
                      <w:color w:val="333333"/>
                      <w:sz w:val="20"/>
                      <w:szCs w:val="20"/>
                      <w:lang w:val="fr-FR"/>
                    </w:rPr>
                    <w:t>Emisii</w:t>
                  </w:r>
                  <w:proofErr w:type="spellEnd"/>
                  <w:r w:rsidRPr="007820EC">
                    <w:rPr>
                      <w:color w:val="333333"/>
                      <w:sz w:val="20"/>
                      <w:szCs w:val="20"/>
                      <w:lang w:val="fr-FR"/>
                    </w:rPr>
                    <w:t xml:space="preserve"> </w:t>
                  </w:r>
                  <w:proofErr w:type="spellStart"/>
                  <w:r w:rsidRPr="007820EC">
                    <w:rPr>
                      <w:color w:val="333333"/>
                      <w:sz w:val="20"/>
                      <w:szCs w:val="20"/>
                      <w:lang w:val="fr-FR"/>
                    </w:rPr>
                    <w:t>specifice</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ale </w:t>
                  </w:r>
                  <w:proofErr w:type="spellStart"/>
                  <w:r w:rsidRPr="007820EC">
                    <w:rPr>
                      <w:color w:val="333333"/>
                      <w:sz w:val="20"/>
                      <w:szCs w:val="20"/>
                      <w:lang w:val="fr-FR"/>
                    </w:rPr>
                    <w:t>centralelor</w:t>
                  </w:r>
                  <w:proofErr w:type="spellEnd"/>
                  <w:r w:rsidRPr="007820EC">
                    <w:rPr>
                      <w:color w:val="333333"/>
                      <w:sz w:val="20"/>
                      <w:szCs w:val="20"/>
                      <w:lang w:val="fr-FR"/>
                    </w:rPr>
                    <w:t xml:space="preserve"> </w:t>
                  </w:r>
                  <w:proofErr w:type="spellStart"/>
                  <w:r w:rsidRPr="007820EC">
                    <w:rPr>
                      <w:color w:val="333333"/>
                      <w:sz w:val="20"/>
                      <w:szCs w:val="20"/>
                      <w:lang w:val="fr-FR"/>
                    </w:rPr>
                    <w:t>electrice</w:t>
                  </w:r>
                  <w:proofErr w:type="spellEnd"/>
                  <w:r w:rsidRPr="007820EC">
                    <w:rPr>
                      <w:color w:val="333333"/>
                      <w:sz w:val="20"/>
                      <w:szCs w:val="20"/>
                      <w:lang w:val="fr-FR"/>
                    </w:rPr>
                    <w:t xml:space="preserve"> </w:t>
                  </w:r>
                  <w:proofErr w:type="spellStart"/>
                  <w:r w:rsidRPr="007820EC">
                    <w:rPr>
                      <w:color w:val="333333"/>
                      <w:sz w:val="20"/>
                      <w:szCs w:val="20"/>
                      <w:lang w:val="fr-FR"/>
                    </w:rPr>
                    <w:t>publice</w:t>
                  </w:r>
                  <w:proofErr w:type="spellEnd"/>
                  <w:r w:rsidRPr="007820EC">
                    <w:rPr>
                      <w:color w:val="333333"/>
                      <w:sz w:val="20"/>
                      <w:szCs w:val="20"/>
                      <w:lang w:val="fr-FR"/>
                    </w:rPr>
                    <w:t xml:space="preserve"> și ale </w:t>
                  </w:r>
                  <w:proofErr w:type="spellStart"/>
                  <w:r w:rsidRPr="007820EC">
                    <w:rPr>
                      <w:color w:val="333333"/>
                      <w:sz w:val="20"/>
                      <w:szCs w:val="20"/>
                      <w:lang w:val="fr-FR"/>
                    </w:rPr>
                    <w:t>autoproducătorilor</w:t>
                  </w:r>
                  <w:proofErr w:type="spellEnd"/>
                  <w:r w:rsidRPr="007820EC">
                    <w:rPr>
                      <w:color w:val="333333"/>
                      <w:sz w:val="20"/>
                      <w:szCs w:val="20"/>
                      <w:lang w:val="fr-FR"/>
                    </w:rPr>
                    <w:t>, t/TJ</w:t>
                  </w:r>
                </w:p>
                <w:p w14:paraId="6F4D35E6" w14:textId="15505F23" w:rsidR="008F5636" w:rsidRPr="007820EC" w:rsidRDefault="008F5636" w:rsidP="008F5636">
                  <w:pPr>
                    <w:pStyle w:val="tbl-txt"/>
                    <w:spacing w:before="0" w:beforeAutospacing="0" w:after="0" w:afterAutospacing="0"/>
                    <w:jc w:val="both"/>
                    <w:rPr>
                      <w:color w:val="333333"/>
                      <w:sz w:val="20"/>
                      <w:szCs w:val="20"/>
                      <w:lang w:val="fr-FR"/>
                    </w:rPr>
                  </w:pPr>
                  <w:proofErr w:type="spellStart"/>
                  <w:r w:rsidRPr="007820EC">
                    <w:rPr>
                      <w:color w:val="333333"/>
                      <w:sz w:val="20"/>
                      <w:szCs w:val="20"/>
                      <w:lang w:val="fr-FR"/>
                    </w:rPr>
                    <w:t>Emisiile</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generate</w:t>
                  </w:r>
                  <w:proofErr w:type="spellEnd"/>
                  <w:r w:rsidRPr="007820EC">
                    <w:rPr>
                      <w:color w:val="333333"/>
                      <w:sz w:val="20"/>
                      <w:szCs w:val="20"/>
                      <w:lang w:val="fr-FR"/>
                    </w:rPr>
                    <w:t xml:space="preserve"> de </w:t>
                  </w:r>
                  <w:proofErr w:type="spellStart"/>
                  <w:r w:rsidRPr="007820EC">
                    <w:rPr>
                      <w:color w:val="333333"/>
                      <w:sz w:val="20"/>
                      <w:szCs w:val="20"/>
                      <w:lang w:val="fr-FR"/>
                    </w:rPr>
                    <w:t>centralele</w:t>
                  </w:r>
                  <w:proofErr w:type="spellEnd"/>
                  <w:r w:rsidRPr="007820EC">
                    <w:rPr>
                      <w:color w:val="333333"/>
                      <w:sz w:val="20"/>
                      <w:szCs w:val="20"/>
                      <w:lang w:val="fr-FR"/>
                    </w:rPr>
                    <w:t xml:space="preserve"> </w:t>
                  </w:r>
                  <w:proofErr w:type="spellStart"/>
                  <w:r w:rsidRPr="007820EC">
                    <w:rPr>
                      <w:color w:val="333333"/>
                      <w:sz w:val="20"/>
                      <w:szCs w:val="20"/>
                      <w:lang w:val="fr-FR"/>
                    </w:rPr>
                    <w:t>termice</w:t>
                  </w:r>
                  <w:proofErr w:type="spellEnd"/>
                  <w:r w:rsidRPr="007820EC">
                    <w:rPr>
                      <w:color w:val="333333"/>
                      <w:sz w:val="20"/>
                      <w:szCs w:val="20"/>
                      <w:lang w:val="fr-FR"/>
                    </w:rPr>
                    <w:t xml:space="preserve"> </w:t>
                  </w:r>
                  <w:proofErr w:type="spellStart"/>
                  <w:r w:rsidRPr="007820EC">
                    <w:rPr>
                      <w:color w:val="333333"/>
                      <w:sz w:val="20"/>
                      <w:szCs w:val="20"/>
                      <w:lang w:val="fr-FR"/>
                    </w:rPr>
                    <w:t>publice</w:t>
                  </w:r>
                  <w:proofErr w:type="spellEnd"/>
                  <w:r w:rsidRPr="007820EC">
                    <w:rPr>
                      <w:color w:val="333333"/>
                      <w:sz w:val="20"/>
                      <w:szCs w:val="20"/>
                      <w:lang w:val="fr-FR"/>
                    </w:rPr>
                    <w:t xml:space="preserve"> și ale </w:t>
                  </w:r>
                  <w:proofErr w:type="spellStart"/>
                  <w:r w:rsidRPr="007820EC">
                    <w:rPr>
                      <w:color w:val="333333"/>
                      <w:sz w:val="20"/>
                      <w:szCs w:val="20"/>
                      <w:lang w:val="fr-FR"/>
                    </w:rPr>
                    <w:t>autoproducătorilor</w:t>
                  </w:r>
                  <w:proofErr w:type="spellEnd"/>
                  <w:r w:rsidRPr="007820EC">
                    <w:rPr>
                      <w:color w:val="333333"/>
                      <w:sz w:val="20"/>
                      <w:szCs w:val="20"/>
                      <w:lang w:val="fr-FR"/>
                    </w:rPr>
                    <w:t xml:space="preserve">, kt </w:t>
                  </w:r>
                  <w:proofErr w:type="spellStart"/>
                  <w:r w:rsidRPr="007820EC">
                    <w:rPr>
                      <w:color w:val="333333"/>
                      <w:sz w:val="20"/>
                      <w:szCs w:val="20"/>
                      <w:lang w:val="fr-FR"/>
                    </w:rPr>
                    <w:t>împărțite</w:t>
                  </w:r>
                  <w:proofErr w:type="spellEnd"/>
                  <w:r w:rsidRPr="007820EC">
                    <w:rPr>
                      <w:color w:val="333333"/>
                      <w:sz w:val="20"/>
                      <w:szCs w:val="20"/>
                      <w:lang w:val="fr-FR"/>
                    </w:rPr>
                    <w:t xml:space="preserve"> la </w:t>
                  </w:r>
                  <w:proofErr w:type="spellStart"/>
                  <w:r w:rsidRPr="007820EC">
                    <w:rPr>
                      <w:color w:val="333333"/>
                      <w:sz w:val="20"/>
                      <w:szCs w:val="20"/>
                      <w:lang w:val="fr-FR"/>
                    </w:rPr>
                    <w:t>toate</w:t>
                  </w:r>
                  <w:proofErr w:type="spellEnd"/>
                  <w:r w:rsidRPr="007820EC">
                    <w:rPr>
                      <w:color w:val="333333"/>
                      <w:sz w:val="20"/>
                      <w:szCs w:val="20"/>
                      <w:lang w:val="fr-FR"/>
                    </w:rPr>
                    <w:t xml:space="preserve"> </w:t>
                  </w:r>
                  <w:proofErr w:type="spellStart"/>
                  <w:r w:rsidRPr="007820EC">
                    <w:rPr>
                      <w:color w:val="333333"/>
                      <w:sz w:val="20"/>
                      <w:szCs w:val="20"/>
                      <w:lang w:val="fr-FR"/>
                    </w:rPr>
                    <w:t>produsele</w:t>
                  </w:r>
                  <w:proofErr w:type="spellEnd"/>
                  <w:r w:rsidRPr="007820EC">
                    <w:rPr>
                      <w:color w:val="333333"/>
                      <w:sz w:val="20"/>
                      <w:szCs w:val="20"/>
                      <w:lang w:val="fr-FR"/>
                    </w:rPr>
                    <w:t xml:space="preserve"> — </w:t>
                  </w:r>
                  <w:proofErr w:type="spellStart"/>
                  <w:r w:rsidRPr="007820EC">
                    <w:rPr>
                      <w:color w:val="333333"/>
                      <w:sz w:val="20"/>
                      <w:szCs w:val="20"/>
                      <w:lang w:val="fr-FR"/>
                    </w:rPr>
                    <w:t>producția</w:t>
                  </w:r>
                  <w:proofErr w:type="spellEnd"/>
                  <w:r w:rsidRPr="007820EC">
                    <w:rPr>
                      <w:color w:val="333333"/>
                      <w:sz w:val="20"/>
                      <w:szCs w:val="20"/>
                      <w:lang w:val="fr-FR"/>
                    </w:rPr>
                    <w:t xml:space="preserve"> </w:t>
                  </w:r>
                  <w:proofErr w:type="spellStart"/>
                  <w:r w:rsidRPr="007820EC">
                    <w:rPr>
                      <w:color w:val="333333"/>
                      <w:sz w:val="20"/>
                      <w:szCs w:val="20"/>
                      <w:lang w:val="fr-FR"/>
                    </w:rPr>
                    <w:t>centralelor</w:t>
                  </w:r>
                  <w:proofErr w:type="spellEnd"/>
                  <w:r w:rsidRPr="007820EC">
                    <w:rPr>
                      <w:color w:val="333333"/>
                      <w:sz w:val="20"/>
                      <w:szCs w:val="20"/>
                      <w:lang w:val="fr-FR"/>
                    </w:rPr>
                    <w:t xml:space="preserve"> </w:t>
                  </w:r>
                  <w:proofErr w:type="spellStart"/>
                  <w:r w:rsidRPr="007820EC">
                    <w:rPr>
                      <w:color w:val="333333"/>
                      <w:sz w:val="20"/>
                      <w:szCs w:val="20"/>
                      <w:lang w:val="fr-FR"/>
                    </w:rPr>
                    <w:t>termice</w:t>
                  </w:r>
                  <w:proofErr w:type="spellEnd"/>
                  <w:r w:rsidRPr="007820EC">
                    <w:rPr>
                      <w:color w:val="333333"/>
                      <w:sz w:val="20"/>
                      <w:szCs w:val="20"/>
                      <w:lang w:val="fr-FR"/>
                    </w:rPr>
                    <w:t xml:space="preserve"> </w:t>
                  </w:r>
                  <w:proofErr w:type="spellStart"/>
                  <w:r w:rsidRPr="007820EC">
                    <w:rPr>
                      <w:color w:val="333333"/>
                      <w:sz w:val="20"/>
                      <w:szCs w:val="20"/>
                      <w:lang w:val="fr-FR"/>
                    </w:rPr>
                    <w:t>publice</w:t>
                  </w:r>
                  <w:proofErr w:type="spellEnd"/>
                  <w:r w:rsidRPr="007820EC">
                    <w:rPr>
                      <w:color w:val="333333"/>
                      <w:sz w:val="20"/>
                      <w:szCs w:val="20"/>
                      <w:lang w:val="fr-FR"/>
                    </w:rPr>
                    <w:t xml:space="preserve"> și ale </w:t>
                  </w:r>
                  <w:proofErr w:type="spellStart"/>
                  <w:r w:rsidRPr="007820EC">
                    <w:rPr>
                      <w:color w:val="333333"/>
                      <w:sz w:val="20"/>
                      <w:szCs w:val="20"/>
                      <w:lang w:val="fr-FR"/>
                    </w:rPr>
                    <w:t>autoproducătorilor</w:t>
                  </w:r>
                  <w:proofErr w:type="spellEnd"/>
                  <w:r w:rsidRPr="007820EC">
                    <w:rPr>
                      <w:color w:val="333333"/>
                      <w:sz w:val="20"/>
                      <w:szCs w:val="20"/>
                      <w:lang w:val="fr-FR"/>
                    </w:rPr>
                    <w:t>, PJ</w:t>
                  </w:r>
                </w:p>
              </w:tc>
            </w:tr>
            <w:tr w:rsidR="008F5636" w:rsidRPr="00263A32" w14:paraId="49EB2CD7" w14:textId="77777777" w:rsidTr="00907528">
              <w:trPr>
                <w:trHeight w:val="492"/>
              </w:trPr>
              <w:tc>
                <w:tcPr>
                  <w:tcW w:w="1840" w:type="dxa"/>
                </w:tcPr>
                <w:p w14:paraId="58938EC9" w14:textId="17BFBB4E"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TRANSFORMARE E0</w:t>
                  </w:r>
                </w:p>
              </w:tc>
              <w:tc>
                <w:tcPr>
                  <w:tcW w:w="2693" w:type="dxa"/>
                </w:tcPr>
                <w:p w14:paraId="3261622A" w14:textId="0F071B25" w:rsidR="008F5636" w:rsidRPr="007820EC" w:rsidRDefault="008F5636" w:rsidP="008F5636">
                  <w:pPr>
                    <w:pStyle w:val="tbl-txt"/>
                    <w:spacing w:before="0" w:beforeAutospacing="0" w:after="0" w:afterAutospacing="0"/>
                    <w:rPr>
                      <w:sz w:val="20"/>
                      <w:szCs w:val="20"/>
                      <w:lang w:val="ro-MD"/>
                    </w:rPr>
                  </w:pPr>
                  <w:proofErr w:type="spellStart"/>
                  <w:r w:rsidRPr="007820EC">
                    <w:rPr>
                      <w:sz w:val="20"/>
                      <w:szCs w:val="20"/>
                      <w:lang w:val="fr-FR"/>
                    </w:rPr>
                    <w:t>Emisii</w:t>
                  </w:r>
                  <w:proofErr w:type="spellEnd"/>
                  <w:r w:rsidRPr="007820EC">
                    <w:rPr>
                      <w:sz w:val="20"/>
                      <w:szCs w:val="20"/>
                      <w:lang w:val="fr-FR"/>
                    </w:rPr>
                    <w:t xml:space="preserve"> </w:t>
                  </w:r>
                  <w:proofErr w:type="spellStart"/>
                  <w:r w:rsidRPr="007820EC">
                    <w:rPr>
                      <w:sz w:val="20"/>
                      <w:szCs w:val="20"/>
                      <w:lang w:val="fr-FR"/>
                    </w:rPr>
                    <w:t>specifice</w:t>
                  </w:r>
                  <w:proofErr w:type="spellEnd"/>
                  <w:r w:rsidRPr="007820EC">
                    <w:rPr>
                      <w:sz w:val="20"/>
                      <w:szCs w:val="20"/>
                      <w:lang w:val="fr-FR"/>
                    </w:rPr>
                    <w:t xml:space="preserve"> de CO</w:t>
                  </w:r>
                  <w:r w:rsidRPr="007820EC">
                    <w:rPr>
                      <w:rStyle w:val="sub"/>
                      <w:sz w:val="20"/>
                      <w:szCs w:val="20"/>
                      <w:vertAlign w:val="subscript"/>
                      <w:lang w:val="fr-FR"/>
                    </w:rPr>
                    <w:t>2</w:t>
                  </w:r>
                  <w:r w:rsidRPr="007820EC">
                    <w:rPr>
                      <w:sz w:val="20"/>
                      <w:szCs w:val="20"/>
                      <w:lang w:val="fr-FR"/>
                    </w:rPr>
                    <w:t xml:space="preserve"> ale </w:t>
                  </w:r>
                  <w:proofErr w:type="spellStart"/>
                  <w:r w:rsidRPr="007820EC">
                    <w:rPr>
                      <w:sz w:val="20"/>
                      <w:szCs w:val="20"/>
                      <w:lang w:val="fr-FR"/>
                    </w:rPr>
                    <w:t>centralelor</w:t>
                  </w:r>
                  <w:proofErr w:type="spellEnd"/>
                  <w:r w:rsidRPr="007820EC">
                    <w:rPr>
                      <w:sz w:val="20"/>
                      <w:szCs w:val="20"/>
                      <w:lang w:val="fr-FR"/>
                    </w:rPr>
                    <w:t xml:space="preserve"> </w:t>
                  </w:r>
                  <w:proofErr w:type="spellStart"/>
                  <w:r w:rsidRPr="007820EC">
                    <w:rPr>
                      <w:sz w:val="20"/>
                      <w:szCs w:val="20"/>
                      <w:lang w:val="fr-FR"/>
                    </w:rPr>
                    <w:t>autoproducătorilor</w:t>
                  </w:r>
                  <w:proofErr w:type="spellEnd"/>
                  <w:r w:rsidRPr="007820EC">
                    <w:rPr>
                      <w:sz w:val="20"/>
                      <w:szCs w:val="20"/>
                      <w:lang w:val="fr-FR"/>
                    </w:rPr>
                    <w:t>, t/TJ</w:t>
                  </w:r>
                </w:p>
                <w:p w14:paraId="2FD999B9" w14:textId="3A8F5099" w:rsidR="008F5636" w:rsidRPr="007820EC" w:rsidRDefault="008F5636" w:rsidP="008F5636">
                  <w:pPr>
                    <w:pStyle w:val="tbl-txt"/>
                    <w:spacing w:before="0" w:beforeAutospacing="0" w:after="0" w:afterAutospacing="0"/>
                    <w:rPr>
                      <w:sz w:val="20"/>
                      <w:szCs w:val="20"/>
                      <w:lang w:val="fr-FR"/>
                    </w:rPr>
                  </w:pPr>
                  <w:proofErr w:type="spellStart"/>
                  <w:r w:rsidRPr="007820EC">
                    <w:rPr>
                      <w:sz w:val="20"/>
                      <w:szCs w:val="20"/>
                      <w:lang w:val="fr-FR"/>
                    </w:rPr>
                    <w:t>Emisiile</w:t>
                  </w:r>
                  <w:proofErr w:type="spellEnd"/>
                  <w:r w:rsidRPr="007820EC">
                    <w:rPr>
                      <w:sz w:val="20"/>
                      <w:szCs w:val="20"/>
                      <w:lang w:val="fr-FR"/>
                    </w:rPr>
                    <w:t xml:space="preserve"> de CO</w:t>
                  </w:r>
                  <w:r w:rsidRPr="007820EC">
                    <w:rPr>
                      <w:rStyle w:val="sub"/>
                      <w:sz w:val="20"/>
                      <w:szCs w:val="20"/>
                      <w:vertAlign w:val="subscript"/>
                      <w:lang w:val="fr-FR"/>
                    </w:rPr>
                    <w:t>2</w:t>
                  </w:r>
                  <w:r w:rsidRPr="007820EC">
                    <w:rPr>
                      <w:sz w:val="20"/>
                      <w:szCs w:val="20"/>
                      <w:lang w:val="fr-FR"/>
                    </w:rPr>
                    <w:t xml:space="preserve"> </w:t>
                  </w:r>
                  <w:proofErr w:type="spellStart"/>
                  <w:r w:rsidRPr="007820EC">
                    <w:rPr>
                      <w:sz w:val="20"/>
                      <w:szCs w:val="20"/>
                      <w:lang w:val="fr-FR"/>
                    </w:rPr>
                    <w:t>generate</w:t>
                  </w:r>
                  <w:proofErr w:type="spellEnd"/>
                  <w:r w:rsidRPr="007820EC">
                    <w:rPr>
                      <w:sz w:val="20"/>
                      <w:szCs w:val="20"/>
                      <w:lang w:val="fr-FR"/>
                    </w:rPr>
                    <w:t xml:space="preserve"> de </w:t>
                  </w:r>
                  <w:proofErr w:type="spellStart"/>
                  <w:r w:rsidRPr="007820EC">
                    <w:rPr>
                      <w:sz w:val="20"/>
                      <w:szCs w:val="20"/>
                      <w:lang w:val="fr-FR"/>
                    </w:rPr>
                    <w:t>autoproducători</w:t>
                  </w:r>
                  <w:proofErr w:type="spellEnd"/>
                  <w:r w:rsidRPr="007820EC">
                    <w:rPr>
                      <w:sz w:val="20"/>
                      <w:szCs w:val="20"/>
                      <w:lang w:val="fr-FR"/>
                    </w:rPr>
                    <w:t xml:space="preserve">, kt </w:t>
                  </w:r>
                  <w:proofErr w:type="spellStart"/>
                  <w:r w:rsidRPr="007820EC">
                    <w:rPr>
                      <w:sz w:val="20"/>
                      <w:szCs w:val="20"/>
                      <w:lang w:val="fr-FR"/>
                    </w:rPr>
                    <w:t>împărțite</w:t>
                  </w:r>
                  <w:proofErr w:type="spellEnd"/>
                  <w:r w:rsidRPr="007820EC">
                    <w:rPr>
                      <w:sz w:val="20"/>
                      <w:szCs w:val="20"/>
                      <w:lang w:val="fr-FR"/>
                    </w:rPr>
                    <w:t xml:space="preserve"> la </w:t>
                  </w:r>
                  <w:proofErr w:type="spellStart"/>
                  <w:r w:rsidRPr="007820EC">
                    <w:rPr>
                      <w:sz w:val="20"/>
                      <w:szCs w:val="20"/>
                      <w:lang w:val="fr-FR"/>
                    </w:rPr>
                    <w:t>toate</w:t>
                  </w:r>
                  <w:proofErr w:type="spellEnd"/>
                  <w:r w:rsidRPr="007820EC">
                    <w:rPr>
                      <w:sz w:val="20"/>
                      <w:szCs w:val="20"/>
                      <w:lang w:val="fr-FR"/>
                    </w:rPr>
                    <w:t xml:space="preserve"> </w:t>
                  </w:r>
                  <w:proofErr w:type="spellStart"/>
                  <w:r w:rsidRPr="007820EC">
                    <w:rPr>
                      <w:sz w:val="20"/>
                      <w:szCs w:val="20"/>
                      <w:lang w:val="fr-FR"/>
                    </w:rPr>
                    <w:t>produsele</w:t>
                  </w:r>
                  <w:proofErr w:type="spellEnd"/>
                  <w:r w:rsidRPr="007820EC">
                    <w:rPr>
                      <w:sz w:val="20"/>
                      <w:szCs w:val="20"/>
                      <w:lang w:val="fr-FR"/>
                    </w:rPr>
                    <w:t xml:space="preserve">, </w:t>
                  </w:r>
                  <w:proofErr w:type="spellStart"/>
                  <w:r w:rsidRPr="007820EC">
                    <w:rPr>
                      <w:sz w:val="20"/>
                      <w:szCs w:val="20"/>
                      <w:lang w:val="fr-FR"/>
                    </w:rPr>
                    <w:t>producția</w:t>
                  </w:r>
                  <w:proofErr w:type="spellEnd"/>
                  <w:r w:rsidRPr="007820EC">
                    <w:rPr>
                      <w:sz w:val="20"/>
                      <w:szCs w:val="20"/>
                      <w:lang w:val="fr-FR"/>
                    </w:rPr>
                    <w:t xml:space="preserve"> </w:t>
                  </w:r>
                  <w:proofErr w:type="spellStart"/>
                  <w:r w:rsidRPr="007820EC">
                    <w:rPr>
                      <w:sz w:val="20"/>
                      <w:szCs w:val="20"/>
                      <w:lang w:val="fr-FR"/>
                    </w:rPr>
                    <w:lastRenderedPageBreak/>
                    <w:t>centralelor</w:t>
                  </w:r>
                  <w:proofErr w:type="spellEnd"/>
                  <w:r w:rsidRPr="007820EC">
                    <w:rPr>
                      <w:sz w:val="20"/>
                      <w:szCs w:val="20"/>
                      <w:lang w:val="fr-FR"/>
                    </w:rPr>
                    <w:t xml:space="preserve"> </w:t>
                  </w:r>
                  <w:proofErr w:type="spellStart"/>
                  <w:r w:rsidRPr="007820EC">
                    <w:rPr>
                      <w:sz w:val="20"/>
                      <w:szCs w:val="20"/>
                      <w:lang w:val="fr-FR"/>
                    </w:rPr>
                    <w:t>termice</w:t>
                  </w:r>
                  <w:proofErr w:type="spellEnd"/>
                  <w:r w:rsidRPr="007820EC">
                    <w:rPr>
                      <w:sz w:val="20"/>
                      <w:szCs w:val="20"/>
                      <w:lang w:val="fr-FR"/>
                    </w:rPr>
                    <w:t xml:space="preserve"> ale </w:t>
                  </w:r>
                  <w:proofErr w:type="spellStart"/>
                  <w:r w:rsidRPr="007820EC">
                    <w:rPr>
                      <w:sz w:val="20"/>
                      <w:szCs w:val="20"/>
                      <w:lang w:val="fr-FR"/>
                    </w:rPr>
                    <w:t>autoproducătorilor</w:t>
                  </w:r>
                  <w:proofErr w:type="spellEnd"/>
                  <w:r w:rsidRPr="007820EC">
                    <w:rPr>
                      <w:sz w:val="20"/>
                      <w:szCs w:val="20"/>
                      <w:lang w:val="fr-FR"/>
                    </w:rPr>
                    <w:t>, PJ</w:t>
                  </w:r>
                </w:p>
              </w:tc>
            </w:tr>
            <w:tr w:rsidR="008F5636" w:rsidRPr="007820EC" w14:paraId="779A54D7" w14:textId="77777777" w:rsidTr="00907528">
              <w:trPr>
                <w:trHeight w:val="492"/>
              </w:trPr>
              <w:tc>
                <w:tcPr>
                  <w:tcW w:w="1840" w:type="dxa"/>
                </w:tcPr>
                <w:p w14:paraId="50AE73A4" w14:textId="114E57A6"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lastRenderedPageBreak/>
                    <w:t>INDUSTRIE A1.1</w:t>
                  </w:r>
                </w:p>
              </w:tc>
              <w:tc>
                <w:tcPr>
                  <w:tcW w:w="2693" w:type="dxa"/>
                </w:tcPr>
                <w:p w14:paraId="3D056B73" w14:textId="7FE0D1C8" w:rsidR="008F5636" w:rsidRPr="007820EC" w:rsidRDefault="008F5636" w:rsidP="008F5636">
                  <w:pPr>
                    <w:pStyle w:val="tbl-txt"/>
                    <w:spacing w:before="0" w:beforeAutospacing="0" w:after="0" w:afterAutospacing="0"/>
                    <w:rPr>
                      <w:sz w:val="20"/>
                      <w:szCs w:val="20"/>
                      <w:lang w:val="ro-MD"/>
                    </w:rPr>
                  </w:pPr>
                  <w:proofErr w:type="spellStart"/>
                  <w:r w:rsidRPr="007820EC">
                    <w:rPr>
                      <w:sz w:val="20"/>
                      <w:szCs w:val="20"/>
                      <w:lang w:val="en-GB"/>
                    </w:rPr>
                    <w:t>Intensitatea</w:t>
                  </w:r>
                  <w:proofErr w:type="spellEnd"/>
                  <w:r w:rsidRPr="007820EC">
                    <w:rPr>
                      <w:sz w:val="20"/>
                      <w:szCs w:val="20"/>
                      <w:lang w:val="en-GB"/>
                    </w:rPr>
                    <w:t xml:space="preserve"> </w:t>
                  </w:r>
                  <w:proofErr w:type="spellStart"/>
                  <w:r w:rsidRPr="007820EC">
                    <w:rPr>
                      <w:sz w:val="20"/>
                      <w:szCs w:val="20"/>
                      <w:lang w:val="en-GB"/>
                    </w:rPr>
                    <w:t>totală</w:t>
                  </w:r>
                  <w:proofErr w:type="spellEnd"/>
                  <w:r w:rsidRPr="007820EC">
                    <w:rPr>
                      <w:sz w:val="20"/>
                      <w:szCs w:val="20"/>
                      <w:lang w:val="en-GB"/>
                    </w:rPr>
                    <w:t xml:space="preserve"> </w:t>
                  </w:r>
                  <w:proofErr w:type="gramStart"/>
                  <w:r w:rsidRPr="007820EC">
                    <w:rPr>
                      <w:sz w:val="20"/>
                      <w:szCs w:val="20"/>
                      <w:lang w:val="en-GB"/>
                    </w:rPr>
                    <w:t>a</w:t>
                  </w:r>
                  <w:proofErr w:type="gramEnd"/>
                  <w:r w:rsidRPr="007820EC">
                    <w:rPr>
                      <w:sz w:val="20"/>
                      <w:szCs w:val="20"/>
                      <w:lang w:val="en-GB"/>
                    </w:rPr>
                    <w:t xml:space="preserve"> </w:t>
                  </w:r>
                  <w:proofErr w:type="spellStart"/>
                  <w:r w:rsidRPr="007820EC">
                    <w:rPr>
                      <w:sz w:val="20"/>
                      <w:szCs w:val="20"/>
                      <w:lang w:val="en-GB"/>
                    </w:rPr>
                    <w:t>emisiilor</w:t>
                  </w:r>
                  <w:proofErr w:type="spellEnd"/>
                  <w:r w:rsidRPr="007820EC">
                    <w:rPr>
                      <w:sz w:val="20"/>
                      <w:szCs w:val="20"/>
                      <w:lang w:val="en-GB"/>
                    </w:rPr>
                    <w:t xml:space="preserve"> de CO</w:t>
                  </w:r>
                  <w:r w:rsidRPr="007820EC">
                    <w:rPr>
                      <w:rStyle w:val="sub"/>
                      <w:sz w:val="20"/>
                      <w:szCs w:val="20"/>
                      <w:vertAlign w:val="subscript"/>
                      <w:lang w:val="en-GB"/>
                    </w:rPr>
                    <w:t>2</w:t>
                  </w:r>
                  <w:r w:rsidRPr="007820EC">
                    <w:rPr>
                      <w:sz w:val="20"/>
                      <w:szCs w:val="20"/>
                      <w:lang w:val="en-GB"/>
                    </w:rPr>
                    <w:t xml:space="preserve"> – </w:t>
                  </w:r>
                  <w:proofErr w:type="spellStart"/>
                  <w:r w:rsidRPr="007820EC">
                    <w:rPr>
                      <w:sz w:val="20"/>
                      <w:szCs w:val="20"/>
                      <w:lang w:val="en-GB"/>
                    </w:rPr>
                    <w:t>industria</w:t>
                  </w:r>
                  <w:proofErr w:type="spellEnd"/>
                  <w:r w:rsidRPr="007820EC">
                    <w:rPr>
                      <w:sz w:val="20"/>
                      <w:szCs w:val="20"/>
                      <w:lang w:val="en-GB"/>
                    </w:rPr>
                    <w:t xml:space="preserve"> </w:t>
                  </w:r>
                  <w:proofErr w:type="spellStart"/>
                  <w:r w:rsidRPr="007820EC">
                    <w:rPr>
                      <w:sz w:val="20"/>
                      <w:szCs w:val="20"/>
                      <w:lang w:val="en-GB"/>
                    </w:rPr>
                    <w:t>siderurgică</w:t>
                  </w:r>
                  <w:proofErr w:type="spellEnd"/>
                  <w:r w:rsidRPr="007820EC">
                    <w:rPr>
                      <w:sz w:val="20"/>
                      <w:szCs w:val="20"/>
                      <w:lang w:val="en-GB"/>
                    </w:rPr>
                    <w:t>, t/</w:t>
                  </w:r>
                  <w:proofErr w:type="spellStart"/>
                  <w:r w:rsidRPr="007820EC">
                    <w:rPr>
                      <w:sz w:val="20"/>
                      <w:szCs w:val="20"/>
                      <w:lang w:val="en-GB"/>
                    </w:rPr>
                    <w:t>milioane</w:t>
                  </w:r>
                  <w:proofErr w:type="spellEnd"/>
                  <w:r w:rsidRPr="007820EC">
                    <w:rPr>
                      <w:sz w:val="20"/>
                      <w:szCs w:val="20"/>
                      <w:lang w:val="en-GB"/>
                    </w:rPr>
                    <w:t xml:space="preserve"> EUR</w:t>
                  </w:r>
                </w:p>
                <w:p w14:paraId="4F973A09" w14:textId="0EA5054D" w:rsidR="008F5636" w:rsidRPr="007820EC" w:rsidRDefault="008F5636" w:rsidP="008F5636">
                  <w:pPr>
                    <w:pStyle w:val="tbl-txt"/>
                    <w:spacing w:before="0" w:beforeAutospacing="0" w:after="0" w:afterAutospacing="0"/>
                    <w:rPr>
                      <w:sz w:val="20"/>
                      <w:szCs w:val="20"/>
                      <w:lang w:val="en-GB"/>
                    </w:rPr>
                  </w:pPr>
                  <w:proofErr w:type="spellStart"/>
                  <w:r w:rsidRPr="007820EC">
                    <w:rPr>
                      <w:sz w:val="20"/>
                      <w:szCs w:val="20"/>
                      <w:lang w:val="en-GB"/>
                    </w:rPr>
                    <w:t>Emisiile</w:t>
                  </w:r>
                  <w:proofErr w:type="spellEnd"/>
                  <w:r w:rsidRPr="007820EC">
                    <w:rPr>
                      <w:sz w:val="20"/>
                      <w:szCs w:val="20"/>
                      <w:lang w:val="en-GB"/>
                    </w:rPr>
                    <w:t xml:space="preserve"> </w:t>
                  </w:r>
                  <w:proofErr w:type="spellStart"/>
                  <w:r w:rsidRPr="007820EC">
                    <w:rPr>
                      <w:sz w:val="20"/>
                      <w:szCs w:val="20"/>
                      <w:lang w:val="en-GB"/>
                    </w:rPr>
                    <w:t>totale</w:t>
                  </w:r>
                  <w:proofErr w:type="spellEnd"/>
                  <w:r w:rsidRPr="007820EC">
                    <w:rPr>
                      <w:sz w:val="20"/>
                      <w:szCs w:val="20"/>
                      <w:lang w:val="en-GB"/>
                    </w:rPr>
                    <w:t xml:space="preserve"> de CO</w:t>
                  </w:r>
                  <w:r w:rsidRPr="007820EC">
                    <w:rPr>
                      <w:rStyle w:val="sub"/>
                      <w:sz w:val="20"/>
                      <w:szCs w:val="20"/>
                      <w:vertAlign w:val="subscript"/>
                      <w:lang w:val="en-GB"/>
                    </w:rPr>
                    <w:t>2</w:t>
                  </w:r>
                  <w:r w:rsidRPr="007820EC">
                    <w:rPr>
                      <w:sz w:val="20"/>
                      <w:szCs w:val="20"/>
                      <w:lang w:val="en-GB"/>
                    </w:rPr>
                    <w:t xml:space="preserve"> din </w:t>
                  </w:r>
                  <w:proofErr w:type="spellStart"/>
                  <w:r w:rsidRPr="007820EC">
                    <w:rPr>
                      <w:sz w:val="20"/>
                      <w:szCs w:val="20"/>
                      <w:lang w:val="en-GB"/>
                    </w:rPr>
                    <w:t>industria</w:t>
                  </w:r>
                  <w:proofErr w:type="spellEnd"/>
                  <w:r w:rsidRPr="007820EC">
                    <w:rPr>
                      <w:sz w:val="20"/>
                      <w:szCs w:val="20"/>
                      <w:lang w:val="en-GB"/>
                    </w:rPr>
                    <w:t xml:space="preserve"> </w:t>
                  </w:r>
                  <w:proofErr w:type="spellStart"/>
                  <w:r w:rsidRPr="007820EC">
                    <w:rPr>
                      <w:sz w:val="20"/>
                      <w:szCs w:val="20"/>
                      <w:lang w:val="en-GB"/>
                    </w:rPr>
                    <w:t>siderurgică</w:t>
                  </w:r>
                  <w:proofErr w:type="spellEnd"/>
                  <w:r w:rsidRPr="007820EC">
                    <w:rPr>
                      <w:sz w:val="20"/>
                      <w:szCs w:val="20"/>
                      <w:lang w:val="en-GB"/>
                    </w:rPr>
                    <w:t xml:space="preserve">, kt </w:t>
                  </w:r>
                  <w:proofErr w:type="spellStart"/>
                  <w:r w:rsidRPr="007820EC">
                    <w:rPr>
                      <w:sz w:val="20"/>
                      <w:szCs w:val="20"/>
                      <w:lang w:val="en-GB"/>
                    </w:rPr>
                    <w:t>împărțite</w:t>
                  </w:r>
                  <w:proofErr w:type="spellEnd"/>
                  <w:r w:rsidRPr="007820EC">
                    <w:rPr>
                      <w:sz w:val="20"/>
                      <w:szCs w:val="20"/>
                      <w:lang w:val="en-GB"/>
                    </w:rPr>
                    <w:t xml:space="preserve"> la </w:t>
                  </w:r>
                  <w:proofErr w:type="spellStart"/>
                  <w:r w:rsidRPr="007820EC">
                    <w:rPr>
                      <w:sz w:val="20"/>
                      <w:szCs w:val="20"/>
                      <w:lang w:val="en-GB"/>
                    </w:rPr>
                    <w:t>valoarea</w:t>
                  </w:r>
                  <w:proofErr w:type="spellEnd"/>
                  <w:r w:rsidRPr="007820EC">
                    <w:rPr>
                      <w:sz w:val="20"/>
                      <w:szCs w:val="20"/>
                      <w:lang w:val="en-GB"/>
                    </w:rPr>
                    <w:t xml:space="preserve"> </w:t>
                  </w:r>
                  <w:proofErr w:type="spellStart"/>
                  <w:r w:rsidRPr="007820EC">
                    <w:rPr>
                      <w:sz w:val="20"/>
                      <w:szCs w:val="20"/>
                      <w:lang w:val="en-GB"/>
                    </w:rPr>
                    <w:t>adăugată</w:t>
                  </w:r>
                  <w:proofErr w:type="spellEnd"/>
                  <w:r w:rsidRPr="007820EC">
                    <w:rPr>
                      <w:sz w:val="20"/>
                      <w:szCs w:val="20"/>
                      <w:lang w:val="en-GB"/>
                    </w:rPr>
                    <w:t xml:space="preserve"> </w:t>
                  </w:r>
                  <w:proofErr w:type="spellStart"/>
                  <w:r w:rsidRPr="007820EC">
                    <w:rPr>
                      <w:sz w:val="20"/>
                      <w:szCs w:val="20"/>
                      <w:lang w:val="en-GB"/>
                    </w:rPr>
                    <w:t>brută</w:t>
                  </w:r>
                  <w:proofErr w:type="spellEnd"/>
                  <w:r w:rsidRPr="007820EC">
                    <w:rPr>
                      <w:sz w:val="20"/>
                      <w:szCs w:val="20"/>
                      <w:lang w:val="en-GB"/>
                    </w:rPr>
                    <w:t xml:space="preserve"> – </w:t>
                  </w:r>
                  <w:proofErr w:type="spellStart"/>
                  <w:r w:rsidRPr="007820EC">
                    <w:rPr>
                      <w:sz w:val="20"/>
                      <w:szCs w:val="20"/>
                      <w:lang w:val="en-GB"/>
                    </w:rPr>
                    <w:t>industria</w:t>
                  </w:r>
                  <w:proofErr w:type="spellEnd"/>
                  <w:r w:rsidRPr="007820EC">
                    <w:rPr>
                      <w:sz w:val="20"/>
                      <w:szCs w:val="20"/>
                      <w:lang w:val="en-GB"/>
                    </w:rPr>
                    <w:t xml:space="preserve"> </w:t>
                  </w:r>
                  <w:proofErr w:type="spellStart"/>
                  <w:r w:rsidRPr="007820EC">
                    <w:rPr>
                      <w:sz w:val="20"/>
                      <w:szCs w:val="20"/>
                      <w:lang w:val="en-GB"/>
                    </w:rPr>
                    <w:t>siderurgică</w:t>
                  </w:r>
                  <w:proofErr w:type="spellEnd"/>
                </w:p>
              </w:tc>
            </w:tr>
            <w:tr w:rsidR="008F5636" w:rsidRPr="00263A32" w14:paraId="41B227B1" w14:textId="77777777" w:rsidTr="00907528">
              <w:trPr>
                <w:trHeight w:val="492"/>
              </w:trPr>
              <w:tc>
                <w:tcPr>
                  <w:tcW w:w="1840" w:type="dxa"/>
                </w:tcPr>
                <w:p w14:paraId="103EA125" w14:textId="56444636"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INDUSTRIE A1.2</w:t>
                  </w:r>
                </w:p>
              </w:tc>
              <w:tc>
                <w:tcPr>
                  <w:tcW w:w="2693" w:type="dxa"/>
                </w:tcPr>
                <w:p w14:paraId="51F6C7CD" w14:textId="6775D61D" w:rsidR="008F5636" w:rsidRPr="007820EC" w:rsidRDefault="008F5636" w:rsidP="008F5636">
                  <w:pPr>
                    <w:pStyle w:val="tbl-txt"/>
                    <w:spacing w:before="0" w:beforeAutospacing="0" w:after="0" w:afterAutospacing="0"/>
                    <w:rPr>
                      <w:color w:val="333333"/>
                      <w:sz w:val="20"/>
                      <w:szCs w:val="20"/>
                      <w:lang w:val="ro-MD"/>
                    </w:rPr>
                  </w:pPr>
                  <w:proofErr w:type="spellStart"/>
                  <w:r w:rsidRPr="007820EC">
                    <w:rPr>
                      <w:color w:val="333333"/>
                      <w:sz w:val="20"/>
                      <w:szCs w:val="20"/>
                      <w:lang w:val="fr-FR"/>
                    </w:rPr>
                    <w:t>Intensitatea</w:t>
                  </w:r>
                  <w:proofErr w:type="spellEnd"/>
                  <w:r w:rsidRPr="007820EC">
                    <w:rPr>
                      <w:color w:val="333333"/>
                      <w:sz w:val="20"/>
                      <w:szCs w:val="20"/>
                      <w:lang w:val="fr-FR"/>
                    </w:rPr>
                    <w:t xml:space="preserve"> </w:t>
                  </w:r>
                  <w:proofErr w:type="spellStart"/>
                  <w:r w:rsidRPr="007820EC">
                    <w:rPr>
                      <w:color w:val="333333"/>
                      <w:sz w:val="20"/>
                      <w:szCs w:val="20"/>
                      <w:lang w:val="fr-FR"/>
                    </w:rPr>
                    <w:t>emisiilor</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chimică</w:t>
                  </w:r>
                  <w:proofErr w:type="spellEnd"/>
                  <w:r w:rsidRPr="007820EC">
                    <w:rPr>
                      <w:color w:val="333333"/>
                      <w:sz w:val="20"/>
                      <w:szCs w:val="20"/>
                      <w:lang w:val="fr-FR"/>
                    </w:rPr>
                    <w:t>, t/</w:t>
                  </w:r>
                  <w:proofErr w:type="spellStart"/>
                  <w:r w:rsidRPr="007820EC">
                    <w:rPr>
                      <w:color w:val="333333"/>
                      <w:sz w:val="20"/>
                      <w:szCs w:val="20"/>
                      <w:lang w:val="fr-FR"/>
                    </w:rPr>
                    <w:t>milioane</w:t>
                  </w:r>
                  <w:proofErr w:type="spellEnd"/>
                  <w:r w:rsidRPr="007820EC">
                    <w:rPr>
                      <w:color w:val="333333"/>
                      <w:sz w:val="20"/>
                      <w:szCs w:val="20"/>
                      <w:lang w:val="fr-FR"/>
                    </w:rPr>
                    <w:t xml:space="preserve"> EUR</w:t>
                  </w:r>
                </w:p>
                <w:p w14:paraId="4DB8B2DA" w14:textId="700F53DF" w:rsidR="008F5636" w:rsidRPr="007820EC" w:rsidRDefault="008F5636" w:rsidP="008F5636">
                  <w:pPr>
                    <w:pStyle w:val="tbl-txt"/>
                    <w:spacing w:before="0" w:beforeAutospacing="0" w:after="0" w:afterAutospacing="0"/>
                    <w:rPr>
                      <w:color w:val="333333"/>
                      <w:sz w:val="20"/>
                      <w:szCs w:val="20"/>
                      <w:lang w:val="fr-FR"/>
                    </w:rPr>
                  </w:pPr>
                  <w:proofErr w:type="spellStart"/>
                  <w:r w:rsidRPr="007820EC">
                    <w:rPr>
                      <w:color w:val="333333"/>
                      <w:sz w:val="20"/>
                      <w:szCs w:val="20"/>
                      <w:lang w:val="fr-FR"/>
                    </w:rPr>
                    <w:t>Emisiile</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w:t>
                  </w:r>
                  <w:proofErr w:type="spellStart"/>
                  <w:r w:rsidRPr="007820EC">
                    <w:rPr>
                      <w:color w:val="333333"/>
                      <w:sz w:val="20"/>
                      <w:szCs w:val="20"/>
                      <w:lang w:val="fr-FR"/>
                    </w:rPr>
                    <w:t>din</w:t>
                  </w:r>
                  <w:proofErr w:type="spellEnd"/>
                  <w:r w:rsidRPr="007820EC">
                    <w:rPr>
                      <w:color w:val="333333"/>
                      <w:sz w:val="20"/>
                      <w:szCs w:val="20"/>
                      <w:lang w:val="fr-FR"/>
                    </w:rPr>
                    <w:t xml:space="preserve">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chimică</w:t>
                  </w:r>
                  <w:proofErr w:type="spellEnd"/>
                  <w:r w:rsidRPr="007820EC">
                    <w:rPr>
                      <w:color w:val="333333"/>
                      <w:sz w:val="20"/>
                      <w:szCs w:val="20"/>
                      <w:lang w:val="fr-FR"/>
                    </w:rPr>
                    <w:t xml:space="preserve">, kt </w:t>
                  </w:r>
                  <w:proofErr w:type="spellStart"/>
                  <w:r w:rsidRPr="007820EC">
                    <w:rPr>
                      <w:color w:val="333333"/>
                      <w:sz w:val="20"/>
                      <w:szCs w:val="20"/>
                      <w:lang w:val="fr-FR"/>
                    </w:rPr>
                    <w:t>împărțite</w:t>
                  </w:r>
                  <w:proofErr w:type="spellEnd"/>
                  <w:r w:rsidRPr="007820EC">
                    <w:rPr>
                      <w:color w:val="333333"/>
                      <w:sz w:val="20"/>
                      <w:szCs w:val="20"/>
                      <w:lang w:val="fr-FR"/>
                    </w:rPr>
                    <w:t xml:space="preserve"> la </w:t>
                  </w:r>
                  <w:proofErr w:type="spellStart"/>
                  <w:r w:rsidRPr="007820EC">
                    <w:rPr>
                      <w:color w:val="333333"/>
                      <w:sz w:val="20"/>
                      <w:szCs w:val="20"/>
                      <w:lang w:val="fr-FR"/>
                    </w:rPr>
                    <w:t>valoarea</w:t>
                  </w:r>
                  <w:proofErr w:type="spellEnd"/>
                  <w:r w:rsidRPr="007820EC">
                    <w:rPr>
                      <w:color w:val="333333"/>
                      <w:sz w:val="20"/>
                      <w:szCs w:val="20"/>
                      <w:lang w:val="fr-FR"/>
                    </w:rPr>
                    <w:t xml:space="preserve"> </w:t>
                  </w:r>
                  <w:proofErr w:type="spellStart"/>
                  <w:r w:rsidRPr="007820EC">
                    <w:rPr>
                      <w:color w:val="333333"/>
                      <w:sz w:val="20"/>
                      <w:szCs w:val="20"/>
                      <w:lang w:val="fr-FR"/>
                    </w:rPr>
                    <w:t>adăugată</w:t>
                  </w:r>
                  <w:proofErr w:type="spellEnd"/>
                  <w:r w:rsidRPr="007820EC">
                    <w:rPr>
                      <w:color w:val="333333"/>
                      <w:sz w:val="20"/>
                      <w:szCs w:val="20"/>
                      <w:lang w:val="fr-FR"/>
                    </w:rPr>
                    <w:t xml:space="preserve"> </w:t>
                  </w:r>
                  <w:proofErr w:type="spellStart"/>
                  <w:r w:rsidRPr="007820EC">
                    <w:rPr>
                      <w:color w:val="333333"/>
                      <w:sz w:val="20"/>
                      <w:szCs w:val="20"/>
                      <w:lang w:val="fr-FR"/>
                    </w:rPr>
                    <w:t>brută</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chimică</w:t>
                  </w:r>
                  <w:proofErr w:type="spellEnd"/>
                </w:p>
              </w:tc>
            </w:tr>
            <w:tr w:rsidR="008F5636" w:rsidRPr="00263A32" w14:paraId="29CC64AD" w14:textId="77777777" w:rsidTr="00907528">
              <w:trPr>
                <w:trHeight w:val="492"/>
              </w:trPr>
              <w:tc>
                <w:tcPr>
                  <w:tcW w:w="1840" w:type="dxa"/>
                </w:tcPr>
                <w:p w14:paraId="14132D26" w14:textId="506AAD43" w:rsidR="008F5636" w:rsidRPr="007820EC" w:rsidRDefault="008F5636" w:rsidP="008F5636">
                  <w:pPr>
                    <w:pStyle w:val="ColorfulList-Accent11"/>
                    <w:spacing w:after="0" w:line="240" w:lineRule="auto"/>
                    <w:ind w:left="0"/>
                    <w:jc w:val="both"/>
                    <w:rPr>
                      <w:rFonts w:ascii="Times New Roman" w:hAnsi="Times New Roman"/>
                      <w:color w:val="333333"/>
                      <w:sz w:val="20"/>
                      <w:szCs w:val="20"/>
                      <w:shd w:val="clear" w:color="auto" w:fill="FFFFFF"/>
                      <w:lang w:val="fr-FR"/>
                    </w:rPr>
                  </w:pPr>
                  <w:r w:rsidRPr="007820EC">
                    <w:rPr>
                      <w:rFonts w:ascii="Times New Roman" w:hAnsi="Times New Roman"/>
                      <w:color w:val="333333"/>
                      <w:sz w:val="20"/>
                      <w:szCs w:val="20"/>
                      <w:shd w:val="clear" w:color="auto" w:fill="FFFFFF"/>
                    </w:rPr>
                    <w:t>INDUSTRIE A1.3</w:t>
                  </w:r>
                </w:p>
              </w:tc>
              <w:tc>
                <w:tcPr>
                  <w:tcW w:w="2693" w:type="dxa"/>
                </w:tcPr>
                <w:p w14:paraId="500CAE68" w14:textId="77777777" w:rsidR="008F5636" w:rsidRPr="007820EC" w:rsidRDefault="008F5636" w:rsidP="008F5636">
                  <w:pPr>
                    <w:pStyle w:val="tbl-txt"/>
                    <w:spacing w:before="60" w:beforeAutospacing="0" w:after="60" w:afterAutospacing="0"/>
                    <w:rPr>
                      <w:color w:val="333333"/>
                      <w:sz w:val="20"/>
                      <w:szCs w:val="20"/>
                      <w:lang w:val="ro-MD"/>
                    </w:rPr>
                  </w:pPr>
                  <w:proofErr w:type="spellStart"/>
                  <w:r w:rsidRPr="007820EC">
                    <w:rPr>
                      <w:color w:val="333333"/>
                      <w:sz w:val="20"/>
                      <w:szCs w:val="20"/>
                      <w:lang w:val="fr-FR"/>
                    </w:rPr>
                    <w:t>Intensitatea</w:t>
                  </w:r>
                  <w:proofErr w:type="spellEnd"/>
                  <w:r w:rsidRPr="007820EC">
                    <w:rPr>
                      <w:color w:val="333333"/>
                      <w:sz w:val="20"/>
                      <w:szCs w:val="20"/>
                      <w:lang w:val="fr-FR"/>
                    </w:rPr>
                    <w:t xml:space="preserve"> </w:t>
                  </w:r>
                  <w:proofErr w:type="spellStart"/>
                  <w:r w:rsidRPr="007820EC">
                    <w:rPr>
                      <w:color w:val="333333"/>
                      <w:sz w:val="20"/>
                      <w:szCs w:val="20"/>
                      <w:lang w:val="fr-FR"/>
                    </w:rPr>
                    <w:t>emisiilor</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sticlei</w:t>
                  </w:r>
                  <w:proofErr w:type="spellEnd"/>
                  <w:r w:rsidRPr="007820EC">
                    <w:rPr>
                      <w:color w:val="333333"/>
                      <w:sz w:val="20"/>
                      <w:szCs w:val="20"/>
                      <w:lang w:val="fr-FR"/>
                    </w:rPr>
                    <w:t xml:space="preserve">, a </w:t>
                  </w:r>
                  <w:proofErr w:type="spellStart"/>
                  <w:r w:rsidRPr="007820EC">
                    <w:rPr>
                      <w:color w:val="333333"/>
                      <w:sz w:val="20"/>
                      <w:szCs w:val="20"/>
                      <w:lang w:val="fr-FR"/>
                    </w:rPr>
                    <w:t>ceramicii</w:t>
                  </w:r>
                  <w:proofErr w:type="spellEnd"/>
                  <w:r w:rsidRPr="007820EC">
                    <w:rPr>
                      <w:color w:val="333333"/>
                      <w:sz w:val="20"/>
                      <w:szCs w:val="20"/>
                      <w:lang w:val="fr-FR"/>
                    </w:rPr>
                    <w:t xml:space="preserve"> și a </w:t>
                  </w:r>
                  <w:proofErr w:type="spellStart"/>
                  <w:r w:rsidRPr="007820EC">
                    <w:rPr>
                      <w:color w:val="333333"/>
                      <w:sz w:val="20"/>
                      <w:szCs w:val="20"/>
                      <w:lang w:val="fr-FR"/>
                    </w:rPr>
                    <w:t>materialelor</w:t>
                  </w:r>
                  <w:proofErr w:type="spellEnd"/>
                  <w:r w:rsidRPr="007820EC">
                    <w:rPr>
                      <w:color w:val="333333"/>
                      <w:sz w:val="20"/>
                      <w:szCs w:val="20"/>
                      <w:lang w:val="fr-FR"/>
                    </w:rPr>
                    <w:t xml:space="preserve"> de </w:t>
                  </w:r>
                  <w:proofErr w:type="spellStart"/>
                  <w:r w:rsidRPr="007820EC">
                    <w:rPr>
                      <w:color w:val="333333"/>
                      <w:sz w:val="20"/>
                      <w:szCs w:val="20"/>
                      <w:lang w:val="fr-FR"/>
                    </w:rPr>
                    <w:t>construcții</w:t>
                  </w:r>
                  <w:proofErr w:type="spellEnd"/>
                  <w:r w:rsidRPr="007820EC">
                    <w:rPr>
                      <w:color w:val="333333"/>
                      <w:sz w:val="20"/>
                      <w:szCs w:val="20"/>
                      <w:lang w:val="fr-FR"/>
                    </w:rPr>
                    <w:t>, t/</w:t>
                  </w:r>
                  <w:proofErr w:type="spellStart"/>
                  <w:r w:rsidRPr="007820EC">
                    <w:rPr>
                      <w:color w:val="333333"/>
                      <w:sz w:val="20"/>
                      <w:szCs w:val="20"/>
                      <w:lang w:val="fr-FR"/>
                    </w:rPr>
                    <w:t>milioane</w:t>
                  </w:r>
                  <w:proofErr w:type="spellEnd"/>
                  <w:r w:rsidRPr="007820EC">
                    <w:rPr>
                      <w:color w:val="333333"/>
                      <w:sz w:val="20"/>
                      <w:szCs w:val="20"/>
                      <w:lang w:val="fr-FR"/>
                    </w:rPr>
                    <w:t xml:space="preserve"> EUR</w:t>
                  </w:r>
                </w:p>
                <w:p w14:paraId="3EB7BCA2" w14:textId="118B9A9C" w:rsidR="008F5636" w:rsidRPr="007820EC" w:rsidRDefault="008F5636" w:rsidP="008F5636">
                  <w:pPr>
                    <w:pStyle w:val="tbl-txt"/>
                    <w:spacing w:before="60" w:beforeAutospacing="0" w:after="60" w:afterAutospacing="0"/>
                    <w:rPr>
                      <w:color w:val="333333"/>
                      <w:sz w:val="20"/>
                      <w:szCs w:val="20"/>
                      <w:lang w:val="ro-MD"/>
                    </w:rPr>
                  </w:pPr>
                  <w:proofErr w:type="spellStart"/>
                  <w:r w:rsidRPr="007820EC">
                    <w:rPr>
                      <w:color w:val="333333"/>
                      <w:sz w:val="20"/>
                      <w:szCs w:val="20"/>
                      <w:lang w:val="fr-FR"/>
                    </w:rPr>
                    <w:t>Emisiile</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w:t>
                  </w:r>
                  <w:proofErr w:type="spellStart"/>
                  <w:r w:rsidRPr="007820EC">
                    <w:rPr>
                      <w:color w:val="333333"/>
                      <w:sz w:val="20"/>
                      <w:szCs w:val="20"/>
                      <w:lang w:val="fr-FR"/>
                    </w:rPr>
                    <w:t>din</w:t>
                  </w:r>
                  <w:proofErr w:type="spellEnd"/>
                  <w:r w:rsidRPr="007820EC">
                    <w:rPr>
                      <w:color w:val="333333"/>
                      <w:sz w:val="20"/>
                      <w:szCs w:val="20"/>
                      <w:lang w:val="fr-FR"/>
                    </w:rPr>
                    <w:t xml:space="preserve">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sticlei</w:t>
                  </w:r>
                  <w:proofErr w:type="spellEnd"/>
                  <w:r w:rsidRPr="007820EC">
                    <w:rPr>
                      <w:color w:val="333333"/>
                      <w:sz w:val="20"/>
                      <w:szCs w:val="20"/>
                      <w:lang w:val="fr-FR"/>
                    </w:rPr>
                    <w:t xml:space="preserve">, a </w:t>
                  </w:r>
                  <w:proofErr w:type="spellStart"/>
                  <w:r w:rsidRPr="007820EC">
                    <w:rPr>
                      <w:color w:val="333333"/>
                      <w:sz w:val="20"/>
                      <w:szCs w:val="20"/>
                      <w:lang w:val="fr-FR"/>
                    </w:rPr>
                    <w:t>ceramicii</w:t>
                  </w:r>
                  <w:proofErr w:type="spellEnd"/>
                  <w:r w:rsidRPr="007820EC">
                    <w:rPr>
                      <w:color w:val="333333"/>
                      <w:sz w:val="20"/>
                      <w:szCs w:val="20"/>
                      <w:lang w:val="fr-FR"/>
                    </w:rPr>
                    <w:t xml:space="preserve"> și a </w:t>
                  </w:r>
                  <w:proofErr w:type="spellStart"/>
                  <w:r w:rsidRPr="007820EC">
                    <w:rPr>
                      <w:color w:val="333333"/>
                      <w:sz w:val="20"/>
                      <w:szCs w:val="20"/>
                      <w:lang w:val="fr-FR"/>
                    </w:rPr>
                    <w:t>materialelor</w:t>
                  </w:r>
                  <w:proofErr w:type="spellEnd"/>
                  <w:r w:rsidRPr="007820EC">
                    <w:rPr>
                      <w:color w:val="333333"/>
                      <w:sz w:val="20"/>
                      <w:szCs w:val="20"/>
                      <w:lang w:val="fr-FR"/>
                    </w:rPr>
                    <w:t xml:space="preserve"> de </w:t>
                  </w:r>
                  <w:proofErr w:type="spellStart"/>
                  <w:r w:rsidRPr="007820EC">
                    <w:rPr>
                      <w:color w:val="333333"/>
                      <w:sz w:val="20"/>
                      <w:szCs w:val="20"/>
                      <w:lang w:val="fr-FR"/>
                    </w:rPr>
                    <w:t>construcții</w:t>
                  </w:r>
                  <w:proofErr w:type="spellEnd"/>
                  <w:r w:rsidRPr="007820EC">
                    <w:rPr>
                      <w:color w:val="333333"/>
                      <w:sz w:val="20"/>
                      <w:szCs w:val="20"/>
                      <w:lang w:val="fr-FR"/>
                    </w:rPr>
                    <w:t xml:space="preserve">, kt </w:t>
                  </w:r>
                  <w:proofErr w:type="spellStart"/>
                  <w:r w:rsidRPr="007820EC">
                    <w:rPr>
                      <w:color w:val="333333"/>
                      <w:sz w:val="20"/>
                      <w:szCs w:val="20"/>
                      <w:lang w:val="fr-FR"/>
                    </w:rPr>
                    <w:t>împărțite</w:t>
                  </w:r>
                  <w:proofErr w:type="spellEnd"/>
                  <w:r w:rsidRPr="007820EC">
                    <w:rPr>
                      <w:color w:val="333333"/>
                      <w:sz w:val="20"/>
                      <w:szCs w:val="20"/>
                      <w:lang w:val="fr-FR"/>
                    </w:rPr>
                    <w:t xml:space="preserve"> la </w:t>
                  </w:r>
                  <w:proofErr w:type="spellStart"/>
                  <w:r w:rsidRPr="007820EC">
                    <w:rPr>
                      <w:color w:val="333333"/>
                      <w:sz w:val="20"/>
                      <w:szCs w:val="20"/>
                      <w:lang w:val="fr-FR"/>
                    </w:rPr>
                    <w:t>valoarea</w:t>
                  </w:r>
                  <w:proofErr w:type="spellEnd"/>
                  <w:r w:rsidRPr="007820EC">
                    <w:rPr>
                      <w:color w:val="333333"/>
                      <w:sz w:val="20"/>
                      <w:szCs w:val="20"/>
                      <w:lang w:val="fr-FR"/>
                    </w:rPr>
                    <w:t xml:space="preserve"> </w:t>
                  </w:r>
                  <w:proofErr w:type="spellStart"/>
                  <w:r w:rsidRPr="007820EC">
                    <w:rPr>
                      <w:color w:val="333333"/>
                      <w:sz w:val="20"/>
                      <w:szCs w:val="20"/>
                      <w:lang w:val="fr-FR"/>
                    </w:rPr>
                    <w:t>adăugată</w:t>
                  </w:r>
                  <w:proofErr w:type="spellEnd"/>
                  <w:r w:rsidRPr="007820EC">
                    <w:rPr>
                      <w:color w:val="333333"/>
                      <w:sz w:val="20"/>
                      <w:szCs w:val="20"/>
                      <w:lang w:val="fr-FR"/>
                    </w:rPr>
                    <w:t xml:space="preserve"> </w:t>
                  </w:r>
                  <w:proofErr w:type="spellStart"/>
                  <w:r w:rsidRPr="007820EC">
                    <w:rPr>
                      <w:color w:val="333333"/>
                      <w:sz w:val="20"/>
                      <w:szCs w:val="20"/>
                      <w:lang w:val="fr-FR"/>
                    </w:rPr>
                    <w:t>brută</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sticlei</w:t>
                  </w:r>
                  <w:proofErr w:type="spellEnd"/>
                  <w:r w:rsidRPr="007820EC">
                    <w:rPr>
                      <w:color w:val="333333"/>
                      <w:sz w:val="20"/>
                      <w:szCs w:val="20"/>
                      <w:lang w:val="fr-FR"/>
                    </w:rPr>
                    <w:t xml:space="preserve">, a </w:t>
                  </w:r>
                  <w:proofErr w:type="spellStart"/>
                  <w:r w:rsidRPr="007820EC">
                    <w:rPr>
                      <w:color w:val="333333"/>
                      <w:sz w:val="20"/>
                      <w:szCs w:val="20"/>
                      <w:lang w:val="fr-FR"/>
                    </w:rPr>
                    <w:t>ceramicii</w:t>
                  </w:r>
                  <w:proofErr w:type="spellEnd"/>
                  <w:r w:rsidRPr="007820EC">
                    <w:rPr>
                      <w:color w:val="333333"/>
                      <w:sz w:val="20"/>
                      <w:szCs w:val="20"/>
                      <w:lang w:val="fr-FR"/>
                    </w:rPr>
                    <w:t xml:space="preserve"> și a </w:t>
                  </w:r>
                  <w:proofErr w:type="spellStart"/>
                  <w:r w:rsidRPr="007820EC">
                    <w:rPr>
                      <w:color w:val="333333"/>
                      <w:sz w:val="20"/>
                      <w:szCs w:val="20"/>
                      <w:lang w:val="fr-FR"/>
                    </w:rPr>
                    <w:t>materialelor</w:t>
                  </w:r>
                  <w:proofErr w:type="spellEnd"/>
                  <w:r w:rsidRPr="007820EC">
                    <w:rPr>
                      <w:color w:val="333333"/>
                      <w:sz w:val="20"/>
                      <w:szCs w:val="20"/>
                      <w:lang w:val="fr-FR"/>
                    </w:rPr>
                    <w:t xml:space="preserve"> de </w:t>
                  </w:r>
                  <w:proofErr w:type="spellStart"/>
                  <w:r w:rsidRPr="007820EC">
                    <w:rPr>
                      <w:color w:val="333333"/>
                      <w:sz w:val="20"/>
                      <w:szCs w:val="20"/>
                      <w:lang w:val="fr-FR"/>
                    </w:rPr>
                    <w:t>construcții</w:t>
                  </w:r>
                  <w:proofErr w:type="spellEnd"/>
                </w:p>
              </w:tc>
            </w:tr>
            <w:tr w:rsidR="008F5636" w:rsidRPr="00263A32" w14:paraId="4D086CF5" w14:textId="77777777" w:rsidTr="00907528">
              <w:trPr>
                <w:trHeight w:val="492"/>
              </w:trPr>
              <w:tc>
                <w:tcPr>
                  <w:tcW w:w="1840" w:type="dxa"/>
                </w:tcPr>
                <w:p w14:paraId="52E46C4A" w14:textId="0A51F38E" w:rsidR="008F5636" w:rsidRPr="007820EC" w:rsidRDefault="008F5636" w:rsidP="008F5636">
                  <w:pPr>
                    <w:pStyle w:val="ColorfulList-Accent11"/>
                    <w:spacing w:after="0" w:line="240" w:lineRule="auto"/>
                    <w:ind w:left="0"/>
                    <w:jc w:val="both"/>
                    <w:rPr>
                      <w:rFonts w:ascii="Times New Roman" w:hAnsi="Times New Roman"/>
                      <w:color w:val="333333"/>
                      <w:sz w:val="20"/>
                      <w:szCs w:val="20"/>
                      <w:shd w:val="clear" w:color="auto" w:fill="FFFFFF"/>
                      <w:lang w:val="fr-FR"/>
                    </w:rPr>
                  </w:pPr>
                  <w:r w:rsidRPr="007820EC">
                    <w:rPr>
                      <w:rFonts w:ascii="Times New Roman" w:hAnsi="Times New Roman"/>
                      <w:color w:val="333333"/>
                      <w:sz w:val="20"/>
                      <w:szCs w:val="20"/>
                      <w:shd w:val="clear" w:color="auto" w:fill="FFFFFF"/>
                    </w:rPr>
                    <w:t>INDUSTRIE A1.4</w:t>
                  </w:r>
                </w:p>
              </w:tc>
              <w:tc>
                <w:tcPr>
                  <w:tcW w:w="2693" w:type="dxa"/>
                </w:tcPr>
                <w:p w14:paraId="105E65F3" w14:textId="00110143" w:rsidR="008F5636" w:rsidRPr="007820EC" w:rsidRDefault="008F5636" w:rsidP="008F5636">
                  <w:pPr>
                    <w:pStyle w:val="tbl-txt"/>
                    <w:spacing w:before="0" w:beforeAutospacing="0" w:after="0" w:afterAutospacing="0"/>
                    <w:jc w:val="both"/>
                    <w:rPr>
                      <w:color w:val="333333"/>
                      <w:sz w:val="20"/>
                      <w:szCs w:val="20"/>
                      <w:lang w:val="ro-MD"/>
                    </w:rPr>
                  </w:pPr>
                  <w:proofErr w:type="spellStart"/>
                  <w:r w:rsidRPr="007820EC">
                    <w:rPr>
                      <w:color w:val="333333"/>
                      <w:sz w:val="20"/>
                      <w:szCs w:val="20"/>
                      <w:lang w:val="fr-FR"/>
                    </w:rPr>
                    <w:t>Intensitatea</w:t>
                  </w:r>
                  <w:proofErr w:type="spellEnd"/>
                  <w:r w:rsidRPr="007820EC">
                    <w:rPr>
                      <w:color w:val="333333"/>
                      <w:sz w:val="20"/>
                      <w:szCs w:val="20"/>
                      <w:lang w:val="fr-FR"/>
                    </w:rPr>
                    <w:t xml:space="preserve"> </w:t>
                  </w:r>
                  <w:proofErr w:type="spellStart"/>
                  <w:r w:rsidRPr="007820EC">
                    <w:rPr>
                      <w:color w:val="333333"/>
                      <w:sz w:val="20"/>
                      <w:szCs w:val="20"/>
                      <w:lang w:val="fr-FR"/>
                    </w:rPr>
                    <w:t>emisiilor</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alimentară</w:t>
                  </w:r>
                  <w:proofErr w:type="spellEnd"/>
                  <w:r w:rsidRPr="007820EC">
                    <w:rPr>
                      <w:color w:val="333333"/>
                      <w:sz w:val="20"/>
                      <w:szCs w:val="20"/>
                      <w:lang w:val="fr-FR"/>
                    </w:rPr>
                    <w:t xml:space="preserve">, a </w:t>
                  </w:r>
                  <w:proofErr w:type="spellStart"/>
                  <w:r w:rsidRPr="007820EC">
                    <w:rPr>
                      <w:color w:val="333333"/>
                      <w:sz w:val="20"/>
                      <w:szCs w:val="20"/>
                      <w:lang w:val="fr-FR"/>
                    </w:rPr>
                    <w:t>băuturilor</w:t>
                  </w:r>
                  <w:proofErr w:type="spellEnd"/>
                  <w:r w:rsidRPr="007820EC">
                    <w:rPr>
                      <w:color w:val="333333"/>
                      <w:sz w:val="20"/>
                      <w:szCs w:val="20"/>
                      <w:lang w:val="fr-FR"/>
                    </w:rPr>
                    <w:t xml:space="preserve"> și a </w:t>
                  </w:r>
                  <w:proofErr w:type="spellStart"/>
                  <w:r w:rsidRPr="007820EC">
                    <w:rPr>
                      <w:color w:val="333333"/>
                      <w:sz w:val="20"/>
                      <w:szCs w:val="20"/>
                      <w:lang w:val="fr-FR"/>
                    </w:rPr>
                    <w:t>tutunului</w:t>
                  </w:r>
                  <w:proofErr w:type="spellEnd"/>
                  <w:r w:rsidRPr="007820EC">
                    <w:rPr>
                      <w:color w:val="333333"/>
                      <w:sz w:val="20"/>
                      <w:szCs w:val="20"/>
                      <w:lang w:val="fr-FR"/>
                    </w:rPr>
                    <w:t>, t/</w:t>
                  </w:r>
                  <w:proofErr w:type="spellStart"/>
                  <w:r w:rsidRPr="007820EC">
                    <w:rPr>
                      <w:color w:val="333333"/>
                      <w:sz w:val="20"/>
                      <w:szCs w:val="20"/>
                      <w:lang w:val="fr-FR"/>
                    </w:rPr>
                    <w:t>milioane</w:t>
                  </w:r>
                  <w:proofErr w:type="spellEnd"/>
                  <w:r w:rsidRPr="007820EC">
                    <w:rPr>
                      <w:color w:val="333333"/>
                      <w:sz w:val="20"/>
                      <w:szCs w:val="20"/>
                      <w:lang w:val="fr-FR"/>
                    </w:rPr>
                    <w:t xml:space="preserve"> EUR</w:t>
                  </w:r>
                </w:p>
                <w:p w14:paraId="201B2934" w14:textId="7367B0C5" w:rsidR="008F5636" w:rsidRPr="007820EC" w:rsidRDefault="008F5636" w:rsidP="008F5636">
                  <w:pPr>
                    <w:pStyle w:val="tbl-txt"/>
                    <w:spacing w:before="0" w:beforeAutospacing="0" w:after="0" w:afterAutospacing="0"/>
                    <w:jc w:val="both"/>
                    <w:rPr>
                      <w:color w:val="333333"/>
                      <w:sz w:val="20"/>
                      <w:szCs w:val="20"/>
                      <w:lang w:val="ro-MD"/>
                    </w:rPr>
                  </w:pPr>
                  <w:r w:rsidRPr="007820EC">
                    <w:rPr>
                      <w:color w:val="333333"/>
                      <w:sz w:val="20"/>
                      <w:szCs w:val="20"/>
                      <w:lang w:val="ro-MD"/>
                    </w:rPr>
                    <w:t>Emisiile de CO</w:t>
                  </w:r>
                  <w:r w:rsidRPr="007820EC">
                    <w:rPr>
                      <w:rStyle w:val="sub"/>
                      <w:color w:val="333333"/>
                      <w:sz w:val="20"/>
                      <w:szCs w:val="20"/>
                      <w:vertAlign w:val="subscript"/>
                      <w:lang w:val="ro-MD"/>
                    </w:rPr>
                    <w:t>2</w:t>
                  </w:r>
                  <w:r w:rsidRPr="007820EC">
                    <w:rPr>
                      <w:color w:val="333333"/>
                      <w:sz w:val="20"/>
                      <w:szCs w:val="20"/>
                      <w:lang w:val="ro-MD"/>
                    </w:rPr>
                    <w:t xml:space="preserve"> legate de energie din industria alimentară, a băuturilor și a tutunului, kt împărțite la valoarea adăugată brută – industria alimentară, a băuturilor și a tutunului, milioane EUR (EC95)</w:t>
                  </w:r>
                </w:p>
              </w:tc>
            </w:tr>
            <w:tr w:rsidR="008F5636" w:rsidRPr="00263A32" w14:paraId="5B2CBEEB" w14:textId="77777777" w:rsidTr="00907528">
              <w:trPr>
                <w:trHeight w:val="492"/>
              </w:trPr>
              <w:tc>
                <w:tcPr>
                  <w:tcW w:w="1840" w:type="dxa"/>
                </w:tcPr>
                <w:p w14:paraId="0635BFDE" w14:textId="34EACFFA" w:rsidR="008F5636" w:rsidRPr="007820EC" w:rsidRDefault="008F5636" w:rsidP="008F5636">
                  <w:pPr>
                    <w:pStyle w:val="ColorfulList-Accent11"/>
                    <w:spacing w:after="0" w:line="240" w:lineRule="auto"/>
                    <w:ind w:left="0"/>
                    <w:jc w:val="both"/>
                    <w:rPr>
                      <w:rFonts w:ascii="Times New Roman" w:hAnsi="Times New Roman"/>
                      <w:color w:val="333333"/>
                      <w:sz w:val="20"/>
                      <w:szCs w:val="20"/>
                      <w:shd w:val="clear" w:color="auto" w:fill="FFFFFF"/>
                    </w:rPr>
                  </w:pPr>
                  <w:r w:rsidRPr="007820EC">
                    <w:rPr>
                      <w:rFonts w:ascii="Times New Roman" w:hAnsi="Times New Roman"/>
                      <w:sz w:val="20"/>
                      <w:szCs w:val="20"/>
                      <w:shd w:val="clear" w:color="auto" w:fill="FFFFFF"/>
                    </w:rPr>
                    <w:t>INDUSTRIE A1.5</w:t>
                  </w:r>
                </w:p>
              </w:tc>
              <w:tc>
                <w:tcPr>
                  <w:tcW w:w="2693" w:type="dxa"/>
                </w:tcPr>
                <w:p w14:paraId="17894B12" w14:textId="762A2903" w:rsidR="008F5636" w:rsidRPr="007820EC" w:rsidRDefault="008F5636" w:rsidP="008F5636">
                  <w:pPr>
                    <w:pStyle w:val="tbl-txt"/>
                    <w:spacing w:before="0" w:beforeAutospacing="0" w:after="0" w:afterAutospacing="0"/>
                    <w:jc w:val="both"/>
                    <w:rPr>
                      <w:color w:val="333333"/>
                      <w:sz w:val="20"/>
                      <w:szCs w:val="20"/>
                      <w:lang w:val="ro-MD"/>
                    </w:rPr>
                  </w:pPr>
                  <w:proofErr w:type="spellStart"/>
                  <w:r w:rsidRPr="007820EC">
                    <w:rPr>
                      <w:color w:val="333333"/>
                      <w:sz w:val="20"/>
                      <w:szCs w:val="20"/>
                      <w:lang w:val="fr-FR"/>
                    </w:rPr>
                    <w:t>Intensitatea</w:t>
                  </w:r>
                  <w:proofErr w:type="spellEnd"/>
                  <w:r w:rsidRPr="007820EC">
                    <w:rPr>
                      <w:color w:val="333333"/>
                      <w:sz w:val="20"/>
                      <w:szCs w:val="20"/>
                      <w:lang w:val="fr-FR"/>
                    </w:rPr>
                    <w:t xml:space="preserve"> </w:t>
                  </w:r>
                  <w:proofErr w:type="spellStart"/>
                  <w:r w:rsidRPr="007820EC">
                    <w:rPr>
                      <w:color w:val="333333"/>
                      <w:sz w:val="20"/>
                      <w:szCs w:val="20"/>
                      <w:lang w:val="fr-FR"/>
                    </w:rPr>
                    <w:t>emisiilor</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hârtiei</w:t>
                  </w:r>
                  <w:proofErr w:type="spellEnd"/>
                  <w:r w:rsidRPr="007820EC">
                    <w:rPr>
                      <w:color w:val="333333"/>
                      <w:sz w:val="20"/>
                      <w:szCs w:val="20"/>
                      <w:lang w:val="fr-FR"/>
                    </w:rPr>
                    <w:t xml:space="preserve"> și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poligrafică</w:t>
                  </w:r>
                  <w:proofErr w:type="spellEnd"/>
                  <w:r w:rsidRPr="007820EC">
                    <w:rPr>
                      <w:color w:val="333333"/>
                      <w:sz w:val="20"/>
                      <w:szCs w:val="20"/>
                      <w:lang w:val="fr-FR"/>
                    </w:rPr>
                    <w:t>, t/</w:t>
                  </w:r>
                  <w:proofErr w:type="spellStart"/>
                  <w:r w:rsidRPr="007820EC">
                    <w:rPr>
                      <w:color w:val="333333"/>
                      <w:sz w:val="20"/>
                      <w:szCs w:val="20"/>
                      <w:lang w:val="fr-FR"/>
                    </w:rPr>
                    <w:t>milioane</w:t>
                  </w:r>
                  <w:proofErr w:type="spellEnd"/>
                  <w:r w:rsidRPr="007820EC">
                    <w:rPr>
                      <w:color w:val="333333"/>
                      <w:sz w:val="20"/>
                      <w:szCs w:val="20"/>
                      <w:lang w:val="fr-FR"/>
                    </w:rPr>
                    <w:t xml:space="preserve"> EUR,</w:t>
                  </w:r>
                </w:p>
                <w:p w14:paraId="570E5055" w14:textId="1C1BD92F" w:rsidR="008F5636" w:rsidRPr="007820EC" w:rsidRDefault="008F5636" w:rsidP="008F5636">
                  <w:pPr>
                    <w:pStyle w:val="tbl-txt"/>
                    <w:spacing w:before="0" w:beforeAutospacing="0" w:after="0" w:afterAutospacing="0"/>
                    <w:jc w:val="both"/>
                    <w:rPr>
                      <w:color w:val="333333"/>
                      <w:sz w:val="20"/>
                      <w:szCs w:val="20"/>
                      <w:lang w:val="fr-FR"/>
                    </w:rPr>
                  </w:pPr>
                  <w:proofErr w:type="spellStart"/>
                  <w:r w:rsidRPr="007820EC">
                    <w:rPr>
                      <w:color w:val="333333"/>
                      <w:sz w:val="20"/>
                      <w:szCs w:val="20"/>
                      <w:lang w:val="fr-FR"/>
                    </w:rPr>
                    <w:t>Emisiile</w:t>
                  </w:r>
                  <w:proofErr w:type="spellEnd"/>
                  <w:r w:rsidRPr="007820EC">
                    <w:rPr>
                      <w:color w:val="333333"/>
                      <w:sz w:val="20"/>
                      <w:szCs w:val="20"/>
                      <w:lang w:val="fr-FR"/>
                    </w:rPr>
                    <w:t xml:space="preserve"> de CO</w:t>
                  </w:r>
                  <w:r w:rsidRPr="007820EC">
                    <w:rPr>
                      <w:rStyle w:val="sub"/>
                      <w:color w:val="333333"/>
                      <w:sz w:val="20"/>
                      <w:szCs w:val="20"/>
                      <w:vertAlign w:val="subscript"/>
                      <w:lang w:val="fr-FR"/>
                    </w:rPr>
                    <w:t>2</w:t>
                  </w:r>
                  <w:r w:rsidRPr="007820EC">
                    <w:rPr>
                      <w:color w:val="333333"/>
                      <w:sz w:val="20"/>
                      <w:szCs w:val="20"/>
                      <w:lang w:val="fr-FR"/>
                    </w:rPr>
                    <w:t xml:space="preserve"> </w:t>
                  </w:r>
                  <w:proofErr w:type="spellStart"/>
                  <w:r w:rsidRPr="007820EC">
                    <w:rPr>
                      <w:color w:val="333333"/>
                      <w:sz w:val="20"/>
                      <w:szCs w:val="20"/>
                      <w:lang w:val="fr-FR"/>
                    </w:rPr>
                    <w:t>legate</w:t>
                  </w:r>
                  <w:proofErr w:type="spellEnd"/>
                  <w:r w:rsidRPr="007820EC">
                    <w:rPr>
                      <w:color w:val="333333"/>
                      <w:sz w:val="20"/>
                      <w:szCs w:val="20"/>
                      <w:lang w:val="fr-FR"/>
                    </w:rPr>
                    <w:t xml:space="preserve"> de </w:t>
                  </w:r>
                  <w:proofErr w:type="spellStart"/>
                  <w:r w:rsidRPr="007820EC">
                    <w:rPr>
                      <w:color w:val="333333"/>
                      <w:sz w:val="20"/>
                      <w:szCs w:val="20"/>
                      <w:lang w:val="fr-FR"/>
                    </w:rPr>
                    <w:t>energie</w:t>
                  </w:r>
                  <w:proofErr w:type="spellEnd"/>
                  <w:r w:rsidRPr="007820EC">
                    <w:rPr>
                      <w:color w:val="333333"/>
                      <w:sz w:val="20"/>
                      <w:szCs w:val="20"/>
                      <w:lang w:val="fr-FR"/>
                    </w:rPr>
                    <w:t xml:space="preserve"> </w:t>
                  </w:r>
                  <w:proofErr w:type="spellStart"/>
                  <w:r w:rsidRPr="007820EC">
                    <w:rPr>
                      <w:color w:val="333333"/>
                      <w:sz w:val="20"/>
                      <w:szCs w:val="20"/>
                      <w:lang w:val="fr-FR"/>
                    </w:rPr>
                    <w:t>din</w:t>
                  </w:r>
                  <w:proofErr w:type="spellEnd"/>
                  <w:r w:rsidRPr="007820EC">
                    <w:rPr>
                      <w:color w:val="333333"/>
                      <w:sz w:val="20"/>
                      <w:szCs w:val="20"/>
                      <w:lang w:val="fr-FR"/>
                    </w:rPr>
                    <w:t xml:space="preserve">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hârtiei</w:t>
                  </w:r>
                  <w:proofErr w:type="spellEnd"/>
                  <w:r w:rsidRPr="007820EC">
                    <w:rPr>
                      <w:color w:val="333333"/>
                      <w:sz w:val="20"/>
                      <w:szCs w:val="20"/>
                      <w:lang w:val="fr-FR"/>
                    </w:rPr>
                    <w:t xml:space="preserve"> și </w:t>
                  </w:r>
                  <w:proofErr w:type="spellStart"/>
                  <w:r w:rsidRPr="007820EC">
                    <w:rPr>
                      <w:color w:val="333333"/>
                      <w:sz w:val="20"/>
                      <w:szCs w:val="20"/>
                      <w:lang w:val="fr-FR"/>
                    </w:rPr>
                    <w:t>din</w:t>
                  </w:r>
                  <w:proofErr w:type="spellEnd"/>
                  <w:r w:rsidRPr="007820EC">
                    <w:rPr>
                      <w:color w:val="333333"/>
                      <w:sz w:val="20"/>
                      <w:szCs w:val="20"/>
                      <w:lang w:val="fr-FR"/>
                    </w:rPr>
                    <w:t xml:space="preserve"> </w:t>
                  </w:r>
                  <w:proofErr w:type="spellStart"/>
                  <w:r w:rsidRPr="007820EC">
                    <w:rPr>
                      <w:color w:val="333333"/>
                      <w:sz w:val="20"/>
                      <w:szCs w:val="20"/>
                      <w:lang w:val="fr-FR"/>
                    </w:rPr>
                    <w:lastRenderedPageBreak/>
                    <w:t>industria</w:t>
                  </w:r>
                  <w:proofErr w:type="spellEnd"/>
                  <w:r w:rsidRPr="007820EC">
                    <w:rPr>
                      <w:color w:val="333333"/>
                      <w:sz w:val="20"/>
                      <w:szCs w:val="20"/>
                      <w:lang w:val="fr-FR"/>
                    </w:rPr>
                    <w:t xml:space="preserve"> </w:t>
                  </w:r>
                  <w:proofErr w:type="spellStart"/>
                  <w:r w:rsidRPr="007820EC">
                    <w:rPr>
                      <w:color w:val="333333"/>
                      <w:sz w:val="20"/>
                      <w:szCs w:val="20"/>
                      <w:lang w:val="fr-FR"/>
                    </w:rPr>
                    <w:t>poligrafică</w:t>
                  </w:r>
                  <w:proofErr w:type="spellEnd"/>
                  <w:r w:rsidRPr="007820EC">
                    <w:rPr>
                      <w:color w:val="333333"/>
                      <w:sz w:val="20"/>
                      <w:szCs w:val="20"/>
                      <w:lang w:val="fr-FR"/>
                    </w:rPr>
                    <w:t xml:space="preserve">, kt - </w:t>
                  </w:r>
                  <w:proofErr w:type="spellStart"/>
                  <w:r w:rsidRPr="007820EC">
                    <w:rPr>
                      <w:color w:val="333333"/>
                      <w:sz w:val="20"/>
                      <w:szCs w:val="20"/>
                      <w:lang w:val="fr-FR"/>
                    </w:rPr>
                    <w:t>valoare</w:t>
                  </w:r>
                  <w:proofErr w:type="spellEnd"/>
                  <w:r w:rsidRPr="007820EC">
                    <w:rPr>
                      <w:color w:val="333333"/>
                      <w:sz w:val="20"/>
                      <w:szCs w:val="20"/>
                      <w:lang w:val="fr-FR"/>
                    </w:rPr>
                    <w:t xml:space="preserve"> </w:t>
                  </w:r>
                  <w:proofErr w:type="spellStart"/>
                  <w:r w:rsidRPr="007820EC">
                    <w:rPr>
                      <w:color w:val="333333"/>
                      <w:sz w:val="20"/>
                      <w:szCs w:val="20"/>
                      <w:lang w:val="fr-FR"/>
                    </w:rPr>
                    <w:t>adăugată</w:t>
                  </w:r>
                  <w:proofErr w:type="spellEnd"/>
                  <w:r w:rsidRPr="007820EC">
                    <w:rPr>
                      <w:color w:val="333333"/>
                      <w:sz w:val="20"/>
                      <w:szCs w:val="20"/>
                      <w:lang w:val="fr-FR"/>
                    </w:rPr>
                    <w:t xml:space="preserve"> </w:t>
                  </w:r>
                  <w:proofErr w:type="spellStart"/>
                  <w:r w:rsidRPr="007820EC">
                    <w:rPr>
                      <w:color w:val="333333"/>
                      <w:sz w:val="20"/>
                      <w:szCs w:val="20"/>
                      <w:lang w:val="fr-FR"/>
                    </w:rPr>
                    <w:t>brută</w:t>
                  </w:r>
                  <w:proofErr w:type="spellEnd"/>
                  <w:r w:rsidRPr="007820EC">
                    <w:rPr>
                      <w:color w:val="333333"/>
                      <w:sz w:val="20"/>
                      <w:szCs w:val="20"/>
                      <w:lang w:val="fr-FR"/>
                    </w:rPr>
                    <w:t xml:space="preserve"> —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hârtiei</w:t>
                  </w:r>
                  <w:proofErr w:type="spellEnd"/>
                  <w:r w:rsidRPr="007820EC">
                    <w:rPr>
                      <w:color w:val="333333"/>
                      <w:sz w:val="20"/>
                      <w:szCs w:val="20"/>
                      <w:lang w:val="fr-FR"/>
                    </w:rPr>
                    <w:t xml:space="preserve"> și </w:t>
                  </w:r>
                  <w:proofErr w:type="spellStart"/>
                  <w:r w:rsidRPr="007820EC">
                    <w:rPr>
                      <w:color w:val="333333"/>
                      <w:sz w:val="20"/>
                      <w:szCs w:val="20"/>
                      <w:lang w:val="fr-FR"/>
                    </w:rPr>
                    <w:t>industria</w:t>
                  </w:r>
                  <w:proofErr w:type="spellEnd"/>
                  <w:r w:rsidRPr="007820EC">
                    <w:rPr>
                      <w:color w:val="333333"/>
                      <w:sz w:val="20"/>
                      <w:szCs w:val="20"/>
                      <w:lang w:val="fr-FR"/>
                    </w:rPr>
                    <w:t xml:space="preserve"> </w:t>
                  </w:r>
                  <w:proofErr w:type="spellStart"/>
                  <w:r w:rsidRPr="007820EC">
                    <w:rPr>
                      <w:color w:val="333333"/>
                      <w:sz w:val="20"/>
                      <w:szCs w:val="20"/>
                      <w:lang w:val="fr-FR"/>
                    </w:rPr>
                    <w:t>poligrafică</w:t>
                  </w:r>
                  <w:proofErr w:type="spellEnd"/>
                  <w:r w:rsidRPr="007820EC">
                    <w:rPr>
                      <w:color w:val="333333"/>
                      <w:sz w:val="20"/>
                      <w:szCs w:val="20"/>
                      <w:lang w:val="fr-FR"/>
                    </w:rPr>
                    <w:t xml:space="preserve">, </w:t>
                  </w:r>
                  <w:proofErr w:type="spellStart"/>
                  <w:r w:rsidRPr="007820EC">
                    <w:rPr>
                      <w:color w:val="333333"/>
                      <w:sz w:val="20"/>
                      <w:szCs w:val="20"/>
                      <w:lang w:val="fr-FR"/>
                    </w:rPr>
                    <w:t>milioane</w:t>
                  </w:r>
                  <w:proofErr w:type="spellEnd"/>
                  <w:r w:rsidRPr="007820EC">
                    <w:rPr>
                      <w:color w:val="333333"/>
                      <w:sz w:val="20"/>
                      <w:szCs w:val="20"/>
                      <w:lang w:val="fr-FR"/>
                    </w:rPr>
                    <w:t xml:space="preserve"> EUR (EC95)</w:t>
                  </w:r>
                </w:p>
              </w:tc>
            </w:tr>
            <w:tr w:rsidR="008F5636" w:rsidRPr="00263A32" w14:paraId="158171F2" w14:textId="77777777" w:rsidTr="00907528">
              <w:trPr>
                <w:trHeight w:val="492"/>
              </w:trPr>
              <w:tc>
                <w:tcPr>
                  <w:tcW w:w="1840" w:type="dxa"/>
                </w:tcPr>
                <w:p w14:paraId="41F27482" w14:textId="6247BDE6"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lastRenderedPageBreak/>
                    <w:t>GOSPODĂRII A0</w:t>
                  </w:r>
                </w:p>
              </w:tc>
              <w:tc>
                <w:tcPr>
                  <w:tcW w:w="2693" w:type="dxa"/>
                </w:tcPr>
                <w:p w14:paraId="590F191A" w14:textId="13F3AC6A" w:rsidR="008F5636" w:rsidRPr="007820EC" w:rsidRDefault="008F5636" w:rsidP="008F5636">
                  <w:pPr>
                    <w:pStyle w:val="tbl-txt"/>
                    <w:spacing w:before="0" w:beforeAutospacing="0" w:after="0" w:afterAutospacing="0"/>
                    <w:rPr>
                      <w:sz w:val="20"/>
                      <w:szCs w:val="20"/>
                      <w:lang w:val="ro-MD"/>
                    </w:rPr>
                  </w:pPr>
                  <w:proofErr w:type="spellStart"/>
                  <w:r w:rsidRPr="007820EC">
                    <w:rPr>
                      <w:sz w:val="20"/>
                      <w:szCs w:val="20"/>
                      <w:lang w:val="en-US"/>
                    </w:rPr>
                    <w:t>Emisiile</w:t>
                  </w:r>
                  <w:proofErr w:type="spellEnd"/>
                  <w:r w:rsidRPr="007820EC">
                    <w:rPr>
                      <w:sz w:val="20"/>
                      <w:szCs w:val="20"/>
                      <w:lang w:val="en-US"/>
                    </w:rPr>
                    <w:t xml:space="preserve"> </w:t>
                  </w:r>
                  <w:proofErr w:type="spellStart"/>
                  <w:r w:rsidRPr="007820EC">
                    <w:rPr>
                      <w:sz w:val="20"/>
                      <w:szCs w:val="20"/>
                      <w:lang w:val="en-US"/>
                    </w:rPr>
                    <w:t>specifice</w:t>
                  </w:r>
                  <w:proofErr w:type="spellEnd"/>
                  <w:r w:rsidRPr="007820EC">
                    <w:rPr>
                      <w:sz w:val="20"/>
                      <w:szCs w:val="20"/>
                      <w:lang w:val="en-US"/>
                    </w:rPr>
                    <w:t xml:space="preserve"> de CO</w:t>
                  </w:r>
                  <w:r w:rsidRPr="007820EC">
                    <w:rPr>
                      <w:rStyle w:val="sub"/>
                      <w:sz w:val="20"/>
                      <w:szCs w:val="20"/>
                      <w:vertAlign w:val="subscript"/>
                      <w:lang w:val="en-US"/>
                    </w:rPr>
                    <w:t>2</w:t>
                  </w:r>
                  <w:r w:rsidRPr="007820EC">
                    <w:rPr>
                      <w:sz w:val="20"/>
                      <w:szCs w:val="20"/>
                      <w:lang w:val="en-US"/>
                    </w:rPr>
                    <w:t xml:space="preserve"> ale </w:t>
                  </w:r>
                  <w:proofErr w:type="spellStart"/>
                  <w:r w:rsidRPr="007820EC">
                    <w:rPr>
                      <w:sz w:val="20"/>
                      <w:szCs w:val="20"/>
                      <w:lang w:val="en-US"/>
                    </w:rPr>
                    <w:t>gospodăriilor</w:t>
                  </w:r>
                  <w:proofErr w:type="spellEnd"/>
                  <w:r w:rsidRPr="007820EC">
                    <w:rPr>
                      <w:sz w:val="20"/>
                      <w:szCs w:val="20"/>
                      <w:lang w:val="en-US"/>
                    </w:rPr>
                    <w:t xml:space="preserve"> </w:t>
                  </w:r>
                  <w:proofErr w:type="spellStart"/>
                  <w:r w:rsidRPr="007820EC">
                    <w:rPr>
                      <w:sz w:val="20"/>
                      <w:szCs w:val="20"/>
                      <w:lang w:val="en-US"/>
                    </w:rPr>
                    <w:t>provenite</w:t>
                  </w:r>
                  <w:proofErr w:type="spellEnd"/>
                  <w:r w:rsidRPr="007820EC">
                    <w:rPr>
                      <w:sz w:val="20"/>
                      <w:szCs w:val="20"/>
                      <w:lang w:val="en-US"/>
                    </w:rPr>
                    <w:t xml:space="preserve"> din </w:t>
                  </w:r>
                  <w:proofErr w:type="spellStart"/>
                  <w:r w:rsidRPr="007820EC">
                    <w:rPr>
                      <w:sz w:val="20"/>
                      <w:szCs w:val="20"/>
                      <w:lang w:val="en-US"/>
                    </w:rPr>
                    <w:t>încălzirea</w:t>
                  </w:r>
                  <w:proofErr w:type="spellEnd"/>
                  <w:r w:rsidRPr="007820EC">
                    <w:rPr>
                      <w:sz w:val="20"/>
                      <w:szCs w:val="20"/>
                      <w:lang w:val="en-US"/>
                    </w:rPr>
                    <w:t xml:space="preserve"> </w:t>
                  </w:r>
                  <w:proofErr w:type="spellStart"/>
                  <w:r w:rsidRPr="007820EC">
                    <w:rPr>
                      <w:sz w:val="20"/>
                      <w:szCs w:val="20"/>
                      <w:lang w:val="en-US"/>
                    </w:rPr>
                    <w:t>spațiilor</w:t>
                  </w:r>
                  <w:proofErr w:type="spellEnd"/>
                  <w:r w:rsidRPr="007820EC">
                    <w:rPr>
                      <w:sz w:val="20"/>
                      <w:szCs w:val="20"/>
                      <w:lang w:val="en-US"/>
                    </w:rPr>
                    <w:t>, t/m</w:t>
                  </w:r>
                  <w:r w:rsidRPr="007820EC">
                    <w:rPr>
                      <w:rStyle w:val="super"/>
                      <w:sz w:val="20"/>
                      <w:szCs w:val="20"/>
                      <w:vertAlign w:val="superscript"/>
                      <w:lang w:val="en-US"/>
                    </w:rPr>
                    <w:t>2</w:t>
                  </w:r>
                </w:p>
                <w:p w14:paraId="0D6C7998" w14:textId="3EAA897E" w:rsidR="008F5636" w:rsidRPr="007820EC" w:rsidRDefault="008F5636" w:rsidP="008F5636">
                  <w:pPr>
                    <w:pStyle w:val="tbl-txt"/>
                    <w:spacing w:before="0" w:beforeAutospacing="0" w:after="0" w:afterAutospacing="0"/>
                    <w:rPr>
                      <w:sz w:val="20"/>
                      <w:szCs w:val="20"/>
                      <w:lang w:val="ro-MD"/>
                    </w:rPr>
                  </w:pPr>
                  <w:r w:rsidRPr="007820EC">
                    <w:rPr>
                      <w:sz w:val="20"/>
                      <w:szCs w:val="20"/>
                      <w:lang w:val="ro-MD"/>
                    </w:rPr>
                    <w:t>Emisiile de CO</w:t>
                  </w:r>
                  <w:r w:rsidRPr="007820EC">
                    <w:rPr>
                      <w:rStyle w:val="sub"/>
                      <w:sz w:val="20"/>
                      <w:szCs w:val="20"/>
                      <w:vertAlign w:val="subscript"/>
                      <w:lang w:val="ro-MD"/>
                    </w:rPr>
                    <w:t>2</w:t>
                  </w:r>
                  <w:r w:rsidRPr="007820EC">
                    <w:rPr>
                      <w:sz w:val="20"/>
                      <w:szCs w:val="20"/>
                      <w:lang w:val="ro-MD"/>
                    </w:rPr>
                    <w:t xml:space="preserve"> ale gospodăriilor provenite din încălzirea spațiilor, împărțite la suprafața locuințelor ocupate permanent, milioane m</w:t>
                  </w:r>
                  <w:r w:rsidRPr="007820EC">
                    <w:rPr>
                      <w:rStyle w:val="super"/>
                      <w:sz w:val="20"/>
                      <w:szCs w:val="20"/>
                      <w:vertAlign w:val="superscript"/>
                      <w:lang w:val="ro-MD"/>
                    </w:rPr>
                    <w:t>2</w:t>
                  </w:r>
                </w:p>
              </w:tc>
            </w:tr>
            <w:tr w:rsidR="008F5636" w:rsidRPr="007820EC" w14:paraId="73BA1088" w14:textId="77777777" w:rsidTr="00907528">
              <w:trPr>
                <w:trHeight w:val="492"/>
              </w:trPr>
              <w:tc>
                <w:tcPr>
                  <w:tcW w:w="1840" w:type="dxa"/>
                </w:tcPr>
                <w:p w14:paraId="77DA8D14" w14:textId="223A9ACD"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SERVICII B0</w:t>
                  </w:r>
                </w:p>
              </w:tc>
              <w:tc>
                <w:tcPr>
                  <w:tcW w:w="2693" w:type="dxa"/>
                </w:tcPr>
                <w:p w14:paraId="53C25450" w14:textId="0200AAB8" w:rsidR="008F5636" w:rsidRPr="007820EC" w:rsidRDefault="008F5636" w:rsidP="008F5636">
                  <w:pPr>
                    <w:pStyle w:val="tbl-txt"/>
                    <w:spacing w:before="0" w:beforeAutospacing="0" w:after="0" w:afterAutospacing="0"/>
                    <w:rPr>
                      <w:sz w:val="20"/>
                      <w:szCs w:val="20"/>
                      <w:lang w:val="ro-MD"/>
                    </w:rPr>
                  </w:pPr>
                  <w:proofErr w:type="spellStart"/>
                  <w:r w:rsidRPr="007820EC">
                    <w:rPr>
                      <w:sz w:val="20"/>
                      <w:szCs w:val="20"/>
                      <w:lang w:val="en-GB"/>
                    </w:rPr>
                    <w:t>Emisiile</w:t>
                  </w:r>
                  <w:proofErr w:type="spellEnd"/>
                  <w:r w:rsidRPr="007820EC">
                    <w:rPr>
                      <w:sz w:val="20"/>
                      <w:szCs w:val="20"/>
                      <w:lang w:val="en-GB"/>
                    </w:rPr>
                    <w:t xml:space="preserve"> </w:t>
                  </w:r>
                  <w:proofErr w:type="spellStart"/>
                  <w:r w:rsidRPr="007820EC">
                    <w:rPr>
                      <w:sz w:val="20"/>
                      <w:szCs w:val="20"/>
                      <w:lang w:val="en-GB"/>
                    </w:rPr>
                    <w:t>specifice</w:t>
                  </w:r>
                  <w:proofErr w:type="spellEnd"/>
                  <w:r w:rsidRPr="007820EC">
                    <w:rPr>
                      <w:sz w:val="20"/>
                      <w:szCs w:val="20"/>
                      <w:lang w:val="en-GB"/>
                    </w:rPr>
                    <w:t xml:space="preserve"> de CO</w:t>
                  </w:r>
                  <w:r w:rsidRPr="007820EC">
                    <w:rPr>
                      <w:rStyle w:val="sub"/>
                      <w:sz w:val="20"/>
                      <w:szCs w:val="20"/>
                      <w:vertAlign w:val="subscript"/>
                      <w:lang w:val="en-GB"/>
                    </w:rPr>
                    <w:t>2</w:t>
                  </w:r>
                  <w:r w:rsidRPr="007820EC">
                    <w:rPr>
                      <w:sz w:val="20"/>
                      <w:szCs w:val="20"/>
                      <w:lang w:val="en-GB"/>
                    </w:rPr>
                    <w:t xml:space="preserve"> ale </w:t>
                  </w:r>
                  <w:proofErr w:type="spellStart"/>
                  <w:r w:rsidRPr="007820EC">
                    <w:rPr>
                      <w:sz w:val="20"/>
                      <w:szCs w:val="20"/>
                      <w:lang w:val="en-GB"/>
                    </w:rPr>
                    <w:t>sectorului</w:t>
                  </w:r>
                  <w:proofErr w:type="spellEnd"/>
                  <w:r w:rsidRPr="007820EC">
                    <w:rPr>
                      <w:sz w:val="20"/>
                      <w:szCs w:val="20"/>
                      <w:lang w:val="en-GB"/>
                    </w:rPr>
                    <w:t xml:space="preserve"> </w:t>
                  </w:r>
                  <w:proofErr w:type="spellStart"/>
                  <w:r w:rsidRPr="007820EC">
                    <w:rPr>
                      <w:sz w:val="20"/>
                      <w:szCs w:val="20"/>
                      <w:lang w:val="en-GB"/>
                    </w:rPr>
                    <w:t>comercial</w:t>
                  </w:r>
                  <w:proofErr w:type="spellEnd"/>
                  <w:r w:rsidRPr="007820EC">
                    <w:rPr>
                      <w:sz w:val="20"/>
                      <w:szCs w:val="20"/>
                      <w:lang w:val="en-GB"/>
                    </w:rPr>
                    <w:t xml:space="preserve"> și </w:t>
                  </w:r>
                  <w:proofErr w:type="spellStart"/>
                  <w:r w:rsidRPr="007820EC">
                    <w:rPr>
                      <w:sz w:val="20"/>
                      <w:szCs w:val="20"/>
                      <w:lang w:val="en-GB"/>
                    </w:rPr>
                    <w:t>instituțional</w:t>
                  </w:r>
                  <w:proofErr w:type="spellEnd"/>
                  <w:r w:rsidRPr="007820EC">
                    <w:rPr>
                      <w:sz w:val="20"/>
                      <w:szCs w:val="20"/>
                      <w:lang w:val="en-GB"/>
                    </w:rPr>
                    <w:t xml:space="preserve"> </w:t>
                  </w:r>
                  <w:proofErr w:type="spellStart"/>
                  <w:r w:rsidRPr="007820EC">
                    <w:rPr>
                      <w:sz w:val="20"/>
                      <w:szCs w:val="20"/>
                      <w:lang w:val="en-GB"/>
                    </w:rPr>
                    <w:t>provenite</w:t>
                  </w:r>
                  <w:proofErr w:type="spellEnd"/>
                  <w:r w:rsidRPr="007820EC">
                    <w:rPr>
                      <w:sz w:val="20"/>
                      <w:szCs w:val="20"/>
                      <w:lang w:val="en-GB"/>
                    </w:rPr>
                    <w:t xml:space="preserve"> din </w:t>
                  </w:r>
                  <w:proofErr w:type="spellStart"/>
                  <w:r w:rsidRPr="007820EC">
                    <w:rPr>
                      <w:sz w:val="20"/>
                      <w:szCs w:val="20"/>
                      <w:lang w:val="en-GB"/>
                    </w:rPr>
                    <w:t>încălzirea</w:t>
                  </w:r>
                  <w:proofErr w:type="spellEnd"/>
                  <w:r w:rsidRPr="007820EC">
                    <w:rPr>
                      <w:sz w:val="20"/>
                      <w:szCs w:val="20"/>
                      <w:lang w:val="en-GB"/>
                    </w:rPr>
                    <w:t xml:space="preserve"> </w:t>
                  </w:r>
                  <w:proofErr w:type="spellStart"/>
                  <w:r w:rsidRPr="007820EC">
                    <w:rPr>
                      <w:sz w:val="20"/>
                      <w:szCs w:val="20"/>
                      <w:lang w:val="en-GB"/>
                    </w:rPr>
                    <w:t>spațiilor</w:t>
                  </w:r>
                  <w:proofErr w:type="spellEnd"/>
                  <w:r w:rsidRPr="007820EC">
                    <w:rPr>
                      <w:sz w:val="20"/>
                      <w:szCs w:val="20"/>
                      <w:lang w:val="en-GB"/>
                    </w:rPr>
                    <w:t>, kg/m</w:t>
                  </w:r>
                  <w:r w:rsidRPr="007820EC">
                    <w:rPr>
                      <w:rStyle w:val="super"/>
                      <w:sz w:val="20"/>
                      <w:szCs w:val="20"/>
                      <w:vertAlign w:val="superscript"/>
                      <w:lang w:val="en-GB"/>
                    </w:rPr>
                    <w:t>2</w:t>
                  </w:r>
                </w:p>
                <w:p w14:paraId="16631F72" w14:textId="3A0C32C6" w:rsidR="008F5636" w:rsidRPr="007820EC" w:rsidRDefault="008F5636" w:rsidP="008F5636">
                  <w:pPr>
                    <w:pStyle w:val="tbl-txt"/>
                    <w:spacing w:before="0" w:beforeAutospacing="0" w:after="0" w:afterAutospacing="0"/>
                    <w:rPr>
                      <w:color w:val="333333"/>
                      <w:sz w:val="20"/>
                      <w:szCs w:val="20"/>
                      <w:lang w:val="en-GB"/>
                    </w:rPr>
                  </w:pPr>
                  <w:proofErr w:type="spellStart"/>
                  <w:r w:rsidRPr="007820EC">
                    <w:rPr>
                      <w:sz w:val="20"/>
                      <w:szCs w:val="20"/>
                      <w:lang w:val="en-GB"/>
                    </w:rPr>
                    <w:t>Emisiile</w:t>
                  </w:r>
                  <w:proofErr w:type="spellEnd"/>
                  <w:r w:rsidRPr="007820EC">
                    <w:rPr>
                      <w:sz w:val="20"/>
                      <w:szCs w:val="20"/>
                      <w:lang w:val="en-GB"/>
                    </w:rPr>
                    <w:t xml:space="preserve"> de CO</w:t>
                  </w:r>
                  <w:r w:rsidRPr="007820EC">
                    <w:rPr>
                      <w:rStyle w:val="sub"/>
                      <w:sz w:val="20"/>
                      <w:szCs w:val="20"/>
                      <w:vertAlign w:val="subscript"/>
                      <w:lang w:val="en-GB"/>
                    </w:rPr>
                    <w:t>2</w:t>
                  </w:r>
                  <w:r w:rsidRPr="007820EC">
                    <w:rPr>
                      <w:sz w:val="20"/>
                      <w:szCs w:val="20"/>
                      <w:lang w:val="en-GB"/>
                    </w:rPr>
                    <w:t xml:space="preserve"> </w:t>
                  </w:r>
                  <w:proofErr w:type="spellStart"/>
                  <w:r w:rsidRPr="007820EC">
                    <w:rPr>
                      <w:sz w:val="20"/>
                      <w:szCs w:val="20"/>
                      <w:lang w:val="en-GB"/>
                    </w:rPr>
                    <w:t>provenite</w:t>
                  </w:r>
                  <w:proofErr w:type="spellEnd"/>
                  <w:r w:rsidRPr="007820EC">
                    <w:rPr>
                      <w:sz w:val="20"/>
                      <w:szCs w:val="20"/>
                      <w:lang w:val="en-GB"/>
                    </w:rPr>
                    <w:t xml:space="preserve"> din </w:t>
                  </w:r>
                  <w:proofErr w:type="spellStart"/>
                  <w:r w:rsidRPr="007820EC">
                    <w:rPr>
                      <w:sz w:val="20"/>
                      <w:szCs w:val="20"/>
                      <w:lang w:val="en-GB"/>
                    </w:rPr>
                    <w:t>încălzirea</w:t>
                  </w:r>
                  <w:proofErr w:type="spellEnd"/>
                  <w:r w:rsidRPr="007820EC">
                    <w:rPr>
                      <w:sz w:val="20"/>
                      <w:szCs w:val="20"/>
                      <w:lang w:val="en-GB"/>
                    </w:rPr>
                    <w:t xml:space="preserve"> </w:t>
                  </w:r>
                  <w:proofErr w:type="spellStart"/>
                  <w:r w:rsidRPr="007820EC">
                    <w:rPr>
                      <w:sz w:val="20"/>
                      <w:szCs w:val="20"/>
                      <w:lang w:val="en-GB"/>
                    </w:rPr>
                    <w:t>spațiilor</w:t>
                  </w:r>
                  <w:proofErr w:type="spellEnd"/>
                  <w:r w:rsidRPr="007820EC">
                    <w:rPr>
                      <w:sz w:val="20"/>
                      <w:szCs w:val="20"/>
                      <w:lang w:val="en-GB"/>
                    </w:rPr>
                    <w:t xml:space="preserve"> în </w:t>
                  </w:r>
                  <w:proofErr w:type="spellStart"/>
                  <w:r w:rsidRPr="007820EC">
                    <w:rPr>
                      <w:sz w:val="20"/>
                      <w:szCs w:val="20"/>
                      <w:lang w:val="en-GB"/>
                    </w:rPr>
                    <w:t>sectorul</w:t>
                  </w:r>
                  <w:proofErr w:type="spellEnd"/>
                  <w:r w:rsidRPr="007820EC">
                    <w:rPr>
                      <w:sz w:val="20"/>
                      <w:szCs w:val="20"/>
                      <w:lang w:val="en-GB"/>
                    </w:rPr>
                    <w:t xml:space="preserve"> </w:t>
                  </w:r>
                  <w:proofErr w:type="spellStart"/>
                  <w:r w:rsidRPr="007820EC">
                    <w:rPr>
                      <w:sz w:val="20"/>
                      <w:szCs w:val="20"/>
                      <w:lang w:val="en-GB"/>
                    </w:rPr>
                    <w:t>comercial</w:t>
                  </w:r>
                  <w:proofErr w:type="spellEnd"/>
                  <w:r w:rsidRPr="007820EC">
                    <w:rPr>
                      <w:sz w:val="20"/>
                      <w:szCs w:val="20"/>
                      <w:lang w:val="en-GB"/>
                    </w:rPr>
                    <w:t xml:space="preserve"> și </w:t>
                  </w:r>
                  <w:proofErr w:type="spellStart"/>
                  <w:r w:rsidRPr="007820EC">
                    <w:rPr>
                      <w:sz w:val="20"/>
                      <w:szCs w:val="20"/>
                      <w:lang w:val="en-GB"/>
                    </w:rPr>
                    <w:t>instituțional</w:t>
                  </w:r>
                  <w:proofErr w:type="spellEnd"/>
                  <w:r w:rsidRPr="007820EC">
                    <w:rPr>
                      <w:sz w:val="20"/>
                      <w:szCs w:val="20"/>
                      <w:lang w:val="en-GB"/>
                    </w:rPr>
                    <w:t xml:space="preserve">, kt </w:t>
                  </w:r>
                  <w:proofErr w:type="spellStart"/>
                  <w:r w:rsidRPr="007820EC">
                    <w:rPr>
                      <w:sz w:val="20"/>
                      <w:szCs w:val="20"/>
                      <w:lang w:val="en-GB"/>
                    </w:rPr>
                    <w:t>împărțite</w:t>
                  </w:r>
                  <w:proofErr w:type="spellEnd"/>
                  <w:r w:rsidRPr="007820EC">
                    <w:rPr>
                      <w:sz w:val="20"/>
                      <w:szCs w:val="20"/>
                      <w:lang w:val="en-GB"/>
                    </w:rPr>
                    <w:t xml:space="preserve"> la </w:t>
                  </w:r>
                  <w:proofErr w:type="spellStart"/>
                  <w:r w:rsidRPr="007820EC">
                    <w:rPr>
                      <w:sz w:val="20"/>
                      <w:szCs w:val="20"/>
                      <w:lang w:val="en-GB"/>
                    </w:rPr>
                    <w:t>suprafața</w:t>
                  </w:r>
                  <w:proofErr w:type="spellEnd"/>
                  <w:r w:rsidRPr="007820EC">
                    <w:rPr>
                      <w:sz w:val="20"/>
                      <w:szCs w:val="20"/>
                      <w:lang w:val="en-GB"/>
                    </w:rPr>
                    <w:t xml:space="preserve"> </w:t>
                  </w:r>
                  <w:proofErr w:type="spellStart"/>
                  <w:r w:rsidRPr="007820EC">
                    <w:rPr>
                      <w:sz w:val="20"/>
                      <w:szCs w:val="20"/>
                      <w:lang w:val="en-GB"/>
                    </w:rPr>
                    <w:t>clădirilor</w:t>
                  </w:r>
                  <w:proofErr w:type="spellEnd"/>
                  <w:r w:rsidRPr="007820EC">
                    <w:rPr>
                      <w:sz w:val="20"/>
                      <w:szCs w:val="20"/>
                      <w:lang w:val="en-GB"/>
                    </w:rPr>
                    <w:t xml:space="preserve"> de </w:t>
                  </w:r>
                  <w:proofErr w:type="spellStart"/>
                  <w:r w:rsidRPr="007820EC">
                    <w:rPr>
                      <w:sz w:val="20"/>
                      <w:szCs w:val="20"/>
                      <w:lang w:val="en-GB"/>
                    </w:rPr>
                    <w:t>servicii</w:t>
                  </w:r>
                  <w:proofErr w:type="spellEnd"/>
                  <w:r w:rsidRPr="007820EC">
                    <w:rPr>
                      <w:sz w:val="20"/>
                      <w:szCs w:val="20"/>
                      <w:lang w:val="en-GB"/>
                    </w:rPr>
                    <w:t xml:space="preserve">, </w:t>
                  </w:r>
                  <w:proofErr w:type="spellStart"/>
                  <w:r w:rsidRPr="007820EC">
                    <w:rPr>
                      <w:sz w:val="20"/>
                      <w:szCs w:val="20"/>
                      <w:lang w:val="en-GB"/>
                    </w:rPr>
                    <w:t>milioane</w:t>
                  </w:r>
                  <w:proofErr w:type="spellEnd"/>
                  <w:r w:rsidRPr="007820EC">
                    <w:rPr>
                      <w:sz w:val="20"/>
                      <w:szCs w:val="20"/>
                      <w:lang w:val="en-GB"/>
                    </w:rPr>
                    <w:t xml:space="preserve"> m</w:t>
                  </w:r>
                  <w:r w:rsidRPr="007820EC">
                    <w:rPr>
                      <w:rStyle w:val="super"/>
                      <w:sz w:val="20"/>
                      <w:szCs w:val="20"/>
                      <w:vertAlign w:val="superscript"/>
                      <w:lang w:val="en-GB"/>
                    </w:rPr>
                    <w:t>2</w:t>
                  </w:r>
                </w:p>
              </w:tc>
            </w:tr>
            <w:tr w:rsidR="008F5636" w:rsidRPr="007820EC" w14:paraId="06D15E82" w14:textId="77777777" w:rsidTr="00907528">
              <w:trPr>
                <w:trHeight w:val="492"/>
              </w:trPr>
              <w:tc>
                <w:tcPr>
                  <w:tcW w:w="1840" w:type="dxa"/>
                </w:tcPr>
                <w:p w14:paraId="3052587D" w14:textId="4970C8F5"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TRANSPORTURI B0</w:t>
                  </w:r>
                </w:p>
              </w:tc>
              <w:tc>
                <w:tcPr>
                  <w:tcW w:w="2693" w:type="dxa"/>
                </w:tcPr>
                <w:p w14:paraId="62197CB0" w14:textId="1DCCA723" w:rsidR="008F5636" w:rsidRPr="007820EC" w:rsidRDefault="008F5636" w:rsidP="008F5636">
                  <w:pPr>
                    <w:pStyle w:val="tbl-txt"/>
                    <w:spacing w:before="0" w:beforeAutospacing="0" w:after="0" w:afterAutospacing="0"/>
                    <w:rPr>
                      <w:sz w:val="20"/>
                      <w:szCs w:val="20"/>
                      <w:lang w:val="en-GB"/>
                    </w:rPr>
                  </w:pPr>
                  <w:proofErr w:type="spellStart"/>
                  <w:r w:rsidRPr="007820EC">
                    <w:rPr>
                      <w:sz w:val="20"/>
                      <w:szCs w:val="20"/>
                      <w:shd w:val="clear" w:color="auto" w:fill="FFFFFF"/>
                      <w:lang w:val="en-US"/>
                    </w:rPr>
                    <w:t>Emisiile</w:t>
                  </w:r>
                  <w:proofErr w:type="spellEnd"/>
                  <w:r w:rsidRPr="007820EC">
                    <w:rPr>
                      <w:sz w:val="20"/>
                      <w:szCs w:val="20"/>
                      <w:shd w:val="clear" w:color="auto" w:fill="FFFFFF"/>
                      <w:lang w:val="en-US"/>
                    </w:rPr>
                    <w:t xml:space="preserve"> </w:t>
                  </w:r>
                  <w:proofErr w:type="spellStart"/>
                  <w:r w:rsidRPr="007820EC">
                    <w:rPr>
                      <w:sz w:val="20"/>
                      <w:szCs w:val="20"/>
                      <w:shd w:val="clear" w:color="auto" w:fill="FFFFFF"/>
                      <w:lang w:val="en-US"/>
                    </w:rPr>
                    <w:t>specifice</w:t>
                  </w:r>
                  <w:proofErr w:type="spellEnd"/>
                  <w:r w:rsidRPr="007820EC">
                    <w:rPr>
                      <w:sz w:val="20"/>
                      <w:szCs w:val="20"/>
                      <w:shd w:val="clear" w:color="auto" w:fill="FFFFFF"/>
                      <w:lang w:val="en-US"/>
                    </w:rPr>
                    <w:t xml:space="preserve"> de CO</w:t>
                  </w:r>
                  <w:r w:rsidRPr="007820EC">
                    <w:rPr>
                      <w:rStyle w:val="sub"/>
                      <w:sz w:val="20"/>
                      <w:szCs w:val="20"/>
                      <w:shd w:val="clear" w:color="auto" w:fill="FFFFFF"/>
                      <w:vertAlign w:val="subscript"/>
                      <w:lang w:val="en-US"/>
                    </w:rPr>
                    <w:t>2</w:t>
                  </w:r>
                  <w:r w:rsidRPr="007820EC">
                    <w:rPr>
                      <w:sz w:val="20"/>
                      <w:szCs w:val="20"/>
                      <w:shd w:val="clear" w:color="auto" w:fill="FFFFFF"/>
                      <w:lang w:val="ro-MD"/>
                    </w:rPr>
                    <w:t xml:space="preserve"> </w:t>
                  </w:r>
                  <w:r w:rsidRPr="007820EC">
                    <w:rPr>
                      <w:sz w:val="20"/>
                      <w:szCs w:val="20"/>
                      <w:shd w:val="clear" w:color="auto" w:fill="FFFFFF"/>
                      <w:lang w:val="en-US"/>
                    </w:rPr>
                    <w:t xml:space="preserve">legate de </w:t>
                  </w:r>
                  <w:proofErr w:type="spellStart"/>
                  <w:r w:rsidRPr="007820EC">
                    <w:rPr>
                      <w:sz w:val="20"/>
                      <w:szCs w:val="20"/>
                      <w:shd w:val="clear" w:color="auto" w:fill="FFFFFF"/>
                      <w:lang w:val="en-US"/>
                    </w:rPr>
                    <w:t>consumul</w:t>
                  </w:r>
                  <w:proofErr w:type="spellEnd"/>
                  <w:r w:rsidRPr="007820EC">
                    <w:rPr>
                      <w:sz w:val="20"/>
                      <w:szCs w:val="20"/>
                      <w:shd w:val="clear" w:color="auto" w:fill="FFFFFF"/>
                      <w:lang w:val="en-US"/>
                    </w:rPr>
                    <w:t xml:space="preserve"> de </w:t>
                  </w:r>
                  <w:proofErr w:type="spellStart"/>
                  <w:r w:rsidRPr="007820EC">
                    <w:rPr>
                      <w:sz w:val="20"/>
                      <w:szCs w:val="20"/>
                      <w:shd w:val="clear" w:color="auto" w:fill="FFFFFF"/>
                      <w:lang w:val="en-US"/>
                    </w:rPr>
                    <w:t>motorină</w:t>
                  </w:r>
                  <w:proofErr w:type="spellEnd"/>
                  <w:r w:rsidRPr="007820EC">
                    <w:rPr>
                      <w:sz w:val="20"/>
                      <w:szCs w:val="20"/>
                      <w:shd w:val="clear" w:color="auto" w:fill="FFFFFF"/>
                      <w:lang w:val="en-US"/>
                    </w:rPr>
                    <w:t xml:space="preserve"> al </w:t>
                  </w:r>
                  <w:proofErr w:type="spellStart"/>
                  <w:r w:rsidRPr="007820EC">
                    <w:rPr>
                      <w:sz w:val="20"/>
                      <w:szCs w:val="20"/>
                      <w:shd w:val="clear" w:color="auto" w:fill="FFFFFF"/>
                      <w:lang w:val="en-US"/>
                    </w:rPr>
                    <w:t>autoturismelor</w:t>
                  </w:r>
                  <w:proofErr w:type="spellEnd"/>
                  <w:r w:rsidRPr="007820EC">
                    <w:rPr>
                      <w:sz w:val="20"/>
                      <w:szCs w:val="20"/>
                      <w:shd w:val="clear" w:color="auto" w:fill="FFFFFF"/>
                      <w:lang w:val="en-US"/>
                    </w:rPr>
                    <w:t>, g/100 km</w:t>
                  </w:r>
                </w:p>
              </w:tc>
            </w:tr>
            <w:tr w:rsidR="008F5636" w:rsidRPr="009231D7" w14:paraId="4B71A71F" w14:textId="77777777" w:rsidTr="00907528">
              <w:trPr>
                <w:trHeight w:val="492"/>
              </w:trPr>
              <w:tc>
                <w:tcPr>
                  <w:tcW w:w="1840" w:type="dxa"/>
                </w:tcPr>
                <w:p w14:paraId="7B201A34" w14:textId="0A816E85"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7820EC">
                    <w:rPr>
                      <w:rFonts w:ascii="Times New Roman" w:hAnsi="Times New Roman"/>
                      <w:sz w:val="20"/>
                      <w:szCs w:val="20"/>
                      <w:shd w:val="clear" w:color="auto" w:fill="FFFFFF"/>
                    </w:rPr>
                    <w:t>TRANSPORTURI B0</w:t>
                  </w:r>
                </w:p>
              </w:tc>
              <w:tc>
                <w:tcPr>
                  <w:tcW w:w="2693" w:type="dxa"/>
                </w:tcPr>
                <w:p w14:paraId="199A31B5" w14:textId="7642E8FC" w:rsidR="008F5636" w:rsidRPr="007820EC" w:rsidRDefault="008F5636" w:rsidP="008F5636">
                  <w:pPr>
                    <w:pStyle w:val="tbl-txt"/>
                    <w:spacing w:before="0" w:beforeAutospacing="0" w:after="0" w:afterAutospacing="0"/>
                    <w:rPr>
                      <w:sz w:val="20"/>
                      <w:szCs w:val="20"/>
                      <w:shd w:val="clear" w:color="auto" w:fill="FFFFFF"/>
                      <w:lang w:val="en-US"/>
                    </w:rPr>
                  </w:pPr>
                  <w:proofErr w:type="spellStart"/>
                  <w:r w:rsidRPr="007820EC">
                    <w:rPr>
                      <w:color w:val="333333"/>
                      <w:sz w:val="20"/>
                      <w:szCs w:val="20"/>
                      <w:shd w:val="clear" w:color="auto" w:fill="FFFFFF"/>
                      <w:lang w:val="en-US"/>
                    </w:rPr>
                    <w:t>Emisii</w:t>
                  </w:r>
                  <w:proofErr w:type="spellEnd"/>
                  <w:r w:rsidRPr="007820EC">
                    <w:rPr>
                      <w:color w:val="333333"/>
                      <w:sz w:val="20"/>
                      <w:szCs w:val="20"/>
                      <w:shd w:val="clear" w:color="auto" w:fill="FFFFFF"/>
                      <w:lang w:val="en-US"/>
                    </w:rPr>
                    <w:t xml:space="preserve"> </w:t>
                  </w:r>
                  <w:proofErr w:type="spellStart"/>
                  <w:r w:rsidRPr="007820EC">
                    <w:rPr>
                      <w:color w:val="333333"/>
                      <w:sz w:val="20"/>
                      <w:szCs w:val="20"/>
                      <w:shd w:val="clear" w:color="auto" w:fill="FFFFFF"/>
                      <w:lang w:val="en-US"/>
                    </w:rPr>
                    <w:t>specifice</w:t>
                  </w:r>
                  <w:proofErr w:type="spellEnd"/>
                  <w:r w:rsidRPr="007820EC">
                    <w:rPr>
                      <w:color w:val="333333"/>
                      <w:sz w:val="20"/>
                      <w:szCs w:val="20"/>
                      <w:shd w:val="clear" w:color="auto" w:fill="FFFFFF"/>
                      <w:lang w:val="en-US"/>
                    </w:rPr>
                    <w:t xml:space="preserve"> de CO</w:t>
                  </w:r>
                  <w:r w:rsidRPr="007820EC">
                    <w:rPr>
                      <w:rStyle w:val="sub"/>
                      <w:color w:val="333333"/>
                      <w:sz w:val="20"/>
                      <w:szCs w:val="20"/>
                      <w:shd w:val="clear" w:color="auto" w:fill="FFFFFF"/>
                      <w:vertAlign w:val="subscript"/>
                      <w:lang w:val="en-US"/>
                    </w:rPr>
                    <w:t>2</w:t>
                  </w:r>
                  <w:r w:rsidRPr="007820EC">
                    <w:rPr>
                      <w:color w:val="333333"/>
                      <w:sz w:val="20"/>
                      <w:szCs w:val="20"/>
                      <w:shd w:val="clear" w:color="auto" w:fill="FFFFFF"/>
                      <w:lang w:val="ro-MD"/>
                    </w:rPr>
                    <w:t xml:space="preserve"> </w:t>
                  </w:r>
                  <w:r w:rsidRPr="007820EC">
                    <w:rPr>
                      <w:color w:val="333333"/>
                      <w:sz w:val="20"/>
                      <w:szCs w:val="20"/>
                      <w:shd w:val="clear" w:color="auto" w:fill="FFFFFF"/>
                      <w:lang w:val="en-US"/>
                    </w:rPr>
                    <w:t xml:space="preserve">legate de </w:t>
                  </w:r>
                  <w:proofErr w:type="spellStart"/>
                  <w:r w:rsidRPr="007820EC">
                    <w:rPr>
                      <w:color w:val="333333"/>
                      <w:sz w:val="20"/>
                      <w:szCs w:val="20"/>
                      <w:shd w:val="clear" w:color="auto" w:fill="FFFFFF"/>
                      <w:lang w:val="en-US"/>
                    </w:rPr>
                    <w:t>consumul</w:t>
                  </w:r>
                  <w:proofErr w:type="spellEnd"/>
                  <w:r w:rsidRPr="007820EC">
                    <w:rPr>
                      <w:color w:val="333333"/>
                      <w:sz w:val="20"/>
                      <w:szCs w:val="20"/>
                      <w:shd w:val="clear" w:color="auto" w:fill="FFFFFF"/>
                      <w:lang w:val="en-US"/>
                    </w:rPr>
                    <w:t xml:space="preserve"> de </w:t>
                  </w:r>
                  <w:proofErr w:type="spellStart"/>
                  <w:r w:rsidRPr="007820EC">
                    <w:rPr>
                      <w:color w:val="333333"/>
                      <w:sz w:val="20"/>
                      <w:szCs w:val="20"/>
                      <w:shd w:val="clear" w:color="auto" w:fill="FFFFFF"/>
                      <w:lang w:val="en-US"/>
                    </w:rPr>
                    <w:t>benzină</w:t>
                  </w:r>
                  <w:proofErr w:type="spellEnd"/>
                  <w:r w:rsidRPr="007820EC">
                    <w:rPr>
                      <w:color w:val="333333"/>
                      <w:sz w:val="20"/>
                      <w:szCs w:val="20"/>
                      <w:shd w:val="clear" w:color="auto" w:fill="FFFFFF"/>
                      <w:lang w:val="en-US"/>
                    </w:rPr>
                    <w:t xml:space="preserve"> al </w:t>
                  </w:r>
                  <w:proofErr w:type="spellStart"/>
                  <w:r w:rsidRPr="007820EC">
                    <w:rPr>
                      <w:color w:val="333333"/>
                      <w:sz w:val="20"/>
                      <w:szCs w:val="20"/>
                      <w:shd w:val="clear" w:color="auto" w:fill="FFFFFF"/>
                      <w:lang w:val="en-US"/>
                    </w:rPr>
                    <w:t>autoturismelor</w:t>
                  </w:r>
                  <w:proofErr w:type="spellEnd"/>
                  <w:r w:rsidRPr="007820EC">
                    <w:rPr>
                      <w:color w:val="333333"/>
                      <w:sz w:val="20"/>
                      <w:szCs w:val="20"/>
                      <w:shd w:val="clear" w:color="auto" w:fill="FFFFFF"/>
                      <w:lang w:val="en-US"/>
                    </w:rPr>
                    <w:t>, g/100 km</w:t>
                  </w:r>
                </w:p>
              </w:tc>
            </w:tr>
          </w:tbl>
          <w:p w14:paraId="45E5C849" w14:textId="13F069C0" w:rsidR="008F5636" w:rsidRPr="009231D7" w:rsidRDefault="008F5636" w:rsidP="008F5636">
            <w:pPr>
              <w:pStyle w:val="ColorfulList-Accent11"/>
              <w:spacing w:after="0" w:line="240" w:lineRule="auto"/>
              <w:ind w:left="0"/>
              <w:jc w:val="both"/>
              <w:rPr>
                <w:rFonts w:ascii="Times New Roman" w:hAnsi="Times New Roman"/>
                <w:sz w:val="20"/>
                <w:szCs w:val="20"/>
                <w:highlight w:val="yellow"/>
                <w:lang w:val="ro-MD"/>
              </w:rPr>
            </w:pPr>
          </w:p>
        </w:tc>
        <w:tc>
          <w:tcPr>
            <w:tcW w:w="4440" w:type="dxa"/>
          </w:tcPr>
          <w:p w14:paraId="3BC9075D" w14:textId="77777777" w:rsidR="000B379B" w:rsidRPr="008B2ECA" w:rsidRDefault="000B379B" w:rsidP="000B379B">
            <w:pPr>
              <w:spacing w:after="0" w:line="240" w:lineRule="auto"/>
              <w:jc w:val="right"/>
              <w:rPr>
                <w:rFonts w:ascii="Times New Roman" w:hAnsi="Times New Roman"/>
                <w:bCs/>
                <w:color w:val="000000" w:themeColor="text1"/>
                <w:sz w:val="20"/>
                <w:szCs w:val="20"/>
                <w:shd w:val="clear" w:color="auto" w:fill="FFFFFF"/>
                <w:lang w:val="ro-RO"/>
              </w:rPr>
            </w:pPr>
          </w:p>
          <w:p w14:paraId="5304B6E5" w14:textId="3ED039FC" w:rsidR="000B379B" w:rsidRDefault="000B379B" w:rsidP="000B379B">
            <w:pPr>
              <w:spacing w:after="0" w:line="240" w:lineRule="auto"/>
              <w:jc w:val="right"/>
              <w:rPr>
                <w:rFonts w:ascii="Times New Roman" w:eastAsia="Times New Roman" w:hAnsi="Times New Roman"/>
                <w:b/>
                <w:sz w:val="18"/>
                <w:szCs w:val="18"/>
                <w:lang w:val="ro-MD"/>
              </w:rPr>
            </w:pPr>
          </w:p>
          <w:p w14:paraId="1B417D3A" w14:textId="77777777" w:rsidR="000B379B" w:rsidRPr="007C54B2" w:rsidRDefault="000B379B" w:rsidP="00A92742">
            <w:pPr>
              <w:pStyle w:val="af0"/>
              <w:shd w:val="clear" w:color="auto" w:fill="FFFFFF"/>
              <w:tabs>
                <w:tab w:val="left" w:pos="1134"/>
              </w:tabs>
              <w:adjustRightInd w:val="0"/>
              <w:spacing w:before="0" w:beforeAutospacing="0" w:after="0" w:afterAutospacing="0"/>
              <w:jc w:val="both"/>
              <w:textAlignment w:val="top"/>
              <w:rPr>
                <w:sz w:val="20"/>
                <w:szCs w:val="20"/>
              </w:rPr>
            </w:pPr>
          </w:p>
        </w:tc>
        <w:tc>
          <w:tcPr>
            <w:tcW w:w="1276" w:type="dxa"/>
          </w:tcPr>
          <w:p w14:paraId="3A6DD258" w14:textId="3A85F5DB" w:rsidR="008F5636" w:rsidRPr="00D93509" w:rsidRDefault="00B93900" w:rsidP="008F5636">
            <w:pPr>
              <w:pStyle w:val="ColorfulList-Accent11"/>
              <w:spacing w:after="0" w:line="240" w:lineRule="auto"/>
              <w:ind w:left="0"/>
              <w:jc w:val="center"/>
              <w:rPr>
                <w:lang w:val="ro-MD"/>
              </w:rPr>
            </w:pPr>
            <w:r>
              <w:rPr>
                <w:rFonts w:ascii="Times New Roman" w:hAnsi="Times New Roman"/>
                <w:bCs/>
                <w:sz w:val="20"/>
                <w:szCs w:val="20"/>
                <w:lang w:val="ro-RO"/>
              </w:rPr>
              <w:t>Incompatibil</w:t>
            </w:r>
          </w:p>
        </w:tc>
        <w:tc>
          <w:tcPr>
            <w:tcW w:w="1276" w:type="dxa"/>
          </w:tcPr>
          <w:p w14:paraId="222B3D42" w14:textId="77777777" w:rsidR="008F5636" w:rsidRPr="00D93509" w:rsidRDefault="008F5636" w:rsidP="008F5636">
            <w:pPr>
              <w:pStyle w:val="ColorfulList-Accent11"/>
              <w:spacing w:after="0" w:line="240" w:lineRule="auto"/>
              <w:ind w:left="0"/>
              <w:jc w:val="both"/>
              <w:rPr>
                <w:lang w:val="ro-MD"/>
              </w:rPr>
            </w:pPr>
          </w:p>
        </w:tc>
        <w:tc>
          <w:tcPr>
            <w:tcW w:w="1701" w:type="dxa"/>
          </w:tcPr>
          <w:p w14:paraId="48BBC0D9" w14:textId="2E2AE642" w:rsidR="00B63E92" w:rsidRPr="00B63E92" w:rsidRDefault="00B63E92" w:rsidP="000B379B">
            <w:pPr>
              <w:autoSpaceDE w:val="0"/>
              <w:spacing w:after="0" w:line="240" w:lineRule="auto"/>
              <w:jc w:val="both"/>
              <w:rPr>
                <w:rFonts w:ascii="Times New Roman" w:hAnsi="Times New Roman"/>
                <w:bCs/>
                <w:color w:val="333333"/>
                <w:sz w:val="20"/>
                <w:szCs w:val="20"/>
                <w:shd w:val="clear" w:color="auto" w:fill="FFFFFF"/>
                <w:lang w:val="ro-MD"/>
              </w:rPr>
            </w:pPr>
            <w:r>
              <w:rPr>
                <w:rFonts w:ascii="Times New Roman" w:hAnsi="Times New Roman"/>
                <w:color w:val="333333"/>
                <w:sz w:val="20"/>
                <w:szCs w:val="20"/>
                <w:shd w:val="clear" w:color="auto" w:fill="FFFFFF"/>
                <w:lang w:val="ro-MD"/>
              </w:rPr>
              <w:t xml:space="preserve">Cerințele privind raportarea inventarului național de gaze cu efect de seră sunt transpuse la pct.20, precum și Lista gazelor cu </w:t>
            </w:r>
            <w:r w:rsidR="00FA2857">
              <w:rPr>
                <w:rFonts w:ascii="Times New Roman" w:hAnsi="Times New Roman"/>
                <w:color w:val="333333"/>
                <w:sz w:val="20"/>
                <w:szCs w:val="20"/>
                <w:shd w:val="clear" w:color="auto" w:fill="FFFFFF"/>
                <w:lang w:val="ro-MD"/>
              </w:rPr>
              <w:t>gazelor cu efect de seră sunt transpuse în Anexa nr.3</w:t>
            </w:r>
            <w:r w:rsidR="00B93900">
              <w:rPr>
                <w:rFonts w:ascii="Times New Roman" w:hAnsi="Times New Roman"/>
                <w:color w:val="333333"/>
                <w:sz w:val="20"/>
                <w:szCs w:val="20"/>
                <w:shd w:val="clear" w:color="auto" w:fill="FFFFFF"/>
                <w:lang w:val="ro-MD"/>
              </w:rPr>
              <w:t xml:space="preserve">, </w:t>
            </w:r>
            <w:r w:rsidR="00B93900" w:rsidRPr="00B93900">
              <w:rPr>
                <w:rFonts w:ascii="Times New Roman" w:eastAsia="Times New Roman" w:hAnsi="Times New Roman"/>
                <w:bCs/>
                <w:sz w:val="20"/>
                <w:szCs w:val="20"/>
                <w:lang w:val="ro-MD"/>
              </w:rPr>
              <w:t>Lista indicatorilor de inventar relevanți care urmează a fi raportați c</w:t>
            </w:r>
            <w:r w:rsidR="00B93900">
              <w:rPr>
                <w:rFonts w:ascii="Times New Roman" w:eastAsia="Times New Roman" w:hAnsi="Times New Roman"/>
                <w:bCs/>
                <w:sz w:val="20"/>
                <w:szCs w:val="20"/>
                <w:lang w:val="ro-MD"/>
              </w:rPr>
              <w:t>â</w:t>
            </w:r>
            <w:r w:rsidR="00B93900" w:rsidRPr="00B93900">
              <w:rPr>
                <w:rFonts w:ascii="Times New Roman" w:eastAsia="Times New Roman" w:hAnsi="Times New Roman"/>
                <w:bCs/>
                <w:sz w:val="20"/>
                <w:szCs w:val="20"/>
                <w:lang w:val="ro-MD"/>
              </w:rPr>
              <w:t>tre Secretariatul</w:t>
            </w:r>
            <w:r w:rsidR="00B93900">
              <w:rPr>
                <w:rFonts w:ascii="Times New Roman" w:eastAsia="Times New Roman" w:hAnsi="Times New Roman"/>
                <w:bCs/>
                <w:sz w:val="20"/>
                <w:szCs w:val="20"/>
                <w:lang w:val="ro-MD"/>
              </w:rPr>
              <w:t>,</w:t>
            </w:r>
            <w:r w:rsidRPr="00B93900">
              <w:rPr>
                <w:rFonts w:ascii="Times New Roman" w:hAnsi="Times New Roman"/>
                <w:bCs/>
                <w:color w:val="333333"/>
                <w:sz w:val="20"/>
                <w:szCs w:val="20"/>
                <w:shd w:val="clear" w:color="auto" w:fill="FFFFFF"/>
                <w:lang w:val="ro-MD"/>
              </w:rPr>
              <w:t xml:space="preserve"> </w:t>
            </w:r>
            <w:r w:rsidR="00B93900">
              <w:rPr>
                <w:rFonts w:ascii="Times New Roman" w:hAnsi="Times New Roman"/>
                <w:color w:val="333333"/>
                <w:sz w:val="20"/>
                <w:szCs w:val="20"/>
                <w:shd w:val="clear" w:color="auto" w:fill="FFFFFF"/>
                <w:lang w:val="ro-MD"/>
              </w:rPr>
              <w:t xml:space="preserve">sunt transpuse în Tabelul nr.9 din Anexa nr.1 </w:t>
            </w:r>
            <w:r>
              <w:rPr>
                <w:rFonts w:ascii="Times New Roman" w:hAnsi="Times New Roman"/>
                <w:bCs/>
                <w:sz w:val="20"/>
                <w:szCs w:val="20"/>
                <w:lang w:val="ro-RO"/>
              </w:rPr>
              <w:t xml:space="preserve">HG </w:t>
            </w:r>
            <w:r w:rsidRPr="00B63E92">
              <w:rPr>
                <w:rFonts w:ascii="Times New Roman" w:hAnsi="Times New Roman"/>
                <w:bCs/>
                <w:sz w:val="20"/>
                <w:szCs w:val="20"/>
                <w:lang w:val="ro-RO"/>
              </w:rPr>
              <w:t xml:space="preserve">nr.1277/2018 cu privire la instituirea și funcționarea Sistemului național de monitorizare și raportare a emisiilor de gaze cu efect de seră și altor informații relevante pentru </w:t>
            </w:r>
            <w:r w:rsidRPr="00B63E92">
              <w:rPr>
                <w:rFonts w:ascii="Times New Roman" w:hAnsi="Times New Roman"/>
                <w:bCs/>
                <w:sz w:val="20"/>
                <w:szCs w:val="20"/>
                <w:lang w:val="ro-RO"/>
              </w:rPr>
              <w:lastRenderedPageBreak/>
              <w:t>schimbările climatice</w:t>
            </w:r>
          </w:p>
          <w:p w14:paraId="301E2E61" w14:textId="77777777" w:rsidR="00B63E92" w:rsidRDefault="00B63E92" w:rsidP="000B379B">
            <w:pPr>
              <w:autoSpaceDE w:val="0"/>
              <w:spacing w:after="0" w:line="240" w:lineRule="auto"/>
              <w:jc w:val="both"/>
              <w:rPr>
                <w:rFonts w:ascii="Times New Roman" w:hAnsi="Times New Roman"/>
                <w:color w:val="333333"/>
                <w:sz w:val="20"/>
                <w:szCs w:val="20"/>
                <w:shd w:val="clear" w:color="auto" w:fill="FFFFFF"/>
                <w:lang w:val="ro-MD"/>
              </w:rPr>
            </w:pPr>
          </w:p>
          <w:p w14:paraId="5C21B311" w14:textId="65E227CF" w:rsidR="00D9489E" w:rsidRDefault="00D9489E" w:rsidP="000B379B">
            <w:pPr>
              <w:autoSpaceDE w:val="0"/>
              <w:spacing w:after="0" w:line="240" w:lineRule="auto"/>
              <w:jc w:val="both"/>
              <w:rPr>
                <w:rFonts w:ascii="Times New Roman" w:hAnsi="Times New Roman"/>
                <w:color w:val="333333"/>
                <w:sz w:val="20"/>
                <w:szCs w:val="20"/>
                <w:shd w:val="clear" w:color="auto" w:fill="FFFFFF"/>
                <w:lang w:val="ro-MD"/>
              </w:rPr>
            </w:pPr>
            <w:r w:rsidRPr="00D9489E">
              <w:rPr>
                <w:rFonts w:ascii="Times New Roman" w:hAnsi="Times New Roman"/>
                <w:color w:val="333333"/>
                <w:sz w:val="20"/>
                <w:szCs w:val="20"/>
                <w:shd w:val="clear" w:color="auto" w:fill="FFFFFF"/>
                <w:lang w:val="ro-MD"/>
              </w:rPr>
              <w:t xml:space="preserve">Raportarea în temeiul </w:t>
            </w:r>
            <w:r w:rsidRPr="008A485A">
              <w:rPr>
                <w:rFonts w:ascii="Times New Roman" w:hAnsi="Times New Roman"/>
                <w:color w:val="333333"/>
                <w:sz w:val="20"/>
                <w:szCs w:val="20"/>
                <w:shd w:val="clear" w:color="auto" w:fill="FFFFFF"/>
                <w:lang w:val="ro-MD"/>
              </w:rPr>
              <w:t>Regulamentul</w:t>
            </w:r>
            <w:r>
              <w:rPr>
                <w:rFonts w:ascii="Times New Roman" w:hAnsi="Times New Roman"/>
                <w:color w:val="333333"/>
                <w:sz w:val="20"/>
                <w:szCs w:val="20"/>
                <w:shd w:val="clear" w:color="auto" w:fill="FFFFFF"/>
                <w:lang w:val="ro-MD"/>
              </w:rPr>
              <w:t>ui</w:t>
            </w:r>
            <w:r w:rsidRPr="008A485A">
              <w:rPr>
                <w:rFonts w:ascii="Times New Roman" w:hAnsi="Times New Roman"/>
                <w:color w:val="333333"/>
                <w:sz w:val="20"/>
                <w:szCs w:val="20"/>
                <w:shd w:val="clear" w:color="auto" w:fill="FFFFFF"/>
                <w:lang w:val="ro-MD"/>
              </w:rPr>
              <w:t xml:space="preserve"> (UE) 2018/84</w:t>
            </w:r>
            <w:r>
              <w:rPr>
                <w:rFonts w:ascii="Times New Roman" w:hAnsi="Times New Roman"/>
                <w:color w:val="333333"/>
                <w:sz w:val="20"/>
                <w:szCs w:val="20"/>
                <w:shd w:val="clear" w:color="auto" w:fill="FFFFFF"/>
                <w:lang w:val="ro-MD"/>
              </w:rPr>
              <w:t xml:space="preserve">1 și </w:t>
            </w:r>
            <w:r w:rsidRPr="008A485A">
              <w:rPr>
                <w:rFonts w:ascii="Times New Roman" w:hAnsi="Times New Roman"/>
                <w:color w:val="333333"/>
                <w:sz w:val="20"/>
                <w:szCs w:val="20"/>
                <w:shd w:val="clear" w:color="auto" w:fill="FFFFFF"/>
                <w:lang w:val="ro-MD"/>
              </w:rPr>
              <w:t>Regulamentul</w:t>
            </w:r>
            <w:r>
              <w:rPr>
                <w:rFonts w:ascii="Times New Roman" w:hAnsi="Times New Roman"/>
                <w:color w:val="333333"/>
                <w:sz w:val="20"/>
                <w:szCs w:val="20"/>
                <w:shd w:val="clear" w:color="auto" w:fill="FFFFFF"/>
                <w:lang w:val="ro-MD"/>
              </w:rPr>
              <w:t>ui</w:t>
            </w:r>
            <w:r w:rsidRPr="008A485A">
              <w:rPr>
                <w:rFonts w:ascii="Times New Roman" w:hAnsi="Times New Roman"/>
                <w:color w:val="333333"/>
                <w:sz w:val="20"/>
                <w:szCs w:val="20"/>
                <w:shd w:val="clear" w:color="auto" w:fill="FFFFFF"/>
                <w:lang w:val="ro-MD"/>
              </w:rPr>
              <w:t xml:space="preserve"> (UE) 2018/84</w:t>
            </w:r>
            <w:r>
              <w:rPr>
                <w:rFonts w:ascii="Times New Roman" w:hAnsi="Times New Roman"/>
                <w:color w:val="333333"/>
                <w:sz w:val="20"/>
                <w:szCs w:val="20"/>
                <w:shd w:val="clear" w:color="auto" w:fill="FFFFFF"/>
                <w:lang w:val="ro-MD"/>
              </w:rPr>
              <w:t xml:space="preserve">2 </w:t>
            </w:r>
            <w:r w:rsidRPr="00D9489E">
              <w:rPr>
                <w:rFonts w:ascii="Times New Roman" w:hAnsi="Times New Roman"/>
                <w:color w:val="333333"/>
                <w:sz w:val="20"/>
                <w:szCs w:val="20"/>
                <w:shd w:val="clear" w:color="auto" w:fill="FFFFFF"/>
                <w:lang w:val="ro-MD"/>
              </w:rPr>
              <w:t xml:space="preserve">nu </w:t>
            </w:r>
            <w:r>
              <w:rPr>
                <w:rFonts w:ascii="Times New Roman" w:hAnsi="Times New Roman"/>
                <w:color w:val="333333"/>
                <w:sz w:val="20"/>
                <w:szCs w:val="20"/>
                <w:shd w:val="clear" w:color="auto" w:fill="FFFFFF"/>
                <w:lang w:val="ro-MD"/>
              </w:rPr>
              <w:t>sunt</w:t>
            </w:r>
            <w:r w:rsidRPr="00D9489E">
              <w:rPr>
                <w:rFonts w:ascii="Times New Roman" w:hAnsi="Times New Roman"/>
                <w:color w:val="333333"/>
                <w:sz w:val="20"/>
                <w:szCs w:val="20"/>
                <w:shd w:val="clear" w:color="auto" w:fill="FFFFFF"/>
                <w:lang w:val="ro-MD"/>
              </w:rPr>
              <w:t xml:space="preserve"> relevant</w:t>
            </w:r>
            <w:r>
              <w:rPr>
                <w:rFonts w:ascii="Times New Roman" w:hAnsi="Times New Roman"/>
                <w:color w:val="333333"/>
                <w:sz w:val="20"/>
                <w:szCs w:val="20"/>
                <w:shd w:val="clear" w:color="auto" w:fill="FFFFFF"/>
                <w:lang w:val="ro-MD"/>
              </w:rPr>
              <w:t>e</w:t>
            </w:r>
            <w:r w:rsidRPr="00D9489E">
              <w:rPr>
                <w:rFonts w:ascii="Times New Roman" w:hAnsi="Times New Roman"/>
                <w:color w:val="333333"/>
                <w:sz w:val="20"/>
                <w:szCs w:val="20"/>
                <w:shd w:val="clear" w:color="auto" w:fill="FFFFFF"/>
                <w:lang w:val="ro-MD"/>
              </w:rPr>
              <w:t xml:space="preserve"> pentru Republica Moldova, pănă la etapa transpunerii  acestui Regulament.</w:t>
            </w:r>
          </w:p>
          <w:p w14:paraId="0AE018B1" w14:textId="77777777" w:rsidR="000B379B" w:rsidRDefault="000B379B" w:rsidP="00D9489E">
            <w:pPr>
              <w:autoSpaceDE w:val="0"/>
              <w:spacing w:after="0" w:line="240" w:lineRule="auto"/>
              <w:jc w:val="center"/>
              <w:rPr>
                <w:rFonts w:ascii="Times New Roman" w:hAnsi="Times New Roman"/>
                <w:color w:val="333333"/>
                <w:sz w:val="20"/>
                <w:szCs w:val="20"/>
                <w:shd w:val="clear" w:color="auto" w:fill="FFFFFF"/>
                <w:lang w:val="ro-MD"/>
              </w:rPr>
            </w:pPr>
          </w:p>
          <w:p w14:paraId="2ED5ED9B" w14:textId="77777777" w:rsidR="000B379B" w:rsidRDefault="000B379B" w:rsidP="00D9489E">
            <w:pPr>
              <w:autoSpaceDE w:val="0"/>
              <w:spacing w:after="0" w:line="240" w:lineRule="auto"/>
              <w:jc w:val="center"/>
              <w:rPr>
                <w:rFonts w:ascii="Times New Roman" w:hAnsi="Times New Roman"/>
                <w:color w:val="333333"/>
                <w:sz w:val="20"/>
                <w:szCs w:val="20"/>
                <w:shd w:val="clear" w:color="auto" w:fill="FFFFFF"/>
                <w:lang w:val="ro-MD"/>
              </w:rPr>
            </w:pPr>
          </w:p>
          <w:p w14:paraId="12CCDC70" w14:textId="583182C3" w:rsidR="000B379B" w:rsidRPr="002E56AE" w:rsidRDefault="000B379B" w:rsidP="000B379B">
            <w:pPr>
              <w:autoSpaceDE w:val="0"/>
              <w:spacing w:after="0" w:line="240" w:lineRule="auto"/>
              <w:jc w:val="both"/>
              <w:rPr>
                <w:rFonts w:ascii="Times New Roman" w:hAnsi="Times New Roman"/>
                <w:bCs/>
                <w:sz w:val="24"/>
                <w:szCs w:val="24"/>
                <w:lang w:val="ro-RO"/>
              </w:rPr>
            </w:pPr>
            <w:r>
              <w:rPr>
                <w:rFonts w:ascii="Times New Roman" w:hAnsi="Times New Roman"/>
                <w:sz w:val="20"/>
                <w:szCs w:val="20"/>
                <w:shd w:val="clear" w:color="auto" w:fill="FFFFFF"/>
                <w:lang w:val="ro-RO"/>
              </w:rPr>
              <w:t xml:space="preserve">Prevederile privind raportul între </w:t>
            </w:r>
            <w:r w:rsidRPr="00745D9A">
              <w:rPr>
                <w:rFonts w:ascii="Times New Roman" w:hAnsi="Times New Roman"/>
                <w:sz w:val="20"/>
                <w:szCs w:val="20"/>
                <w:shd w:val="clear" w:color="auto" w:fill="FFFFFF"/>
                <w:lang w:val="ro-RO"/>
              </w:rPr>
              <w:t>Comisie și statele membre</w:t>
            </w:r>
            <w:r w:rsidRPr="00C951E7">
              <w:rPr>
                <w:rFonts w:ascii="Times New Roman" w:hAnsi="Times New Roman"/>
                <w:sz w:val="20"/>
                <w:szCs w:val="20"/>
                <w:lang w:val="ro-RO"/>
              </w:rPr>
              <w:t xml:space="preserve"> nu </w:t>
            </w:r>
            <w:r>
              <w:rPr>
                <w:rFonts w:ascii="Times New Roman" w:hAnsi="Times New Roman"/>
                <w:sz w:val="20"/>
                <w:szCs w:val="20"/>
                <w:lang w:val="ro-RO"/>
              </w:rPr>
              <w:t>se transpun</w:t>
            </w:r>
            <w:r w:rsidRPr="00C951E7">
              <w:rPr>
                <w:rFonts w:ascii="Times New Roman" w:hAnsi="Times New Roman"/>
                <w:sz w:val="20"/>
                <w:szCs w:val="20"/>
                <w:lang w:val="ro-RO"/>
              </w:rPr>
              <w:t>, deoarece se referă statelor membre UE</w:t>
            </w:r>
          </w:p>
          <w:p w14:paraId="6FD9C4CC" w14:textId="75BB9EE3" w:rsidR="008F5636" w:rsidRPr="00D9489E" w:rsidRDefault="008F5636" w:rsidP="008F5636">
            <w:pPr>
              <w:pStyle w:val="ColorfulList-Accent11"/>
              <w:spacing w:after="0" w:line="240" w:lineRule="auto"/>
              <w:ind w:left="0"/>
              <w:jc w:val="both"/>
              <w:rPr>
                <w:sz w:val="20"/>
                <w:szCs w:val="20"/>
                <w:lang w:val="ro-RO"/>
              </w:rPr>
            </w:pPr>
          </w:p>
        </w:tc>
        <w:tc>
          <w:tcPr>
            <w:tcW w:w="1460" w:type="dxa"/>
          </w:tcPr>
          <w:p w14:paraId="05664EF2" w14:textId="77777777" w:rsidR="008F5636" w:rsidRPr="00543A71" w:rsidRDefault="008F5636" w:rsidP="008F5636">
            <w:pPr>
              <w:autoSpaceDE w:val="0"/>
              <w:spacing w:after="0" w:line="240" w:lineRule="auto"/>
              <w:rPr>
                <w:rFonts w:ascii="Times New Roman" w:hAnsi="Times New Roman"/>
                <w:sz w:val="20"/>
                <w:szCs w:val="20"/>
                <w:shd w:val="clear" w:color="auto" w:fill="FFFFFF"/>
                <w:lang w:val="ro-RO"/>
              </w:rPr>
            </w:pPr>
            <w:r w:rsidRPr="00543A71">
              <w:rPr>
                <w:rFonts w:ascii="Times New Roman" w:hAnsi="Times New Roman"/>
                <w:sz w:val="20"/>
                <w:szCs w:val="20"/>
                <w:shd w:val="clear" w:color="auto" w:fill="FFFFFF"/>
                <w:lang w:val="ro-RO"/>
              </w:rPr>
              <w:lastRenderedPageBreak/>
              <w:t>Ministerul Mediului</w:t>
            </w:r>
          </w:p>
          <w:p w14:paraId="66023EDB" w14:textId="77777777" w:rsidR="008F5636" w:rsidRPr="00543A71" w:rsidRDefault="008F5636" w:rsidP="008F5636">
            <w:pPr>
              <w:pStyle w:val="ColorfulList-Accent11"/>
              <w:spacing w:after="0" w:line="240" w:lineRule="auto"/>
              <w:ind w:left="0"/>
              <w:jc w:val="both"/>
              <w:rPr>
                <w:rFonts w:ascii="Times New Roman" w:hAnsi="Times New Roman"/>
                <w:sz w:val="20"/>
                <w:szCs w:val="20"/>
                <w:lang w:val="ro-MD"/>
              </w:rPr>
            </w:pPr>
          </w:p>
          <w:p w14:paraId="105FAC51" w14:textId="30E8F379" w:rsidR="008F5636" w:rsidRPr="003F755D" w:rsidRDefault="008F5636" w:rsidP="008F5636">
            <w:pPr>
              <w:pStyle w:val="ColorfulList-Accent11"/>
              <w:spacing w:after="0" w:line="240" w:lineRule="auto"/>
              <w:ind w:left="0"/>
              <w:jc w:val="both"/>
              <w:rPr>
                <w:sz w:val="20"/>
                <w:szCs w:val="20"/>
                <w:lang w:val="ro-MD"/>
              </w:rPr>
            </w:pPr>
            <w:r w:rsidRPr="00543A71">
              <w:rPr>
                <w:rFonts w:ascii="Times New Roman" w:hAnsi="Times New Roman"/>
                <w:sz w:val="20"/>
                <w:szCs w:val="20"/>
                <w:lang w:val="ro-MD"/>
              </w:rPr>
              <w:t>Agenția de Mediu</w:t>
            </w:r>
          </w:p>
        </w:tc>
      </w:tr>
      <w:tr w:rsidR="008F5636" w:rsidRPr="00D93509" w14:paraId="2C1F5869" w14:textId="77777777" w:rsidTr="00A90105">
        <w:tc>
          <w:tcPr>
            <w:tcW w:w="4945" w:type="dxa"/>
          </w:tcPr>
          <w:p w14:paraId="591F0437" w14:textId="77777777" w:rsidR="008F5636" w:rsidRPr="007820EC" w:rsidRDefault="008F5636" w:rsidP="008F5636">
            <w:pPr>
              <w:pStyle w:val="ColorfulList-Accent11"/>
              <w:spacing w:after="0" w:line="240" w:lineRule="auto"/>
              <w:ind w:left="0"/>
              <w:jc w:val="center"/>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lastRenderedPageBreak/>
              <w:t>ANEXA VI</w:t>
            </w:r>
          </w:p>
          <w:p w14:paraId="40DF1C3F" w14:textId="77777777" w:rsidR="008F5636" w:rsidRPr="007820EC" w:rsidRDefault="008F5636" w:rsidP="008F5636">
            <w:pPr>
              <w:pStyle w:val="ColorfulList-Accent11"/>
              <w:spacing w:after="0" w:line="240" w:lineRule="auto"/>
              <w:ind w:left="0"/>
              <w:jc w:val="center"/>
              <w:rPr>
                <w:rFonts w:ascii="Times New Roman" w:hAnsi="Times New Roman"/>
                <w:b/>
                <w:bCs/>
                <w:sz w:val="20"/>
                <w:szCs w:val="20"/>
                <w:shd w:val="clear" w:color="auto" w:fill="FFFFFF"/>
                <w:lang w:val="fr-FR"/>
              </w:rPr>
            </w:pPr>
            <w:r w:rsidRPr="007820EC">
              <w:rPr>
                <w:rFonts w:ascii="Times New Roman" w:hAnsi="Times New Roman"/>
                <w:b/>
                <w:bCs/>
                <w:sz w:val="20"/>
                <w:szCs w:val="20"/>
                <w:shd w:val="clear" w:color="auto" w:fill="FFFFFF"/>
                <w:lang w:val="fr-FR"/>
              </w:rPr>
              <w:t>INFORMAȚII PRIVIND POLITICILE ȘI MĂSURILE ÎN DOMENIUL EMISIILOR DE GES</w:t>
            </w:r>
          </w:p>
          <w:p w14:paraId="3F41004B" w14:textId="77777777" w:rsidR="008F5636" w:rsidRPr="007820EC" w:rsidRDefault="008F5636" w:rsidP="008F5636">
            <w:pPr>
              <w:pStyle w:val="ColorfulList-Accent11"/>
              <w:spacing w:after="0" w:line="240" w:lineRule="auto"/>
              <w:ind w:left="0"/>
              <w:jc w:val="center"/>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Informații</w:t>
            </w:r>
            <w:proofErr w:type="spellEnd"/>
            <w:r w:rsidRPr="007820EC">
              <w:rPr>
                <w:rFonts w:ascii="Times New Roman" w:hAnsi="Times New Roman"/>
                <w:sz w:val="20"/>
                <w:szCs w:val="20"/>
                <w:shd w:val="clear" w:color="auto" w:fill="FFFFFF"/>
              </w:rPr>
              <w:t xml:space="preserve"> care </w:t>
            </w:r>
            <w:proofErr w:type="spellStart"/>
            <w:r w:rsidRPr="007820EC">
              <w:rPr>
                <w:rFonts w:ascii="Times New Roman" w:hAnsi="Times New Roman"/>
                <w:sz w:val="20"/>
                <w:szCs w:val="20"/>
                <w:shd w:val="clear" w:color="auto" w:fill="FFFFFF"/>
              </w:rPr>
              <w:t>trebuie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incluse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rapoartele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menționate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articolul</w:t>
            </w:r>
            <w:proofErr w:type="spellEnd"/>
            <w:r w:rsidRPr="007820EC">
              <w:rPr>
                <w:rFonts w:ascii="Times New Roman" w:hAnsi="Times New Roman"/>
                <w:sz w:val="20"/>
                <w:szCs w:val="20"/>
                <w:shd w:val="clear" w:color="auto" w:fill="FFFFFF"/>
              </w:rPr>
              <w:t xml:space="preserve"> 18:</w:t>
            </w:r>
          </w:p>
          <w:p w14:paraId="27D17525" w14:textId="04FC7C81" w:rsidR="008F5636" w:rsidRPr="007820EC" w:rsidRDefault="008F5636" w:rsidP="000C5A3B">
            <w:pPr>
              <w:pStyle w:val="Normal4"/>
              <w:numPr>
                <w:ilvl w:val="1"/>
                <w:numId w:val="64"/>
              </w:numPr>
              <w:spacing w:before="0" w:beforeAutospacing="0" w:after="0" w:afterAutospacing="0"/>
              <w:ind w:left="57" w:firstLine="0"/>
              <w:jc w:val="both"/>
              <w:rPr>
                <w:sz w:val="20"/>
                <w:szCs w:val="20"/>
              </w:rPr>
            </w:pPr>
            <w:r w:rsidRPr="007820EC">
              <w:rPr>
                <w:sz w:val="20"/>
                <w:szCs w:val="20"/>
              </w:rPr>
              <w:t>descriere a sistemului național de raportare privind politicile și măsurile, sau grupurile de măsuri, precum și de raportare a prognozelor referitoare la emisiile antropice de către surse și la absorbțiile de către absorbanți ale GES în temeiul articolului 39 alineatul (1) sau informații cu privire la orice modificare adusă sistemului respectiv dacă a fost deja prezentată o astfel de descriere;</w:t>
            </w:r>
          </w:p>
          <w:p w14:paraId="65410115" w14:textId="560F9B66" w:rsidR="008F5636" w:rsidRPr="007820EC" w:rsidRDefault="008F5636" w:rsidP="000C5A3B">
            <w:pPr>
              <w:pStyle w:val="Normal4"/>
              <w:numPr>
                <w:ilvl w:val="1"/>
                <w:numId w:val="64"/>
              </w:numPr>
              <w:spacing w:before="0" w:beforeAutospacing="0" w:after="0" w:afterAutospacing="0"/>
              <w:ind w:left="57" w:firstLine="0"/>
              <w:jc w:val="both"/>
              <w:rPr>
                <w:sz w:val="20"/>
                <w:szCs w:val="20"/>
              </w:rPr>
            </w:pPr>
            <w:r w:rsidRPr="007820EC">
              <w:rPr>
                <w:sz w:val="20"/>
                <w:szCs w:val="20"/>
                <w:shd w:val="clear" w:color="auto" w:fill="FFFFFF"/>
              </w:rPr>
              <w:t>actualizări relevante pentru strategiile pe termen lung menționate la articolul 15 și progresele înregistrate în punerea în aplicare a strategiilor respective;</w:t>
            </w:r>
          </w:p>
          <w:p w14:paraId="5AD82869" w14:textId="523639A6" w:rsidR="008F5636" w:rsidRPr="007820EC" w:rsidRDefault="008F5636" w:rsidP="000C5A3B">
            <w:pPr>
              <w:pStyle w:val="Normal4"/>
              <w:numPr>
                <w:ilvl w:val="1"/>
                <w:numId w:val="64"/>
              </w:numPr>
              <w:spacing w:before="0" w:beforeAutospacing="0" w:after="0" w:afterAutospacing="0"/>
              <w:ind w:left="57" w:firstLine="0"/>
              <w:jc w:val="both"/>
              <w:rPr>
                <w:sz w:val="20"/>
                <w:szCs w:val="20"/>
              </w:rPr>
            </w:pPr>
            <w:r w:rsidRPr="007820EC">
              <w:rPr>
                <w:sz w:val="20"/>
                <w:szCs w:val="20"/>
                <w:shd w:val="clear" w:color="auto" w:fill="FFFFFF"/>
              </w:rPr>
              <w:t xml:space="preserve">informații cu privire la politicile și la măsurile sau grupurile de măsuri naționale, precum și cu privire la punerea în aplicare a politicilor și a măsurilor sau grupurilor de măsuri ale Uniunii care limitează sau reduc </w:t>
            </w:r>
            <w:r w:rsidRPr="007820EC">
              <w:rPr>
                <w:sz w:val="20"/>
                <w:szCs w:val="20"/>
                <w:shd w:val="clear" w:color="auto" w:fill="FFFFFF"/>
              </w:rPr>
              <w:lastRenderedPageBreak/>
              <w:t>emisiile de către surse ori sporesc gradul de absorbție de către absorbanți ale GES, prezentate sectorial și organizate pe gazele sau grupurile de gaze (HFC-uri și PFC-uri) enumerate în partea 2 din anexa V. Informațiile respective fac trimitere la politicile naționale sau ale Uniunii aplicabile și relevante și includ:</w:t>
            </w:r>
          </w:p>
          <w:p w14:paraId="054E8507" w14:textId="77A02D1E" w:rsidR="008F5636" w:rsidRPr="007820EC" w:rsidRDefault="008F5636" w:rsidP="000C5A3B">
            <w:pPr>
              <w:pStyle w:val="Normal4"/>
              <w:numPr>
                <w:ilvl w:val="0"/>
                <w:numId w:val="65"/>
              </w:numPr>
              <w:spacing w:before="0" w:beforeAutospacing="0" w:after="0" w:afterAutospacing="0"/>
              <w:jc w:val="both"/>
              <w:rPr>
                <w:sz w:val="20"/>
                <w:szCs w:val="20"/>
                <w:lang w:val="fr-FR"/>
              </w:rPr>
            </w:pPr>
            <w:r w:rsidRPr="007820EC">
              <w:rPr>
                <w:sz w:val="20"/>
                <w:szCs w:val="20"/>
                <w:shd w:val="clear" w:color="auto" w:fill="FFFFFF"/>
              </w:rPr>
              <w:t>obiectivul politicii sau al măsurii și o scurtă descriere a politicii sau a măsurii;</w:t>
            </w:r>
          </w:p>
          <w:p w14:paraId="56EFCECF" w14:textId="228FDFA1" w:rsidR="008F5636" w:rsidRPr="007820EC" w:rsidRDefault="008F5636" w:rsidP="000C5A3B">
            <w:pPr>
              <w:pStyle w:val="Normal4"/>
              <w:numPr>
                <w:ilvl w:val="0"/>
                <w:numId w:val="65"/>
              </w:numPr>
              <w:spacing w:before="0" w:beforeAutospacing="0" w:after="0" w:afterAutospacing="0"/>
              <w:jc w:val="both"/>
              <w:rPr>
                <w:sz w:val="20"/>
                <w:szCs w:val="20"/>
                <w:lang w:val="fr-FR"/>
              </w:rPr>
            </w:pPr>
            <w:r w:rsidRPr="007820EC">
              <w:rPr>
                <w:sz w:val="20"/>
                <w:szCs w:val="20"/>
                <w:shd w:val="clear" w:color="auto" w:fill="FFFFFF"/>
              </w:rPr>
              <w:t>tipul de instrument de politică;</w:t>
            </w:r>
          </w:p>
          <w:p w14:paraId="025BD544" w14:textId="77777777" w:rsidR="008F5636" w:rsidRPr="007820EC" w:rsidRDefault="008F5636" w:rsidP="000C5A3B">
            <w:pPr>
              <w:pStyle w:val="Normal4"/>
              <w:numPr>
                <w:ilvl w:val="0"/>
                <w:numId w:val="65"/>
              </w:numPr>
              <w:spacing w:before="0" w:beforeAutospacing="0" w:after="0" w:afterAutospacing="0"/>
              <w:jc w:val="both"/>
              <w:rPr>
                <w:sz w:val="20"/>
                <w:szCs w:val="20"/>
                <w:lang w:val="fr-FR"/>
              </w:rPr>
            </w:pPr>
            <w:r w:rsidRPr="007820EC">
              <w:rPr>
                <w:sz w:val="20"/>
                <w:szCs w:val="20"/>
                <w:shd w:val="clear" w:color="auto" w:fill="FFFFFF"/>
              </w:rPr>
              <w:t>stadiul punerii în aplicare a politicii sau a măsurii ori a grupului de măsuri;</w:t>
            </w:r>
          </w:p>
          <w:p w14:paraId="537A48FD" w14:textId="729CBF17" w:rsidR="008F5636" w:rsidRPr="007820EC" w:rsidRDefault="008F5636" w:rsidP="000C5A3B">
            <w:pPr>
              <w:pStyle w:val="Normal4"/>
              <w:numPr>
                <w:ilvl w:val="0"/>
                <w:numId w:val="65"/>
              </w:numPr>
              <w:spacing w:before="0" w:beforeAutospacing="0" w:after="0" w:afterAutospacing="0"/>
              <w:jc w:val="both"/>
              <w:rPr>
                <w:sz w:val="20"/>
                <w:szCs w:val="20"/>
                <w:lang w:val="fr-FR"/>
              </w:rPr>
            </w:pPr>
            <w:r w:rsidRPr="007820EC">
              <w:rPr>
                <w:color w:val="333333"/>
                <w:sz w:val="20"/>
                <w:szCs w:val="20"/>
              </w:rPr>
              <w:t>indicatori utilizați pentru monitorizarea și evaluarea progreselor în timp;</w:t>
            </w:r>
          </w:p>
          <w:p w14:paraId="1FAAF140" w14:textId="0754553C" w:rsidR="008F5636" w:rsidRPr="007820EC" w:rsidRDefault="008F5636" w:rsidP="000C5A3B">
            <w:pPr>
              <w:pStyle w:val="Normal4"/>
              <w:numPr>
                <w:ilvl w:val="0"/>
                <w:numId w:val="65"/>
              </w:numPr>
              <w:spacing w:before="0" w:beforeAutospacing="0" w:after="0" w:afterAutospacing="0"/>
              <w:jc w:val="both"/>
              <w:rPr>
                <w:sz w:val="20"/>
                <w:szCs w:val="20"/>
                <w:lang w:val="fr-FR"/>
              </w:rPr>
            </w:pPr>
            <w:r w:rsidRPr="007820EC">
              <w:rPr>
                <w:sz w:val="20"/>
                <w:szCs w:val="20"/>
                <w:shd w:val="clear" w:color="auto" w:fill="FFFFFF"/>
              </w:rPr>
              <w:t>dacă sunt disponibile, estimări cantitative privind efectele asupra emisiilor de către surse și a absorbțiilor de către absorbanți ale GES, defalcate în:</w:t>
            </w:r>
          </w:p>
          <w:p w14:paraId="4956980B" w14:textId="5A97BB41" w:rsidR="008F5636" w:rsidRPr="007820EC" w:rsidRDefault="008F5636" w:rsidP="008F5636">
            <w:pPr>
              <w:pStyle w:val="Normal4"/>
              <w:spacing w:before="0" w:beforeAutospacing="0" w:after="0" w:afterAutospacing="0"/>
              <w:ind w:left="417"/>
              <w:jc w:val="both"/>
              <w:rPr>
                <w:sz w:val="20"/>
                <w:szCs w:val="20"/>
                <w:shd w:val="clear" w:color="auto" w:fill="FFFFFF"/>
              </w:rPr>
            </w:pPr>
            <w:r w:rsidRPr="007820EC">
              <w:rPr>
                <w:sz w:val="20"/>
                <w:szCs w:val="20"/>
                <w:shd w:val="clear" w:color="auto" w:fill="FFFFFF"/>
                <w:lang w:val="fr-FR"/>
              </w:rPr>
              <w:t xml:space="preserve">- </w:t>
            </w:r>
            <w:r w:rsidRPr="007820EC">
              <w:rPr>
                <w:sz w:val="20"/>
                <w:szCs w:val="20"/>
                <w:shd w:val="clear" w:color="auto" w:fill="FFFFFF"/>
              </w:rPr>
              <w:t>rezultatele evaluărilor</w:t>
            </w:r>
            <w:r w:rsidRPr="007820EC">
              <w:rPr>
                <w:sz w:val="20"/>
                <w:szCs w:val="20"/>
                <w:shd w:val="clear" w:color="auto" w:fill="FFFFFF"/>
                <w:lang w:val="fr-FR"/>
              </w:rPr>
              <w:t xml:space="preserve"> </w:t>
            </w:r>
            <w:r w:rsidRPr="007820EC">
              <w:rPr>
                <w:rStyle w:val="italic"/>
                <w:i/>
                <w:iCs/>
                <w:sz w:val="20"/>
                <w:szCs w:val="20"/>
                <w:shd w:val="clear" w:color="auto" w:fill="FFFFFF"/>
              </w:rPr>
              <w:t>ex ante</w:t>
            </w:r>
            <w:r w:rsidRPr="007820EC">
              <w:rPr>
                <w:sz w:val="20"/>
                <w:szCs w:val="20"/>
                <w:shd w:val="clear" w:color="auto" w:fill="FFFFFF"/>
                <w:lang w:val="fr-FR"/>
              </w:rPr>
              <w:t xml:space="preserve"> </w:t>
            </w:r>
            <w:r w:rsidRPr="007820EC">
              <w:rPr>
                <w:sz w:val="20"/>
                <w:szCs w:val="20"/>
                <w:shd w:val="clear" w:color="auto" w:fill="FFFFFF"/>
              </w:rPr>
              <w:t>ale efectelor fiecărei politici și măsuri sau ale grupurilor de politici și măsuri în ceea ce privește atenuarea schimbărilor climatice. Se furnizează estimări pentru o succesiune de patru ani viitori care se termină cu</w:t>
            </w:r>
            <w:r w:rsidRPr="007820EC">
              <w:rPr>
                <w:sz w:val="20"/>
                <w:szCs w:val="20"/>
                <w:shd w:val="clear" w:color="auto" w:fill="FFFFFF"/>
                <w:lang w:val="fr-FR"/>
              </w:rPr>
              <w:t xml:space="preserve"> </w:t>
            </w:r>
            <w:r w:rsidRPr="007820EC">
              <w:rPr>
                <w:sz w:val="20"/>
                <w:szCs w:val="20"/>
                <w:shd w:val="clear" w:color="auto" w:fill="FFFFFF"/>
              </w:rPr>
              <w:t>0 sau cu</w:t>
            </w:r>
            <w:r w:rsidRPr="007820EC">
              <w:rPr>
                <w:sz w:val="20"/>
                <w:szCs w:val="20"/>
                <w:shd w:val="clear" w:color="auto" w:fill="FFFFFF"/>
                <w:lang w:val="fr-FR"/>
              </w:rPr>
              <w:t xml:space="preserve"> </w:t>
            </w:r>
            <w:r w:rsidRPr="007820EC">
              <w:rPr>
                <w:sz w:val="20"/>
                <w:szCs w:val="20"/>
                <w:shd w:val="clear" w:color="auto" w:fill="FFFFFF"/>
              </w:rPr>
              <w:t>5, imediat următori anului de raportare, făcând distincție între emisiile de GES reglementate de Directiva</w:t>
            </w:r>
            <w:r w:rsidRPr="007820EC">
              <w:rPr>
                <w:sz w:val="20"/>
                <w:szCs w:val="20"/>
                <w:shd w:val="clear" w:color="auto" w:fill="FFFFFF"/>
                <w:lang w:val="fr-FR"/>
              </w:rPr>
              <w:t xml:space="preserve"> </w:t>
            </w:r>
            <w:r w:rsidRPr="007820EC">
              <w:rPr>
                <w:sz w:val="20"/>
                <w:szCs w:val="20"/>
                <w:shd w:val="clear" w:color="auto" w:fill="FFFFFF"/>
              </w:rPr>
              <w:t>2003/87/CE, cele reglementate de Regulamentul (UE)</w:t>
            </w:r>
            <w:r w:rsidRPr="007820EC">
              <w:rPr>
                <w:sz w:val="20"/>
                <w:szCs w:val="20"/>
                <w:shd w:val="clear" w:color="auto" w:fill="FFFFFF"/>
                <w:lang w:val="fr-FR"/>
              </w:rPr>
              <w:t xml:space="preserve"> </w:t>
            </w:r>
            <w:r w:rsidRPr="007820EC">
              <w:rPr>
                <w:sz w:val="20"/>
                <w:szCs w:val="20"/>
                <w:shd w:val="clear" w:color="auto" w:fill="FFFFFF"/>
              </w:rPr>
              <w:t>2018/842 și cele reglementate de Regulamentul (UE)</w:t>
            </w:r>
            <w:r w:rsidRPr="007820EC">
              <w:rPr>
                <w:sz w:val="20"/>
                <w:szCs w:val="20"/>
                <w:shd w:val="clear" w:color="auto" w:fill="FFFFFF"/>
                <w:lang w:val="fr-FR"/>
              </w:rPr>
              <w:t xml:space="preserve"> </w:t>
            </w:r>
            <w:r w:rsidRPr="007820EC">
              <w:rPr>
                <w:sz w:val="20"/>
                <w:szCs w:val="20"/>
                <w:shd w:val="clear" w:color="auto" w:fill="FFFFFF"/>
              </w:rPr>
              <w:t>2018/841;</w:t>
            </w:r>
          </w:p>
          <w:p w14:paraId="09F7A2EE" w14:textId="2CD5467D" w:rsidR="008F5636" w:rsidRPr="007820EC" w:rsidRDefault="008F5636" w:rsidP="008F5636">
            <w:pPr>
              <w:pStyle w:val="Normal4"/>
              <w:spacing w:before="0" w:beforeAutospacing="0" w:after="0" w:afterAutospacing="0"/>
              <w:ind w:left="417"/>
              <w:jc w:val="both"/>
              <w:rPr>
                <w:sz w:val="20"/>
                <w:szCs w:val="20"/>
                <w:lang w:val="fr-FR"/>
              </w:rPr>
            </w:pPr>
            <w:r w:rsidRPr="007820EC">
              <w:rPr>
                <w:sz w:val="20"/>
                <w:szCs w:val="20"/>
                <w:shd w:val="clear" w:color="auto" w:fill="FFFFFF"/>
                <w:lang w:val="fr-FR"/>
              </w:rPr>
              <w:t xml:space="preserve">- </w:t>
            </w:r>
            <w:r w:rsidRPr="007820EC">
              <w:rPr>
                <w:sz w:val="20"/>
                <w:szCs w:val="20"/>
                <w:shd w:val="clear" w:color="auto" w:fill="FFFFFF"/>
              </w:rPr>
              <w:t>rezultatele evaluărilor</w:t>
            </w:r>
            <w:r w:rsidRPr="007820EC">
              <w:rPr>
                <w:sz w:val="20"/>
                <w:szCs w:val="20"/>
                <w:shd w:val="clear" w:color="auto" w:fill="FFFFFF"/>
                <w:lang w:val="fr-FR"/>
              </w:rPr>
              <w:t xml:space="preserve"> </w:t>
            </w:r>
            <w:r w:rsidRPr="007820EC">
              <w:rPr>
                <w:rStyle w:val="italic"/>
                <w:i/>
                <w:iCs/>
                <w:sz w:val="20"/>
                <w:szCs w:val="20"/>
                <w:shd w:val="clear" w:color="auto" w:fill="FFFFFF"/>
              </w:rPr>
              <w:t>ex post</w:t>
            </w:r>
            <w:r w:rsidRPr="007820EC">
              <w:rPr>
                <w:sz w:val="20"/>
                <w:szCs w:val="20"/>
                <w:shd w:val="clear" w:color="auto" w:fill="FFFFFF"/>
                <w:lang w:val="fr-FR"/>
              </w:rPr>
              <w:t xml:space="preserve"> </w:t>
            </w:r>
            <w:r w:rsidRPr="007820EC">
              <w:rPr>
                <w:sz w:val="20"/>
                <w:szCs w:val="20"/>
                <w:shd w:val="clear" w:color="auto" w:fill="FFFFFF"/>
              </w:rPr>
              <w:t>ale efectelor fiecărei politici și măsuri sau ale grupurilor de politici și măsuri în ceea ce privește atenuarea schimbărilor climatice, dacă sunt disponibile, făcând distincție între emisiile de GES reglementate de Directiva</w:t>
            </w:r>
            <w:r w:rsidRPr="007820EC">
              <w:rPr>
                <w:sz w:val="20"/>
                <w:szCs w:val="20"/>
                <w:shd w:val="clear" w:color="auto" w:fill="FFFFFF"/>
                <w:lang w:val="fr-FR"/>
              </w:rPr>
              <w:t xml:space="preserve"> </w:t>
            </w:r>
            <w:r w:rsidRPr="007820EC">
              <w:rPr>
                <w:sz w:val="20"/>
                <w:szCs w:val="20"/>
                <w:shd w:val="clear" w:color="auto" w:fill="FFFFFF"/>
              </w:rPr>
              <w:t>2003/87/CE, cele reglementate de Regulamentul (UE)</w:t>
            </w:r>
            <w:r w:rsidRPr="007820EC">
              <w:rPr>
                <w:sz w:val="20"/>
                <w:szCs w:val="20"/>
                <w:shd w:val="clear" w:color="auto" w:fill="FFFFFF"/>
                <w:lang w:val="fr-FR"/>
              </w:rPr>
              <w:t xml:space="preserve"> </w:t>
            </w:r>
            <w:r w:rsidRPr="007820EC">
              <w:rPr>
                <w:sz w:val="20"/>
                <w:szCs w:val="20"/>
                <w:shd w:val="clear" w:color="auto" w:fill="FFFFFF"/>
              </w:rPr>
              <w:t>2018/842 și cele reglementate de Regulamentul (UE)</w:t>
            </w:r>
            <w:r w:rsidRPr="007820EC">
              <w:rPr>
                <w:sz w:val="20"/>
                <w:szCs w:val="20"/>
                <w:shd w:val="clear" w:color="auto" w:fill="FFFFFF"/>
                <w:lang w:val="fr-FR"/>
              </w:rPr>
              <w:t xml:space="preserve"> </w:t>
            </w:r>
            <w:r w:rsidRPr="007820EC">
              <w:rPr>
                <w:sz w:val="20"/>
                <w:szCs w:val="20"/>
                <w:shd w:val="clear" w:color="auto" w:fill="FFFFFF"/>
              </w:rPr>
              <w:t>2018/</w:t>
            </w:r>
            <w:proofErr w:type="gramStart"/>
            <w:r w:rsidRPr="007820EC">
              <w:rPr>
                <w:sz w:val="20"/>
                <w:szCs w:val="20"/>
                <w:shd w:val="clear" w:color="auto" w:fill="FFFFFF"/>
              </w:rPr>
              <w:t>841;</w:t>
            </w:r>
            <w:proofErr w:type="gramEnd"/>
          </w:p>
          <w:p w14:paraId="22F75D0F" w14:textId="77777777" w:rsidR="008F5636" w:rsidRPr="007820EC" w:rsidRDefault="008F5636" w:rsidP="000C5A3B">
            <w:pPr>
              <w:pStyle w:val="Normal4"/>
              <w:numPr>
                <w:ilvl w:val="0"/>
                <w:numId w:val="65"/>
              </w:numPr>
              <w:spacing w:before="0" w:beforeAutospacing="0" w:after="0" w:afterAutospacing="0"/>
              <w:jc w:val="both"/>
              <w:rPr>
                <w:sz w:val="20"/>
                <w:szCs w:val="20"/>
                <w:lang w:val="en-US"/>
              </w:rPr>
            </w:pPr>
            <w:r w:rsidRPr="007820EC">
              <w:rPr>
                <w:sz w:val="20"/>
                <w:szCs w:val="20"/>
                <w:shd w:val="clear" w:color="auto" w:fill="FFFFFF"/>
              </w:rPr>
              <w:t>estimări disponibile privind costurile și beneficiile preconizate ale politicilor și măsurilor, precum și estimări privind costurile și beneficiile realizate ale politicilor și măsurilor;</w:t>
            </w:r>
          </w:p>
          <w:p w14:paraId="1B99DE3B" w14:textId="6528B519" w:rsidR="002B7ABB" w:rsidRPr="002B7ABB" w:rsidRDefault="008F5636" w:rsidP="002B7ABB">
            <w:pPr>
              <w:pStyle w:val="Normal4"/>
              <w:numPr>
                <w:ilvl w:val="0"/>
                <w:numId w:val="65"/>
              </w:numPr>
              <w:spacing w:before="0" w:beforeAutospacing="0" w:after="0" w:afterAutospacing="0"/>
              <w:jc w:val="both"/>
              <w:rPr>
                <w:rStyle w:val="bold"/>
                <w:sz w:val="20"/>
                <w:szCs w:val="20"/>
                <w:lang w:val="en-US"/>
              </w:rPr>
            </w:pPr>
            <w:r w:rsidRPr="007820EC">
              <w:rPr>
                <w:sz w:val="20"/>
                <w:szCs w:val="20"/>
              </w:rPr>
              <w:t>toate trimiterile existente la evaluările costurilor și efectelor politicilor și măsurilor naționale, la informațiile privind punerea în aplicare a politicilor și a măsurilor Uniunii care limitează sau reduc emisiile de către surse sau sporesc absorbțiile de către absorbanți ale GES, precum și la rapoartele tehnice care stau la baza acestora;</w:t>
            </w:r>
          </w:p>
          <w:p w14:paraId="65B8678E" w14:textId="77777777" w:rsidR="002B7ABB" w:rsidRDefault="00000000" w:rsidP="002B7ABB">
            <w:pPr>
              <w:pStyle w:val="ti-grseq-1"/>
              <w:shd w:val="clear" w:color="auto" w:fill="FFFFFF"/>
              <w:spacing w:before="0" w:beforeAutospacing="0" w:after="0" w:afterAutospacing="0"/>
              <w:jc w:val="both"/>
              <w:rPr>
                <w:sz w:val="20"/>
                <w:szCs w:val="20"/>
              </w:rPr>
            </w:pPr>
            <w:hyperlink r:id="rId126" w:tooltip="32021R1119: INSERTED" w:history="1">
              <w:r w:rsidR="002B7ABB" w:rsidRPr="00DF34CE">
                <w:rPr>
                  <w:rStyle w:val="af6"/>
                  <w:rFonts w:eastAsia="Arial Unicode MS"/>
                  <w:b/>
                  <w:bCs/>
                  <w:color w:val="23527C"/>
                  <w:sz w:val="20"/>
                  <w:szCs w:val="20"/>
                  <w:shd w:val="clear" w:color="auto" w:fill="FFFFFF"/>
                </w:rPr>
                <w:t>▼M2</w:t>
              </w:r>
            </w:hyperlink>
          </w:p>
          <w:p w14:paraId="362098FC" w14:textId="77777777" w:rsidR="002B7ABB" w:rsidRPr="007820EC" w:rsidRDefault="002B7ABB" w:rsidP="002B7ABB">
            <w:pPr>
              <w:pStyle w:val="Normal4"/>
              <w:spacing w:before="0" w:beforeAutospacing="0" w:after="0" w:afterAutospacing="0"/>
              <w:ind w:left="777"/>
              <w:jc w:val="both"/>
              <w:rPr>
                <w:sz w:val="20"/>
                <w:szCs w:val="20"/>
                <w:lang w:val="en-US"/>
              </w:rPr>
            </w:pPr>
          </w:p>
          <w:p w14:paraId="61ACD511" w14:textId="77756CA1" w:rsidR="008F5636" w:rsidRPr="002B7ABB" w:rsidRDefault="008F5636" w:rsidP="000C5A3B">
            <w:pPr>
              <w:pStyle w:val="Normal4"/>
              <w:numPr>
                <w:ilvl w:val="0"/>
                <w:numId w:val="65"/>
              </w:numPr>
              <w:spacing w:before="0" w:beforeAutospacing="0" w:after="0" w:afterAutospacing="0"/>
              <w:jc w:val="both"/>
              <w:rPr>
                <w:sz w:val="20"/>
                <w:szCs w:val="20"/>
                <w:lang w:val="en-US"/>
              </w:rPr>
            </w:pPr>
            <w:r w:rsidRPr="002B7ABB">
              <w:rPr>
                <w:sz w:val="20"/>
                <w:szCs w:val="20"/>
                <w:shd w:val="clear" w:color="auto" w:fill="FFFFFF"/>
              </w:rPr>
              <w:lastRenderedPageBreak/>
              <w:t xml:space="preserve">o evaluare a contribuției politicii sau măsurii </w:t>
            </w:r>
            <w:r w:rsidR="002B7ABB" w:rsidRPr="002B7ABB">
              <w:rPr>
                <w:rFonts w:eastAsia="Arial Unicode MS"/>
                <w:sz w:val="20"/>
                <w:szCs w:val="20"/>
                <w:shd w:val="clear" w:color="auto" w:fill="FFFFFF"/>
              </w:rPr>
              <w:t>la îndeplinirea obiectivului Uniunii privind neutralitatea climatică prevăzut la articolul</w:t>
            </w:r>
            <w:r w:rsidR="002B7ABB">
              <w:rPr>
                <w:rFonts w:eastAsia="Arial Unicode MS"/>
                <w:sz w:val="20"/>
                <w:szCs w:val="20"/>
                <w:shd w:val="clear" w:color="auto" w:fill="FFFFFF"/>
              </w:rPr>
              <w:t xml:space="preserve"> </w:t>
            </w:r>
            <w:r w:rsidR="002B7ABB" w:rsidRPr="002B7ABB">
              <w:rPr>
                <w:rFonts w:eastAsia="Arial Unicode MS"/>
                <w:sz w:val="20"/>
                <w:szCs w:val="20"/>
                <w:shd w:val="clear" w:color="auto" w:fill="FFFFFF"/>
              </w:rPr>
              <w:t xml:space="preserve">2 alineatul (1) din Regulamentul (UE) 2021/1119 și </w:t>
            </w:r>
            <w:r w:rsidRPr="002B7ABB">
              <w:rPr>
                <w:sz w:val="20"/>
                <w:szCs w:val="20"/>
                <w:shd w:val="clear" w:color="auto" w:fill="FFFFFF"/>
              </w:rPr>
              <w:t>la realizarea strategiei pe termen lung menționată la articolul</w:t>
            </w:r>
            <w:r w:rsidRPr="002B7ABB">
              <w:rPr>
                <w:sz w:val="20"/>
                <w:szCs w:val="20"/>
                <w:shd w:val="clear" w:color="auto" w:fill="FFFFFF"/>
                <w:lang w:val="en-US"/>
              </w:rPr>
              <w:t xml:space="preserve"> </w:t>
            </w:r>
            <w:r w:rsidRPr="002B7ABB">
              <w:rPr>
                <w:sz w:val="20"/>
                <w:szCs w:val="20"/>
                <w:shd w:val="clear" w:color="auto" w:fill="FFFFFF"/>
              </w:rPr>
              <w:t>15;</w:t>
            </w:r>
          </w:p>
          <w:p w14:paraId="5EC7087D" w14:textId="7B6DA9C8" w:rsidR="008F5636" w:rsidRPr="007820EC" w:rsidRDefault="008F5636" w:rsidP="000C5A3B">
            <w:pPr>
              <w:pStyle w:val="Normal4"/>
              <w:numPr>
                <w:ilvl w:val="1"/>
                <w:numId w:val="64"/>
              </w:numPr>
              <w:spacing w:before="0" w:beforeAutospacing="0" w:after="0" w:afterAutospacing="0"/>
              <w:ind w:left="57" w:firstLine="0"/>
              <w:jc w:val="both"/>
              <w:rPr>
                <w:sz w:val="20"/>
                <w:szCs w:val="20"/>
              </w:rPr>
            </w:pPr>
            <w:r w:rsidRPr="007820EC">
              <w:rPr>
                <w:sz w:val="20"/>
                <w:szCs w:val="20"/>
                <w:shd w:val="clear" w:color="auto" w:fill="FFFFFF"/>
              </w:rPr>
              <w:t>informații cu privire la politicile și măsurile sau grupurile de măsuri naționale suplimentare planificate care sunt avute în vedere pentru limitarea emisiilor de GES dincolo de angajamentele statelor membre asumate în temeiul Regulamentului (UE) 2018/842 și al Regulamentului (UE) 2018/841;</w:t>
            </w:r>
          </w:p>
          <w:p w14:paraId="2A8538C0" w14:textId="77777777" w:rsidR="008F5636" w:rsidRPr="00DB202B" w:rsidRDefault="008F5636" w:rsidP="007820EC">
            <w:pPr>
              <w:pStyle w:val="Normal4"/>
              <w:numPr>
                <w:ilvl w:val="1"/>
                <w:numId w:val="64"/>
              </w:numPr>
              <w:spacing w:before="0" w:beforeAutospacing="0" w:after="0" w:afterAutospacing="0"/>
              <w:ind w:left="57" w:firstLine="0"/>
              <w:jc w:val="both"/>
              <w:rPr>
                <w:sz w:val="20"/>
                <w:szCs w:val="20"/>
              </w:rPr>
            </w:pPr>
            <w:r w:rsidRPr="007820EC">
              <w:rPr>
                <w:sz w:val="20"/>
                <w:szCs w:val="20"/>
                <w:shd w:val="clear" w:color="auto" w:fill="FFFFFF"/>
              </w:rPr>
              <w:t>informații privind legăturile dintre diferitele politici și măsuri sau grupuri de măsuri raportate în temeiul literei (c) și modul în care aceste politici și măsuri sau grupuri de măsuri contribuie la diferite scenarii de prognoze.</w:t>
            </w:r>
          </w:p>
          <w:p w14:paraId="72AEC9A0" w14:textId="29B96574" w:rsidR="00DB202B" w:rsidRPr="00DB202B" w:rsidRDefault="00000000" w:rsidP="00DB202B">
            <w:pPr>
              <w:pStyle w:val="ti-grseq-1"/>
              <w:shd w:val="clear" w:color="auto" w:fill="FFFFFF"/>
              <w:spacing w:before="0" w:beforeAutospacing="0" w:after="0" w:afterAutospacing="0"/>
              <w:jc w:val="both"/>
              <w:rPr>
                <w:b/>
                <w:bCs/>
                <w:color w:val="333333"/>
                <w:sz w:val="20"/>
                <w:szCs w:val="20"/>
              </w:rPr>
            </w:pPr>
            <w:hyperlink r:id="rId127" w:tooltip="32018R1999" w:history="1">
              <w:r w:rsidR="00DB202B" w:rsidRPr="00DA5A25">
                <w:rPr>
                  <w:rStyle w:val="af6"/>
                  <w:rFonts w:eastAsia="Arial Unicode MS"/>
                  <w:b/>
                  <w:bCs/>
                  <w:color w:val="23527C"/>
                  <w:sz w:val="20"/>
                  <w:szCs w:val="20"/>
                  <w:shd w:val="clear" w:color="auto" w:fill="FFFFFF"/>
                </w:rPr>
                <w:t>▼B</w:t>
              </w:r>
            </w:hyperlink>
          </w:p>
        </w:tc>
        <w:tc>
          <w:tcPr>
            <w:tcW w:w="4440" w:type="dxa"/>
          </w:tcPr>
          <w:p w14:paraId="3679E4CE" w14:textId="0CA4F78E" w:rsidR="008F5636" w:rsidRPr="000B379B" w:rsidRDefault="008F5636" w:rsidP="000B379B">
            <w:pPr>
              <w:spacing w:after="0" w:line="240" w:lineRule="auto"/>
              <w:jc w:val="both"/>
              <w:rPr>
                <w:rFonts w:ascii="Times New Roman" w:hAnsi="Times New Roman"/>
                <w:sz w:val="20"/>
                <w:szCs w:val="20"/>
                <w:lang w:val="it-IT" w:eastAsia="ro-RO" w:bidi="or-IN"/>
              </w:rPr>
            </w:pPr>
          </w:p>
        </w:tc>
        <w:tc>
          <w:tcPr>
            <w:tcW w:w="1276" w:type="dxa"/>
          </w:tcPr>
          <w:p w14:paraId="7D4B790A" w14:textId="1B460D21" w:rsidR="008F5636" w:rsidRPr="0089303E" w:rsidRDefault="00B93900" w:rsidP="008F5636">
            <w:pPr>
              <w:pStyle w:val="ColorfulList-Accent11"/>
              <w:spacing w:after="0" w:line="240" w:lineRule="auto"/>
              <w:ind w:left="0"/>
              <w:jc w:val="both"/>
              <w:rPr>
                <w:rFonts w:ascii="Times New Roman" w:hAnsi="Times New Roman"/>
                <w:sz w:val="20"/>
                <w:szCs w:val="20"/>
                <w:lang w:val="ro-MD"/>
              </w:rPr>
            </w:pPr>
            <w:r>
              <w:rPr>
                <w:rFonts w:ascii="Times New Roman" w:hAnsi="Times New Roman"/>
                <w:sz w:val="20"/>
                <w:szCs w:val="20"/>
                <w:lang w:val="ro-MD"/>
              </w:rPr>
              <w:t>Inc</w:t>
            </w:r>
            <w:r w:rsidR="0089303E" w:rsidRPr="0089303E">
              <w:rPr>
                <w:rFonts w:ascii="Times New Roman" w:hAnsi="Times New Roman"/>
                <w:sz w:val="20"/>
                <w:szCs w:val="20"/>
                <w:lang w:val="ro-MD"/>
              </w:rPr>
              <w:t>ompatibil</w:t>
            </w:r>
          </w:p>
        </w:tc>
        <w:tc>
          <w:tcPr>
            <w:tcW w:w="1276" w:type="dxa"/>
          </w:tcPr>
          <w:p w14:paraId="536F7C67" w14:textId="77777777" w:rsidR="008F5636" w:rsidRPr="00D93509" w:rsidRDefault="008F5636" w:rsidP="008F5636">
            <w:pPr>
              <w:pStyle w:val="ColorfulList-Accent11"/>
              <w:spacing w:after="0" w:line="240" w:lineRule="auto"/>
              <w:ind w:left="0"/>
              <w:jc w:val="both"/>
              <w:rPr>
                <w:lang w:val="ro-MD"/>
              </w:rPr>
            </w:pPr>
          </w:p>
        </w:tc>
        <w:tc>
          <w:tcPr>
            <w:tcW w:w="1701" w:type="dxa"/>
          </w:tcPr>
          <w:p w14:paraId="77045A59" w14:textId="652A44A9" w:rsidR="008F5636" w:rsidRPr="00D93509" w:rsidRDefault="0089303E" w:rsidP="008F5636">
            <w:pPr>
              <w:pStyle w:val="ColorfulList-Accent11"/>
              <w:spacing w:after="0" w:line="240" w:lineRule="auto"/>
              <w:ind w:left="0"/>
              <w:jc w:val="both"/>
              <w:rPr>
                <w:lang w:val="ro-MD"/>
              </w:rPr>
            </w:pPr>
            <w:r w:rsidRPr="000161B9">
              <w:rPr>
                <w:rFonts w:ascii="Times New Roman" w:eastAsia="Times New Roman" w:hAnsi="Times New Roman"/>
                <w:sz w:val="20"/>
                <w:szCs w:val="20"/>
                <w:lang w:val="ro-RO"/>
              </w:rPr>
              <w:t xml:space="preserve">Prevederile </w:t>
            </w:r>
            <w:r w:rsidR="00B93900">
              <w:rPr>
                <w:rFonts w:ascii="Times New Roman" w:eastAsia="Times New Roman" w:hAnsi="Times New Roman"/>
                <w:sz w:val="20"/>
                <w:szCs w:val="20"/>
                <w:lang w:val="ro-RO"/>
              </w:rPr>
              <w:t xml:space="preserve">sunt </w:t>
            </w:r>
            <w:r>
              <w:rPr>
                <w:rFonts w:ascii="Times New Roman" w:eastAsia="Times New Roman" w:hAnsi="Times New Roman"/>
                <w:sz w:val="20"/>
                <w:szCs w:val="20"/>
                <w:lang w:val="ro-RO"/>
              </w:rPr>
              <w:t>transpuse</w:t>
            </w:r>
            <w:r w:rsidRPr="000161B9">
              <w:rPr>
                <w:rFonts w:ascii="Times New Roman" w:eastAsia="Times New Roman" w:hAnsi="Times New Roman"/>
                <w:sz w:val="20"/>
                <w:szCs w:val="20"/>
                <w:lang w:val="ro-RO"/>
              </w:rPr>
              <w:t xml:space="preserve"> în</w:t>
            </w:r>
            <w:r w:rsidR="00B93900">
              <w:rPr>
                <w:rFonts w:ascii="Times New Roman" w:eastAsia="Times New Roman" w:hAnsi="Times New Roman"/>
                <w:sz w:val="20"/>
                <w:szCs w:val="20"/>
                <w:lang w:val="ro-RO"/>
              </w:rPr>
              <w:t xml:space="preserve"> pct.24</w:t>
            </w:r>
            <w:r w:rsidRPr="000161B9">
              <w:rPr>
                <w:rFonts w:ascii="Times New Roman" w:eastAsia="Times New Roman" w:hAnsi="Times New Roman"/>
                <w:sz w:val="20"/>
                <w:szCs w:val="20"/>
                <w:lang w:val="ro-RO"/>
              </w:rPr>
              <w:t xml:space="preserve"> </w:t>
            </w:r>
            <w:r w:rsidR="00B93900">
              <w:rPr>
                <w:rFonts w:ascii="Times New Roman" w:eastAsia="Times New Roman" w:hAnsi="Times New Roman"/>
                <w:sz w:val="20"/>
                <w:szCs w:val="20"/>
                <w:lang w:val="ro-RO"/>
              </w:rPr>
              <w:t xml:space="preserve">din </w:t>
            </w:r>
            <w:r w:rsidRPr="000161B9">
              <w:rPr>
                <w:rFonts w:ascii="Times New Roman" w:hAnsi="Times New Roman"/>
                <w:sz w:val="20"/>
                <w:szCs w:val="20"/>
                <w:lang w:val="ro-RO"/>
              </w:rPr>
              <w:t>HG</w:t>
            </w:r>
            <w:r w:rsidRPr="000161B9">
              <w:rPr>
                <w:rFonts w:ascii="Times New Roman" w:hAnsi="Times New Roman"/>
                <w:sz w:val="20"/>
                <w:szCs w:val="20"/>
                <w:shd w:val="clear" w:color="auto" w:fill="FFFFFF"/>
                <w:lang w:val="ro-MD"/>
              </w:rPr>
              <w:t xml:space="preserve"> </w:t>
            </w:r>
            <w:r w:rsidRPr="000161B9">
              <w:rPr>
                <w:rStyle w:val="apple-converted-space"/>
                <w:rFonts w:ascii="Times New Roman" w:hAnsi="Times New Roman"/>
                <w:sz w:val="20"/>
                <w:szCs w:val="20"/>
                <w:shd w:val="clear" w:color="auto" w:fill="FFFFFF"/>
                <w:lang w:val="ro-MD"/>
              </w:rPr>
              <w:t>nr.</w:t>
            </w:r>
            <w:r w:rsidRPr="000161B9">
              <w:rPr>
                <w:rFonts w:ascii="Times New Roman" w:hAnsi="Times New Roman"/>
                <w:sz w:val="20"/>
                <w:szCs w:val="20"/>
                <w:lang w:val="ro-MD"/>
              </w:rPr>
              <w:t>1277/2018 cu privire la instituirea și funcționarea sistemului național de monitorizare și raportare a emisiilor de gaze cu efect de seră și altor informații relevante pentru schimbările climatice</w:t>
            </w:r>
          </w:p>
        </w:tc>
        <w:tc>
          <w:tcPr>
            <w:tcW w:w="1460" w:type="dxa"/>
          </w:tcPr>
          <w:p w14:paraId="728D187D" w14:textId="77777777" w:rsidR="00DA405E" w:rsidRPr="00543A71" w:rsidRDefault="00DA405E" w:rsidP="00DA405E">
            <w:pPr>
              <w:autoSpaceDE w:val="0"/>
              <w:spacing w:after="0" w:line="240" w:lineRule="auto"/>
              <w:rPr>
                <w:rFonts w:ascii="Times New Roman" w:hAnsi="Times New Roman"/>
                <w:sz w:val="20"/>
                <w:szCs w:val="20"/>
                <w:shd w:val="clear" w:color="auto" w:fill="FFFFFF"/>
                <w:lang w:val="ro-RO"/>
              </w:rPr>
            </w:pPr>
            <w:r w:rsidRPr="00543A71">
              <w:rPr>
                <w:rFonts w:ascii="Times New Roman" w:hAnsi="Times New Roman"/>
                <w:sz w:val="20"/>
                <w:szCs w:val="20"/>
                <w:shd w:val="clear" w:color="auto" w:fill="FFFFFF"/>
                <w:lang w:val="ro-RO"/>
              </w:rPr>
              <w:t>Ministerul Mediului</w:t>
            </w:r>
          </w:p>
          <w:p w14:paraId="29F17B68" w14:textId="77777777" w:rsidR="00DA405E" w:rsidRPr="00543A71" w:rsidRDefault="00DA405E" w:rsidP="00DA405E">
            <w:pPr>
              <w:pStyle w:val="ColorfulList-Accent11"/>
              <w:spacing w:after="0" w:line="240" w:lineRule="auto"/>
              <w:ind w:left="0"/>
              <w:jc w:val="both"/>
              <w:rPr>
                <w:rFonts w:ascii="Times New Roman" w:hAnsi="Times New Roman"/>
                <w:sz w:val="20"/>
                <w:szCs w:val="20"/>
                <w:lang w:val="ro-MD"/>
              </w:rPr>
            </w:pPr>
          </w:p>
          <w:p w14:paraId="7D0B0DDA" w14:textId="30181255" w:rsidR="008F5636" w:rsidRPr="00D93509" w:rsidRDefault="00DA405E" w:rsidP="00DA405E">
            <w:pPr>
              <w:pStyle w:val="ColorfulList-Accent11"/>
              <w:spacing w:after="0" w:line="240" w:lineRule="auto"/>
              <w:ind w:left="0"/>
              <w:jc w:val="both"/>
              <w:rPr>
                <w:lang w:val="ro-MD"/>
              </w:rPr>
            </w:pPr>
            <w:r w:rsidRPr="00543A71">
              <w:rPr>
                <w:rFonts w:ascii="Times New Roman" w:hAnsi="Times New Roman"/>
                <w:sz w:val="20"/>
                <w:szCs w:val="20"/>
                <w:lang w:val="ro-MD"/>
              </w:rPr>
              <w:t>Agenția de Mediu</w:t>
            </w:r>
          </w:p>
        </w:tc>
      </w:tr>
      <w:tr w:rsidR="008F5636" w:rsidRPr="00D93509" w14:paraId="42CA701A" w14:textId="77777777" w:rsidTr="00A90105">
        <w:tc>
          <w:tcPr>
            <w:tcW w:w="4945" w:type="dxa"/>
          </w:tcPr>
          <w:p w14:paraId="7CA2357E" w14:textId="77777777" w:rsidR="008F5636" w:rsidRPr="007820EC" w:rsidRDefault="008F5636" w:rsidP="008F5636">
            <w:pPr>
              <w:pStyle w:val="doc-ti"/>
              <w:shd w:val="clear" w:color="auto" w:fill="FFFFFF"/>
              <w:spacing w:before="0" w:beforeAutospacing="0" w:after="0" w:afterAutospacing="0"/>
              <w:jc w:val="center"/>
              <w:rPr>
                <w:b/>
                <w:bCs/>
                <w:color w:val="333333"/>
                <w:sz w:val="20"/>
                <w:szCs w:val="20"/>
                <w:lang w:val="ro-MD"/>
              </w:rPr>
            </w:pPr>
            <w:r w:rsidRPr="007820EC">
              <w:rPr>
                <w:b/>
                <w:bCs/>
                <w:color w:val="333333"/>
                <w:sz w:val="20"/>
                <w:szCs w:val="20"/>
                <w:lang w:val="fr-FR"/>
              </w:rPr>
              <w:lastRenderedPageBreak/>
              <w:t>ANEXA VII</w:t>
            </w:r>
          </w:p>
          <w:p w14:paraId="75EB2991" w14:textId="77777777" w:rsidR="008F5636" w:rsidRPr="007820EC" w:rsidRDefault="008F5636" w:rsidP="008F5636">
            <w:pPr>
              <w:pStyle w:val="ti-grseq-1"/>
              <w:shd w:val="clear" w:color="auto" w:fill="FFFFFF"/>
              <w:spacing w:before="0" w:beforeAutospacing="0" w:after="0" w:afterAutospacing="0"/>
              <w:jc w:val="center"/>
              <w:rPr>
                <w:b/>
                <w:bCs/>
                <w:color w:val="333333"/>
                <w:sz w:val="20"/>
                <w:szCs w:val="20"/>
                <w:lang w:val="fr-FR"/>
              </w:rPr>
            </w:pPr>
            <w:r w:rsidRPr="007820EC">
              <w:rPr>
                <w:rStyle w:val="bold"/>
                <w:b/>
                <w:bCs/>
                <w:color w:val="333333"/>
                <w:sz w:val="20"/>
                <w:szCs w:val="20"/>
                <w:lang w:val="fr-FR"/>
              </w:rPr>
              <w:t>INFORMAȚII REFERITOARE LA PROGNOZELE ÎN DOMENIUL EMISIILOR DE GES</w:t>
            </w:r>
          </w:p>
          <w:p w14:paraId="52D603E0" w14:textId="77777777" w:rsidR="008F5636" w:rsidRPr="007820EC" w:rsidRDefault="008F5636" w:rsidP="008F5636">
            <w:pPr>
              <w:pStyle w:val="ColorfulList-Accent11"/>
              <w:spacing w:after="0" w:line="240" w:lineRule="auto"/>
              <w:ind w:left="0"/>
              <w:jc w:val="both"/>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Informații</w:t>
            </w:r>
            <w:proofErr w:type="spellEnd"/>
            <w:r w:rsidRPr="007820EC">
              <w:rPr>
                <w:rFonts w:ascii="Times New Roman" w:hAnsi="Times New Roman"/>
                <w:sz w:val="20"/>
                <w:szCs w:val="20"/>
                <w:shd w:val="clear" w:color="auto" w:fill="FFFFFF"/>
              </w:rPr>
              <w:t xml:space="preserve"> care </w:t>
            </w:r>
            <w:proofErr w:type="spellStart"/>
            <w:r w:rsidRPr="007820EC">
              <w:rPr>
                <w:rFonts w:ascii="Times New Roman" w:hAnsi="Times New Roman"/>
                <w:sz w:val="20"/>
                <w:szCs w:val="20"/>
                <w:shd w:val="clear" w:color="auto" w:fill="FFFFFF"/>
              </w:rPr>
              <w:t>trebuie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incluse</w:t>
            </w:r>
            <w:proofErr w:type="spellEnd"/>
            <w:r w:rsidRPr="007820EC">
              <w:rPr>
                <w:rFonts w:ascii="Times New Roman" w:hAnsi="Times New Roman"/>
                <w:sz w:val="20"/>
                <w:szCs w:val="20"/>
                <w:shd w:val="clear" w:color="auto" w:fill="FFFFFF"/>
              </w:rPr>
              <w:t xml:space="preserve"> în </w:t>
            </w:r>
            <w:proofErr w:type="spellStart"/>
            <w:r w:rsidRPr="007820EC">
              <w:rPr>
                <w:rFonts w:ascii="Times New Roman" w:hAnsi="Times New Roman"/>
                <w:sz w:val="20"/>
                <w:szCs w:val="20"/>
                <w:shd w:val="clear" w:color="auto" w:fill="FFFFFF"/>
              </w:rPr>
              <w:t>rapoartele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menționate</w:t>
            </w:r>
            <w:proofErr w:type="spellEnd"/>
            <w:r w:rsidRPr="007820EC">
              <w:rPr>
                <w:rFonts w:ascii="Times New Roman" w:hAnsi="Times New Roman"/>
                <w:sz w:val="20"/>
                <w:szCs w:val="20"/>
                <w:shd w:val="clear" w:color="auto" w:fill="FFFFFF"/>
              </w:rPr>
              <w:t xml:space="preserve"> la </w:t>
            </w:r>
            <w:proofErr w:type="spellStart"/>
            <w:r w:rsidRPr="007820EC">
              <w:rPr>
                <w:rFonts w:ascii="Times New Roman" w:hAnsi="Times New Roman"/>
                <w:sz w:val="20"/>
                <w:szCs w:val="20"/>
                <w:shd w:val="clear" w:color="auto" w:fill="FFFFFF"/>
              </w:rPr>
              <w:t>articolul</w:t>
            </w:r>
            <w:proofErr w:type="spellEnd"/>
            <w:r w:rsidRPr="007820EC">
              <w:rPr>
                <w:rFonts w:ascii="Times New Roman" w:hAnsi="Times New Roman"/>
                <w:sz w:val="20"/>
                <w:szCs w:val="20"/>
                <w:shd w:val="clear" w:color="auto" w:fill="FFFFFF"/>
                <w:lang w:val="en-US"/>
              </w:rPr>
              <w:t xml:space="preserve"> </w:t>
            </w:r>
            <w:r w:rsidRPr="007820EC">
              <w:rPr>
                <w:rFonts w:ascii="Times New Roman" w:hAnsi="Times New Roman"/>
                <w:sz w:val="20"/>
                <w:szCs w:val="20"/>
                <w:shd w:val="clear" w:color="auto" w:fill="FFFFFF"/>
              </w:rPr>
              <w:t>18:</w:t>
            </w:r>
          </w:p>
          <w:p w14:paraId="20C66C8B" w14:textId="77777777" w:rsidR="008F5636" w:rsidRPr="007820EC" w:rsidRDefault="008F5636" w:rsidP="000C5A3B">
            <w:pPr>
              <w:pStyle w:val="ColorfulList-Accent11"/>
              <w:numPr>
                <w:ilvl w:val="0"/>
                <w:numId w:val="66"/>
              </w:numPr>
              <w:spacing w:after="0" w:line="240" w:lineRule="auto"/>
              <w:ind w:left="414" w:hanging="357"/>
              <w:jc w:val="both"/>
              <w:rPr>
                <w:rFonts w:ascii="Times New Roman" w:hAnsi="Times New Roman"/>
                <w:sz w:val="20"/>
                <w:szCs w:val="20"/>
                <w:shd w:val="clear" w:color="auto" w:fill="FFFFFF"/>
              </w:rPr>
            </w:pPr>
            <w:proofErr w:type="spellStart"/>
            <w:r w:rsidRPr="007820EC">
              <w:rPr>
                <w:rFonts w:ascii="Times New Roman" w:hAnsi="Times New Roman"/>
                <w:sz w:val="20"/>
                <w:szCs w:val="20"/>
                <w:shd w:val="clear" w:color="auto" w:fill="FFFFFF"/>
              </w:rPr>
              <w:t>prognozele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fără</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măsuri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atunci</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când</w:t>
            </w:r>
            <w:proofErr w:type="spellEnd"/>
            <w:r w:rsidRPr="007820EC">
              <w:rPr>
                <w:rFonts w:ascii="Times New Roman" w:hAnsi="Times New Roman"/>
                <w:sz w:val="20"/>
                <w:szCs w:val="20"/>
                <w:shd w:val="clear" w:color="auto" w:fill="FFFFFF"/>
              </w:rPr>
              <w:t xml:space="preserve"> sunt </w:t>
            </w:r>
            <w:proofErr w:type="spellStart"/>
            <w:r w:rsidRPr="007820EC">
              <w:rPr>
                <w:rFonts w:ascii="Times New Roman" w:hAnsi="Times New Roman"/>
                <w:sz w:val="20"/>
                <w:szCs w:val="20"/>
                <w:shd w:val="clear" w:color="auto" w:fill="FFFFFF"/>
              </w:rPr>
              <w:t>disponibile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prognozele</w:t>
            </w:r>
            <w:proofErr w:type="spellEnd"/>
            <w:r w:rsidRPr="007820EC">
              <w:rPr>
                <w:rFonts w:ascii="Times New Roman" w:hAnsi="Times New Roman"/>
                <w:sz w:val="20"/>
                <w:szCs w:val="20"/>
                <w:shd w:val="clear" w:color="auto" w:fill="FFFFFF"/>
              </w:rPr>
              <w:t xml:space="preserve"> cu </w:t>
            </w:r>
            <w:proofErr w:type="spellStart"/>
            <w:r w:rsidRPr="007820EC">
              <w:rPr>
                <w:rFonts w:ascii="Times New Roman" w:hAnsi="Times New Roman"/>
                <w:sz w:val="20"/>
                <w:szCs w:val="20"/>
                <w:shd w:val="clear" w:color="auto" w:fill="FFFFFF"/>
              </w:rPr>
              <w:t>măsuri</w:t>
            </w:r>
            <w:proofErr w:type="spellEnd"/>
            <w:r w:rsidRPr="007820EC">
              <w:rPr>
                <w:rFonts w:ascii="Times New Roman" w:hAnsi="Times New Roman"/>
                <w:sz w:val="20"/>
                <w:szCs w:val="20"/>
                <w:shd w:val="clear" w:color="auto" w:fill="FFFFFF"/>
              </w:rPr>
              <w:t xml:space="preserve"> și, </w:t>
            </w:r>
            <w:proofErr w:type="spellStart"/>
            <w:r w:rsidRPr="007820EC">
              <w:rPr>
                <w:rFonts w:ascii="Times New Roman" w:hAnsi="Times New Roman"/>
                <w:sz w:val="20"/>
                <w:szCs w:val="20"/>
                <w:shd w:val="clear" w:color="auto" w:fill="FFFFFF"/>
              </w:rPr>
              <w:t>dacă</w:t>
            </w:r>
            <w:proofErr w:type="spellEnd"/>
            <w:r w:rsidRPr="007820EC">
              <w:rPr>
                <w:rFonts w:ascii="Times New Roman" w:hAnsi="Times New Roman"/>
                <w:sz w:val="20"/>
                <w:szCs w:val="20"/>
                <w:shd w:val="clear" w:color="auto" w:fill="FFFFFF"/>
              </w:rPr>
              <w:t xml:space="preserve"> sunt </w:t>
            </w:r>
            <w:proofErr w:type="spellStart"/>
            <w:r w:rsidRPr="007820EC">
              <w:rPr>
                <w:rFonts w:ascii="Times New Roman" w:hAnsi="Times New Roman"/>
                <w:sz w:val="20"/>
                <w:szCs w:val="20"/>
                <w:shd w:val="clear" w:color="auto" w:fill="FFFFFF"/>
              </w:rPr>
              <w:t>disponibile</w:t>
            </w:r>
            <w:proofErr w:type="spellEnd"/>
            <w:r w:rsidRPr="007820EC">
              <w:rPr>
                <w:rFonts w:ascii="Times New Roman" w:hAnsi="Times New Roman"/>
                <w:sz w:val="20"/>
                <w:szCs w:val="20"/>
                <w:shd w:val="clear" w:color="auto" w:fill="FFFFFF"/>
              </w:rPr>
              <w:t xml:space="preserve">, </w:t>
            </w:r>
            <w:proofErr w:type="spellStart"/>
            <w:r w:rsidRPr="007820EC">
              <w:rPr>
                <w:rFonts w:ascii="Times New Roman" w:hAnsi="Times New Roman"/>
                <w:sz w:val="20"/>
                <w:szCs w:val="20"/>
                <w:shd w:val="clear" w:color="auto" w:fill="FFFFFF"/>
              </w:rPr>
              <w:t>prognozele</w:t>
            </w:r>
            <w:proofErr w:type="spellEnd"/>
            <w:r w:rsidRPr="007820EC">
              <w:rPr>
                <w:rFonts w:ascii="Times New Roman" w:hAnsi="Times New Roman"/>
                <w:sz w:val="20"/>
                <w:szCs w:val="20"/>
                <w:shd w:val="clear" w:color="auto" w:fill="FFFFFF"/>
              </w:rPr>
              <w:t xml:space="preserve"> cu </w:t>
            </w:r>
            <w:proofErr w:type="spellStart"/>
            <w:r w:rsidRPr="007820EC">
              <w:rPr>
                <w:rFonts w:ascii="Times New Roman" w:hAnsi="Times New Roman"/>
                <w:sz w:val="20"/>
                <w:szCs w:val="20"/>
                <w:shd w:val="clear" w:color="auto" w:fill="FFFFFF"/>
              </w:rPr>
              <w:t>măsuri</w:t>
            </w:r>
            <w:proofErr w:type="spellEnd"/>
            <w:r w:rsidRPr="007820EC">
              <w:rPr>
                <w:rFonts w:ascii="Times New Roman" w:hAnsi="Times New Roman"/>
                <w:sz w:val="20"/>
                <w:szCs w:val="20"/>
                <w:shd w:val="clear" w:color="auto" w:fill="FFFFFF"/>
              </w:rPr>
              <w:t xml:space="preserve"> </w:t>
            </w:r>
            <w:proofErr w:type="spellStart"/>
            <w:proofErr w:type="gramStart"/>
            <w:r w:rsidRPr="007820EC">
              <w:rPr>
                <w:rFonts w:ascii="Times New Roman" w:hAnsi="Times New Roman"/>
                <w:sz w:val="20"/>
                <w:szCs w:val="20"/>
                <w:shd w:val="clear" w:color="auto" w:fill="FFFFFF"/>
              </w:rPr>
              <w:t>suplimentare</w:t>
            </w:r>
            <w:proofErr w:type="spellEnd"/>
            <w:r w:rsidRPr="007820EC">
              <w:rPr>
                <w:rFonts w:ascii="Times New Roman" w:hAnsi="Times New Roman"/>
                <w:sz w:val="20"/>
                <w:szCs w:val="20"/>
                <w:shd w:val="clear" w:color="auto" w:fill="FFFFFF"/>
              </w:rPr>
              <w:t>;</w:t>
            </w:r>
            <w:proofErr w:type="gramEnd"/>
          </w:p>
          <w:p w14:paraId="685B8197" w14:textId="433F3093" w:rsidR="008F5636" w:rsidRPr="007820EC" w:rsidRDefault="008F5636" w:rsidP="000C5A3B">
            <w:pPr>
              <w:pStyle w:val="Normal4"/>
              <w:numPr>
                <w:ilvl w:val="0"/>
                <w:numId w:val="66"/>
              </w:numPr>
              <w:spacing w:before="0" w:beforeAutospacing="0" w:after="0" w:afterAutospacing="0"/>
              <w:ind w:left="414" w:hanging="357"/>
              <w:jc w:val="both"/>
              <w:rPr>
                <w:sz w:val="20"/>
                <w:szCs w:val="20"/>
              </w:rPr>
            </w:pPr>
            <w:r w:rsidRPr="007820EC">
              <w:rPr>
                <w:sz w:val="20"/>
                <w:szCs w:val="20"/>
              </w:rPr>
              <w:t>prognozele totale referitoare la GES și estimări separate privind emisiile de GES prognozate pentru sursele de emisii reglementate de Directiva</w:t>
            </w:r>
            <w:r w:rsidRPr="007820EC">
              <w:rPr>
                <w:sz w:val="20"/>
                <w:szCs w:val="20"/>
                <w:lang w:val="fr-FR"/>
              </w:rPr>
              <w:t xml:space="preserve"> </w:t>
            </w:r>
            <w:r w:rsidRPr="007820EC">
              <w:rPr>
                <w:sz w:val="20"/>
                <w:szCs w:val="20"/>
              </w:rPr>
              <w:t>2003/87/CE și de Regulamentul (UE)</w:t>
            </w:r>
            <w:r w:rsidRPr="007820EC">
              <w:rPr>
                <w:sz w:val="20"/>
                <w:szCs w:val="20"/>
                <w:lang w:val="fr-FR"/>
              </w:rPr>
              <w:t xml:space="preserve"> </w:t>
            </w:r>
            <w:r w:rsidRPr="007820EC">
              <w:rPr>
                <w:sz w:val="20"/>
                <w:szCs w:val="20"/>
              </w:rPr>
              <w:t>2018/842 și prognozele referitoare la emisii de către surse și la absorbții de către absorbanți în temeiul Regulamentului (UE)</w:t>
            </w:r>
            <w:r w:rsidRPr="007820EC">
              <w:rPr>
                <w:sz w:val="20"/>
                <w:szCs w:val="20"/>
                <w:lang w:val="fr-FR"/>
              </w:rPr>
              <w:t xml:space="preserve"> </w:t>
            </w:r>
            <w:r w:rsidRPr="007820EC">
              <w:rPr>
                <w:sz w:val="20"/>
                <w:szCs w:val="20"/>
              </w:rPr>
              <w:t>2018/841;</w:t>
            </w:r>
          </w:p>
          <w:p w14:paraId="6A374480" w14:textId="009A3D0D" w:rsidR="008F5636" w:rsidRPr="007820EC" w:rsidRDefault="008F5636" w:rsidP="000C5A3B">
            <w:pPr>
              <w:pStyle w:val="Normal4"/>
              <w:numPr>
                <w:ilvl w:val="0"/>
                <w:numId w:val="66"/>
              </w:numPr>
              <w:spacing w:before="0" w:beforeAutospacing="0" w:after="0" w:afterAutospacing="0"/>
              <w:ind w:left="414" w:hanging="357"/>
              <w:jc w:val="both"/>
              <w:rPr>
                <w:sz w:val="20"/>
                <w:szCs w:val="20"/>
              </w:rPr>
            </w:pPr>
            <w:r w:rsidRPr="007820EC">
              <w:rPr>
                <w:sz w:val="20"/>
                <w:szCs w:val="20"/>
                <w:shd w:val="clear" w:color="auto" w:fill="FFFFFF"/>
              </w:rPr>
              <w:t>impactul politicilor și al măsurilor identificate în temeiul articolului 18 alineatul (1) litera (a). În cazul în care astfel de politici și măsuri nu sunt incluse, acest fapt trebuie menționat și explicat în mod clar;</w:t>
            </w:r>
          </w:p>
          <w:p w14:paraId="32F028B5" w14:textId="77777777" w:rsidR="008F5636" w:rsidRPr="007820EC" w:rsidRDefault="008F5636" w:rsidP="000C5A3B">
            <w:pPr>
              <w:pStyle w:val="ColorfulList-Accent11"/>
              <w:numPr>
                <w:ilvl w:val="0"/>
                <w:numId w:val="66"/>
              </w:numPr>
              <w:spacing w:after="0" w:line="240" w:lineRule="auto"/>
              <w:ind w:left="414" w:hanging="357"/>
              <w:jc w:val="both"/>
              <w:rPr>
                <w:rFonts w:ascii="Times New Roman" w:hAnsi="Times New Roman"/>
                <w:sz w:val="20"/>
                <w:szCs w:val="20"/>
                <w:shd w:val="clear" w:color="auto" w:fill="FFFFFF"/>
                <w:lang w:val="fr-FR"/>
              </w:rPr>
            </w:pPr>
            <w:proofErr w:type="spellStart"/>
            <w:proofErr w:type="gramStart"/>
            <w:r w:rsidRPr="007820EC">
              <w:rPr>
                <w:rFonts w:ascii="Times New Roman" w:hAnsi="Times New Roman"/>
                <w:sz w:val="20"/>
                <w:szCs w:val="20"/>
                <w:shd w:val="clear" w:color="auto" w:fill="FFFFFF"/>
                <w:lang w:val="fr-FR"/>
              </w:rPr>
              <w:t>rezultatele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analizei</w:t>
            </w:r>
            <w:proofErr w:type="spellEnd"/>
            <w:r w:rsidRPr="007820EC">
              <w:rPr>
                <w:rFonts w:ascii="Times New Roman" w:hAnsi="Times New Roman"/>
                <w:sz w:val="20"/>
                <w:szCs w:val="20"/>
                <w:shd w:val="clear" w:color="auto" w:fill="FFFFFF"/>
                <w:lang w:val="fr-FR"/>
              </w:rPr>
              <w:t xml:space="preserve"> de </w:t>
            </w:r>
            <w:proofErr w:type="spellStart"/>
            <w:r w:rsidRPr="007820EC">
              <w:rPr>
                <w:rFonts w:ascii="Times New Roman" w:hAnsi="Times New Roman"/>
                <w:sz w:val="20"/>
                <w:szCs w:val="20"/>
                <w:shd w:val="clear" w:color="auto" w:fill="FFFFFF"/>
                <w:lang w:val="fr-FR"/>
              </w:rPr>
              <w:t>sensibilitate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realizate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pentru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prognoze</w:t>
            </w:r>
            <w:proofErr w:type="spellEnd"/>
            <w:r w:rsidRPr="007820EC">
              <w:rPr>
                <w:rFonts w:ascii="Times New Roman" w:hAnsi="Times New Roman"/>
                <w:sz w:val="20"/>
                <w:szCs w:val="20"/>
                <w:shd w:val="clear" w:color="auto" w:fill="FFFFFF"/>
                <w:lang w:val="fr-FR"/>
              </w:rPr>
              <w:t xml:space="preserve"> și </w:t>
            </w:r>
            <w:proofErr w:type="spellStart"/>
            <w:r w:rsidRPr="007820EC">
              <w:rPr>
                <w:rFonts w:ascii="Times New Roman" w:hAnsi="Times New Roman"/>
                <w:sz w:val="20"/>
                <w:szCs w:val="20"/>
                <w:shd w:val="clear" w:color="auto" w:fill="FFFFFF"/>
                <w:lang w:val="fr-FR"/>
              </w:rPr>
              <w:t>informații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cu</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privire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modelele</w:t>
            </w:r>
            <w:proofErr w:type="spellEnd"/>
            <w:r w:rsidRPr="007820EC">
              <w:rPr>
                <w:rFonts w:ascii="Times New Roman" w:hAnsi="Times New Roman"/>
                <w:sz w:val="20"/>
                <w:szCs w:val="20"/>
                <w:shd w:val="clear" w:color="auto" w:fill="FFFFFF"/>
                <w:lang w:val="fr-FR"/>
              </w:rPr>
              <w:t xml:space="preserve"> și la </w:t>
            </w:r>
            <w:proofErr w:type="spellStart"/>
            <w:r w:rsidRPr="007820EC">
              <w:rPr>
                <w:rFonts w:ascii="Times New Roman" w:hAnsi="Times New Roman"/>
                <w:sz w:val="20"/>
                <w:szCs w:val="20"/>
                <w:shd w:val="clear" w:color="auto" w:fill="FFFFFF"/>
                <w:lang w:val="fr-FR"/>
              </w:rPr>
              <w:t>parametrii</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utilizați</w:t>
            </w:r>
            <w:proofErr w:type="spellEnd"/>
            <w:r w:rsidRPr="007820EC">
              <w:rPr>
                <w:rFonts w:ascii="Times New Roman" w:hAnsi="Times New Roman"/>
                <w:sz w:val="20"/>
                <w:szCs w:val="20"/>
                <w:shd w:val="clear" w:color="auto" w:fill="FFFFFF"/>
                <w:lang w:val="fr-FR"/>
              </w:rPr>
              <w:t>;</w:t>
            </w:r>
          </w:p>
          <w:p w14:paraId="498F837E" w14:textId="3F3A8696" w:rsidR="008F5636" w:rsidRPr="008F2D32" w:rsidRDefault="008F5636" w:rsidP="000C5A3B">
            <w:pPr>
              <w:pStyle w:val="ColorfulList-Accent11"/>
              <w:numPr>
                <w:ilvl w:val="0"/>
                <w:numId w:val="66"/>
              </w:numPr>
              <w:spacing w:after="0" w:line="240" w:lineRule="auto"/>
              <w:ind w:left="414" w:hanging="357"/>
              <w:jc w:val="both"/>
              <w:rPr>
                <w:rFonts w:ascii="Times New Roman" w:hAnsi="Times New Roman"/>
                <w:sz w:val="20"/>
                <w:szCs w:val="20"/>
                <w:lang w:val="fr-FR"/>
              </w:rPr>
            </w:pPr>
            <w:proofErr w:type="spellStart"/>
            <w:proofErr w:type="gramStart"/>
            <w:r w:rsidRPr="007820EC">
              <w:rPr>
                <w:rFonts w:ascii="Times New Roman" w:hAnsi="Times New Roman"/>
                <w:sz w:val="20"/>
                <w:szCs w:val="20"/>
                <w:shd w:val="clear" w:color="auto" w:fill="FFFFFF"/>
                <w:lang w:val="fr-FR"/>
              </w:rPr>
              <w:t>toate</w:t>
            </w:r>
            <w:proofErr w:type="spellEnd"/>
            <w:proofErr w:type="gram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trimiterile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relevante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evaluarea</w:t>
            </w:r>
            <w:proofErr w:type="spellEnd"/>
            <w:r w:rsidRPr="007820EC">
              <w:rPr>
                <w:rFonts w:ascii="Times New Roman" w:hAnsi="Times New Roman"/>
                <w:sz w:val="20"/>
                <w:szCs w:val="20"/>
                <w:shd w:val="clear" w:color="auto" w:fill="FFFFFF"/>
                <w:lang w:val="fr-FR"/>
              </w:rPr>
              <w:t xml:space="preserve"> și la </w:t>
            </w:r>
            <w:proofErr w:type="spellStart"/>
            <w:r w:rsidRPr="007820EC">
              <w:rPr>
                <w:rFonts w:ascii="Times New Roman" w:hAnsi="Times New Roman"/>
                <w:sz w:val="20"/>
                <w:szCs w:val="20"/>
                <w:shd w:val="clear" w:color="auto" w:fill="FFFFFF"/>
                <w:lang w:val="fr-FR"/>
              </w:rPr>
              <w:t>rapoartele</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tehnice</w:t>
            </w:r>
            <w:proofErr w:type="spellEnd"/>
            <w:r w:rsidRPr="007820EC">
              <w:rPr>
                <w:rFonts w:ascii="Times New Roman" w:hAnsi="Times New Roman"/>
                <w:sz w:val="20"/>
                <w:szCs w:val="20"/>
                <w:shd w:val="clear" w:color="auto" w:fill="FFFFFF"/>
                <w:lang w:val="fr-FR"/>
              </w:rPr>
              <w:t xml:space="preserve"> care </w:t>
            </w:r>
            <w:proofErr w:type="spellStart"/>
            <w:r w:rsidRPr="007820EC">
              <w:rPr>
                <w:rFonts w:ascii="Times New Roman" w:hAnsi="Times New Roman"/>
                <w:sz w:val="20"/>
                <w:szCs w:val="20"/>
                <w:shd w:val="clear" w:color="auto" w:fill="FFFFFF"/>
                <w:lang w:val="fr-FR"/>
              </w:rPr>
              <w:t>stau</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baza</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prognozelor</w:t>
            </w:r>
            <w:proofErr w:type="spellEnd"/>
            <w:r w:rsidRPr="007820EC">
              <w:rPr>
                <w:rFonts w:ascii="Times New Roman" w:hAnsi="Times New Roman"/>
                <w:sz w:val="20"/>
                <w:szCs w:val="20"/>
                <w:shd w:val="clear" w:color="auto" w:fill="FFFFFF"/>
                <w:lang w:val="fr-FR"/>
              </w:rPr>
              <w:t xml:space="preserve"> </w:t>
            </w:r>
            <w:proofErr w:type="spellStart"/>
            <w:r w:rsidRPr="007820EC">
              <w:rPr>
                <w:rFonts w:ascii="Times New Roman" w:hAnsi="Times New Roman"/>
                <w:sz w:val="20"/>
                <w:szCs w:val="20"/>
                <w:shd w:val="clear" w:color="auto" w:fill="FFFFFF"/>
                <w:lang w:val="fr-FR"/>
              </w:rPr>
              <w:t>menționate</w:t>
            </w:r>
            <w:proofErr w:type="spellEnd"/>
            <w:r w:rsidRPr="007820EC">
              <w:rPr>
                <w:rFonts w:ascii="Times New Roman" w:hAnsi="Times New Roman"/>
                <w:sz w:val="20"/>
                <w:szCs w:val="20"/>
                <w:shd w:val="clear" w:color="auto" w:fill="FFFFFF"/>
                <w:lang w:val="fr-FR"/>
              </w:rPr>
              <w:t xml:space="preserve"> la </w:t>
            </w:r>
            <w:proofErr w:type="spellStart"/>
            <w:r w:rsidRPr="007820EC">
              <w:rPr>
                <w:rFonts w:ascii="Times New Roman" w:hAnsi="Times New Roman"/>
                <w:sz w:val="20"/>
                <w:szCs w:val="20"/>
                <w:shd w:val="clear" w:color="auto" w:fill="FFFFFF"/>
                <w:lang w:val="fr-FR"/>
              </w:rPr>
              <w:t>articolul</w:t>
            </w:r>
            <w:proofErr w:type="spellEnd"/>
            <w:r w:rsidRPr="007820EC">
              <w:rPr>
                <w:rFonts w:ascii="Times New Roman" w:hAnsi="Times New Roman"/>
                <w:sz w:val="20"/>
                <w:szCs w:val="20"/>
                <w:shd w:val="clear" w:color="auto" w:fill="FFFFFF"/>
                <w:lang w:val="fr-FR"/>
              </w:rPr>
              <w:t xml:space="preserve"> 18 </w:t>
            </w:r>
            <w:proofErr w:type="spellStart"/>
            <w:r w:rsidRPr="007820EC">
              <w:rPr>
                <w:rFonts w:ascii="Times New Roman" w:hAnsi="Times New Roman"/>
                <w:sz w:val="20"/>
                <w:szCs w:val="20"/>
                <w:shd w:val="clear" w:color="auto" w:fill="FFFFFF"/>
                <w:lang w:val="fr-FR"/>
              </w:rPr>
              <w:t>alineatul</w:t>
            </w:r>
            <w:proofErr w:type="spellEnd"/>
            <w:r w:rsidRPr="007820EC">
              <w:rPr>
                <w:rFonts w:ascii="Times New Roman" w:hAnsi="Times New Roman"/>
                <w:sz w:val="20"/>
                <w:szCs w:val="20"/>
                <w:shd w:val="clear" w:color="auto" w:fill="FFFFFF"/>
                <w:lang w:val="fr-FR"/>
              </w:rPr>
              <w:t xml:space="preserve"> (4).</w:t>
            </w:r>
          </w:p>
        </w:tc>
        <w:tc>
          <w:tcPr>
            <w:tcW w:w="4440" w:type="dxa"/>
          </w:tcPr>
          <w:p w14:paraId="21B46054" w14:textId="4B6487FC" w:rsidR="0098746F" w:rsidRPr="00AE434C" w:rsidRDefault="0098746F" w:rsidP="00AE434C">
            <w:pPr>
              <w:jc w:val="both"/>
              <w:rPr>
                <w:rFonts w:ascii="Times New Roman" w:hAnsi="Times New Roman"/>
                <w:sz w:val="20"/>
                <w:szCs w:val="20"/>
                <w:lang w:val="it-IT" w:eastAsia="ro-RO" w:bidi="or-IN"/>
              </w:rPr>
            </w:pPr>
          </w:p>
        </w:tc>
        <w:tc>
          <w:tcPr>
            <w:tcW w:w="1276" w:type="dxa"/>
          </w:tcPr>
          <w:p w14:paraId="0689ED28" w14:textId="3123F46B" w:rsidR="00DA405E" w:rsidRPr="00C951E7" w:rsidRDefault="00B93900" w:rsidP="00DA405E">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w:t>
            </w:r>
            <w:r w:rsidR="00DA405E" w:rsidRPr="00C951E7">
              <w:rPr>
                <w:rFonts w:ascii="Times New Roman" w:hAnsi="Times New Roman"/>
                <w:bCs/>
                <w:color w:val="000000" w:themeColor="text1"/>
                <w:sz w:val="20"/>
                <w:szCs w:val="20"/>
                <w:lang w:val="ro-RO"/>
              </w:rPr>
              <w:t>ompatibil</w:t>
            </w:r>
          </w:p>
          <w:p w14:paraId="1FE02B0B" w14:textId="07BD5C48" w:rsidR="008F5636" w:rsidRPr="00A659F2" w:rsidRDefault="008F5636" w:rsidP="008F5636">
            <w:pPr>
              <w:pStyle w:val="ColorfulList-Accent11"/>
              <w:spacing w:after="0" w:line="240" w:lineRule="auto"/>
              <w:ind w:left="0"/>
              <w:jc w:val="center"/>
              <w:rPr>
                <w:rFonts w:ascii="Times New Roman" w:hAnsi="Times New Roman"/>
                <w:sz w:val="20"/>
                <w:szCs w:val="20"/>
                <w:lang w:val="ro-MD"/>
              </w:rPr>
            </w:pPr>
          </w:p>
        </w:tc>
        <w:tc>
          <w:tcPr>
            <w:tcW w:w="1276" w:type="dxa"/>
          </w:tcPr>
          <w:p w14:paraId="75E00522" w14:textId="77777777" w:rsidR="008F5636" w:rsidRPr="00D93509" w:rsidRDefault="008F5636" w:rsidP="008F5636">
            <w:pPr>
              <w:pStyle w:val="ColorfulList-Accent11"/>
              <w:spacing w:after="0" w:line="240" w:lineRule="auto"/>
              <w:ind w:left="0"/>
              <w:jc w:val="both"/>
              <w:rPr>
                <w:lang w:val="ro-MD"/>
              </w:rPr>
            </w:pPr>
          </w:p>
        </w:tc>
        <w:tc>
          <w:tcPr>
            <w:tcW w:w="1701" w:type="dxa"/>
          </w:tcPr>
          <w:p w14:paraId="2E31D5C6" w14:textId="31BC3F40" w:rsidR="008F5636" w:rsidRPr="00D93509" w:rsidRDefault="00B93900" w:rsidP="008F5636">
            <w:pPr>
              <w:pStyle w:val="ColorfulList-Accent11"/>
              <w:spacing w:after="0" w:line="240" w:lineRule="auto"/>
              <w:ind w:left="0"/>
              <w:jc w:val="both"/>
              <w:rPr>
                <w:lang w:val="ro-MD"/>
              </w:rPr>
            </w:pPr>
            <w:r w:rsidRPr="000161B9">
              <w:rPr>
                <w:rFonts w:ascii="Times New Roman" w:eastAsia="Times New Roman" w:hAnsi="Times New Roman"/>
                <w:sz w:val="20"/>
                <w:szCs w:val="20"/>
                <w:lang w:val="ro-RO"/>
              </w:rPr>
              <w:t xml:space="preserve">Prevederile </w:t>
            </w:r>
            <w:r>
              <w:rPr>
                <w:rFonts w:ascii="Times New Roman" w:eastAsia="Times New Roman" w:hAnsi="Times New Roman"/>
                <w:sz w:val="20"/>
                <w:szCs w:val="20"/>
                <w:lang w:val="ro-RO"/>
              </w:rPr>
              <w:t>sunt transpuse</w:t>
            </w:r>
            <w:r w:rsidRPr="000161B9">
              <w:rPr>
                <w:rFonts w:ascii="Times New Roman" w:eastAsia="Times New Roman" w:hAnsi="Times New Roman"/>
                <w:sz w:val="20"/>
                <w:szCs w:val="20"/>
                <w:lang w:val="ro-RO"/>
              </w:rPr>
              <w:t xml:space="preserve"> în</w:t>
            </w:r>
            <w:r>
              <w:rPr>
                <w:rFonts w:ascii="Times New Roman" w:eastAsia="Times New Roman" w:hAnsi="Times New Roman"/>
                <w:sz w:val="20"/>
                <w:szCs w:val="20"/>
                <w:lang w:val="ro-RO"/>
              </w:rPr>
              <w:t xml:space="preserve"> pct.24, pct.27-29</w:t>
            </w:r>
            <w:r w:rsidRPr="000161B9">
              <w:rPr>
                <w:rFonts w:ascii="Times New Roman" w:eastAsia="Times New Roman" w:hAnsi="Times New Roman"/>
                <w:sz w:val="20"/>
                <w:szCs w:val="20"/>
                <w:lang w:val="ro-RO"/>
              </w:rPr>
              <w:t xml:space="preserve"> </w:t>
            </w:r>
            <w:r>
              <w:rPr>
                <w:rFonts w:ascii="Times New Roman" w:eastAsia="Times New Roman" w:hAnsi="Times New Roman"/>
                <w:sz w:val="20"/>
                <w:szCs w:val="20"/>
                <w:lang w:val="ro-RO"/>
              </w:rPr>
              <w:t xml:space="preserve">din </w:t>
            </w:r>
            <w:r w:rsidRPr="000161B9">
              <w:rPr>
                <w:rFonts w:ascii="Times New Roman" w:hAnsi="Times New Roman"/>
                <w:sz w:val="20"/>
                <w:szCs w:val="20"/>
                <w:lang w:val="ro-RO"/>
              </w:rPr>
              <w:t>HG</w:t>
            </w:r>
            <w:r w:rsidRPr="000161B9">
              <w:rPr>
                <w:rFonts w:ascii="Times New Roman" w:hAnsi="Times New Roman"/>
                <w:sz w:val="20"/>
                <w:szCs w:val="20"/>
                <w:shd w:val="clear" w:color="auto" w:fill="FFFFFF"/>
                <w:lang w:val="ro-MD"/>
              </w:rPr>
              <w:t xml:space="preserve"> </w:t>
            </w:r>
            <w:r w:rsidRPr="000161B9">
              <w:rPr>
                <w:rStyle w:val="apple-converted-space"/>
                <w:rFonts w:ascii="Times New Roman" w:hAnsi="Times New Roman"/>
                <w:sz w:val="20"/>
                <w:szCs w:val="20"/>
                <w:shd w:val="clear" w:color="auto" w:fill="FFFFFF"/>
                <w:lang w:val="ro-MD"/>
              </w:rPr>
              <w:t>nr.</w:t>
            </w:r>
            <w:r w:rsidRPr="000161B9">
              <w:rPr>
                <w:rFonts w:ascii="Times New Roman" w:hAnsi="Times New Roman"/>
                <w:sz w:val="20"/>
                <w:szCs w:val="20"/>
                <w:lang w:val="ro-MD"/>
              </w:rPr>
              <w:t>1277/2018 cu privire la instituirea și funcționarea sistemului național de monitorizare și raportare a emisiilor de gaze cu efect de seră și altor informații relevante pentru schimbările climatice</w:t>
            </w:r>
          </w:p>
        </w:tc>
        <w:tc>
          <w:tcPr>
            <w:tcW w:w="1460" w:type="dxa"/>
          </w:tcPr>
          <w:p w14:paraId="5A07BEBA" w14:textId="77777777" w:rsidR="008F5636" w:rsidRPr="00543A71" w:rsidRDefault="008F5636" w:rsidP="008F5636">
            <w:pPr>
              <w:autoSpaceDE w:val="0"/>
              <w:spacing w:after="0" w:line="240" w:lineRule="auto"/>
              <w:rPr>
                <w:rFonts w:ascii="Times New Roman" w:hAnsi="Times New Roman"/>
                <w:sz w:val="20"/>
                <w:szCs w:val="20"/>
                <w:shd w:val="clear" w:color="auto" w:fill="FFFFFF"/>
                <w:lang w:val="ro-RO"/>
              </w:rPr>
            </w:pPr>
            <w:r w:rsidRPr="00543A71">
              <w:rPr>
                <w:rFonts w:ascii="Times New Roman" w:hAnsi="Times New Roman"/>
                <w:sz w:val="20"/>
                <w:szCs w:val="20"/>
                <w:shd w:val="clear" w:color="auto" w:fill="FFFFFF"/>
                <w:lang w:val="ro-RO"/>
              </w:rPr>
              <w:t>Ministerul Mediului</w:t>
            </w:r>
          </w:p>
          <w:p w14:paraId="762CCC12" w14:textId="77777777" w:rsidR="008F5636" w:rsidRPr="00543A71" w:rsidRDefault="008F5636" w:rsidP="008F5636">
            <w:pPr>
              <w:pStyle w:val="ColorfulList-Accent11"/>
              <w:spacing w:after="0" w:line="240" w:lineRule="auto"/>
              <w:ind w:left="0"/>
              <w:jc w:val="both"/>
              <w:rPr>
                <w:rFonts w:ascii="Times New Roman" w:hAnsi="Times New Roman"/>
                <w:sz w:val="20"/>
                <w:szCs w:val="20"/>
                <w:lang w:val="ro-MD"/>
              </w:rPr>
            </w:pPr>
          </w:p>
          <w:p w14:paraId="48E2E079" w14:textId="2F9DBAF6" w:rsidR="008F5636" w:rsidRPr="00D93509" w:rsidRDefault="008F5636" w:rsidP="008F5636">
            <w:pPr>
              <w:pStyle w:val="ColorfulList-Accent11"/>
              <w:spacing w:after="0" w:line="240" w:lineRule="auto"/>
              <w:ind w:left="0"/>
              <w:jc w:val="both"/>
              <w:rPr>
                <w:lang w:val="ro-MD"/>
              </w:rPr>
            </w:pPr>
            <w:r w:rsidRPr="00543A71">
              <w:rPr>
                <w:rFonts w:ascii="Times New Roman" w:hAnsi="Times New Roman"/>
                <w:sz w:val="20"/>
                <w:szCs w:val="20"/>
                <w:lang w:val="ro-MD"/>
              </w:rPr>
              <w:t>Agenția de Mediu</w:t>
            </w:r>
          </w:p>
        </w:tc>
      </w:tr>
      <w:tr w:rsidR="008F5636" w:rsidRPr="00D93509" w14:paraId="2B028B16" w14:textId="77777777" w:rsidTr="00A90105">
        <w:tc>
          <w:tcPr>
            <w:tcW w:w="4945" w:type="dxa"/>
          </w:tcPr>
          <w:p w14:paraId="7CF19B0E" w14:textId="77777777" w:rsidR="008F5636" w:rsidRPr="00154895" w:rsidRDefault="008F5636" w:rsidP="008F5636">
            <w:pPr>
              <w:pStyle w:val="doc-ti"/>
              <w:shd w:val="clear" w:color="auto" w:fill="FFFFFF"/>
              <w:spacing w:before="0" w:beforeAutospacing="0" w:after="0" w:afterAutospacing="0"/>
              <w:jc w:val="center"/>
              <w:rPr>
                <w:b/>
                <w:bCs/>
                <w:sz w:val="20"/>
                <w:szCs w:val="20"/>
                <w:lang w:val="ro-MD"/>
              </w:rPr>
            </w:pPr>
            <w:r w:rsidRPr="00154895">
              <w:rPr>
                <w:b/>
                <w:bCs/>
                <w:sz w:val="20"/>
                <w:szCs w:val="20"/>
                <w:lang w:val="ro-MD"/>
              </w:rPr>
              <w:t>ANEXA VIII</w:t>
            </w:r>
          </w:p>
          <w:p w14:paraId="5BD66C42" w14:textId="77777777" w:rsidR="008F5636" w:rsidRPr="00154895" w:rsidRDefault="008F5636" w:rsidP="008F5636">
            <w:pPr>
              <w:pStyle w:val="ti-grseq-1"/>
              <w:shd w:val="clear" w:color="auto" w:fill="FFFFFF"/>
              <w:spacing w:before="0" w:beforeAutospacing="0" w:after="0" w:afterAutospacing="0"/>
              <w:jc w:val="center"/>
              <w:rPr>
                <w:b/>
                <w:bCs/>
                <w:sz w:val="20"/>
                <w:szCs w:val="20"/>
                <w:lang w:val="ro-MD"/>
              </w:rPr>
            </w:pPr>
            <w:r w:rsidRPr="00154895">
              <w:rPr>
                <w:rStyle w:val="bold"/>
                <w:b/>
                <w:bCs/>
                <w:sz w:val="20"/>
                <w:szCs w:val="20"/>
                <w:lang w:val="ro-MD"/>
              </w:rPr>
              <w:t>INFORMAȚII PRIVIND ACȚIUNILE NAȚIONALE DE ADAPTARE, SPRIJINUL FINANCIAR ȘI TEHNOLOGIC ACORDAT ȚĂRILOR ÎN CURS DE DEZVOLTARE ȘI VENITURILE DIN LICITAȚII</w:t>
            </w:r>
          </w:p>
          <w:p w14:paraId="2C95B608" w14:textId="77777777" w:rsidR="008F5636" w:rsidRPr="00154895" w:rsidRDefault="008F5636" w:rsidP="008F5636">
            <w:pPr>
              <w:pStyle w:val="ti-grseq-1"/>
              <w:shd w:val="clear" w:color="auto" w:fill="FFFFFF"/>
              <w:spacing w:before="0" w:beforeAutospacing="0" w:after="0" w:afterAutospacing="0"/>
              <w:jc w:val="center"/>
              <w:rPr>
                <w:b/>
                <w:bCs/>
                <w:sz w:val="20"/>
                <w:szCs w:val="20"/>
                <w:lang w:val="ro-MD"/>
              </w:rPr>
            </w:pPr>
            <w:proofErr w:type="spellStart"/>
            <w:r w:rsidRPr="00154895">
              <w:rPr>
                <w:rStyle w:val="bold"/>
                <w:b/>
                <w:bCs/>
                <w:sz w:val="20"/>
                <w:szCs w:val="20"/>
                <w:lang w:val="fr-FR"/>
              </w:rPr>
              <w:lastRenderedPageBreak/>
              <w:t>Partea</w:t>
            </w:r>
            <w:proofErr w:type="spellEnd"/>
            <w:r w:rsidRPr="00154895">
              <w:rPr>
                <w:rStyle w:val="bold"/>
                <w:b/>
                <w:bCs/>
                <w:sz w:val="20"/>
                <w:szCs w:val="20"/>
                <w:lang w:val="fr-FR"/>
              </w:rPr>
              <w:t xml:space="preserve"> 1</w:t>
            </w:r>
          </w:p>
          <w:p w14:paraId="06752641" w14:textId="77777777" w:rsidR="008F5636" w:rsidRPr="00154895" w:rsidRDefault="008F5636" w:rsidP="008F5636">
            <w:pPr>
              <w:pStyle w:val="ti-grseq-1"/>
              <w:shd w:val="clear" w:color="auto" w:fill="FFFFFF"/>
              <w:spacing w:before="0" w:beforeAutospacing="0" w:after="0" w:afterAutospacing="0"/>
              <w:jc w:val="center"/>
              <w:rPr>
                <w:b/>
                <w:bCs/>
                <w:sz w:val="20"/>
                <w:szCs w:val="20"/>
                <w:lang w:val="fr-FR"/>
              </w:rPr>
            </w:pPr>
            <w:proofErr w:type="spellStart"/>
            <w:r w:rsidRPr="00154895">
              <w:rPr>
                <w:rStyle w:val="bold"/>
                <w:b/>
                <w:bCs/>
                <w:sz w:val="20"/>
                <w:szCs w:val="20"/>
                <w:lang w:val="fr-FR"/>
              </w:rPr>
              <w:t>Raportarea</w:t>
            </w:r>
            <w:proofErr w:type="spellEnd"/>
            <w:r w:rsidRPr="00154895">
              <w:rPr>
                <w:rStyle w:val="bold"/>
                <w:b/>
                <w:bCs/>
                <w:sz w:val="20"/>
                <w:szCs w:val="20"/>
                <w:lang w:val="fr-FR"/>
              </w:rPr>
              <w:t xml:space="preserve"> </w:t>
            </w:r>
            <w:proofErr w:type="spellStart"/>
            <w:r w:rsidRPr="00154895">
              <w:rPr>
                <w:rStyle w:val="bold"/>
                <w:b/>
                <w:bCs/>
                <w:sz w:val="20"/>
                <w:szCs w:val="20"/>
                <w:lang w:val="fr-FR"/>
              </w:rPr>
              <w:t>cu</w:t>
            </w:r>
            <w:proofErr w:type="spellEnd"/>
            <w:r w:rsidRPr="00154895">
              <w:rPr>
                <w:rStyle w:val="bold"/>
                <w:b/>
                <w:bCs/>
                <w:sz w:val="20"/>
                <w:szCs w:val="20"/>
                <w:lang w:val="fr-FR"/>
              </w:rPr>
              <w:t xml:space="preserve"> </w:t>
            </w:r>
            <w:proofErr w:type="spellStart"/>
            <w:r w:rsidRPr="00154895">
              <w:rPr>
                <w:rStyle w:val="bold"/>
                <w:b/>
                <w:bCs/>
                <w:sz w:val="20"/>
                <w:szCs w:val="20"/>
                <w:lang w:val="fr-FR"/>
              </w:rPr>
              <w:t>privire</w:t>
            </w:r>
            <w:proofErr w:type="spellEnd"/>
            <w:r w:rsidRPr="00154895">
              <w:rPr>
                <w:rStyle w:val="bold"/>
                <w:b/>
                <w:bCs/>
                <w:sz w:val="20"/>
                <w:szCs w:val="20"/>
                <w:lang w:val="fr-FR"/>
              </w:rPr>
              <w:t xml:space="preserve"> la </w:t>
            </w:r>
            <w:proofErr w:type="spellStart"/>
            <w:r w:rsidRPr="00154895">
              <w:rPr>
                <w:rStyle w:val="bold"/>
                <w:b/>
                <w:bCs/>
                <w:sz w:val="20"/>
                <w:szCs w:val="20"/>
                <w:lang w:val="fr-FR"/>
              </w:rPr>
              <w:t>acțiunile</w:t>
            </w:r>
            <w:proofErr w:type="spellEnd"/>
            <w:r w:rsidRPr="00154895">
              <w:rPr>
                <w:rStyle w:val="bold"/>
                <w:b/>
                <w:bCs/>
                <w:sz w:val="20"/>
                <w:szCs w:val="20"/>
                <w:lang w:val="fr-FR"/>
              </w:rPr>
              <w:t xml:space="preserve"> de </w:t>
            </w:r>
            <w:proofErr w:type="spellStart"/>
            <w:r w:rsidRPr="00154895">
              <w:rPr>
                <w:rStyle w:val="bold"/>
                <w:b/>
                <w:bCs/>
                <w:sz w:val="20"/>
                <w:szCs w:val="20"/>
                <w:lang w:val="fr-FR"/>
              </w:rPr>
              <w:t>adaptare</w:t>
            </w:r>
            <w:proofErr w:type="spellEnd"/>
          </w:p>
          <w:p w14:paraId="30557548" w14:textId="77777777" w:rsidR="008F5636" w:rsidRPr="00154895" w:rsidRDefault="008F5636" w:rsidP="008F5636">
            <w:pPr>
              <w:pStyle w:val="ColorfulList-Accent11"/>
              <w:spacing w:after="0" w:line="240" w:lineRule="auto"/>
              <w:ind w:left="0"/>
              <w:jc w:val="both"/>
              <w:rPr>
                <w:rFonts w:ascii="Times New Roman" w:hAnsi="Times New Roman"/>
                <w:sz w:val="20"/>
                <w:szCs w:val="20"/>
                <w:shd w:val="clear" w:color="auto" w:fill="FFFFFF"/>
              </w:rPr>
            </w:pPr>
            <w:proofErr w:type="spellStart"/>
            <w:r w:rsidRPr="00154895">
              <w:rPr>
                <w:rFonts w:ascii="Times New Roman" w:hAnsi="Times New Roman"/>
                <w:sz w:val="20"/>
                <w:szCs w:val="20"/>
                <w:shd w:val="clear" w:color="auto" w:fill="FFFFFF"/>
              </w:rPr>
              <w:t>Informații</w:t>
            </w:r>
            <w:proofErr w:type="spellEnd"/>
            <w:r w:rsidRPr="00154895">
              <w:rPr>
                <w:rFonts w:ascii="Times New Roman" w:hAnsi="Times New Roman"/>
                <w:sz w:val="20"/>
                <w:szCs w:val="20"/>
                <w:shd w:val="clear" w:color="auto" w:fill="FFFFFF"/>
              </w:rPr>
              <w:t xml:space="preserve"> care </w:t>
            </w:r>
            <w:proofErr w:type="spellStart"/>
            <w:r w:rsidRPr="00154895">
              <w:rPr>
                <w:rFonts w:ascii="Times New Roman" w:hAnsi="Times New Roman"/>
                <w:sz w:val="20"/>
                <w:szCs w:val="20"/>
                <w:shd w:val="clear" w:color="auto" w:fill="FFFFFF"/>
              </w:rPr>
              <w:t>trebuie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incluse</w:t>
            </w:r>
            <w:proofErr w:type="spellEnd"/>
            <w:r w:rsidRPr="00154895">
              <w:rPr>
                <w:rFonts w:ascii="Times New Roman" w:hAnsi="Times New Roman"/>
                <w:sz w:val="20"/>
                <w:szCs w:val="20"/>
                <w:shd w:val="clear" w:color="auto" w:fill="FFFFFF"/>
              </w:rPr>
              <w:t xml:space="preserve"> în </w:t>
            </w:r>
            <w:proofErr w:type="spellStart"/>
            <w:r w:rsidRPr="00154895">
              <w:rPr>
                <w:rFonts w:ascii="Times New Roman" w:hAnsi="Times New Roman"/>
                <w:sz w:val="20"/>
                <w:szCs w:val="20"/>
                <w:shd w:val="clear" w:color="auto" w:fill="FFFFFF"/>
              </w:rPr>
              <w:t>rapoartele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menționate</w:t>
            </w:r>
            <w:proofErr w:type="spellEnd"/>
            <w:r w:rsidRPr="00154895">
              <w:rPr>
                <w:rFonts w:ascii="Times New Roman" w:hAnsi="Times New Roman"/>
                <w:sz w:val="20"/>
                <w:szCs w:val="20"/>
                <w:shd w:val="clear" w:color="auto" w:fill="FFFFFF"/>
              </w:rPr>
              <w:t xml:space="preserve"> la </w:t>
            </w:r>
            <w:proofErr w:type="spellStart"/>
            <w:r w:rsidRPr="00154895">
              <w:rPr>
                <w:rFonts w:ascii="Times New Roman" w:hAnsi="Times New Roman"/>
                <w:sz w:val="20"/>
                <w:szCs w:val="20"/>
                <w:shd w:val="clear" w:color="auto" w:fill="FFFFFF"/>
              </w:rPr>
              <w:t>articolul</w:t>
            </w:r>
            <w:proofErr w:type="spellEnd"/>
            <w:r w:rsidRPr="00154895">
              <w:rPr>
                <w:rFonts w:ascii="Times New Roman" w:hAnsi="Times New Roman"/>
                <w:sz w:val="20"/>
                <w:szCs w:val="20"/>
                <w:shd w:val="clear" w:color="auto" w:fill="FFFFFF"/>
              </w:rPr>
              <w:t xml:space="preserve"> 19 </w:t>
            </w:r>
            <w:proofErr w:type="spellStart"/>
            <w:r w:rsidRPr="00154895">
              <w:rPr>
                <w:rFonts w:ascii="Times New Roman" w:hAnsi="Times New Roman"/>
                <w:sz w:val="20"/>
                <w:szCs w:val="20"/>
                <w:shd w:val="clear" w:color="auto" w:fill="FFFFFF"/>
              </w:rPr>
              <w:t>alineatul</w:t>
            </w:r>
            <w:proofErr w:type="spellEnd"/>
            <w:r w:rsidRPr="00154895">
              <w:rPr>
                <w:rFonts w:ascii="Times New Roman" w:hAnsi="Times New Roman"/>
                <w:sz w:val="20"/>
                <w:szCs w:val="20"/>
                <w:shd w:val="clear" w:color="auto" w:fill="FFFFFF"/>
              </w:rPr>
              <w:t xml:space="preserve"> (1):</w:t>
            </w:r>
          </w:p>
          <w:p w14:paraId="7B1E06B5" w14:textId="77777777"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154895">
              <w:rPr>
                <w:rFonts w:ascii="Times New Roman" w:hAnsi="Times New Roman"/>
                <w:sz w:val="20"/>
                <w:szCs w:val="20"/>
                <w:shd w:val="clear" w:color="auto" w:fill="FFFFFF"/>
                <w:lang w:val="fr-FR"/>
              </w:rPr>
              <w:t>principalele</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obiective</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cadrul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instituțional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adaptare</w:t>
            </w:r>
            <w:proofErr w:type="spellEnd"/>
            <w:r w:rsidRPr="00154895">
              <w:rPr>
                <w:rFonts w:ascii="Times New Roman" w:hAnsi="Times New Roman"/>
                <w:sz w:val="20"/>
                <w:szCs w:val="20"/>
                <w:shd w:val="clear" w:color="auto" w:fill="FFFFFF"/>
                <w:lang w:val="fr-FR"/>
              </w:rPr>
              <w:t>;</w:t>
            </w:r>
          </w:p>
          <w:p w14:paraId="54F4B8C6" w14:textId="77777777"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154895">
              <w:rPr>
                <w:rFonts w:ascii="Times New Roman" w:hAnsi="Times New Roman"/>
                <w:sz w:val="20"/>
                <w:szCs w:val="20"/>
                <w:shd w:val="clear" w:color="auto" w:fill="FFFFFF"/>
                <w:lang w:val="fr-FR"/>
              </w:rPr>
              <w:t>prognozele</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referitoare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schimbările</w:t>
            </w:r>
            <w:proofErr w:type="spellEnd"/>
            <w:r w:rsidRPr="00154895">
              <w:rPr>
                <w:rFonts w:ascii="Times New Roman" w:hAnsi="Times New Roman"/>
                <w:sz w:val="20"/>
                <w:szCs w:val="20"/>
                <w:shd w:val="clear" w:color="auto" w:fill="FFFFFF"/>
                <w:lang w:val="fr-FR"/>
              </w:rPr>
              <w:t xml:space="preserve"> climatice, </w:t>
            </w:r>
            <w:proofErr w:type="spellStart"/>
            <w:r w:rsidRPr="00154895">
              <w:rPr>
                <w:rFonts w:ascii="Times New Roman" w:hAnsi="Times New Roman"/>
                <w:sz w:val="20"/>
                <w:szCs w:val="20"/>
                <w:shd w:val="clear" w:color="auto" w:fill="FFFFFF"/>
                <w:lang w:val="fr-FR"/>
              </w:rPr>
              <w:t>inclusiv</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condițiile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meteorologice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extreme</w:t>
            </w:r>
            <w:proofErr w:type="spellEnd"/>
            <w:r w:rsidRPr="00154895">
              <w:rPr>
                <w:rFonts w:ascii="Times New Roman" w:hAnsi="Times New Roman"/>
                <w:sz w:val="20"/>
                <w:szCs w:val="20"/>
                <w:shd w:val="clear" w:color="auto" w:fill="FFFFFF"/>
                <w:lang w:val="fr-FR"/>
              </w:rPr>
              <w:t xml:space="preserve">, efectele </w:t>
            </w:r>
            <w:proofErr w:type="spellStart"/>
            <w:r w:rsidRPr="00154895">
              <w:rPr>
                <w:rFonts w:ascii="Times New Roman" w:hAnsi="Times New Roman"/>
                <w:sz w:val="20"/>
                <w:szCs w:val="20"/>
                <w:shd w:val="clear" w:color="auto" w:fill="FFFFFF"/>
                <w:lang w:val="fr-FR"/>
              </w:rPr>
              <w:t>schimbărilor</w:t>
            </w:r>
            <w:proofErr w:type="spellEnd"/>
            <w:r w:rsidRPr="00154895">
              <w:rPr>
                <w:rFonts w:ascii="Times New Roman" w:hAnsi="Times New Roman"/>
                <w:sz w:val="20"/>
                <w:szCs w:val="20"/>
                <w:shd w:val="clear" w:color="auto" w:fill="FFFFFF"/>
                <w:lang w:val="fr-FR"/>
              </w:rPr>
              <w:t xml:space="preserve"> climatice, </w:t>
            </w:r>
            <w:proofErr w:type="spellStart"/>
            <w:r w:rsidRPr="00154895">
              <w:rPr>
                <w:rFonts w:ascii="Times New Roman" w:hAnsi="Times New Roman"/>
                <w:sz w:val="20"/>
                <w:szCs w:val="20"/>
                <w:shd w:val="clear" w:color="auto" w:fill="FFFFFF"/>
                <w:lang w:val="fr-FR"/>
              </w:rPr>
              <w:t>evaluarea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vulnerabilității</w:t>
            </w:r>
            <w:proofErr w:type="spellEnd"/>
            <w:r w:rsidRPr="00154895">
              <w:rPr>
                <w:rFonts w:ascii="Times New Roman" w:hAnsi="Times New Roman"/>
                <w:sz w:val="20"/>
                <w:szCs w:val="20"/>
                <w:shd w:val="clear" w:color="auto" w:fill="FFFFFF"/>
                <w:lang w:val="fr-FR"/>
              </w:rPr>
              <w:t xml:space="preserve"> și a </w:t>
            </w:r>
            <w:proofErr w:type="spellStart"/>
            <w:r w:rsidRPr="00154895">
              <w:rPr>
                <w:rFonts w:ascii="Times New Roman" w:hAnsi="Times New Roman"/>
                <w:sz w:val="20"/>
                <w:szCs w:val="20"/>
                <w:shd w:val="clear" w:color="auto" w:fill="FFFFFF"/>
                <w:lang w:val="fr-FR"/>
              </w:rPr>
              <w:t>riscurilor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legate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schimbările</w:t>
            </w:r>
            <w:proofErr w:type="spellEnd"/>
            <w:r w:rsidRPr="00154895">
              <w:rPr>
                <w:rFonts w:ascii="Times New Roman" w:hAnsi="Times New Roman"/>
                <w:sz w:val="20"/>
                <w:szCs w:val="20"/>
                <w:shd w:val="clear" w:color="auto" w:fill="FFFFFF"/>
                <w:lang w:val="fr-FR"/>
              </w:rPr>
              <w:t xml:space="preserve"> climatice și </w:t>
            </w:r>
            <w:proofErr w:type="spellStart"/>
            <w:r w:rsidRPr="00154895">
              <w:rPr>
                <w:rFonts w:ascii="Times New Roman" w:hAnsi="Times New Roman"/>
                <w:sz w:val="20"/>
                <w:szCs w:val="20"/>
                <w:shd w:val="clear" w:color="auto" w:fill="FFFFFF"/>
                <w:lang w:val="fr-FR"/>
              </w:rPr>
              <w:t>principalele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pericole</w:t>
            </w:r>
            <w:proofErr w:type="spellEnd"/>
            <w:r w:rsidRPr="00154895">
              <w:rPr>
                <w:rFonts w:ascii="Times New Roman" w:hAnsi="Times New Roman"/>
                <w:sz w:val="20"/>
                <w:szCs w:val="20"/>
                <w:shd w:val="clear" w:color="auto" w:fill="FFFFFF"/>
                <w:lang w:val="fr-FR"/>
              </w:rPr>
              <w:t xml:space="preserve"> climatice;</w:t>
            </w:r>
          </w:p>
          <w:p w14:paraId="677ACFBA" w14:textId="77777777"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shd w:val="clear" w:color="auto" w:fill="FFFFFF"/>
              </w:rPr>
            </w:pPr>
            <w:proofErr w:type="spellStart"/>
            <w:r w:rsidRPr="00154895">
              <w:rPr>
                <w:rFonts w:ascii="Times New Roman" w:hAnsi="Times New Roman"/>
                <w:sz w:val="20"/>
                <w:szCs w:val="20"/>
                <w:shd w:val="clear" w:color="auto" w:fill="FFFFFF"/>
              </w:rPr>
              <w:t>capacitatea</w:t>
            </w:r>
            <w:proofErr w:type="spellEnd"/>
            <w:r w:rsidRPr="00154895">
              <w:rPr>
                <w:rFonts w:ascii="Times New Roman" w:hAnsi="Times New Roman"/>
                <w:sz w:val="20"/>
                <w:szCs w:val="20"/>
                <w:shd w:val="clear" w:color="auto" w:fill="FFFFFF"/>
              </w:rPr>
              <w:t xml:space="preserve"> de </w:t>
            </w:r>
            <w:proofErr w:type="spellStart"/>
            <w:proofErr w:type="gramStart"/>
            <w:r w:rsidRPr="00154895">
              <w:rPr>
                <w:rFonts w:ascii="Times New Roman" w:hAnsi="Times New Roman"/>
                <w:sz w:val="20"/>
                <w:szCs w:val="20"/>
                <w:shd w:val="clear" w:color="auto" w:fill="FFFFFF"/>
              </w:rPr>
              <w:t>adaptare</w:t>
            </w:r>
            <w:proofErr w:type="spellEnd"/>
            <w:r w:rsidRPr="00154895">
              <w:rPr>
                <w:rFonts w:ascii="Times New Roman" w:hAnsi="Times New Roman"/>
                <w:sz w:val="20"/>
                <w:szCs w:val="20"/>
                <w:shd w:val="clear" w:color="auto" w:fill="FFFFFF"/>
              </w:rPr>
              <w:t>;</w:t>
            </w:r>
            <w:proofErr w:type="gramEnd"/>
          </w:p>
          <w:p w14:paraId="4759D6EA" w14:textId="77777777"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154895">
              <w:rPr>
                <w:rFonts w:ascii="Times New Roman" w:hAnsi="Times New Roman"/>
                <w:sz w:val="20"/>
                <w:szCs w:val="20"/>
                <w:shd w:val="clear" w:color="auto" w:fill="FFFFFF"/>
                <w:lang w:val="fr-FR"/>
              </w:rPr>
              <w:t>planurile</w:t>
            </w:r>
            <w:proofErr w:type="spellEnd"/>
            <w:proofErr w:type="gram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strategiile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adaptare</w:t>
            </w:r>
            <w:proofErr w:type="spellEnd"/>
            <w:r w:rsidRPr="00154895">
              <w:rPr>
                <w:rFonts w:ascii="Times New Roman" w:hAnsi="Times New Roman"/>
                <w:sz w:val="20"/>
                <w:szCs w:val="20"/>
                <w:shd w:val="clear" w:color="auto" w:fill="FFFFFF"/>
                <w:lang w:val="fr-FR"/>
              </w:rPr>
              <w:t>;</w:t>
            </w:r>
          </w:p>
          <w:p w14:paraId="7A939F36" w14:textId="6EB2404E"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shd w:val="clear" w:color="auto" w:fill="FFFFFF"/>
                <w:lang w:val="fr-FR"/>
              </w:rPr>
            </w:pPr>
            <w:proofErr w:type="spellStart"/>
            <w:proofErr w:type="gramStart"/>
            <w:r w:rsidRPr="00154895">
              <w:rPr>
                <w:rFonts w:ascii="Times New Roman" w:hAnsi="Times New Roman"/>
                <w:sz w:val="20"/>
                <w:szCs w:val="20"/>
                <w:lang w:val="fr-FR"/>
              </w:rPr>
              <w:t>cadrul</w:t>
            </w:r>
            <w:proofErr w:type="spellEnd"/>
            <w:proofErr w:type="gram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monitorizare</w:t>
            </w:r>
            <w:proofErr w:type="spellEnd"/>
            <w:r w:rsidRPr="00154895">
              <w:rPr>
                <w:rFonts w:ascii="Times New Roman" w:hAnsi="Times New Roman"/>
                <w:sz w:val="20"/>
                <w:szCs w:val="20"/>
                <w:lang w:val="fr-FR"/>
              </w:rPr>
              <w:t xml:space="preserve"> și de </w:t>
            </w:r>
            <w:proofErr w:type="spellStart"/>
            <w:r w:rsidRPr="00154895">
              <w:rPr>
                <w:rFonts w:ascii="Times New Roman" w:hAnsi="Times New Roman"/>
                <w:sz w:val="20"/>
                <w:szCs w:val="20"/>
                <w:lang w:val="fr-FR"/>
              </w:rPr>
              <w:t>evaluare</w:t>
            </w:r>
            <w:proofErr w:type="spellEnd"/>
            <w:r w:rsidRPr="00154895">
              <w:rPr>
                <w:rFonts w:ascii="Times New Roman" w:hAnsi="Times New Roman"/>
                <w:sz w:val="20"/>
                <w:szCs w:val="20"/>
                <w:lang w:val="fr-FR"/>
              </w:rPr>
              <w:t>;</w:t>
            </w:r>
          </w:p>
          <w:p w14:paraId="2757438B" w14:textId="77777777" w:rsidR="008F5636" w:rsidRPr="00154895" w:rsidRDefault="008F5636" w:rsidP="000C5A3B">
            <w:pPr>
              <w:pStyle w:val="ColorfulList-Accent11"/>
              <w:numPr>
                <w:ilvl w:val="0"/>
                <w:numId w:val="67"/>
              </w:numPr>
              <w:spacing w:after="0" w:line="240" w:lineRule="auto"/>
              <w:ind w:left="357" w:hanging="357"/>
              <w:jc w:val="both"/>
              <w:rPr>
                <w:rFonts w:ascii="Times New Roman" w:hAnsi="Times New Roman"/>
                <w:sz w:val="20"/>
                <w:szCs w:val="20"/>
                <w:lang w:val="ro-MD"/>
              </w:rPr>
            </w:pPr>
            <w:proofErr w:type="spellStart"/>
            <w:r w:rsidRPr="00154895">
              <w:rPr>
                <w:rFonts w:ascii="Times New Roman" w:hAnsi="Times New Roman"/>
                <w:sz w:val="20"/>
                <w:szCs w:val="20"/>
                <w:shd w:val="clear" w:color="auto" w:fill="FFFFFF"/>
              </w:rPr>
              <w:t>progresele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realizate</w:t>
            </w:r>
            <w:proofErr w:type="spellEnd"/>
            <w:r w:rsidRPr="00154895">
              <w:rPr>
                <w:rFonts w:ascii="Times New Roman" w:hAnsi="Times New Roman"/>
                <w:sz w:val="20"/>
                <w:szCs w:val="20"/>
                <w:shd w:val="clear" w:color="auto" w:fill="FFFFFF"/>
              </w:rPr>
              <w:t xml:space="preserve"> în </w:t>
            </w:r>
            <w:proofErr w:type="spellStart"/>
            <w:r w:rsidRPr="00154895">
              <w:rPr>
                <w:rFonts w:ascii="Times New Roman" w:hAnsi="Times New Roman"/>
                <w:sz w:val="20"/>
                <w:szCs w:val="20"/>
                <w:shd w:val="clear" w:color="auto" w:fill="FFFFFF"/>
              </w:rPr>
              <w:t>ceea</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ce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privește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punerea</w:t>
            </w:r>
            <w:proofErr w:type="spellEnd"/>
            <w:r w:rsidRPr="00154895">
              <w:rPr>
                <w:rFonts w:ascii="Times New Roman" w:hAnsi="Times New Roman"/>
                <w:sz w:val="20"/>
                <w:szCs w:val="20"/>
                <w:shd w:val="clear" w:color="auto" w:fill="FFFFFF"/>
              </w:rPr>
              <w:t xml:space="preserve"> în </w:t>
            </w:r>
            <w:proofErr w:type="spellStart"/>
            <w:r w:rsidRPr="00154895">
              <w:rPr>
                <w:rFonts w:ascii="Times New Roman" w:hAnsi="Times New Roman"/>
                <w:sz w:val="20"/>
                <w:szCs w:val="20"/>
                <w:shd w:val="clear" w:color="auto" w:fill="FFFFFF"/>
              </w:rPr>
              <w:t>aplicare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inclusiv</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bunele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practici</w:t>
            </w:r>
            <w:proofErr w:type="spellEnd"/>
            <w:r w:rsidRPr="00154895">
              <w:rPr>
                <w:rFonts w:ascii="Times New Roman" w:hAnsi="Times New Roman"/>
                <w:sz w:val="20"/>
                <w:szCs w:val="20"/>
                <w:shd w:val="clear" w:color="auto" w:fill="FFFFFF"/>
              </w:rPr>
              <w:t xml:space="preserve"> și </w:t>
            </w:r>
            <w:proofErr w:type="spellStart"/>
            <w:r w:rsidRPr="00154895">
              <w:rPr>
                <w:rFonts w:ascii="Times New Roman" w:hAnsi="Times New Roman"/>
                <w:sz w:val="20"/>
                <w:szCs w:val="20"/>
                <w:shd w:val="clear" w:color="auto" w:fill="FFFFFF"/>
              </w:rPr>
              <w:t>schimbările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aduse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guvernanței</w:t>
            </w:r>
            <w:proofErr w:type="spellEnd"/>
            <w:r w:rsidRPr="00154895">
              <w:rPr>
                <w:rFonts w:ascii="Times New Roman" w:hAnsi="Times New Roman"/>
                <w:sz w:val="20"/>
                <w:szCs w:val="20"/>
                <w:shd w:val="clear" w:color="auto" w:fill="FFFFFF"/>
              </w:rPr>
              <w:t>.</w:t>
            </w:r>
          </w:p>
          <w:p w14:paraId="6B7B214D" w14:textId="77777777" w:rsidR="008F5636" w:rsidRPr="00154895" w:rsidRDefault="008F5636" w:rsidP="008F5636">
            <w:pPr>
              <w:pStyle w:val="ti-grseq-1"/>
              <w:shd w:val="clear" w:color="auto" w:fill="FFFFFF"/>
              <w:spacing w:before="0" w:beforeAutospacing="0" w:after="0" w:afterAutospacing="0"/>
              <w:jc w:val="center"/>
              <w:rPr>
                <w:b/>
                <w:bCs/>
                <w:color w:val="333333"/>
                <w:sz w:val="20"/>
                <w:szCs w:val="20"/>
                <w:lang w:val="ro-MD"/>
              </w:rPr>
            </w:pPr>
            <w:proofErr w:type="spellStart"/>
            <w:r w:rsidRPr="00154895">
              <w:rPr>
                <w:rStyle w:val="bold"/>
                <w:b/>
                <w:bCs/>
                <w:color w:val="333333"/>
                <w:sz w:val="20"/>
                <w:szCs w:val="20"/>
                <w:lang w:val="fr-FR"/>
              </w:rPr>
              <w:t>Partea</w:t>
            </w:r>
            <w:proofErr w:type="spellEnd"/>
            <w:r w:rsidRPr="00154895">
              <w:rPr>
                <w:rStyle w:val="bold"/>
                <w:b/>
                <w:bCs/>
                <w:color w:val="333333"/>
                <w:sz w:val="20"/>
                <w:szCs w:val="20"/>
                <w:lang w:val="fr-FR"/>
              </w:rPr>
              <w:t xml:space="preserve"> 2</w:t>
            </w:r>
          </w:p>
          <w:p w14:paraId="6DB972A4" w14:textId="77777777" w:rsidR="008F5636" w:rsidRPr="00154895" w:rsidRDefault="008F5636" w:rsidP="008F5636">
            <w:pPr>
              <w:pStyle w:val="ti-grseq-1"/>
              <w:shd w:val="clear" w:color="auto" w:fill="FFFFFF"/>
              <w:spacing w:before="0" w:beforeAutospacing="0" w:after="0" w:afterAutospacing="0"/>
              <w:jc w:val="center"/>
              <w:rPr>
                <w:b/>
                <w:bCs/>
                <w:color w:val="333333"/>
                <w:sz w:val="20"/>
                <w:szCs w:val="20"/>
                <w:lang w:val="fr-FR"/>
              </w:rPr>
            </w:pPr>
            <w:proofErr w:type="spellStart"/>
            <w:r w:rsidRPr="00154895">
              <w:rPr>
                <w:rStyle w:val="bold"/>
                <w:b/>
                <w:bCs/>
                <w:color w:val="333333"/>
                <w:sz w:val="20"/>
                <w:szCs w:val="20"/>
                <w:lang w:val="fr-FR"/>
              </w:rPr>
              <w:t>Raportarea</w:t>
            </w:r>
            <w:proofErr w:type="spellEnd"/>
            <w:r w:rsidRPr="00154895">
              <w:rPr>
                <w:rStyle w:val="bold"/>
                <w:b/>
                <w:bCs/>
                <w:color w:val="333333"/>
                <w:sz w:val="20"/>
                <w:szCs w:val="20"/>
                <w:lang w:val="fr-FR"/>
              </w:rPr>
              <w:t xml:space="preserve"> </w:t>
            </w:r>
            <w:proofErr w:type="spellStart"/>
            <w:r w:rsidRPr="00154895">
              <w:rPr>
                <w:rStyle w:val="bold"/>
                <w:b/>
                <w:bCs/>
                <w:color w:val="333333"/>
                <w:sz w:val="20"/>
                <w:szCs w:val="20"/>
                <w:lang w:val="fr-FR"/>
              </w:rPr>
              <w:t>cu</w:t>
            </w:r>
            <w:proofErr w:type="spellEnd"/>
            <w:r w:rsidRPr="00154895">
              <w:rPr>
                <w:rStyle w:val="bold"/>
                <w:b/>
                <w:bCs/>
                <w:color w:val="333333"/>
                <w:sz w:val="20"/>
                <w:szCs w:val="20"/>
                <w:lang w:val="fr-FR"/>
              </w:rPr>
              <w:t xml:space="preserve"> </w:t>
            </w:r>
            <w:proofErr w:type="spellStart"/>
            <w:r w:rsidRPr="00154895">
              <w:rPr>
                <w:rStyle w:val="bold"/>
                <w:b/>
                <w:bCs/>
                <w:color w:val="333333"/>
                <w:sz w:val="20"/>
                <w:szCs w:val="20"/>
                <w:lang w:val="fr-FR"/>
              </w:rPr>
              <w:t>privire</w:t>
            </w:r>
            <w:proofErr w:type="spellEnd"/>
            <w:r w:rsidRPr="00154895">
              <w:rPr>
                <w:rStyle w:val="bold"/>
                <w:b/>
                <w:bCs/>
                <w:color w:val="333333"/>
                <w:sz w:val="20"/>
                <w:szCs w:val="20"/>
                <w:lang w:val="fr-FR"/>
              </w:rPr>
              <w:t xml:space="preserve"> la </w:t>
            </w:r>
            <w:proofErr w:type="spellStart"/>
            <w:r w:rsidRPr="00154895">
              <w:rPr>
                <w:rStyle w:val="bold"/>
                <w:b/>
                <w:bCs/>
                <w:color w:val="333333"/>
                <w:sz w:val="20"/>
                <w:szCs w:val="20"/>
                <w:lang w:val="fr-FR"/>
              </w:rPr>
              <w:t>sprijinul</w:t>
            </w:r>
            <w:proofErr w:type="spellEnd"/>
            <w:r w:rsidRPr="00154895">
              <w:rPr>
                <w:rStyle w:val="bold"/>
                <w:b/>
                <w:bCs/>
                <w:color w:val="333333"/>
                <w:sz w:val="20"/>
                <w:szCs w:val="20"/>
                <w:lang w:val="fr-FR"/>
              </w:rPr>
              <w:t xml:space="preserve"> </w:t>
            </w:r>
            <w:proofErr w:type="spellStart"/>
            <w:r w:rsidRPr="00154895">
              <w:rPr>
                <w:rStyle w:val="bold"/>
                <w:b/>
                <w:bCs/>
                <w:color w:val="333333"/>
                <w:sz w:val="20"/>
                <w:szCs w:val="20"/>
                <w:lang w:val="fr-FR"/>
              </w:rPr>
              <w:t>acordat</w:t>
            </w:r>
            <w:proofErr w:type="spellEnd"/>
            <w:r w:rsidRPr="00154895">
              <w:rPr>
                <w:rStyle w:val="bold"/>
                <w:b/>
                <w:bCs/>
                <w:color w:val="333333"/>
                <w:sz w:val="20"/>
                <w:szCs w:val="20"/>
                <w:lang w:val="fr-FR"/>
              </w:rPr>
              <w:t xml:space="preserve"> </w:t>
            </w:r>
            <w:proofErr w:type="spellStart"/>
            <w:r w:rsidRPr="00154895">
              <w:rPr>
                <w:rStyle w:val="bold"/>
                <w:b/>
                <w:bCs/>
                <w:color w:val="333333"/>
                <w:sz w:val="20"/>
                <w:szCs w:val="20"/>
                <w:lang w:val="fr-FR"/>
              </w:rPr>
              <w:t>țărilor</w:t>
            </w:r>
            <w:proofErr w:type="spellEnd"/>
            <w:r w:rsidRPr="00154895">
              <w:rPr>
                <w:rStyle w:val="bold"/>
                <w:b/>
                <w:bCs/>
                <w:color w:val="333333"/>
                <w:sz w:val="20"/>
                <w:szCs w:val="20"/>
                <w:lang w:val="fr-FR"/>
              </w:rPr>
              <w:t xml:space="preserve"> în </w:t>
            </w:r>
            <w:proofErr w:type="spellStart"/>
            <w:r w:rsidRPr="00154895">
              <w:rPr>
                <w:rStyle w:val="bold"/>
                <w:b/>
                <w:bCs/>
                <w:color w:val="333333"/>
                <w:sz w:val="20"/>
                <w:szCs w:val="20"/>
                <w:lang w:val="fr-FR"/>
              </w:rPr>
              <w:t>curs</w:t>
            </w:r>
            <w:proofErr w:type="spellEnd"/>
            <w:r w:rsidRPr="00154895">
              <w:rPr>
                <w:rStyle w:val="bold"/>
                <w:b/>
                <w:bCs/>
                <w:color w:val="333333"/>
                <w:sz w:val="20"/>
                <w:szCs w:val="20"/>
                <w:lang w:val="fr-FR"/>
              </w:rPr>
              <w:t xml:space="preserve"> de </w:t>
            </w:r>
            <w:proofErr w:type="spellStart"/>
            <w:r w:rsidRPr="00154895">
              <w:rPr>
                <w:rStyle w:val="bold"/>
                <w:b/>
                <w:bCs/>
                <w:color w:val="333333"/>
                <w:sz w:val="20"/>
                <w:szCs w:val="20"/>
                <w:lang w:val="fr-FR"/>
              </w:rPr>
              <w:t>dezvoltare</w:t>
            </w:r>
            <w:proofErr w:type="spellEnd"/>
          </w:p>
          <w:p w14:paraId="7EA08D97" w14:textId="77777777" w:rsidR="008F5636" w:rsidRPr="00154895" w:rsidRDefault="008F5636" w:rsidP="008F5636">
            <w:pPr>
              <w:pStyle w:val="ColorfulList-Accent11"/>
              <w:spacing w:after="0" w:line="240" w:lineRule="auto"/>
              <w:ind w:left="0"/>
              <w:jc w:val="both"/>
              <w:rPr>
                <w:rFonts w:ascii="Times New Roman" w:hAnsi="Times New Roman"/>
                <w:sz w:val="20"/>
                <w:szCs w:val="20"/>
                <w:shd w:val="clear" w:color="auto" w:fill="FFFFFF"/>
              </w:rPr>
            </w:pPr>
            <w:proofErr w:type="spellStart"/>
            <w:r w:rsidRPr="00154895">
              <w:rPr>
                <w:rFonts w:ascii="Times New Roman" w:hAnsi="Times New Roman"/>
                <w:sz w:val="20"/>
                <w:szCs w:val="20"/>
                <w:shd w:val="clear" w:color="auto" w:fill="FFFFFF"/>
              </w:rPr>
              <w:t>Informații</w:t>
            </w:r>
            <w:proofErr w:type="spellEnd"/>
            <w:r w:rsidRPr="00154895">
              <w:rPr>
                <w:rFonts w:ascii="Times New Roman" w:hAnsi="Times New Roman"/>
                <w:sz w:val="20"/>
                <w:szCs w:val="20"/>
                <w:shd w:val="clear" w:color="auto" w:fill="FFFFFF"/>
              </w:rPr>
              <w:t xml:space="preserve"> care </w:t>
            </w:r>
            <w:proofErr w:type="spellStart"/>
            <w:r w:rsidRPr="00154895">
              <w:rPr>
                <w:rFonts w:ascii="Times New Roman" w:hAnsi="Times New Roman"/>
                <w:sz w:val="20"/>
                <w:szCs w:val="20"/>
                <w:shd w:val="clear" w:color="auto" w:fill="FFFFFF"/>
              </w:rPr>
              <w:t>trebuie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incluse</w:t>
            </w:r>
            <w:proofErr w:type="spellEnd"/>
            <w:r w:rsidRPr="00154895">
              <w:rPr>
                <w:rFonts w:ascii="Times New Roman" w:hAnsi="Times New Roman"/>
                <w:sz w:val="20"/>
                <w:szCs w:val="20"/>
                <w:shd w:val="clear" w:color="auto" w:fill="FFFFFF"/>
              </w:rPr>
              <w:t xml:space="preserve"> în </w:t>
            </w:r>
            <w:proofErr w:type="spellStart"/>
            <w:r w:rsidRPr="00154895">
              <w:rPr>
                <w:rFonts w:ascii="Times New Roman" w:hAnsi="Times New Roman"/>
                <w:sz w:val="20"/>
                <w:szCs w:val="20"/>
                <w:shd w:val="clear" w:color="auto" w:fill="FFFFFF"/>
              </w:rPr>
              <w:t>rapoartele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menționate</w:t>
            </w:r>
            <w:proofErr w:type="spellEnd"/>
            <w:r w:rsidRPr="00154895">
              <w:rPr>
                <w:rFonts w:ascii="Times New Roman" w:hAnsi="Times New Roman"/>
                <w:sz w:val="20"/>
                <w:szCs w:val="20"/>
                <w:shd w:val="clear" w:color="auto" w:fill="FFFFFF"/>
              </w:rPr>
              <w:t xml:space="preserve"> la </w:t>
            </w:r>
            <w:proofErr w:type="spellStart"/>
            <w:r w:rsidRPr="00154895">
              <w:rPr>
                <w:rFonts w:ascii="Times New Roman" w:hAnsi="Times New Roman"/>
                <w:sz w:val="20"/>
                <w:szCs w:val="20"/>
                <w:shd w:val="clear" w:color="auto" w:fill="FFFFFF"/>
              </w:rPr>
              <w:t>articolul</w:t>
            </w:r>
            <w:proofErr w:type="spellEnd"/>
            <w:r w:rsidRPr="00154895">
              <w:rPr>
                <w:rFonts w:ascii="Times New Roman" w:hAnsi="Times New Roman"/>
                <w:sz w:val="20"/>
                <w:szCs w:val="20"/>
                <w:shd w:val="clear" w:color="auto" w:fill="FFFFFF"/>
              </w:rPr>
              <w:t xml:space="preserve"> 19 </w:t>
            </w:r>
            <w:proofErr w:type="spellStart"/>
            <w:r w:rsidRPr="00154895">
              <w:rPr>
                <w:rFonts w:ascii="Times New Roman" w:hAnsi="Times New Roman"/>
                <w:sz w:val="20"/>
                <w:szCs w:val="20"/>
                <w:shd w:val="clear" w:color="auto" w:fill="FFFFFF"/>
              </w:rPr>
              <w:t>alineatul</w:t>
            </w:r>
            <w:proofErr w:type="spellEnd"/>
            <w:r w:rsidRPr="00154895">
              <w:rPr>
                <w:rFonts w:ascii="Times New Roman" w:hAnsi="Times New Roman"/>
                <w:sz w:val="20"/>
                <w:szCs w:val="20"/>
                <w:shd w:val="clear" w:color="auto" w:fill="FFFFFF"/>
              </w:rPr>
              <w:t xml:space="preserve"> (3):</w:t>
            </w:r>
          </w:p>
          <w:p w14:paraId="34CBEF1A" w14:textId="0EA07DAF" w:rsidR="008F5636" w:rsidRPr="00154895" w:rsidRDefault="008F5636" w:rsidP="000C5A3B">
            <w:pPr>
              <w:pStyle w:val="ColorfulList-Accent11"/>
              <w:numPr>
                <w:ilvl w:val="0"/>
                <w:numId w:val="68"/>
              </w:numPr>
              <w:spacing w:after="0" w:line="240" w:lineRule="auto"/>
              <w:ind w:left="357" w:hanging="357"/>
              <w:jc w:val="both"/>
              <w:rPr>
                <w:rFonts w:ascii="Times New Roman" w:hAnsi="Times New Roman"/>
                <w:sz w:val="20"/>
                <w:szCs w:val="20"/>
                <w:lang w:val="fr-FR"/>
              </w:rPr>
            </w:pPr>
            <w:proofErr w:type="spellStart"/>
            <w:proofErr w:type="gramStart"/>
            <w:r w:rsidRPr="00154895">
              <w:rPr>
                <w:rFonts w:ascii="Times New Roman" w:hAnsi="Times New Roman"/>
                <w:sz w:val="20"/>
                <w:szCs w:val="20"/>
                <w:shd w:val="clear" w:color="auto" w:fill="FFFFFF"/>
                <w:lang w:val="fr-FR"/>
              </w:rPr>
              <w:t>informații</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sprijinul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financiar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angajat</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acordat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țărilor</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curs</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dezvoltare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anul X-1, </w:t>
            </w:r>
            <w:proofErr w:type="spellStart"/>
            <w:r w:rsidRPr="00154895">
              <w:rPr>
                <w:rFonts w:ascii="Times New Roman" w:hAnsi="Times New Roman"/>
                <w:sz w:val="20"/>
                <w:szCs w:val="20"/>
                <w:shd w:val="clear" w:color="auto" w:fill="FFFFFF"/>
                <w:lang w:val="fr-FR"/>
              </w:rPr>
              <w:t>inclusiv</w:t>
            </w:r>
            <w:proofErr w:type="spellEnd"/>
            <w:r w:rsidRPr="00154895">
              <w:rPr>
                <w:rFonts w:ascii="Times New Roman" w:hAnsi="Times New Roman"/>
                <w:sz w:val="20"/>
                <w:szCs w:val="20"/>
                <w:shd w:val="clear" w:color="auto" w:fill="FFFFFF"/>
                <w:lang w:val="fr-FR"/>
              </w:rPr>
              <w:t>:</w:t>
            </w:r>
          </w:p>
          <w:p w14:paraId="3E024FC2" w14:textId="2880D098" w:rsidR="008F5636" w:rsidRPr="00154895" w:rsidRDefault="008F5636" w:rsidP="000C5A3B">
            <w:pPr>
              <w:pStyle w:val="ColorfulList-Accent11"/>
              <w:numPr>
                <w:ilvl w:val="0"/>
                <w:numId w:val="69"/>
              </w:numPr>
              <w:spacing w:after="0" w:line="240" w:lineRule="auto"/>
              <w:ind w:left="470" w:hanging="357"/>
              <w:jc w:val="both"/>
              <w:rPr>
                <w:rFonts w:ascii="Times New Roman" w:hAnsi="Times New Roman"/>
                <w:sz w:val="20"/>
                <w:szCs w:val="20"/>
                <w:lang w:val="fr-FR"/>
              </w:rPr>
            </w:pPr>
            <w:proofErr w:type="spellStart"/>
            <w:proofErr w:type="gramStart"/>
            <w:r w:rsidRPr="00154895">
              <w:rPr>
                <w:rFonts w:ascii="Times New Roman" w:hAnsi="Times New Roman"/>
                <w:sz w:val="20"/>
                <w:szCs w:val="20"/>
                <w:shd w:val="clear" w:color="auto" w:fill="FFFFFF"/>
                <w:lang w:val="fr-FR"/>
              </w:rPr>
              <w:t>informații</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cantitative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resursele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financiare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publice</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mobilizate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statul</w:t>
            </w:r>
            <w:proofErr w:type="spellEnd"/>
            <w:r w:rsidRPr="00154895">
              <w:rPr>
                <w:rFonts w:ascii="Times New Roman" w:hAnsi="Times New Roman"/>
                <w:sz w:val="20"/>
                <w:szCs w:val="20"/>
                <w:shd w:val="clear" w:color="auto" w:fill="FFFFFF"/>
                <w:lang w:val="fr-FR"/>
              </w:rPr>
              <w:t xml:space="preserve"> membru. </w:t>
            </w:r>
            <w:proofErr w:type="spellStart"/>
            <w:r w:rsidRPr="00154895">
              <w:rPr>
                <w:rFonts w:ascii="Times New Roman" w:hAnsi="Times New Roman"/>
                <w:sz w:val="20"/>
                <w:szCs w:val="20"/>
                <w:shd w:val="clear" w:color="auto" w:fill="FFFFFF"/>
                <w:lang w:val="fr-FR"/>
              </w:rPr>
              <w:t>Informațiile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fluxurile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financiare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trebuie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să</w:t>
            </w:r>
            <w:proofErr w:type="spellEnd"/>
            <w:r w:rsidRPr="00154895">
              <w:rPr>
                <w:rFonts w:ascii="Times New Roman" w:hAnsi="Times New Roman"/>
                <w:sz w:val="20"/>
                <w:szCs w:val="20"/>
                <w:shd w:val="clear" w:color="auto" w:fill="FFFFFF"/>
                <w:lang w:val="fr-FR"/>
              </w:rPr>
              <w:t xml:space="preserve"> fie </w:t>
            </w:r>
            <w:proofErr w:type="spellStart"/>
            <w:r w:rsidRPr="00154895">
              <w:rPr>
                <w:rFonts w:ascii="Times New Roman" w:hAnsi="Times New Roman"/>
                <w:sz w:val="20"/>
                <w:szCs w:val="20"/>
                <w:shd w:val="clear" w:color="auto" w:fill="FFFFFF"/>
                <w:lang w:val="fr-FR"/>
              </w:rPr>
              <w:t>bazate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așa-numiții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markeri</w:t>
            </w:r>
            <w:proofErr w:type="spellEnd"/>
            <w:r w:rsidRPr="00154895">
              <w:rPr>
                <w:rFonts w:ascii="Times New Roman" w:hAnsi="Times New Roman"/>
                <w:sz w:val="20"/>
                <w:szCs w:val="20"/>
                <w:shd w:val="clear" w:color="auto" w:fill="FFFFFF"/>
                <w:lang w:val="fr-FR"/>
              </w:rPr>
              <w:t xml:space="preserve"> Rio”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sprijinul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atenuarea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schimbărilor</w:t>
            </w:r>
            <w:proofErr w:type="spellEnd"/>
            <w:r w:rsidRPr="00154895">
              <w:rPr>
                <w:rFonts w:ascii="Times New Roman" w:hAnsi="Times New Roman"/>
                <w:sz w:val="20"/>
                <w:szCs w:val="20"/>
                <w:shd w:val="clear" w:color="auto" w:fill="FFFFFF"/>
                <w:lang w:val="fr-FR"/>
              </w:rPr>
              <w:t xml:space="preserve"> climatice și </w:t>
            </w:r>
            <w:proofErr w:type="spellStart"/>
            <w:r w:rsidRPr="00154895">
              <w:rPr>
                <w:rFonts w:ascii="Times New Roman" w:hAnsi="Times New Roman"/>
                <w:sz w:val="20"/>
                <w:szCs w:val="20"/>
                <w:shd w:val="clear" w:color="auto" w:fill="FFFFFF"/>
                <w:lang w:val="fr-FR"/>
              </w:rPr>
              <w:t>sprijinul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adaptarea</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schimbările</w:t>
            </w:r>
            <w:proofErr w:type="spellEnd"/>
            <w:r w:rsidRPr="00154895">
              <w:rPr>
                <w:rFonts w:ascii="Times New Roman" w:hAnsi="Times New Roman"/>
                <w:sz w:val="20"/>
                <w:szCs w:val="20"/>
                <w:shd w:val="clear" w:color="auto" w:fill="FFFFFF"/>
                <w:lang w:val="fr-FR"/>
              </w:rPr>
              <w:t xml:space="preserve"> climatice, </w:t>
            </w:r>
            <w:proofErr w:type="spellStart"/>
            <w:r w:rsidRPr="00154895">
              <w:rPr>
                <w:rFonts w:ascii="Times New Roman" w:hAnsi="Times New Roman"/>
                <w:sz w:val="20"/>
                <w:szCs w:val="20"/>
                <w:shd w:val="clear" w:color="auto" w:fill="FFFFFF"/>
                <w:lang w:val="fr-FR"/>
              </w:rPr>
              <w:t>precum</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alte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sisteme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urmărire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introduse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Comitetul</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asistență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dezvoltare</w:t>
            </w:r>
            <w:proofErr w:type="spellEnd"/>
            <w:r w:rsidRPr="00154895">
              <w:rPr>
                <w:rFonts w:ascii="Times New Roman" w:hAnsi="Times New Roman"/>
                <w:sz w:val="20"/>
                <w:szCs w:val="20"/>
                <w:shd w:val="clear" w:color="auto" w:fill="FFFFFF"/>
                <w:lang w:val="fr-FR"/>
              </w:rPr>
              <w:t xml:space="preserve"> al </w:t>
            </w:r>
            <w:proofErr w:type="gramStart"/>
            <w:r w:rsidRPr="00154895">
              <w:rPr>
                <w:rFonts w:ascii="Times New Roman" w:hAnsi="Times New Roman"/>
                <w:sz w:val="20"/>
                <w:szCs w:val="20"/>
                <w:shd w:val="clear" w:color="auto" w:fill="FFFFFF"/>
                <w:lang w:val="fr-FR"/>
              </w:rPr>
              <w:t>OCDE;</w:t>
            </w:r>
            <w:proofErr w:type="gramEnd"/>
          </w:p>
          <w:p w14:paraId="70CF1E06" w14:textId="2100AC39" w:rsidR="008F5636" w:rsidRPr="00154895" w:rsidRDefault="008F5636" w:rsidP="000C5A3B">
            <w:pPr>
              <w:pStyle w:val="ColorfulList-Accent11"/>
              <w:numPr>
                <w:ilvl w:val="0"/>
                <w:numId w:val="69"/>
              </w:numPr>
              <w:spacing w:after="0" w:line="240" w:lineRule="auto"/>
              <w:ind w:left="470" w:hanging="357"/>
              <w:jc w:val="both"/>
              <w:rPr>
                <w:rFonts w:ascii="Times New Roman" w:hAnsi="Times New Roman"/>
                <w:sz w:val="20"/>
                <w:szCs w:val="20"/>
                <w:lang w:val="fr-FR"/>
              </w:rPr>
            </w:pPr>
            <w:proofErr w:type="spellStart"/>
            <w:proofErr w:type="gramStart"/>
            <w:r w:rsidRPr="00154895">
              <w:rPr>
                <w:rFonts w:ascii="Times New Roman" w:hAnsi="Times New Roman"/>
                <w:sz w:val="20"/>
                <w:szCs w:val="20"/>
                <w:shd w:val="clear" w:color="auto" w:fill="FFFFFF"/>
                <w:lang w:val="fr-FR"/>
              </w:rPr>
              <w:t>informații</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metodologice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calitative</w:t>
            </w:r>
            <w:proofErr w:type="spellEnd"/>
            <w:r w:rsidRPr="00154895">
              <w:rPr>
                <w:rFonts w:ascii="Times New Roman" w:hAnsi="Times New Roman"/>
                <w:sz w:val="20"/>
                <w:szCs w:val="20"/>
                <w:shd w:val="clear" w:color="auto" w:fill="FFFFFF"/>
                <w:lang w:val="fr-FR"/>
              </w:rPr>
              <w:t xml:space="preserve"> care </w:t>
            </w:r>
            <w:proofErr w:type="spellStart"/>
            <w:r w:rsidRPr="00154895">
              <w:rPr>
                <w:rFonts w:ascii="Times New Roman" w:hAnsi="Times New Roman"/>
                <w:sz w:val="20"/>
                <w:szCs w:val="20"/>
                <w:shd w:val="clear" w:color="auto" w:fill="FFFFFF"/>
                <w:lang w:val="fr-FR"/>
              </w:rPr>
              <w:t>explică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metoda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folosită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a calcula </w:t>
            </w:r>
            <w:proofErr w:type="spellStart"/>
            <w:r w:rsidRPr="00154895">
              <w:rPr>
                <w:rFonts w:ascii="Times New Roman" w:hAnsi="Times New Roman"/>
                <w:sz w:val="20"/>
                <w:szCs w:val="20"/>
                <w:shd w:val="clear" w:color="auto" w:fill="FFFFFF"/>
                <w:lang w:val="fr-FR"/>
              </w:rPr>
              <w:t>informațiile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cantitative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inclusiv</w:t>
            </w:r>
            <w:proofErr w:type="spellEnd"/>
            <w:r w:rsidRPr="00154895">
              <w:rPr>
                <w:rFonts w:ascii="Times New Roman" w:hAnsi="Times New Roman"/>
                <w:sz w:val="20"/>
                <w:szCs w:val="20"/>
                <w:shd w:val="clear" w:color="auto" w:fill="FFFFFF"/>
                <w:lang w:val="fr-FR"/>
              </w:rPr>
              <w:t xml:space="preserve"> o </w:t>
            </w:r>
            <w:proofErr w:type="spellStart"/>
            <w:r w:rsidRPr="00154895">
              <w:rPr>
                <w:rFonts w:ascii="Times New Roman" w:hAnsi="Times New Roman"/>
                <w:sz w:val="20"/>
                <w:szCs w:val="20"/>
                <w:shd w:val="clear" w:color="auto" w:fill="FFFFFF"/>
                <w:lang w:val="fr-FR"/>
              </w:rPr>
              <w:t>explicație</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metodologiei</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cuantificare</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datelor</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acolo</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unde</w:t>
            </w:r>
            <w:proofErr w:type="spellEnd"/>
            <w:r w:rsidRPr="00154895">
              <w:rPr>
                <w:rFonts w:ascii="Times New Roman" w:hAnsi="Times New Roman"/>
                <w:sz w:val="20"/>
                <w:szCs w:val="20"/>
                <w:shd w:val="clear" w:color="auto" w:fill="FFFFFF"/>
                <w:lang w:val="fr-FR"/>
              </w:rPr>
              <w:t xml:space="preserve"> este </w:t>
            </w:r>
            <w:proofErr w:type="spellStart"/>
            <w:r w:rsidRPr="00154895">
              <w:rPr>
                <w:rFonts w:ascii="Times New Roman" w:hAnsi="Times New Roman"/>
                <w:sz w:val="20"/>
                <w:szCs w:val="20"/>
                <w:shd w:val="clear" w:color="auto" w:fill="FFFFFF"/>
                <w:lang w:val="fr-FR"/>
              </w:rPr>
              <w:t>cazul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alte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informații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definițiile</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metodologiile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folosite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determinarea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cifrelor</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special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informațiile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raportate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privire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fluxurile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financiare</w:t>
            </w:r>
            <w:proofErr w:type="spellEnd"/>
            <w:r w:rsidRPr="00154895">
              <w:rPr>
                <w:rFonts w:ascii="Times New Roman" w:hAnsi="Times New Roman"/>
                <w:sz w:val="20"/>
                <w:szCs w:val="20"/>
                <w:shd w:val="clear" w:color="auto" w:fill="FFFFFF"/>
                <w:lang w:val="fr-FR"/>
              </w:rPr>
              <w:t>;</w:t>
            </w:r>
          </w:p>
          <w:p w14:paraId="31DBBF21" w14:textId="2CD4937C" w:rsidR="008F5636" w:rsidRPr="00154895" w:rsidRDefault="008F5636" w:rsidP="000C5A3B">
            <w:pPr>
              <w:pStyle w:val="ColorfulList-Accent11"/>
              <w:numPr>
                <w:ilvl w:val="0"/>
                <w:numId w:val="69"/>
              </w:numPr>
              <w:spacing w:after="0" w:line="240" w:lineRule="auto"/>
              <w:ind w:left="470" w:hanging="357"/>
              <w:jc w:val="both"/>
              <w:rPr>
                <w:rFonts w:ascii="Times New Roman" w:hAnsi="Times New Roman"/>
                <w:sz w:val="20"/>
                <w:szCs w:val="20"/>
                <w:lang w:val="fr-FR"/>
              </w:rPr>
            </w:pPr>
            <w:proofErr w:type="spellStart"/>
            <w:r w:rsidRPr="00154895">
              <w:rPr>
                <w:rFonts w:ascii="Times New Roman" w:hAnsi="Times New Roman"/>
                <w:sz w:val="20"/>
                <w:szCs w:val="20"/>
                <w:shd w:val="clear" w:color="auto" w:fill="FFFFFF"/>
                <w:lang w:val="fr-FR"/>
              </w:rPr>
              <w:t>informațiile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disponibile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privire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activitățile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statelor</w:t>
            </w:r>
            <w:proofErr w:type="spellEnd"/>
            <w:r w:rsidRPr="00154895">
              <w:rPr>
                <w:rFonts w:ascii="Times New Roman" w:hAnsi="Times New Roman"/>
                <w:sz w:val="20"/>
                <w:szCs w:val="20"/>
                <w:shd w:val="clear" w:color="auto" w:fill="FFFFFF"/>
                <w:lang w:val="fr-FR"/>
              </w:rPr>
              <w:t xml:space="preserve"> membre </w:t>
            </w:r>
            <w:proofErr w:type="spellStart"/>
            <w:r w:rsidRPr="00154895">
              <w:rPr>
                <w:rFonts w:ascii="Times New Roman" w:hAnsi="Times New Roman"/>
                <w:sz w:val="20"/>
                <w:szCs w:val="20"/>
                <w:shd w:val="clear" w:color="auto" w:fill="FFFFFF"/>
                <w:lang w:val="fr-FR"/>
              </w:rPr>
              <w:t>legate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proiectele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transfer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tehnologic</w:t>
            </w:r>
            <w:proofErr w:type="spellEnd"/>
            <w:r w:rsidRPr="00154895">
              <w:rPr>
                <w:rFonts w:ascii="Times New Roman" w:hAnsi="Times New Roman"/>
                <w:sz w:val="20"/>
                <w:szCs w:val="20"/>
                <w:shd w:val="clear" w:color="auto" w:fill="FFFFFF"/>
                <w:lang w:val="fr-FR"/>
              </w:rPr>
              <w:t xml:space="preserve"> și de </w:t>
            </w:r>
            <w:proofErr w:type="spellStart"/>
            <w:r w:rsidRPr="00154895">
              <w:rPr>
                <w:rFonts w:ascii="Times New Roman" w:hAnsi="Times New Roman"/>
                <w:sz w:val="20"/>
                <w:szCs w:val="20"/>
                <w:shd w:val="clear" w:color="auto" w:fill="FFFFFF"/>
                <w:lang w:val="fr-FR"/>
              </w:rPr>
              <w:t>proiectele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consolidare</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capacităților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finanțate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fonduri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publice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țările</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curs</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dezvoltare</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temeiul</w:t>
            </w:r>
            <w:proofErr w:type="spellEnd"/>
            <w:r w:rsidRPr="00154895">
              <w:rPr>
                <w:rFonts w:ascii="Times New Roman" w:hAnsi="Times New Roman"/>
                <w:sz w:val="20"/>
                <w:szCs w:val="20"/>
                <w:shd w:val="clear" w:color="auto" w:fill="FFFFFF"/>
                <w:lang w:val="fr-FR"/>
              </w:rPr>
              <w:t xml:space="preserve"> CCONUSC, </w:t>
            </w:r>
            <w:proofErr w:type="spellStart"/>
            <w:r w:rsidRPr="00154895">
              <w:rPr>
                <w:rFonts w:ascii="Times New Roman" w:hAnsi="Times New Roman"/>
                <w:sz w:val="20"/>
                <w:szCs w:val="20"/>
                <w:shd w:val="clear" w:color="auto" w:fill="FFFFFF"/>
                <w:lang w:val="fr-FR"/>
              </w:rPr>
              <w:t>inclusiv</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dacă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tehnologia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transferată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proiectul</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consolidare</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capacităților</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fost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folosit</w:t>
            </w:r>
            <w:proofErr w:type="spellEnd"/>
            <w:r w:rsidRPr="00154895">
              <w:rPr>
                <w:rFonts w:ascii="Times New Roman" w:hAnsi="Times New Roman"/>
                <w:sz w:val="20"/>
                <w:szCs w:val="20"/>
                <w:shd w:val="clear" w:color="auto" w:fill="FFFFFF"/>
                <w:lang w:val="fr-FR"/>
              </w:rPr>
              <w:t xml:space="preserve">(ă)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atenuarea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efectelor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schimbărilor</w:t>
            </w:r>
            <w:proofErr w:type="spellEnd"/>
            <w:r w:rsidRPr="00154895">
              <w:rPr>
                <w:rFonts w:ascii="Times New Roman" w:hAnsi="Times New Roman"/>
                <w:sz w:val="20"/>
                <w:szCs w:val="20"/>
                <w:shd w:val="clear" w:color="auto" w:fill="FFFFFF"/>
                <w:lang w:val="fr-FR"/>
              </w:rPr>
              <w:t xml:space="preserve"> climatice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lastRenderedPageBreak/>
              <w:t>adaptarea</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acestea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țara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beneficiară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cuantumul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sprijinului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acordat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dacă</w:t>
            </w:r>
            <w:proofErr w:type="spellEnd"/>
            <w:r w:rsidRPr="00154895">
              <w:rPr>
                <w:rFonts w:ascii="Times New Roman" w:hAnsi="Times New Roman"/>
                <w:sz w:val="20"/>
                <w:szCs w:val="20"/>
                <w:shd w:val="clear" w:color="auto" w:fill="FFFFFF"/>
                <w:lang w:val="fr-FR"/>
              </w:rPr>
              <w:t xml:space="preserve"> este </w:t>
            </w:r>
            <w:proofErr w:type="spellStart"/>
            <w:r w:rsidRPr="00154895">
              <w:rPr>
                <w:rFonts w:ascii="Times New Roman" w:hAnsi="Times New Roman"/>
                <w:sz w:val="20"/>
                <w:szCs w:val="20"/>
                <w:shd w:val="clear" w:color="auto" w:fill="FFFFFF"/>
                <w:lang w:val="fr-FR"/>
              </w:rPr>
              <w:t>posibil</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tipul</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tehnologie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transferată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proiect</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consolidare</w:t>
            </w:r>
            <w:proofErr w:type="spellEnd"/>
            <w:r w:rsidRPr="00154895">
              <w:rPr>
                <w:rFonts w:ascii="Times New Roman" w:hAnsi="Times New Roman"/>
                <w:sz w:val="20"/>
                <w:szCs w:val="20"/>
                <w:shd w:val="clear" w:color="auto" w:fill="FFFFFF"/>
                <w:lang w:val="fr-FR"/>
              </w:rPr>
              <w:t xml:space="preserve"> a </w:t>
            </w:r>
            <w:proofErr w:type="spellStart"/>
            <w:r w:rsidRPr="00154895">
              <w:rPr>
                <w:rFonts w:ascii="Times New Roman" w:hAnsi="Times New Roman"/>
                <w:sz w:val="20"/>
                <w:szCs w:val="20"/>
                <w:shd w:val="clear" w:color="auto" w:fill="FFFFFF"/>
                <w:lang w:val="fr-FR"/>
              </w:rPr>
              <w:t>capacităților</w:t>
            </w:r>
            <w:proofErr w:type="spellEnd"/>
            <w:r w:rsidRPr="00154895">
              <w:rPr>
                <w:rFonts w:ascii="Times New Roman" w:hAnsi="Times New Roman"/>
                <w:sz w:val="20"/>
                <w:szCs w:val="20"/>
                <w:shd w:val="clear" w:color="auto" w:fill="FFFFFF"/>
                <w:lang w:val="fr-FR"/>
              </w:rPr>
              <w:t>;</w:t>
            </w:r>
          </w:p>
          <w:p w14:paraId="3BC56624" w14:textId="77777777" w:rsidR="008F5636" w:rsidRPr="00154895" w:rsidRDefault="008F5636" w:rsidP="000C5A3B">
            <w:pPr>
              <w:pStyle w:val="ColorfulList-Accent11"/>
              <w:numPr>
                <w:ilvl w:val="0"/>
                <w:numId w:val="68"/>
              </w:numPr>
              <w:spacing w:after="0" w:line="240" w:lineRule="auto"/>
              <w:ind w:left="357" w:hanging="357"/>
              <w:jc w:val="both"/>
              <w:rPr>
                <w:rFonts w:ascii="Times New Roman" w:hAnsi="Times New Roman"/>
                <w:sz w:val="20"/>
                <w:szCs w:val="20"/>
                <w:lang w:val="fr-FR"/>
              </w:rPr>
            </w:pPr>
            <w:proofErr w:type="spellStart"/>
            <w:r w:rsidRPr="00154895">
              <w:rPr>
                <w:rFonts w:ascii="Times New Roman" w:hAnsi="Times New Roman"/>
                <w:sz w:val="20"/>
                <w:szCs w:val="20"/>
                <w:lang w:val="fr-FR"/>
              </w:rPr>
              <w:t>informații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disponibile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pentru</w:t>
            </w:r>
            <w:proofErr w:type="spellEnd"/>
            <w:r w:rsidRPr="00154895">
              <w:rPr>
                <w:rFonts w:ascii="Times New Roman" w:hAnsi="Times New Roman"/>
                <w:sz w:val="20"/>
                <w:szCs w:val="20"/>
                <w:lang w:val="fr-FR"/>
              </w:rPr>
              <w:t xml:space="preserve"> anul X și </w:t>
            </w:r>
            <w:proofErr w:type="spellStart"/>
            <w:r w:rsidRPr="00154895">
              <w:rPr>
                <w:rFonts w:ascii="Times New Roman" w:hAnsi="Times New Roman"/>
                <w:sz w:val="20"/>
                <w:szCs w:val="20"/>
                <w:lang w:val="fr-FR"/>
              </w:rPr>
              <w:t>pentru</w:t>
            </w:r>
            <w:proofErr w:type="spellEnd"/>
            <w:r w:rsidRPr="00154895">
              <w:rPr>
                <w:rFonts w:ascii="Times New Roman" w:hAnsi="Times New Roman"/>
                <w:sz w:val="20"/>
                <w:szCs w:val="20"/>
                <w:lang w:val="fr-FR"/>
              </w:rPr>
              <w:t xml:space="preserve"> anii </w:t>
            </w:r>
            <w:proofErr w:type="spellStart"/>
            <w:r w:rsidRPr="00154895">
              <w:rPr>
                <w:rFonts w:ascii="Times New Roman" w:hAnsi="Times New Roman"/>
                <w:sz w:val="20"/>
                <w:szCs w:val="20"/>
                <w:lang w:val="fr-FR"/>
              </w:rPr>
              <w:t>următorii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cu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privire</w:t>
            </w:r>
            <w:proofErr w:type="spellEnd"/>
            <w:r w:rsidRPr="00154895">
              <w:rPr>
                <w:rFonts w:ascii="Times New Roman" w:hAnsi="Times New Roman"/>
                <w:sz w:val="20"/>
                <w:szCs w:val="20"/>
                <w:lang w:val="fr-FR"/>
              </w:rPr>
              <w:t xml:space="preserve"> la </w:t>
            </w:r>
            <w:proofErr w:type="spellStart"/>
            <w:r w:rsidRPr="00154895">
              <w:rPr>
                <w:rFonts w:ascii="Times New Roman" w:hAnsi="Times New Roman"/>
                <w:sz w:val="20"/>
                <w:szCs w:val="20"/>
                <w:lang w:val="fr-FR"/>
              </w:rPr>
              <w:t>activitățile</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furnizare</w:t>
            </w:r>
            <w:proofErr w:type="spellEnd"/>
            <w:r w:rsidRPr="00154895">
              <w:rPr>
                <w:rFonts w:ascii="Times New Roman" w:hAnsi="Times New Roman"/>
                <w:sz w:val="20"/>
                <w:szCs w:val="20"/>
                <w:lang w:val="fr-FR"/>
              </w:rPr>
              <w:t xml:space="preserve"> a </w:t>
            </w:r>
            <w:proofErr w:type="spellStart"/>
            <w:r w:rsidRPr="00154895">
              <w:rPr>
                <w:rFonts w:ascii="Times New Roman" w:hAnsi="Times New Roman"/>
                <w:sz w:val="20"/>
                <w:szCs w:val="20"/>
                <w:lang w:val="fr-FR"/>
              </w:rPr>
              <w:t>sprijinului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planificate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inclusiv</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informații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cu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privire</w:t>
            </w:r>
            <w:proofErr w:type="spellEnd"/>
            <w:r w:rsidRPr="00154895">
              <w:rPr>
                <w:rFonts w:ascii="Times New Roman" w:hAnsi="Times New Roman"/>
                <w:sz w:val="20"/>
                <w:szCs w:val="20"/>
                <w:lang w:val="fr-FR"/>
              </w:rPr>
              <w:t xml:space="preserve"> la </w:t>
            </w:r>
            <w:proofErr w:type="spellStart"/>
            <w:r w:rsidRPr="00154895">
              <w:rPr>
                <w:rFonts w:ascii="Times New Roman" w:hAnsi="Times New Roman"/>
                <w:sz w:val="20"/>
                <w:szCs w:val="20"/>
                <w:lang w:val="fr-FR"/>
              </w:rPr>
              <w:t>activitățile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planificate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legate</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proiecte</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transfer</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tehnologic</w:t>
            </w:r>
            <w:proofErr w:type="spellEnd"/>
            <w:r w:rsidRPr="00154895">
              <w:rPr>
                <w:rFonts w:ascii="Times New Roman" w:hAnsi="Times New Roman"/>
                <w:sz w:val="20"/>
                <w:szCs w:val="20"/>
                <w:lang w:val="fr-FR"/>
              </w:rPr>
              <w:t xml:space="preserve"> și de </w:t>
            </w:r>
            <w:proofErr w:type="spellStart"/>
            <w:r w:rsidRPr="00154895">
              <w:rPr>
                <w:rFonts w:ascii="Times New Roman" w:hAnsi="Times New Roman"/>
                <w:sz w:val="20"/>
                <w:szCs w:val="20"/>
                <w:lang w:val="fr-FR"/>
              </w:rPr>
              <w:t>proiecte</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consolidare</w:t>
            </w:r>
            <w:proofErr w:type="spellEnd"/>
            <w:r w:rsidRPr="00154895">
              <w:rPr>
                <w:rFonts w:ascii="Times New Roman" w:hAnsi="Times New Roman"/>
                <w:sz w:val="20"/>
                <w:szCs w:val="20"/>
                <w:lang w:val="fr-FR"/>
              </w:rPr>
              <w:t xml:space="preserve"> a </w:t>
            </w:r>
            <w:proofErr w:type="spellStart"/>
            <w:r w:rsidRPr="00154895">
              <w:rPr>
                <w:rFonts w:ascii="Times New Roman" w:hAnsi="Times New Roman"/>
                <w:sz w:val="20"/>
                <w:szCs w:val="20"/>
                <w:lang w:val="fr-FR"/>
              </w:rPr>
              <w:t>capacităților</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finanțate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din</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fonduri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publice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pentru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țările</w:t>
            </w:r>
            <w:proofErr w:type="spellEnd"/>
            <w:r w:rsidRPr="00154895">
              <w:rPr>
                <w:rFonts w:ascii="Times New Roman" w:hAnsi="Times New Roman"/>
                <w:sz w:val="20"/>
                <w:szCs w:val="20"/>
                <w:lang w:val="fr-FR"/>
              </w:rPr>
              <w:t xml:space="preserve"> în </w:t>
            </w:r>
            <w:proofErr w:type="spellStart"/>
            <w:r w:rsidRPr="00154895">
              <w:rPr>
                <w:rFonts w:ascii="Times New Roman" w:hAnsi="Times New Roman"/>
                <w:sz w:val="20"/>
                <w:szCs w:val="20"/>
                <w:lang w:val="fr-FR"/>
              </w:rPr>
              <w:t>curs</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dezvoltare</w:t>
            </w:r>
            <w:proofErr w:type="spellEnd"/>
            <w:r w:rsidRPr="00154895">
              <w:rPr>
                <w:rFonts w:ascii="Times New Roman" w:hAnsi="Times New Roman"/>
                <w:sz w:val="20"/>
                <w:szCs w:val="20"/>
                <w:lang w:val="fr-FR"/>
              </w:rPr>
              <w:t xml:space="preserve">, în </w:t>
            </w:r>
            <w:proofErr w:type="spellStart"/>
            <w:r w:rsidRPr="00154895">
              <w:rPr>
                <w:rFonts w:ascii="Times New Roman" w:hAnsi="Times New Roman"/>
                <w:sz w:val="20"/>
                <w:szCs w:val="20"/>
                <w:lang w:val="fr-FR"/>
              </w:rPr>
              <w:t>temeiul</w:t>
            </w:r>
            <w:proofErr w:type="spellEnd"/>
            <w:r w:rsidRPr="00154895">
              <w:rPr>
                <w:rFonts w:ascii="Times New Roman" w:hAnsi="Times New Roman"/>
                <w:sz w:val="20"/>
                <w:szCs w:val="20"/>
                <w:lang w:val="fr-FR"/>
              </w:rPr>
              <w:t xml:space="preserve"> CCONUSC, și </w:t>
            </w:r>
            <w:proofErr w:type="spellStart"/>
            <w:r w:rsidRPr="00154895">
              <w:rPr>
                <w:rFonts w:ascii="Times New Roman" w:hAnsi="Times New Roman"/>
                <w:sz w:val="20"/>
                <w:szCs w:val="20"/>
                <w:lang w:val="fr-FR"/>
              </w:rPr>
              <w:t>cu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privire</w:t>
            </w:r>
            <w:proofErr w:type="spellEnd"/>
            <w:r w:rsidRPr="00154895">
              <w:rPr>
                <w:rFonts w:ascii="Times New Roman" w:hAnsi="Times New Roman"/>
                <w:sz w:val="20"/>
                <w:szCs w:val="20"/>
                <w:lang w:val="fr-FR"/>
              </w:rPr>
              <w:t xml:space="preserve"> la </w:t>
            </w:r>
            <w:proofErr w:type="spellStart"/>
            <w:r w:rsidRPr="00154895">
              <w:rPr>
                <w:rFonts w:ascii="Times New Roman" w:hAnsi="Times New Roman"/>
                <w:sz w:val="20"/>
                <w:szCs w:val="20"/>
                <w:lang w:val="fr-FR"/>
              </w:rPr>
              <w:t>tehnologiile</w:t>
            </w:r>
            <w:proofErr w:type="spellEnd"/>
            <w:r w:rsidRPr="00154895">
              <w:rPr>
                <w:rFonts w:ascii="Times New Roman" w:hAnsi="Times New Roman"/>
                <w:sz w:val="20"/>
                <w:szCs w:val="20"/>
                <w:lang w:val="fr-FR"/>
              </w:rPr>
              <w:t xml:space="preserve"> care </w:t>
            </w:r>
            <w:proofErr w:type="spellStart"/>
            <w:r w:rsidRPr="00154895">
              <w:rPr>
                <w:rFonts w:ascii="Times New Roman" w:hAnsi="Times New Roman"/>
                <w:sz w:val="20"/>
                <w:szCs w:val="20"/>
                <w:lang w:val="fr-FR"/>
              </w:rPr>
              <w:t>urmează</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să</w:t>
            </w:r>
            <w:proofErr w:type="spellEnd"/>
            <w:r w:rsidRPr="00154895">
              <w:rPr>
                <w:rFonts w:ascii="Times New Roman" w:hAnsi="Times New Roman"/>
                <w:sz w:val="20"/>
                <w:szCs w:val="20"/>
                <w:lang w:val="fr-FR"/>
              </w:rPr>
              <w:t xml:space="preserve"> fie </w:t>
            </w:r>
            <w:proofErr w:type="spellStart"/>
            <w:r w:rsidRPr="00154895">
              <w:rPr>
                <w:rFonts w:ascii="Times New Roman" w:hAnsi="Times New Roman"/>
                <w:sz w:val="20"/>
                <w:szCs w:val="20"/>
                <w:lang w:val="fr-FR"/>
              </w:rPr>
              <w:t>transferate</w:t>
            </w:r>
            <w:proofErr w:type="spellEnd"/>
            <w:r w:rsidRPr="00154895">
              <w:rPr>
                <w:rFonts w:ascii="Times New Roman" w:hAnsi="Times New Roman"/>
                <w:sz w:val="20"/>
                <w:szCs w:val="20"/>
                <w:lang w:val="fr-FR"/>
              </w:rPr>
              <w:t xml:space="preserve"> și la </w:t>
            </w:r>
            <w:proofErr w:type="spellStart"/>
            <w:r w:rsidRPr="00154895">
              <w:rPr>
                <w:rFonts w:ascii="Times New Roman" w:hAnsi="Times New Roman"/>
                <w:sz w:val="20"/>
                <w:szCs w:val="20"/>
                <w:lang w:val="fr-FR"/>
              </w:rPr>
              <w:t>proiectele</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consolidare</w:t>
            </w:r>
            <w:proofErr w:type="spellEnd"/>
            <w:r w:rsidRPr="00154895">
              <w:rPr>
                <w:rFonts w:ascii="Times New Roman" w:hAnsi="Times New Roman"/>
                <w:sz w:val="20"/>
                <w:szCs w:val="20"/>
                <w:lang w:val="fr-FR"/>
              </w:rPr>
              <w:t xml:space="preserve"> a </w:t>
            </w:r>
            <w:proofErr w:type="spellStart"/>
            <w:r w:rsidRPr="00154895">
              <w:rPr>
                <w:rFonts w:ascii="Times New Roman" w:hAnsi="Times New Roman"/>
                <w:sz w:val="20"/>
                <w:szCs w:val="20"/>
                <w:lang w:val="fr-FR"/>
              </w:rPr>
              <w:t>capacităților</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inclusiv</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dacă</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tehnologia</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transferată</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sau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proiectul</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consolidare</w:t>
            </w:r>
            <w:proofErr w:type="spellEnd"/>
            <w:r w:rsidRPr="00154895">
              <w:rPr>
                <w:rFonts w:ascii="Times New Roman" w:hAnsi="Times New Roman"/>
                <w:sz w:val="20"/>
                <w:szCs w:val="20"/>
                <w:lang w:val="fr-FR"/>
              </w:rPr>
              <w:t xml:space="preserve"> a </w:t>
            </w:r>
            <w:proofErr w:type="spellStart"/>
            <w:r w:rsidRPr="00154895">
              <w:rPr>
                <w:rFonts w:ascii="Times New Roman" w:hAnsi="Times New Roman"/>
                <w:sz w:val="20"/>
                <w:szCs w:val="20"/>
                <w:lang w:val="fr-FR"/>
              </w:rPr>
              <w:t>capacităților</w:t>
            </w:r>
            <w:proofErr w:type="spellEnd"/>
            <w:r w:rsidRPr="00154895">
              <w:rPr>
                <w:rFonts w:ascii="Times New Roman" w:hAnsi="Times New Roman"/>
                <w:sz w:val="20"/>
                <w:szCs w:val="20"/>
                <w:lang w:val="fr-FR"/>
              </w:rPr>
              <w:t xml:space="preserve"> este </w:t>
            </w:r>
            <w:proofErr w:type="spellStart"/>
            <w:r w:rsidRPr="00154895">
              <w:rPr>
                <w:rFonts w:ascii="Times New Roman" w:hAnsi="Times New Roman"/>
                <w:sz w:val="20"/>
                <w:szCs w:val="20"/>
                <w:lang w:val="fr-FR"/>
              </w:rPr>
              <w:t>destinat</w:t>
            </w:r>
            <w:proofErr w:type="spellEnd"/>
            <w:r w:rsidRPr="00154895">
              <w:rPr>
                <w:rFonts w:ascii="Times New Roman" w:hAnsi="Times New Roman"/>
                <w:sz w:val="20"/>
                <w:szCs w:val="20"/>
                <w:lang w:val="fr-FR"/>
              </w:rPr>
              <w:t xml:space="preserve">(ă) </w:t>
            </w:r>
            <w:proofErr w:type="spellStart"/>
            <w:r w:rsidRPr="00154895">
              <w:rPr>
                <w:rFonts w:ascii="Times New Roman" w:hAnsi="Times New Roman"/>
                <w:sz w:val="20"/>
                <w:szCs w:val="20"/>
                <w:lang w:val="fr-FR"/>
              </w:rPr>
              <w:t>pentru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atenuarea</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efectelor</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schimbărilor</w:t>
            </w:r>
            <w:proofErr w:type="spellEnd"/>
            <w:r w:rsidRPr="00154895">
              <w:rPr>
                <w:rFonts w:ascii="Times New Roman" w:hAnsi="Times New Roman"/>
                <w:sz w:val="20"/>
                <w:szCs w:val="20"/>
                <w:lang w:val="fr-FR"/>
              </w:rPr>
              <w:t xml:space="preserve"> climatice </w:t>
            </w:r>
            <w:proofErr w:type="spellStart"/>
            <w:r w:rsidRPr="00154895">
              <w:rPr>
                <w:rFonts w:ascii="Times New Roman" w:hAnsi="Times New Roman"/>
                <w:sz w:val="20"/>
                <w:szCs w:val="20"/>
                <w:lang w:val="fr-FR"/>
              </w:rPr>
              <w:t>sau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pentru</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adaptarea</w:t>
            </w:r>
            <w:proofErr w:type="spellEnd"/>
            <w:r w:rsidRPr="00154895">
              <w:rPr>
                <w:rFonts w:ascii="Times New Roman" w:hAnsi="Times New Roman"/>
                <w:sz w:val="20"/>
                <w:szCs w:val="20"/>
                <w:lang w:val="fr-FR"/>
              </w:rPr>
              <w:t xml:space="preserve"> la </w:t>
            </w:r>
            <w:proofErr w:type="spellStart"/>
            <w:r w:rsidRPr="00154895">
              <w:rPr>
                <w:rFonts w:ascii="Times New Roman" w:hAnsi="Times New Roman"/>
                <w:sz w:val="20"/>
                <w:szCs w:val="20"/>
                <w:lang w:val="fr-FR"/>
              </w:rPr>
              <w:t>acestea</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țara</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beneficiară</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cuantumul</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sprijinului</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acordat</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dacă</w:t>
            </w:r>
            <w:proofErr w:type="spellEnd"/>
            <w:r w:rsidRPr="00154895">
              <w:rPr>
                <w:rFonts w:ascii="Times New Roman" w:hAnsi="Times New Roman"/>
                <w:sz w:val="20"/>
                <w:szCs w:val="20"/>
                <w:lang w:val="fr-FR"/>
              </w:rPr>
              <w:t xml:space="preserve"> este </w:t>
            </w:r>
            <w:proofErr w:type="spellStart"/>
            <w:r w:rsidRPr="00154895">
              <w:rPr>
                <w:rFonts w:ascii="Times New Roman" w:hAnsi="Times New Roman"/>
                <w:sz w:val="20"/>
                <w:szCs w:val="20"/>
                <w:lang w:val="fr-FR"/>
              </w:rPr>
              <w:t>posibil</w:t>
            </w:r>
            <w:proofErr w:type="spellEnd"/>
            <w:r w:rsidRPr="00154895">
              <w:rPr>
                <w:rFonts w:ascii="Times New Roman" w:hAnsi="Times New Roman"/>
                <w:sz w:val="20"/>
                <w:szCs w:val="20"/>
                <w:lang w:val="fr-FR"/>
              </w:rPr>
              <w:t xml:space="preserve">, și </w:t>
            </w:r>
            <w:proofErr w:type="spellStart"/>
            <w:r w:rsidRPr="00154895">
              <w:rPr>
                <w:rFonts w:ascii="Times New Roman" w:hAnsi="Times New Roman"/>
                <w:sz w:val="20"/>
                <w:szCs w:val="20"/>
                <w:lang w:val="fr-FR"/>
              </w:rPr>
              <w:t>tipul</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tehnologie</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transferată</w:t>
            </w:r>
            <w:proofErr w:type="spellEnd"/>
            <w:r w:rsidRPr="00154895">
              <w:rPr>
                <w:rFonts w:ascii="Times New Roman" w:hAnsi="Times New Roman"/>
                <w:sz w:val="20"/>
                <w:szCs w:val="20"/>
                <w:lang w:val="fr-FR"/>
              </w:rPr>
              <w:t xml:space="preserve"> </w:t>
            </w:r>
            <w:proofErr w:type="spellStart"/>
            <w:r w:rsidRPr="00154895">
              <w:rPr>
                <w:rFonts w:ascii="Times New Roman" w:hAnsi="Times New Roman"/>
                <w:sz w:val="20"/>
                <w:szCs w:val="20"/>
                <w:lang w:val="fr-FR"/>
              </w:rPr>
              <w:t>sau</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proiect</w:t>
            </w:r>
            <w:proofErr w:type="spellEnd"/>
            <w:r w:rsidRPr="00154895">
              <w:rPr>
                <w:rFonts w:ascii="Times New Roman" w:hAnsi="Times New Roman"/>
                <w:sz w:val="20"/>
                <w:szCs w:val="20"/>
                <w:lang w:val="fr-FR"/>
              </w:rPr>
              <w:t xml:space="preserve"> de </w:t>
            </w:r>
            <w:proofErr w:type="spellStart"/>
            <w:r w:rsidRPr="00154895">
              <w:rPr>
                <w:rFonts w:ascii="Times New Roman" w:hAnsi="Times New Roman"/>
                <w:sz w:val="20"/>
                <w:szCs w:val="20"/>
                <w:lang w:val="fr-FR"/>
              </w:rPr>
              <w:t>consolidare</w:t>
            </w:r>
            <w:proofErr w:type="spellEnd"/>
            <w:r w:rsidRPr="00154895">
              <w:rPr>
                <w:rFonts w:ascii="Times New Roman" w:hAnsi="Times New Roman"/>
                <w:sz w:val="20"/>
                <w:szCs w:val="20"/>
                <w:lang w:val="fr-FR"/>
              </w:rPr>
              <w:t xml:space="preserve"> a </w:t>
            </w:r>
            <w:proofErr w:type="spellStart"/>
            <w:r w:rsidRPr="00154895">
              <w:rPr>
                <w:rFonts w:ascii="Times New Roman" w:hAnsi="Times New Roman"/>
                <w:sz w:val="20"/>
                <w:szCs w:val="20"/>
                <w:lang w:val="fr-FR"/>
              </w:rPr>
              <w:t>capacităților</w:t>
            </w:r>
            <w:proofErr w:type="spellEnd"/>
            <w:r w:rsidRPr="00154895">
              <w:rPr>
                <w:rFonts w:ascii="Times New Roman" w:hAnsi="Times New Roman"/>
                <w:sz w:val="20"/>
                <w:szCs w:val="20"/>
                <w:lang w:val="fr-FR"/>
              </w:rPr>
              <w:t>.</w:t>
            </w:r>
          </w:p>
          <w:p w14:paraId="3D229D85" w14:textId="77777777" w:rsidR="008F5636" w:rsidRPr="00154895" w:rsidRDefault="008F5636" w:rsidP="008F5636">
            <w:pPr>
              <w:pStyle w:val="ti-grseq-1"/>
              <w:shd w:val="clear" w:color="auto" w:fill="FFFFFF"/>
              <w:spacing w:before="0" w:beforeAutospacing="0" w:after="0" w:afterAutospacing="0"/>
              <w:jc w:val="both"/>
              <w:rPr>
                <w:b/>
                <w:bCs/>
                <w:color w:val="333333"/>
                <w:sz w:val="20"/>
                <w:szCs w:val="20"/>
                <w:lang w:val="ro-MD"/>
              </w:rPr>
            </w:pPr>
            <w:proofErr w:type="spellStart"/>
            <w:r w:rsidRPr="00154895">
              <w:rPr>
                <w:rStyle w:val="bold"/>
                <w:b/>
                <w:bCs/>
                <w:color w:val="333333"/>
                <w:sz w:val="20"/>
                <w:szCs w:val="20"/>
                <w:lang w:val="fr-FR"/>
              </w:rPr>
              <w:t>Partea</w:t>
            </w:r>
            <w:proofErr w:type="spellEnd"/>
            <w:r w:rsidRPr="00154895">
              <w:rPr>
                <w:rStyle w:val="bold"/>
                <w:b/>
                <w:bCs/>
                <w:color w:val="333333"/>
                <w:sz w:val="20"/>
                <w:szCs w:val="20"/>
                <w:lang w:val="fr-FR"/>
              </w:rPr>
              <w:t xml:space="preserve"> 3</w:t>
            </w:r>
          </w:p>
          <w:p w14:paraId="7401DF17" w14:textId="77777777" w:rsidR="008F5636" w:rsidRPr="00154895" w:rsidRDefault="008F5636" w:rsidP="008F5636">
            <w:pPr>
              <w:pStyle w:val="ti-grseq-1"/>
              <w:shd w:val="clear" w:color="auto" w:fill="FFFFFF"/>
              <w:spacing w:before="0" w:beforeAutospacing="0" w:after="0" w:afterAutospacing="0"/>
              <w:jc w:val="both"/>
              <w:rPr>
                <w:b/>
                <w:bCs/>
                <w:sz w:val="20"/>
                <w:szCs w:val="20"/>
                <w:lang w:val="fr-FR"/>
              </w:rPr>
            </w:pPr>
            <w:proofErr w:type="spellStart"/>
            <w:r w:rsidRPr="00154895">
              <w:rPr>
                <w:rStyle w:val="bold"/>
                <w:b/>
                <w:bCs/>
                <w:sz w:val="20"/>
                <w:szCs w:val="20"/>
                <w:lang w:val="fr-FR"/>
              </w:rPr>
              <w:t>Raportarea</w:t>
            </w:r>
            <w:proofErr w:type="spellEnd"/>
            <w:r w:rsidRPr="00154895">
              <w:rPr>
                <w:rStyle w:val="bold"/>
                <w:b/>
                <w:bCs/>
                <w:sz w:val="20"/>
                <w:szCs w:val="20"/>
                <w:lang w:val="fr-FR"/>
              </w:rPr>
              <w:t xml:space="preserve"> </w:t>
            </w:r>
            <w:proofErr w:type="spellStart"/>
            <w:r w:rsidRPr="00154895">
              <w:rPr>
                <w:rStyle w:val="bold"/>
                <w:b/>
                <w:bCs/>
                <w:sz w:val="20"/>
                <w:szCs w:val="20"/>
                <w:lang w:val="fr-FR"/>
              </w:rPr>
              <w:t>cu</w:t>
            </w:r>
            <w:proofErr w:type="spellEnd"/>
            <w:r w:rsidRPr="00154895">
              <w:rPr>
                <w:rStyle w:val="bold"/>
                <w:b/>
                <w:bCs/>
                <w:sz w:val="20"/>
                <w:szCs w:val="20"/>
                <w:lang w:val="fr-FR"/>
              </w:rPr>
              <w:t xml:space="preserve"> </w:t>
            </w:r>
            <w:proofErr w:type="spellStart"/>
            <w:r w:rsidRPr="00154895">
              <w:rPr>
                <w:rStyle w:val="bold"/>
                <w:b/>
                <w:bCs/>
                <w:sz w:val="20"/>
                <w:szCs w:val="20"/>
                <w:lang w:val="fr-FR"/>
              </w:rPr>
              <w:t>privire</w:t>
            </w:r>
            <w:proofErr w:type="spellEnd"/>
            <w:r w:rsidRPr="00154895">
              <w:rPr>
                <w:rStyle w:val="bold"/>
                <w:b/>
                <w:bCs/>
                <w:sz w:val="20"/>
                <w:szCs w:val="20"/>
                <w:lang w:val="fr-FR"/>
              </w:rPr>
              <w:t xml:space="preserve"> la </w:t>
            </w:r>
            <w:proofErr w:type="spellStart"/>
            <w:r w:rsidRPr="00154895">
              <w:rPr>
                <w:rStyle w:val="bold"/>
                <w:b/>
                <w:bCs/>
                <w:sz w:val="20"/>
                <w:szCs w:val="20"/>
                <w:lang w:val="fr-FR"/>
              </w:rPr>
              <w:t>veniturile</w:t>
            </w:r>
            <w:proofErr w:type="spellEnd"/>
            <w:r w:rsidRPr="00154895">
              <w:rPr>
                <w:rStyle w:val="bold"/>
                <w:b/>
                <w:bCs/>
                <w:sz w:val="20"/>
                <w:szCs w:val="20"/>
                <w:lang w:val="fr-FR"/>
              </w:rPr>
              <w:t xml:space="preserve"> </w:t>
            </w:r>
            <w:proofErr w:type="spellStart"/>
            <w:r w:rsidRPr="00154895">
              <w:rPr>
                <w:rStyle w:val="bold"/>
                <w:b/>
                <w:bCs/>
                <w:sz w:val="20"/>
                <w:szCs w:val="20"/>
                <w:lang w:val="fr-FR"/>
              </w:rPr>
              <w:t>obținute</w:t>
            </w:r>
            <w:proofErr w:type="spellEnd"/>
            <w:r w:rsidRPr="00154895">
              <w:rPr>
                <w:rStyle w:val="bold"/>
                <w:b/>
                <w:bCs/>
                <w:sz w:val="20"/>
                <w:szCs w:val="20"/>
                <w:lang w:val="fr-FR"/>
              </w:rPr>
              <w:t xml:space="preserve"> </w:t>
            </w:r>
            <w:proofErr w:type="spellStart"/>
            <w:r w:rsidRPr="00154895">
              <w:rPr>
                <w:rStyle w:val="bold"/>
                <w:b/>
                <w:bCs/>
                <w:sz w:val="20"/>
                <w:szCs w:val="20"/>
                <w:lang w:val="fr-FR"/>
              </w:rPr>
              <w:t>din</w:t>
            </w:r>
            <w:proofErr w:type="spellEnd"/>
            <w:r w:rsidRPr="00154895">
              <w:rPr>
                <w:rStyle w:val="bold"/>
                <w:b/>
                <w:bCs/>
                <w:sz w:val="20"/>
                <w:szCs w:val="20"/>
                <w:lang w:val="fr-FR"/>
              </w:rPr>
              <w:t xml:space="preserve"> </w:t>
            </w:r>
            <w:proofErr w:type="spellStart"/>
            <w:r w:rsidRPr="00154895">
              <w:rPr>
                <w:rStyle w:val="bold"/>
                <w:b/>
                <w:bCs/>
                <w:sz w:val="20"/>
                <w:szCs w:val="20"/>
                <w:lang w:val="fr-FR"/>
              </w:rPr>
              <w:t>licitații</w:t>
            </w:r>
            <w:proofErr w:type="spellEnd"/>
          </w:p>
          <w:p w14:paraId="666D7C64" w14:textId="77777777" w:rsidR="008F5636" w:rsidRPr="00154895" w:rsidRDefault="008F5636" w:rsidP="008F5636">
            <w:pPr>
              <w:pStyle w:val="ColorfulList-Accent11"/>
              <w:spacing w:after="0" w:line="240" w:lineRule="auto"/>
              <w:ind w:left="0"/>
              <w:jc w:val="both"/>
              <w:rPr>
                <w:rFonts w:ascii="Times New Roman" w:hAnsi="Times New Roman"/>
                <w:sz w:val="20"/>
                <w:szCs w:val="20"/>
                <w:shd w:val="clear" w:color="auto" w:fill="FFFFFF"/>
              </w:rPr>
            </w:pPr>
            <w:proofErr w:type="spellStart"/>
            <w:r w:rsidRPr="00154895">
              <w:rPr>
                <w:rFonts w:ascii="Times New Roman" w:hAnsi="Times New Roman"/>
                <w:sz w:val="20"/>
                <w:szCs w:val="20"/>
                <w:shd w:val="clear" w:color="auto" w:fill="FFFFFF"/>
              </w:rPr>
              <w:t>Informații</w:t>
            </w:r>
            <w:proofErr w:type="spellEnd"/>
            <w:r w:rsidRPr="00154895">
              <w:rPr>
                <w:rFonts w:ascii="Times New Roman" w:hAnsi="Times New Roman"/>
                <w:sz w:val="20"/>
                <w:szCs w:val="20"/>
                <w:shd w:val="clear" w:color="auto" w:fill="FFFFFF"/>
              </w:rPr>
              <w:t xml:space="preserve"> care </w:t>
            </w:r>
            <w:proofErr w:type="spellStart"/>
            <w:r w:rsidRPr="00154895">
              <w:rPr>
                <w:rFonts w:ascii="Times New Roman" w:hAnsi="Times New Roman"/>
                <w:sz w:val="20"/>
                <w:szCs w:val="20"/>
                <w:shd w:val="clear" w:color="auto" w:fill="FFFFFF"/>
              </w:rPr>
              <w:t>trebuie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incluse</w:t>
            </w:r>
            <w:proofErr w:type="spellEnd"/>
            <w:r w:rsidRPr="00154895">
              <w:rPr>
                <w:rFonts w:ascii="Times New Roman" w:hAnsi="Times New Roman"/>
                <w:sz w:val="20"/>
                <w:szCs w:val="20"/>
                <w:shd w:val="clear" w:color="auto" w:fill="FFFFFF"/>
              </w:rPr>
              <w:t xml:space="preserve"> în </w:t>
            </w:r>
            <w:proofErr w:type="spellStart"/>
            <w:r w:rsidRPr="00154895">
              <w:rPr>
                <w:rFonts w:ascii="Times New Roman" w:hAnsi="Times New Roman"/>
                <w:sz w:val="20"/>
                <w:szCs w:val="20"/>
                <w:shd w:val="clear" w:color="auto" w:fill="FFFFFF"/>
              </w:rPr>
              <w:t>rapoartele</w:t>
            </w:r>
            <w:proofErr w:type="spellEnd"/>
            <w:r w:rsidRPr="00154895">
              <w:rPr>
                <w:rFonts w:ascii="Times New Roman" w:hAnsi="Times New Roman"/>
                <w:sz w:val="20"/>
                <w:szCs w:val="20"/>
                <w:shd w:val="clear" w:color="auto" w:fill="FFFFFF"/>
              </w:rPr>
              <w:t xml:space="preserve"> </w:t>
            </w:r>
            <w:proofErr w:type="spellStart"/>
            <w:r w:rsidRPr="00154895">
              <w:rPr>
                <w:rFonts w:ascii="Times New Roman" w:hAnsi="Times New Roman"/>
                <w:sz w:val="20"/>
                <w:szCs w:val="20"/>
                <w:shd w:val="clear" w:color="auto" w:fill="FFFFFF"/>
              </w:rPr>
              <w:t>menționate</w:t>
            </w:r>
            <w:proofErr w:type="spellEnd"/>
            <w:r w:rsidRPr="00154895">
              <w:rPr>
                <w:rFonts w:ascii="Times New Roman" w:hAnsi="Times New Roman"/>
                <w:sz w:val="20"/>
                <w:szCs w:val="20"/>
                <w:shd w:val="clear" w:color="auto" w:fill="FFFFFF"/>
              </w:rPr>
              <w:t xml:space="preserve"> la </w:t>
            </w:r>
            <w:proofErr w:type="spellStart"/>
            <w:r w:rsidRPr="00154895">
              <w:rPr>
                <w:rFonts w:ascii="Times New Roman" w:hAnsi="Times New Roman"/>
                <w:sz w:val="20"/>
                <w:szCs w:val="20"/>
                <w:shd w:val="clear" w:color="auto" w:fill="FFFFFF"/>
              </w:rPr>
              <w:t>articolul</w:t>
            </w:r>
            <w:proofErr w:type="spellEnd"/>
            <w:r w:rsidRPr="00154895">
              <w:rPr>
                <w:rFonts w:ascii="Times New Roman" w:hAnsi="Times New Roman"/>
                <w:sz w:val="20"/>
                <w:szCs w:val="20"/>
                <w:shd w:val="clear" w:color="auto" w:fill="FFFFFF"/>
              </w:rPr>
              <w:t xml:space="preserve"> 19 </w:t>
            </w:r>
            <w:proofErr w:type="spellStart"/>
            <w:r w:rsidRPr="00154895">
              <w:rPr>
                <w:rFonts w:ascii="Times New Roman" w:hAnsi="Times New Roman"/>
                <w:sz w:val="20"/>
                <w:szCs w:val="20"/>
                <w:shd w:val="clear" w:color="auto" w:fill="FFFFFF"/>
              </w:rPr>
              <w:t>alineatul</w:t>
            </w:r>
            <w:proofErr w:type="spellEnd"/>
            <w:r w:rsidRPr="00154895">
              <w:rPr>
                <w:rFonts w:ascii="Times New Roman" w:hAnsi="Times New Roman"/>
                <w:sz w:val="20"/>
                <w:szCs w:val="20"/>
                <w:shd w:val="clear" w:color="auto" w:fill="FFFFFF"/>
              </w:rPr>
              <w:t xml:space="preserve"> (2):</w:t>
            </w:r>
          </w:p>
          <w:p w14:paraId="043B0302" w14:textId="77777777" w:rsidR="008F5636" w:rsidRPr="00154895" w:rsidRDefault="008F5636" w:rsidP="000C5A3B">
            <w:pPr>
              <w:pStyle w:val="ColorfulList-Accent11"/>
              <w:numPr>
                <w:ilvl w:val="0"/>
                <w:numId w:val="70"/>
              </w:numPr>
              <w:spacing w:after="0" w:line="240" w:lineRule="auto"/>
              <w:ind w:left="470" w:hanging="357"/>
              <w:jc w:val="both"/>
              <w:rPr>
                <w:rFonts w:ascii="Times New Roman" w:hAnsi="Times New Roman"/>
                <w:sz w:val="20"/>
                <w:szCs w:val="20"/>
                <w:lang w:val="fr-FR"/>
              </w:rPr>
            </w:pPr>
            <w:proofErr w:type="spellStart"/>
            <w:proofErr w:type="gramStart"/>
            <w:r w:rsidRPr="00154895">
              <w:rPr>
                <w:rFonts w:ascii="Times New Roman" w:hAnsi="Times New Roman"/>
                <w:sz w:val="20"/>
                <w:szCs w:val="20"/>
                <w:shd w:val="clear" w:color="auto" w:fill="FFFFFF"/>
                <w:lang w:val="fr-FR"/>
              </w:rPr>
              <w:t>informații</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privire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folosirea</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decursul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anului</w:t>
            </w:r>
            <w:proofErr w:type="spellEnd"/>
            <w:r w:rsidRPr="00154895">
              <w:rPr>
                <w:rFonts w:ascii="Times New Roman" w:hAnsi="Times New Roman"/>
                <w:sz w:val="20"/>
                <w:szCs w:val="20"/>
                <w:shd w:val="clear" w:color="auto" w:fill="FFFFFF"/>
                <w:lang w:val="fr-FR"/>
              </w:rPr>
              <w:t xml:space="preserve"> X-1, a </w:t>
            </w:r>
            <w:proofErr w:type="spellStart"/>
            <w:r w:rsidRPr="00154895">
              <w:rPr>
                <w:rFonts w:ascii="Times New Roman" w:hAnsi="Times New Roman"/>
                <w:sz w:val="20"/>
                <w:szCs w:val="20"/>
                <w:shd w:val="clear" w:color="auto" w:fill="FFFFFF"/>
                <w:lang w:val="fr-FR"/>
              </w:rPr>
              <w:t>veniturilor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generate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statul</w:t>
            </w:r>
            <w:proofErr w:type="spellEnd"/>
            <w:r w:rsidRPr="00154895">
              <w:rPr>
                <w:rFonts w:ascii="Times New Roman" w:hAnsi="Times New Roman"/>
                <w:sz w:val="20"/>
                <w:szCs w:val="20"/>
                <w:shd w:val="clear" w:color="auto" w:fill="FFFFFF"/>
                <w:lang w:val="fr-FR"/>
              </w:rPr>
              <w:t xml:space="preserve"> membru </w:t>
            </w:r>
            <w:proofErr w:type="spellStart"/>
            <w:r w:rsidRPr="00154895">
              <w:rPr>
                <w:rFonts w:ascii="Times New Roman" w:hAnsi="Times New Roman"/>
                <w:sz w:val="20"/>
                <w:szCs w:val="20"/>
                <w:shd w:val="clear" w:color="auto" w:fill="FFFFFF"/>
                <w:lang w:val="fr-FR"/>
              </w:rPr>
              <w:t>prin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licitarea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certificatelor</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temeiul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articolului</w:t>
            </w:r>
            <w:proofErr w:type="spellEnd"/>
            <w:r w:rsidRPr="00154895">
              <w:rPr>
                <w:rFonts w:ascii="Times New Roman" w:hAnsi="Times New Roman"/>
                <w:sz w:val="20"/>
                <w:szCs w:val="20"/>
                <w:shd w:val="clear" w:color="auto" w:fill="FFFFFF"/>
                <w:lang w:val="fr-FR"/>
              </w:rPr>
              <w:t xml:space="preserve"> 10 </w:t>
            </w:r>
            <w:proofErr w:type="spellStart"/>
            <w:r w:rsidRPr="00154895">
              <w:rPr>
                <w:rFonts w:ascii="Times New Roman" w:hAnsi="Times New Roman"/>
                <w:sz w:val="20"/>
                <w:szCs w:val="20"/>
                <w:shd w:val="clear" w:color="auto" w:fill="FFFFFF"/>
                <w:lang w:val="fr-FR"/>
              </w:rPr>
              <w:t>alineatul</w:t>
            </w:r>
            <w:proofErr w:type="spellEnd"/>
            <w:r w:rsidRPr="00154895">
              <w:rPr>
                <w:rFonts w:ascii="Times New Roman" w:hAnsi="Times New Roman"/>
                <w:sz w:val="20"/>
                <w:szCs w:val="20"/>
                <w:shd w:val="clear" w:color="auto" w:fill="FFFFFF"/>
                <w:lang w:val="fr-FR"/>
              </w:rPr>
              <w:t xml:space="preserve"> (1)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Directiva</w:t>
            </w:r>
            <w:proofErr w:type="spellEnd"/>
            <w:r w:rsidRPr="00154895">
              <w:rPr>
                <w:rFonts w:ascii="Times New Roman" w:hAnsi="Times New Roman"/>
                <w:sz w:val="20"/>
                <w:szCs w:val="20"/>
                <w:shd w:val="clear" w:color="auto" w:fill="FFFFFF"/>
                <w:lang w:val="fr-FR"/>
              </w:rPr>
              <w:t xml:space="preserve"> 2003/87/CE, </w:t>
            </w:r>
            <w:proofErr w:type="spellStart"/>
            <w:r w:rsidRPr="00154895">
              <w:rPr>
                <w:rFonts w:ascii="Times New Roman" w:hAnsi="Times New Roman"/>
                <w:sz w:val="20"/>
                <w:szCs w:val="20"/>
                <w:shd w:val="clear" w:color="auto" w:fill="FFFFFF"/>
                <w:lang w:val="fr-FR"/>
              </w:rPr>
              <w:t>inclusiv</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informații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privind</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veniturile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acest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gen</w:t>
            </w:r>
            <w:proofErr w:type="spellEnd"/>
            <w:r w:rsidRPr="00154895">
              <w:rPr>
                <w:rFonts w:ascii="Times New Roman" w:hAnsi="Times New Roman"/>
                <w:sz w:val="20"/>
                <w:szCs w:val="20"/>
                <w:shd w:val="clear" w:color="auto" w:fill="FFFFFF"/>
                <w:lang w:val="fr-FR"/>
              </w:rPr>
              <w:t xml:space="preserve"> care au </w:t>
            </w:r>
            <w:proofErr w:type="spellStart"/>
            <w:r w:rsidRPr="00154895">
              <w:rPr>
                <w:rFonts w:ascii="Times New Roman" w:hAnsi="Times New Roman"/>
                <w:sz w:val="20"/>
                <w:szCs w:val="20"/>
                <w:shd w:val="clear" w:color="auto" w:fill="FFFFFF"/>
                <w:lang w:val="fr-FR"/>
              </w:rPr>
              <w:t>fost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folosite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unul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mai </w:t>
            </w:r>
            <w:proofErr w:type="spellStart"/>
            <w:r w:rsidRPr="00154895">
              <w:rPr>
                <w:rFonts w:ascii="Times New Roman" w:hAnsi="Times New Roman"/>
                <w:sz w:val="20"/>
                <w:szCs w:val="20"/>
                <w:shd w:val="clear" w:color="auto" w:fill="FFFFFF"/>
                <w:lang w:val="fr-FR"/>
              </w:rPr>
              <w:t>multe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dintre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scopurile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specificate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articolul</w:t>
            </w:r>
            <w:proofErr w:type="spellEnd"/>
            <w:r w:rsidRPr="00154895">
              <w:rPr>
                <w:rFonts w:ascii="Times New Roman" w:hAnsi="Times New Roman"/>
                <w:sz w:val="20"/>
                <w:szCs w:val="20"/>
                <w:shd w:val="clear" w:color="auto" w:fill="FFFFFF"/>
                <w:lang w:val="fr-FR"/>
              </w:rPr>
              <w:t xml:space="preserve"> 10 </w:t>
            </w:r>
            <w:proofErr w:type="spellStart"/>
            <w:r w:rsidRPr="00154895">
              <w:rPr>
                <w:rFonts w:ascii="Times New Roman" w:hAnsi="Times New Roman"/>
                <w:sz w:val="20"/>
                <w:szCs w:val="20"/>
                <w:shd w:val="clear" w:color="auto" w:fill="FFFFFF"/>
                <w:lang w:val="fr-FR"/>
              </w:rPr>
              <w:t>alineatul</w:t>
            </w:r>
            <w:proofErr w:type="spellEnd"/>
            <w:r w:rsidRPr="00154895">
              <w:rPr>
                <w:rFonts w:ascii="Times New Roman" w:hAnsi="Times New Roman"/>
                <w:sz w:val="20"/>
                <w:szCs w:val="20"/>
                <w:shd w:val="clear" w:color="auto" w:fill="FFFFFF"/>
                <w:lang w:val="fr-FR"/>
              </w:rPr>
              <w:t xml:space="preserve"> (3)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directiva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respectivă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echivalentul</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valoare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financiară</w:t>
            </w:r>
            <w:proofErr w:type="spellEnd"/>
            <w:r w:rsidRPr="00154895">
              <w:rPr>
                <w:rFonts w:ascii="Times New Roman" w:hAnsi="Times New Roman"/>
                <w:sz w:val="20"/>
                <w:szCs w:val="20"/>
                <w:shd w:val="clear" w:color="auto" w:fill="FFFFFF"/>
                <w:lang w:val="fr-FR"/>
              </w:rPr>
              <w:t xml:space="preserve"> al </w:t>
            </w:r>
            <w:proofErr w:type="spellStart"/>
            <w:r w:rsidRPr="00154895">
              <w:rPr>
                <w:rFonts w:ascii="Times New Roman" w:hAnsi="Times New Roman"/>
                <w:sz w:val="20"/>
                <w:szCs w:val="20"/>
                <w:shd w:val="clear" w:color="auto" w:fill="FFFFFF"/>
                <w:lang w:val="fr-FR"/>
              </w:rPr>
              <w:t>acestor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venituri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precum</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măsurile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luate</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temeiul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articolului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respectiv</w:t>
            </w:r>
            <w:proofErr w:type="spellEnd"/>
            <w:r w:rsidRPr="00154895">
              <w:rPr>
                <w:rFonts w:ascii="Times New Roman" w:hAnsi="Times New Roman"/>
                <w:sz w:val="20"/>
                <w:szCs w:val="20"/>
                <w:shd w:val="clear" w:color="auto" w:fill="FFFFFF"/>
                <w:lang w:val="fr-FR"/>
              </w:rPr>
              <w:t>;</w:t>
            </w:r>
          </w:p>
          <w:p w14:paraId="52245009" w14:textId="77777777" w:rsidR="008F5636" w:rsidRPr="00154895" w:rsidRDefault="008F5636" w:rsidP="000C5A3B">
            <w:pPr>
              <w:pStyle w:val="ColorfulList-Accent11"/>
              <w:numPr>
                <w:ilvl w:val="0"/>
                <w:numId w:val="70"/>
              </w:numPr>
              <w:spacing w:after="0" w:line="240" w:lineRule="auto"/>
              <w:ind w:left="470" w:hanging="357"/>
              <w:jc w:val="both"/>
              <w:rPr>
                <w:rFonts w:ascii="Times New Roman" w:hAnsi="Times New Roman"/>
                <w:sz w:val="20"/>
                <w:szCs w:val="20"/>
                <w:lang w:val="fr-FR"/>
              </w:rPr>
            </w:pPr>
            <w:proofErr w:type="spellStart"/>
            <w:proofErr w:type="gramStart"/>
            <w:r w:rsidRPr="00154895">
              <w:rPr>
                <w:rFonts w:ascii="Times New Roman" w:hAnsi="Times New Roman"/>
                <w:sz w:val="20"/>
                <w:szCs w:val="20"/>
                <w:shd w:val="clear" w:color="auto" w:fill="FFFFFF"/>
                <w:lang w:val="fr-FR"/>
              </w:rPr>
              <w:t>informații</w:t>
            </w:r>
            <w:proofErr w:type="spellEnd"/>
            <w:proofErr w:type="gram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privire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folosirea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conform</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deciziei</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statului</w:t>
            </w:r>
            <w:proofErr w:type="spellEnd"/>
            <w:r w:rsidRPr="00154895">
              <w:rPr>
                <w:rFonts w:ascii="Times New Roman" w:hAnsi="Times New Roman"/>
                <w:sz w:val="20"/>
                <w:szCs w:val="20"/>
                <w:shd w:val="clear" w:color="auto" w:fill="FFFFFF"/>
                <w:lang w:val="fr-FR"/>
              </w:rPr>
              <w:t xml:space="preserve"> membru, a </w:t>
            </w:r>
            <w:proofErr w:type="spellStart"/>
            <w:r w:rsidRPr="00154895">
              <w:rPr>
                <w:rFonts w:ascii="Times New Roman" w:hAnsi="Times New Roman"/>
                <w:sz w:val="20"/>
                <w:szCs w:val="20"/>
                <w:shd w:val="clear" w:color="auto" w:fill="FFFFFF"/>
                <w:lang w:val="fr-FR"/>
              </w:rPr>
              <w:t>tuturor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veniturilor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generate</w:t>
            </w:r>
            <w:proofErr w:type="spellEnd"/>
            <w:r w:rsidRPr="00154895">
              <w:rPr>
                <w:rFonts w:ascii="Times New Roman" w:hAnsi="Times New Roman"/>
                <w:sz w:val="20"/>
                <w:szCs w:val="20"/>
                <w:shd w:val="clear" w:color="auto" w:fill="FFFFFF"/>
                <w:lang w:val="fr-FR"/>
              </w:rPr>
              <w:t xml:space="preserve"> de </w:t>
            </w:r>
            <w:proofErr w:type="spellStart"/>
            <w:r w:rsidRPr="00154895">
              <w:rPr>
                <w:rFonts w:ascii="Times New Roman" w:hAnsi="Times New Roman"/>
                <w:sz w:val="20"/>
                <w:szCs w:val="20"/>
                <w:shd w:val="clear" w:color="auto" w:fill="FFFFFF"/>
                <w:lang w:val="fr-FR"/>
              </w:rPr>
              <w:t>statul</w:t>
            </w:r>
            <w:proofErr w:type="spellEnd"/>
            <w:r w:rsidRPr="00154895">
              <w:rPr>
                <w:rFonts w:ascii="Times New Roman" w:hAnsi="Times New Roman"/>
                <w:sz w:val="20"/>
                <w:szCs w:val="20"/>
                <w:shd w:val="clear" w:color="auto" w:fill="FFFFFF"/>
                <w:lang w:val="fr-FR"/>
              </w:rPr>
              <w:t xml:space="preserve"> membru </w:t>
            </w:r>
            <w:proofErr w:type="spellStart"/>
            <w:r w:rsidRPr="00154895">
              <w:rPr>
                <w:rFonts w:ascii="Times New Roman" w:hAnsi="Times New Roman"/>
                <w:sz w:val="20"/>
                <w:szCs w:val="20"/>
                <w:shd w:val="clear" w:color="auto" w:fill="FFFFFF"/>
                <w:lang w:val="fr-FR"/>
              </w:rPr>
              <w:t>prin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licitarea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certificatelor</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aviație</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temeiul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articolului</w:t>
            </w:r>
            <w:proofErr w:type="spellEnd"/>
            <w:r w:rsidRPr="00154895">
              <w:rPr>
                <w:rFonts w:ascii="Times New Roman" w:hAnsi="Times New Roman"/>
                <w:sz w:val="20"/>
                <w:szCs w:val="20"/>
                <w:shd w:val="clear" w:color="auto" w:fill="FFFFFF"/>
                <w:lang w:val="fr-FR"/>
              </w:rPr>
              <w:t xml:space="preserve"> 3d </w:t>
            </w:r>
            <w:proofErr w:type="spellStart"/>
            <w:r w:rsidRPr="00154895">
              <w:rPr>
                <w:rFonts w:ascii="Times New Roman" w:hAnsi="Times New Roman"/>
                <w:sz w:val="20"/>
                <w:szCs w:val="20"/>
                <w:shd w:val="clear" w:color="auto" w:fill="FFFFFF"/>
                <w:lang w:val="fr-FR"/>
              </w:rPr>
              <w:t>alineatul</w:t>
            </w:r>
            <w:proofErr w:type="spellEnd"/>
            <w:r w:rsidRPr="00154895">
              <w:rPr>
                <w:rFonts w:ascii="Times New Roman" w:hAnsi="Times New Roman"/>
                <w:sz w:val="20"/>
                <w:szCs w:val="20"/>
                <w:shd w:val="clear" w:color="auto" w:fill="FFFFFF"/>
                <w:lang w:val="fr-FR"/>
              </w:rPr>
              <w:t xml:space="preserve"> (1) </w:t>
            </w:r>
            <w:proofErr w:type="spellStart"/>
            <w:r w:rsidRPr="00154895">
              <w:rPr>
                <w:rFonts w:ascii="Times New Roman" w:hAnsi="Times New Roman"/>
                <w:sz w:val="20"/>
                <w:szCs w:val="20"/>
                <w:shd w:val="clear" w:color="auto" w:fill="FFFFFF"/>
                <w:lang w:val="fr-FR"/>
              </w:rPr>
              <w:t>sau</w:t>
            </w:r>
            <w:proofErr w:type="spellEnd"/>
            <w:r w:rsidRPr="00154895">
              <w:rPr>
                <w:rFonts w:ascii="Times New Roman" w:hAnsi="Times New Roman"/>
                <w:sz w:val="20"/>
                <w:szCs w:val="20"/>
                <w:shd w:val="clear" w:color="auto" w:fill="FFFFFF"/>
                <w:lang w:val="fr-FR"/>
              </w:rPr>
              <w:t xml:space="preserve"> (2)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Directiva</w:t>
            </w:r>
            <w:proofErr w:type="spellEnd"/>
            <w:r w:rsidRPr="00154895">
              <w:rPr>
                <w:rFonts w:ascii="Times New Roman" w:hAnsi="Times New Roman"/>
                <w:sz w:val="20"/>
                <w:szCs w:val="20"/>
                <w:shd w:val="clear" w:color="auto" w:fill="FFFFFF"/>
                <w:lang w:val="fr-FR"/>
              </w:rPr>
              <w:t xml:space="preserve"> 2003/87/CE; </w:t>
            </w:r>
            <w:proofErr w:type="spellStart"/>
            <w:r w:rsidRPr="00154895">
              <w:rPr>
                <w:rFonts w:ascii="Times New Roman" w:hAnsi="Times New Roman"/>
                <w:sz w:val="20"/>
                <w:szCs w:val="20"/>
                <w:shd w:val="clear" w:color="auto" w:fill="FFFFFF"/>
                <w:lang w:val="fr-FR"/>
              </w:rPr>
              <w:t>aceste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informații</w:t>
            </w:r>
            <w:proofErr w:type="spellEnd"/>
            <w:r w:rsidRPr="00154895">
              <w:rPr>
                <w:rFonts w:ascii="Times New Roman" w:hAnsi="Times New Roman"/>
                <w:sz w:val="20"/>
                <w:szCs w:val="20"/>
                <w:shd w:val="clear" w:color="auto" w:fill="FFFFFF"/>
                <w:lang w:val="fr-FR"/>
              </w:rPr>
              <w:t xml:space="preserve"> se </w:t>
            </w:r>
            <w:proofErr w:type="spellStart"/>
            <w:r w:rsidRPr="00154895">
              <w:rPr>
                <w:rFonts w:ascii="Times New Roman" w:hAnsi="Times New Roman"/>
                <w:sz w:val="20"/>
                <w:szCs w:val="20"/>
                <w:shd w:val="clear" w:color="auto" w:fill="FFFFFF"/>
                <w:lang w:val="fr-FR"/>
              </w:rPr>
              <w:t>furnizează</w:t>
            </w:r>
            <w:proofErr w:type="spellEnd"/>
            <w:r w:rsidRPr="00154895">
              <w:rPr>
                <w:rFonts w:ascii="Times New Roman" w:hAnsi="Times New Roman"/>
                <w:sz w:val="20"/>
                <w:szCs w:val="20"/>
                <w:shd w:val="clear" w:color="auto" w:fill="FFFFFF"/>
                <w:lang w:val="fr-FR"/>
              </w:rPr>
              <w:t xml:space="preserve"> în conformitate </w:t>
            </w:r>
            <w:proofErr w:type="spellStart"/>
            <w:r w:rsidRPr="00154895">
              <w:rPr>
                <w:rFonts w:ascii="Times New Roman" w:hAnsi="Times New Roman"/>
                <w:sz w:val="20"/>
                <w:szCs w:val="20"/>
                <w:shd w:val="clear" w:color="auto" w:fill="FFFFFF"/>
                <w:lang w:val="fr-FR"/>
              </w:rPr>
              <w:t>cu</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articolul</w:t>
            </w:r>
            <w:proofErr w:type="spellEnd"/>
            <w:r w:rsidRPr="00154895">
              <w:rPr>
                <w:rFonts w:ascii="Times New Roman" w:hAnsi="Times New Roman"/>
                <w:sz w:val="20"/>
                <w:szCs w:val="20"/>
                <w:shd w:val="clear" w:color="auto" w:fill="FFFFFF"/>
                <w:lang w:val="fr-FR"/>
              </w:rPr>
              <w:t xml:space="preserve"> 3d </w:t>
            </w:r>
            <w:proofErr w:type="spellStart"/>
            <w:r w:rsidRPr="00154895">
              <w:rPr>
                <w:rFonts w:ascii="Times New Roman" w:hAnsi="Times New Roman"/>
                <w:sz w:val="20"/>
                <w:szCs w:val="20"/>
                <w:shd w:val="clear" w:color="auto" w:fill="FFFFFF"/>
                <w:lang w:val="fr-FR"/>
              </w:rPr>
              <w:t>alineatul</w:t>
            </w:r>
            <w:proofErr w:type="spellEnd"/>
            <w:r w:rsidRPr="00154895">
              <w:rPr>
                <w:rFonts w:ascii="Times New Roman" w:hAnsi="Times New Roman"/>
                <w:sz w:val="20"/>
                <w:szCs w:val="20"/>
                <w:shd w:val="clear" w:color="auto" w:fill="FFFFFF"/>
                <w:lang w:val="fr-FR"/>
              </w:rPr>
              <w:t xml:space="preserve"> (4)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directiva</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respectivă</w:t>
            </w:r>
            <w:proofErr w:type="spellEnd"/>
            <w:r w:rsidRPr="00154895">
              <w:rPr>
                <w:rFonts w:ascii="Times New Roman" w:hAnsi="Times New Roman"/>
                <w:sz w:val="20"/>
                <w:szCs w:val="20"/>
                <w:shd w:val="clear" w:color="auto" w:fill="FFFFFF"/>
                <w:lang w:val="fr-FR"/>
              </w:rPr>
              <w:t>;</w:t>
            </w:r>
          </w:p>
          <w:p w14:paraId="6B3B6FBB" w14:textId="25DA7E2F" w:rsidR="008F5636" w:rsidRPr="00046FFD" w:rsidRDefault="008F5636" w:rsidP="008F5636">
            <w:pPr>
              <w:pStyle w:val="ColorfulList-Accent11"/>
              <w:spacing w:after="0" w:line="240" w:lineRule="auto"/>
              <w:ind w:left="0"/>
              <w:jc w:val="both"/>
              <w:rPr>
                <w:rFonts w:ascii="Times New Roman" w:hAnsi="Times New Roman"/>
                <w:sz w:val="20"/>
                <w:szCs w:val="20"/>
                <w:lang w:val="fr-FR"/>
              </w:rPr>
            </w:pPr>
            <w:proofErr w:type="spellStart"/>
            <w:r w:rsidRPr="00154895">
              <w:rPr>
                <w:rFonts w:ascii="Times New Roman" w:hAnsi="Times New Roman"/>
                <w:sz w:val="20"/>
                <w:szCs w:val="20"/>
                <w:shd w:val="clear" w:color="auto" w:fill="FFFFFF"/>
                <w:lang w:val="fr-FR"/>
              </w:rPr>
              <w:t>Veniturile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generate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din</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licitații</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neplătite</w:t>
            </w:r>
            <w:proofErr w:type="spellEnd"/>
            <w:r w:rsidRPr="00154895">
              <w:rPr>
                <w:rFonts w:ascii="Times New Roman" w:hAnsi="Times New Roman"/>
                <w:sz w:val="20"/>
                <w:szCs w:val="20"/>
                <w:shd w:val="clear" w:color="auto" w:fill="FFFFFF"/>
                <w:lang w:val="fr-FR"/>
              </w:rPr>
              <w:t xml:space="preserve"> la </w:t>
            </w:r>
            <w:proofErr w:type="spellStart"/>
            <w:r w:rsidRPr="00154895">
              <w:rPr>
                <w:rFonts w:ascii="Times New Roman" w:hAnsi="Times New Roman"/>
                <w:sz w:val="20"/>
                <w:szCs w:val="20"/>
                <w:shd w:val="clear" w:color="auto" w:fill="FFFFFF"/>
                <w:lang w:val="fr-FR"/>
              </w:rPr>
              <w:t>momentul</w:t>
            </w:r>
            <w:proofErr w:type="spellEnd"/>
            <w:r w:rsidRPr="00154895">
              <w:rPr>
                <w:rFonts w:ascii="Times New Roman" w:hAnsi="Times New Roman"/>
                <w:sz w:val="20"/>
                <w:szCs w:val="20"/>
                <w:shd w:val="clear" w:color="auto" w:fill="FFFFFF"/>
                <w:lang w:val="fr-FR"/>
              </w:rPr>
              <w:t xml:space="preserve"> în care un stat membru </w:t>
            </w:r>
            <w:proofErr w:type="spellStart"/>
            <w:r w:rsidRPr="00154895">
              <w:rPr>
                <w:rFonts w:ascii="Times New Roman" w:hAnsi="Times New Roman"/>
                <w:sz w:val="20"/>
                <w:szCs w:val="20"/>
                <w:shd w:val="clear" w:color="auto" w:fill="FFFFFF"/>
                <w:lang w:val="fr-FR"/>
              </w:rPr>
              <w:t>prezintă</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Comisiei</w:t>
            </w:r>
            <w:proofErr w:type="spellEnd"/>
            <w:r w:rsidRPr="00154895">
              <w:rPr>
                <w:rFonts w:ascii="Times New Roman" w:hAnsi="Times New Roman"/>
                <w:sz w:val="20"/>
                <w:szCs w:val="20"/>
                <w:shd w:val="clear" w:color="auto" w:fill="FFFFFF"/>
                <w:lang w:val="fr-FR"/>
              </w:rPr>
              <w:t xml:space="preserve"> un </w:t>
            </w:r>
            <w:proofErr w:type="spellStart"/>
            <w:r w:rsidRPr="00154895">
              <w:rPr>
                <w:rFonts w:ascii="Times New Roman" w:hAnsi="Times New Roman"/>
                <w:sz w:val="20"/>
                <w:szCs w:val="20"/>
                <w:shd w:val="clear" w:color="auto" w:fill="FFFFFF"/>
                <w:lang w:val="fr-FR"/>
              </w:rPr>
              <w:t>raport</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temeiul</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articolului</w:t>
            </w:r>
            <w:proofErr w:type="spellEnd"/>
            <w:r w:rsidRPr="00154895">
              <w:rPr>
                <w:rFonts w:ascii="Times New Roman" w:hAnsi="Times New Roman"/>
                <w:sz w:val="20"/>
                <w:szCs w:val="20"/>
                <w:shd w:val="clear" w:color="auto" w:fill="FFFFFF"/>
                <w:lang w:val="fr-FR"/>
              </w:rPr>
              <w:t xml:space="preserve"> 19 </w:t>
            </w:r>
            <w:proofErr w:type="spellStart"/>
            <w:r w:rsidRPr="00154895">
              <w:rPr>
                <w:rFonts w:ascii="Times New Roman" w:hAnsi="Times New Roman"/>
                <w:sz w:val="20"/>
                <w:szCs w:val="20"/>
                <w:shd w:val="clear" w:color="auto" w:fill="FFFFFF"/>
                <w:lang w:val="fr-FR"/>
              </w:rPr>
              <w:t>alineatul</w:t>
            </w:r>
            <w:proofErr w:type="spellEnd"/>
            <w:r w:rsidRPr="00154895">
              <w:rPr>
                <w:rFonts w:ascii="Times New Roman" w:hAnsi="Times New Roman"/>
                <w:sz w:val="20"/>
                <w:szCs w:val="20"/>
                <w:shd w:val="clear" w:color="auto" w:fill="FFFFFF"/>
                <w:lang w:val="fr-FR"/>
              </w:rPr>
              <w:t xml:space="preserve"> (2) </w:t>
            </w:r>
            <w:proofErr w:type="spellStart"/>
            <w:r w:rsidRPr="00154895">
              <w:rPr>
                <w:rFonts w:ascii="Times New Roman" w:hAnsi="Times New Roman"/>
                <w:sz w:val="20"/>
                <w:szCs w:val="20"/>
                <w:shd w:val="clear" w:color="auto" w:fill="FFFFFF"/>
                <w:lang w:val="fr-FR"/>
              </w:rPr>
              <w:t>sunt</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cuantificate</w:t>
            </w:r>
            <w:proofErr w:type="spellEnd"/>
            <w:r w:rsidRPr="00154895">
              <w:rPr>
                <w:rFonts w:ascii="Times New Roman" w:hAnsi="Times New Roman"/>
                <w:sz w:val="20"/>
                <w:szCs w:val="20"/>
                <w:shd w:val="clear" w:color="auto" w:fill="FFFFFF"/>
                <w:lang w:val="fr-FR"/>
              </w:rPr>
              <w:t xml:space="preserve"> și </w:t>
            </w:r>
            <w:proofErr w:type="spellStart"/>
            <w:r w:rsidRPr="00154895">
              <w:rPr>
                <w:rFonts w:ascii="Times New Roman" w:hAnsi="Times New Roman"/>
                <w:sz w:val="20"/>
                <w:szCs w:val="20"/>
                <w:shd w:val="clear" w:color="auto" w:fill="FFFFFF"/>
                <w:lang w:val="fr-FR"/>
              </w:rPr>
              <w:t>raportate</w:t>
            </w:r>
            <w:proofErr w:type="spellEnd"/>
            <w:r w:rsidRPr="00154895">
              <w:rPr>
                <w:rFonts w:ascii="Times New Roman" w:hAnsi="Times New Roman"/>
                <w:sz w:val="20"/>
                <w:szCs w:val="20"/>
                <w:shd w:val="clear" w:color="auto" w:fill="FFFFFF"/>
                <w:lang w:val="fr-FR"/>
              </w:rPr>
              <w:t xml:space="preserve"> în </w:t>
            </w:r>
            <w:proofErr w:type="spellStart"/>
            <w:r w:rsidRPr="00154895">
              <w:rPr>
                <w:rFonts w:ascii="Times New Roman" w:hAnsi="Times New Roman"/>
                <w:sz w:val="20"/>
                <w:szCs w:val="20"/>
                <w:shd w:val="clear" w:color="auto" w:fill="FFFFFF"/>
                <w:lang w:val="fr-FR"/>
              </w:rPr>
              <w:t>rapoartele</w:t>
            </w:r>
            <w:proofErr w:type="spellEnd"/>
            <w:r w:rsidRPr="00154895">
              <w:rPr>
                <w:rFonts w:ascii="Times New Roman" w:hAnsi="Times New Roman"/>
                <w:sz w:val="20"/>
                <w:szCs w:val="20"/>
                <w:shd w:val="clear" w:color="auto" w:fill="FFFFFF"/>
                <w:lang w:val="fr-FR"/>
              </w:rPr>
              <w:t xml:space="preserve"> </w:t>
            </w:r>
            <w:proofErr w:type="spellStart"/>
            <w:r w:rsidRPr="00154895">
              <w:rPr>
                <w:rFonts w:ascii="Times New Roman" w:hAnsi="Times New Roman"/>
                <w:sz w:val="20"/>
                <w:szCs w:val="20"/>
                <w:shd w:val="clear" w:color="auto" w:fill="FFFFFF"/>
                <w:lang w:val="fr-FR"/>
              </w:rPr>
              <w:t>pentru</w:t>
            </w:r>
            <w:proofErr w:type="spellEnd"/>
            <w:r w:rsidRPr="00154895">
              <w:rPr>
                <w:rFonts w:ascii="Times New Roman" w:hAnsi="Times New Roman"/>
                <w:sz w:val="20"/>
                <w:szCs w:val="20"/>
                <w:shd w:val="clear" w:color="auto" w:fill="FFFFFF"/>
                <w:lang w:val="fr-FR"/>
              </w:rPr>
              <w:t xml:space="preserve"> anii </w:t>
            </w:r>
            <w:proofErr w:type="spellStart"/>
            <w:r w:rsidRPr="00154895">
              <w:rPr>
                <w:rFonts w:ascii="Times New Roman" w:hAnsi="Times New Roman"/>
                <w:sz w:val="20"/>
                <w:szCs w:val="20"/>
                <w:shd w:val="clear" w:color="auto" w:fill="FFFFFF"/>
                <w:lang w:val="fr-FR"/>
              </w:rPr>
              <w:t>următori</w:t>
            </w:r>
            <w:proofErr w:type="spellEnd"/>
            <w:r w:rsidRPr="00154895">
              <w:rPr>
                <w:rFonts w:ascii="Times New Roman" w:hAnsi="Times New Roman"/>
                <w:sz w:val="20"/>
                <w:szCs w:val="20"/>
                <w:shd w:val="clear" w:color="auto" w:fill="FFFFFF"/>
                <w:lang w:val="fr-FR"/>
              </w:rPr>
              <w:t>.</w:t>
            </w:r>
          </w:p>
        </w:tc>
        <w:tc>
          <w:tcPr>
            <w:tcW w:w="4440" w:type="dxa"/>
          </w:tcPr>
          <w:p w14:paraId="623A546A" w14:textId="1F27B90C" w:rsidR="0098746F" w:rsidRPr="00294D0C" w:rsidRDefault="00294D0C" w:rsidP="00294D0C">
            <w:pPr>
              <w:pStyle w:val="af3"/>
              <w:ind w:left="0" w:firstLine="709"/>
              <w:jc w:val="both"/>
              <w:rPr>
                <w:sz w:val="24"/>
                <w:szCs w:val="28"/>
                <w:lang w:val="ro-MD" w:eastAsia="ro-RO" w:bidi="or-IN"/>
              </w:rPr>
            </w:pPr>
            <w:r w:rsidRPr="00294D0C">
              <w:rPr>
                <w:sz w:val="24"/>
                <w:szCs w:val="28"/>
                <w:lang w:val="ro-MD" w:eastAsia="ro-RO" w:bidi="or-IN"/>
              </w:rPr>
              <w:lastRenderedPageBreak/>
              <w:t xml:space="preserve"> </w:t>
            </w:r>
          </w:p>
        </w:tc>
        <w:tc>
          <w:tcPr>
            <w:tcW w:w="1276" w:type="dxa"/>
          </w:tcPr>
          <w:p w14:paraId="026507EF" w14:textId="06D3C89F" w:rsidR="00DA405E" w:rsidRPr="00C951E7" w:rsidRDefault="00B93900" w:rsidP="00DA405E">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w:t>
            </w:r>
            <w:r w:rsidR="00DA405E" w:rsidRPr="00C951E7">
              <w:rPr>
                <w:rFonts w:ascii="Times New Roman" w:hAnsi="Times New Roman"/>
                <w:bCs/>
                <w:color w:val="000000" w:themeColor="text1"/>
                <w:sz w:val="20"/>
                <w:szCs w:val="20"/>
                <w:lang w:val="ro-RO"/>
              </w:rPr>
              <w:t>ompatibil</w:t>
            </w:r>
          </w:p>
          <w:p w14:paraId="72C54D88" w14:textId="77777777" w:rsidR="008F5636" w:rsidRPr="00D93509" w:rsidRDefault="008F5636" w:rsidP="008F5636">
            <w:pPr>
              <w:pStyle w:val="ColorfulList-Accent11"/>
              <w:spacing w:after="0" w:line="240" w:lineRule="auto"/>
              <w:ind w:left="0"/>
              <w:jc w:val="both"/>
              <w:rPr>
                <w:lang w:val="ro-MD"/>
              </w:rPr>
            </w:pPr>
          </w:p>
        </w:tc>
        <w:tc>
          <w:tcPr>
            <w:tcW w:w="1276" w:type="dxa"/>
          </w:tcPr>
          <w:p w14:paraId="163C513F" w14:textId="77777777" w:rsidR="008F5636" w:rsidRPr="00D93509" w:rsidRDefault="008F5636" w:rsidP="008F5636">
            <w:pPr>
              <w:pStyle w:val="ColorfulList-Accent11"/>
              <w:spacing w:after="0" w:line="240" w:lineRule="auto"/>
              <w:ind w:left="0"/>
              <w:jc w:val="both"/>
              <w:rPr>
                <w:lang w:val="ro-MD"/>
              </w:rPr>
            </w:pPr>
          </w:p>
        </w:tc>
        <w:tc>
          <w:tcPr>
            <w:tcW w:w="1701" w:type="dxa"/>
          </w:tcPr>
          <w:p w14:paraId="230594A9" w14:textId="7B8B040F" w:rsidR="008F5636" w:rsidRPr="00D93509" w:rsidRDefault="00B93900" w:rsidP="000B379B">
            <w:pPr>
              <w:autoSpaceDE w:val="0"/>
              <w:spacing w:after="0" w:line="240" w:lineRule="auto"/>
              <w:rPr>
                <w:lang w:val="ro-MD"/>
              </w:rPr>
            </w:pPr>
            <w:r w:rsidRPr="000161B9">
              <w:rPr>
                <w:rFonts w:ascii="Times New Roman" w:eastAsia="Times New Roman" w:hAnsi="Times New Roman"/>
                <w:sz w:val="20"/>
                <w:szCs w:val="20"/>
                <w:lang w:val="ro-RO"/>
              </w:rPr>
              <w:t xml:space="preserve">Prevederile </w:t>
            </w:r>
            <w:r>
              <w:rPr>
                <w:rFonts w:ascii="Times New Roman" w:eastAsia="Times New Roman" w:hAnsi="Times New Roman"/>
                <w:sz w:val="20"/>
                <w:szCs w:val="20"/>
                <w:lang w:val="ro-RO"/>
              </w:rPr>
              <w:t>sunt transpuse</w:t>
            </w:r>
            <w:r w:rsidRPr="000161B9">
              <w:rPr>
                <w:rFonts w:ascii="Times New Roman" w:eastAsia="Times New Roman" w:hAnsi="Times New Roman"/>
                <w:sz w:val="20"/>
                <w:szCs w:val="20"/>
                <w:lang w:val="ro-RO"/>
              </w:rPr>
              <w:t xml:space="preserve"> în</w:t>
            </w:r>
            <w:r>
              <w:rPr>
                <w:rFonts w:ascii="Times New Roman" w:eastAsia="Times New Roman" w:hAnsi="Times New Roman"/>
                <w:sz w:val="20"/>
                <w:szCs w:val="20"/>
                <w:lang w:val="ro-RO"/>
              </w:rPr>
              <w:t xml:space="preserve"> pct.</w:t>
            </w:r>
            <w:r w:rsidRPr="00AE434C">
              <w:rPr>
                <w:rFonts w:ascii="Times New Roman" w:hAnsi="Times New Roman"/>
                <w:bCs/>
                <w:sz w:val="20"/>
                <w:szCs w:val="20"/>
                <w:lang w:val="fr-FR"/>
              </w:rPr>
              <w:t xml:space="preserve"> 33</w:t>
            </w:r>
            <w:r w:rsidRPr="00AE434C">
              <w:rPr>
                <w:rFonts w:ascii="Times New Roman" w:hAnsi="Times New Roman"/>
                <w:bCs/>
                <w:sz w:val="20"/>
                <w:szCs w:val="20"/>
                <w:vertAlign w:val="superscript"/>
                <w:lang w:val="fr-FR"/>
              </w:rPr>
              <w:t>1</w:t>
            </w:r>
            <w:r>
              <w:rPr>
                <w:rFonts w:ascii="Times New Roman" w:eastAsia="Times New Roman" w:hAnsi="Times New Roman"/>
                <w:sz w:val="20"/>
                <w:szCs w:val="20"/>
                <w:lang w:val="ro-RO"/>
              </w:rPr>
              <w:t>, pct.37 și pct.</w:t>
            </w:r>
            <w:r w:rsidRPr="00AE434C">
              <w:rPr>
                <w:rFonts w:ascii="Times New Roman" w:hAnsi="Times New Roman"/>
                <w:bCs/>
                <w:sz w:val="20"/>
                <w:szCs w:val="20"/>
                <w:lang w:val="fr-FR"/>
              </w:rPr>
              <w:t>3</w:t>
            </w:r>
            <w:r>
              <w:rPr>
                <w:rFonts w:ascii="Times New Roman" w:hAnsi="Times New Roman"/>
                <w:bCs/>
                <w:sz w:val="20"/>
                <w:szCs w:val="20"/>
                <w:lang w:val="fr-FR"/>
              </w:rPr>
              <w:t>7</w:t>
            </w:r>
            <w:r w:rsidRPr="00AE434C">
              <w:rPr>
                <w:rFonts w:ascii="Times New Roman" w:hAnsi="Times New Roman"/>
                <w:bCs/>
                <w:sz w:val="20"/>
                <w:szCs w:val="20"/>
                <w:vertAlign w:val="superscript"/>
                <w:lang w:val="fr-FR"/>
              </w:rPr>
              <w:t>1</w:t>
            </w:r>
            <w:r>
              <w:rPr>
                <w:rFonts w:ascii="Times New Roman" w:eastAsia="Times New Roman" w:hAnsi="Times New Roman"/>
                <w:sz w:val="20"/>
                <w:szCs w:val="20"/>
                <w:lang w:val="ro-RO"/>
              </w:rPr>
              <w:t xml:space="preserve">din </w:t>
            </w:r>
            <w:r w:rsidRPr="000161B9">
              <w:rPr>
                <w:rFonts w:ascii="Times New Roman" w:hAnsi="Times New Roman"/>
                <w:sz w:val="20"/>
                <w:szCs w:val="20"/>
                <w:lang w:val="ro-RO"/>
              </w:rPr>
              <w:t>HG</w:t>
            </w:r>
            <w:r w:rsidRPr="000161B9">
              <w:rPr>
                <w:rFonts w:ascii="Times New Roman" w:hAnsi="Times New Roman"/>
                <w:sz w:val="20"/>
                <w:szCs w:val="20"/>
                <w:shd w:val="clear" w:color="auto" w:fill="FFFFFF"/>
                <w:lang w:val="ro-MD"/>
              </w:rPr>
              <w:t xml:space="preserve"> </w:t>
            </w:r>
            <w:r w:rsidRPr="000161B9">
              <w:rPr>
                <w:rStyle w:val="apple-converted-space"/>
                <w:rFonts w:ascii="Times New Roman" w:hAnsi="Times New Roman"/>
                <w:sz w:val="20"/>
                <w:szCs w:val="20"/>
                <w:shd w:val="clear" w:color="auto" w:fill="FFFFFF"/>
                <w:lang w:val="ro-MD"/>
              </w:rPr>
              <w:t>nr.</w:t>
            </w:r>
            <w:r w:rsidRPr="000161B9">
              <w:rPr>
                <w:rFonts w:ascii="Times New Roman" w:hAnsi="Times New Roman"/>
                <w:sz w:val="20"/>
                <w:szCs w:val="20"/>
                <w:lang w:val="ro-MD"/>
              </w:rPr>
              <w:t xml:space="preserve">1277/2018 cu </w:t>
            </w:r>
            <w:r w:rsidRPr="000161B9">
              <w:rPr>
                <w:rFonts w:ascii="Times New Roman" w:hAnsi="Times New Roman"/>
                <w:sz w:val="20"/>
                <w:szCs w:val="20"/>
                <w:lang w:val="ro-MD"/>
              </w:rPr>
              <w:lastRenderedPageBreak/>
              <w:t>privire la instituirea și funcționarea sistemului național de monitorizare și raportare a emisiilor de gaze cu efect de seră și altor informații relevante pentru schimbările climatice</w:t>
            </w:r>
          </w:p>
        </w:tc>
        <w:tc>
          <w:tcPr>
            <w:tcW w:w="1460" w:type="dxa"/>
          </w:tcPr>
          <w:p w14:paraId="6E12F61E" w14:textId="77777777" w:rsidR="008C49E3" w:rsidRPr="00543A71" w:rsidRDefault="008C49E3" w:rsidP="008C49E3">
            <w:pPr>
              <w:autoSpaceDE w:val="0"/>
              <w:spacing w:after="0" w:line="240" w:lineRule="auto"/>
              <w:rPr>
                <w:rFonts w:ascii="Times New Roman" w:hAnsi="Times New Roman"/>
                <w:sz w:val="20"/>
                <w:szCs w:val="20"/>
                <w:shd w:val="clear" w:color="auto" w:fill="FFFFFF"/>
                <w:lang w:val="ro-RO"/>
              </w:rPr>
            </w:pPr>
            <w:r w:rsidRPr="00543A71">
              <w:rPr>
                <w:rFonts w:ascii="Times New Roman" w:hAnsi="Times New Roman"/>
                <w:sz w:val="20"/>
                <w:szCs w:val="20"/>
                <w:shd w:val="clear" w:color="auto" w:fill="FFFFFF"/>
                <w:lang w:val="ro-RO"/>
              </w:rPr>
              <w:lastRenderedPageBreak/>
              <w:t>Ministerul Mediului</w:t>
            </w:r>
          </w:p>
          <w:p w14:paraId="2A72B697" w14:textId="77777777" w:rsidR="008F5636" w:rsidRDefault="008F5636" w:rsidP="008F5636">
            <w:pPr>
              <w:pStyle w:val="ColorfulList-Accent11"/>
              <w:spacing w:after="0" w:line="240" w:lineRule="auto"/>
              <w:ind w:left="0"/>
              <w:jc w:val="both"/>
              <w:rPr>
                <w:lang w:val="ro-MD"/>
              </w:rPr>
            </w:pPr>
          </w:p>
          <w:p w14:paraId="2824E8C5" w14:textId="33E0AE56" w:rsidR="00466813" w:rsidRPr="00466813" w:rsidRDefault="00466813" w:rsidP="008F5636">
            <w:pPr>
              <w:pStyle w:val="ColorfulList-Accent11"/>
              <w:spacing w:after="0" w:line="240" w:lineRule="auto"/>
              <w:ind w:left="0"/>
              <w:jc w:val="both"/>
              <w:rPr>
                <w:rFonts w:ascii="Times New Roman" w:hAnsi="Times New Roman"/>
                <w:sz w:val="20"/>
                <w:szCs w:val="20"/>
                <w:lang w:val="ro-MD"/>
              </w:rPr>
            </w:pPr>
            <w:r w:rsidRPr="00466813">
              <w:rPr>
                <w:rFonts w:ascii="Times New Roman" w:hAnsi="Times New Roman"/>
                <w:sz w:val="20"/>
                <w:szCs w:val="20"/>
                <w:lang w:val="ro-MD"/>
              </w:rPr>
              <w:lastRenderedPageBreak/>
              <w:t>Agenția de Mediu</w:t>
            </w:r>
          </w:p>
        </w:tc>
      </w:tr>
      <w:tr w:rsidR="008F5636" w:rsidRPr="009231D7" w14:paraId="39ABAC14" w14:textId="77777777" w:rsidTr="00A90105">
        <w:tc>
          <w:tcPr>
            <w:tcW w:w="4945" w:type="dxa"/>
          </w:tcPr>
          <w:p w14:paraId="249E8734" w14:textId="77777777" w:rsidR="008F5636" w:rsidRPr="005A6DBB" w:rsidRDefault="008F5636" w:rsidP="008F5636">
            <w:pPr>
              <w:pStyle w:val="doc-ti"/>
              <w:shd w:val="clear" w:color="auto" w:fill="FFFFFF"/>
              <w:spacing w:before="0" w:beforeAutospacing="0" w:after="0" w:afterAutospacing="0"/>
              <w:jc w:val="center"/>
              <w:rPr>
                <w:b/>
                <w:bCs/>
                <w:sz w:val="20"/>
                <w:szCs w:val="20"/>
                <w:lang w:val="ro-MD"/>
              </w:rPr>
            </w:pPr>
            <w:r w:rsidRPr="005A6DBB">
              <w:rPr>
                <w:b/>
                <w:bCs/>
                <w:sz w:val="20"/>
                <w:szCs w:val="20"/>
                <w:lang w:val="fr-FR"/>
              </w:rPr>
              <w:lastRenderedPageBreak/>
              <w:t>ANEXA IX</w:t>
            </w:r>
          </w:p>
          <w:p w14:paraId="70B59D4B" w14:textId="77777777" w:rsidR="008F5636" w:rsidRPr="005A6DBB" w:rsidRDefault="008F5636" w:rsidP="008F5636">
            <w:pPr>
              <w:pStyle w:val="ti-grseq-1"/>
              <w:shd w:val="clear" w:color="auto" w:fill="FFFFFF"/>
              <w:spacing w:before="0" w:beforeAutospacing="0" w:after="0" w:afterAutospacing="0"/>
              <w:jc w:val="both"/>
              <w:rPr>
                <w:b/>
                <w:bCs/>
                <w:sz w:val="20"/>
                <w:szCs w:val="20"/>
                <w:lang w:val="fr-FR"/>
              </w:rPr>
            </w:pPr>
            <w:r w:rsidRPr="005A6DBB">
              <w:rPr>
                <w:rStyle w:val="bold"/>
                <w:b/>
                <w:bCs/>
                <w:sz w:val="20"/>
                <w:szCs w:val="20"/>
                <w:lang w:val="fr-FR"/>
              </w:rPr>
              <w:t>OBLIGAȚII DE RAPORTARE SUPLIMENTARE</w:t>
            </w:r>
          </w:p>
          <w:p w14:paraId="02604A6C" w14:textId="77777777" w:rsidR="008F5636" w:rsidRPr="005A6DBB" w:rsidRDefault="008F5636" w:rsidP="008F5636">
            <w:pPr>
              <w:pStyle w:val="ti-grseq-1"/>
              <w:shd w:val="clear" w:color="auto" w:fill="FFFFFF"/>
              <w:spacing w:before="0" w:beforeAutospacing="0" w:after="0" w:afterAutospacing="0"/>
              <w:jc w:val="both"/>
              <w:rPr>
                <w:b/>
                <w:bCs/>
                <w:sz w:val="20"/>
                <w:szCs w:val="20"/>
                <w:lang w:val="fr-FR"/>
              </w:rPr>
            </w:pPr>
            <w:proofErr w:type="spellStart"/>
            <w:r w:rsidRPr="005A6DBB">
              <w:rPr>
                <w:rStyle w:val="bold"/>
                <w:b/>
                <w:bCs/>
                <w:sz w:val="20"/>
                <w:szCs w:val="20"/>
                <w:lang w:val="fr-FR"/>
              </w:rPr>
              <w:t>Partea</w:t>
            </w:r>
            <w:proofErr w:type="spellEnd"/>
            <w:r w:rsidRPr="005A6DBB">
              <w:rPr>
                <w:rStyle w:val="bold"/>
                <w:b/>
                <w:bCs/>
                <w:sz w:val="20"/>
                <w:szCs w:val="20"/>
                <w:lang w:val="fr-FR"/>
              </w:rPr>
              <w:t xml:space="preserve"> 1</w:t>
            </w:r>
          </w:p>
          <w:p w14:paraId="4313D498" w14:textId="77777777" w:rsidR="008F5636" w:rsidRPr="005A6DBB" w:rsidRDefault="008F5636" w:rsidP="008F5636">
            <w:pPr>
              <w:pStyle w:val="ti-grseq-1"/>
              <w:shd w:val="clear" w:color="auto" w:fill="FFFFFF"/>
              <w:spacing w:before="0" w:beforeAutospacing="0" w:after="0" w:afterAutospacing="0"/>
              <w:jc w:val="both"/>
              <w:rPr>
                <w:b/>
                <w:bCs/>
                <w:sz w:val="20"/>
                <w:szCs w:val="20"/>
                <w:lang w:val="fr-FR"/>
              </w:rPr>
            </w:pPr>
            <w:proofErr w:type="spellStart"/>
            <w:r w:rsidRPr="005A6DBB">
              <w:rPr>
                <w:rStyle w:val="bold"/>
                <w:b/>
                <w:bCs/>
                <w:sz w:val="20"/>
                <w:szCs w:val="20"/>
                <w:lang w:val="fr-FR"/>
              </w:rPr>
              <w:lastRenderedPageBreak/>
              <w:t>Obligații</w:t>
            </w:r>
            <w:proofErr w:type="spellEnd"/>
            <w:r w:rsidRPr="005A6DBB">
              <w:rPr>
                <w:rStyle w:val="bold"/>
                <w:b/>
                <w:bCs/>
                <w:sz w:val="20"/>
                <w:szCs w:val="20"/>
                <w:lang w:val="fr-FR"/>
              </w:rPr>
              <w:t xml:space="preserve"> de </w:t>
            </w:r>
            <w:proofErr w:type="spellStart"/>
            <w:r w:rsidRPr="005A6DBB">
              <w:rPr>
                <w:rStyle w:val="bold"/>
                <w:b/>
                <w:bCs/>
                <w:sz w:val="20"/>
                <w:szCs w:val="20"/>
                <w:lang w:val="fr-FR"/>
              </w:rPr>
              <w:t>raportare</w:t>
            </w:r>
            <w:proofErr w:type="spellEnd"/>
            <w:r w:rsidRPr="005A6DBB">
              <w:rPr>
                <w:rStyle w:val="bold"/>
                <w:b/>
                <w:bCs/>
                <w:sz w:val="20"/>
                <w:szCs w:val="20"/>
                <w:lang w:val="fr-FR"/>
              </w:rPr>
              <w:t xml:space="preserve"> </w:t>
            </w:r>
            <w:proofErr w:type="spellStart"/>
            <w:r w:rsidRPr="005A6DBB">
              <w:rPr>
                <w:rStyle w:val="bold"/>
                <w:b/>
                <w:bCs/>
                <w:sz w:val="20"/>
                <w:szCs w:val="20"/>
                <w:lang w:val="fr-FR"/>
              </w:rPr>
              <w:t>suplimentare</w:t>
            </w:r>
            <w:proofErr w:type="spellEnd"/>
            <w:r w:rsidRPr="005A6DBB">
              <w:rPr>
                <w:rStyle w:val="bold"/>
                <w:b/>
                <w:bCs/>
                <w:sz w:val="20"/>
                <w:szCs w:val="20"/>
                <w:lang w:val="fr-FR"/>
              </w:rPr>
              <w:t xml:space="preserve"> în </w:t>
            </w:r>
            <w:proofErr w:type="spellStart"/>
            <w:r w:rsidRPr="005A6DBB">
              <w:rPr>
                <w:rStyle w:val="bold"/>
                <w:b/>
                <w:bCs/>
                <w:sz w:val="20"/>
                <w:szCs w:val="20"/>
                <w:lang w:val="fr-FR"/>
              </w:rPr>
              <w:t>domeniul</w:t>
            </w:r>
            <w:proofErr w:type="spellEnd"/>
            <w:r w:rsidRPr="005A6DBB">
              <w:rPr>
                <w:rStyle w:val="bold"/>
                <w:b/>
                <w:bCs/>
                <w:sz w:val="20"/>
                <w:szCs w:val="20"/>
                <w:lang w:val="fr-FR"/>
              </w:rPr>
              <w:t xml:space="preserve"> energiei </w:t>
            </w:r>
            <w:proofErr w:type="spellStart"/>
            <w:r w:rsidRPr="005A6DBB">
              <w:rPr>
                <w:rStyle w:val="bold"/>
                <w:b/>
                <w:bCs/>
                <w:sz w:val="20"/>
                <w:szCs w:val="20"/>
                <w:lang w:val="fr-FR"/>
              </w:rPr>
              <w:t>din</w:t>
            </w:r>
            <w:proofErr w:type="spellEnd"/>
            <w:r w:rsidRPr="005A6DBB">
              <w:rPr>
                <w:rStyle w:val="bold"/>
                <w:b/>
                <w:bCs/>
                <w:sz w:val="20"/>
                <w:szCs w:val="20"/>
                <w:lang w:val="fr-FR"/>
              </w:rPr>
              <w:t xml:space="preserve"> surse </w:t>
            </w:r>
            <w:proofErr w:type="spellStart"/>
            <w:r w:rsidRPr="005A6DBB">
              <w:rPr>
                <w:rStyle w:val="bold"/>
                <w:b/>
                <w:bCs/>
                <w:sz w:val="20"/>
                <w:szCs w:val="20"/>
                <w:lang w:val="fr-FR"/>
              </w:rPr>
              <w:t>regenerabile</w:t>
            </w:r>
            <w:proofErr w:type="spellEnd"/>
          </w:p>
          <w:p w14:paraId="42CA605B" w14:textId="77777777" w:rsidR="008F5636" w:rsidRPr="005A6DBB" w:rsidRDefault="008F5636" w:rsidP="008F5636">
            <w:pPr>
              <w:pStyle w:val="ColorfulList-Accent11"/>
              <w:spacing w:after="0" w:line="240" w:lineRule="auto"/>
              <w:ind w:left="0"/>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Trebuie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incluse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următoarele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informații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suplimentare</w:t>
            </w:r>
            <w:proofErr w:type="spellEnd"/>
            <w:r w:rsidRPr="005A6DBB">
              <w:rPr>
                <w:rFonts w:ascii="Times New Roman" w:hAnsi="Times New Roman"/>
                <w:sz w:val="20"/>
                <w:szCs w:val="20"/>
                <w:shd w:val="clear" w:color="auto" w:fill="FFFFFF"/>
              </w:rPr>
              <w:t xml:space="preserve">, cu </w:t>
            </w:r>
            <w:proofErr w:type="spellStart"/>
            <w:r w:rsidRPr="005A6DBB">
              <w:rPr>
                <w:rFonts w:ascii="Times New Roman" w:hAnsi="Times New Roman"/>
                <w:sz w:val="20"/>
                <w:szCs w:val="20"/>
                <w:shd w:val="clear" w:color="auto" w:fill="FFFFFF"/>
              </w:rPr>
              <w:t>excepția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cazului</w:t>
            </w:r>
            <w:proofErr w:type="spellEnd"/>
            <w:r w:rsidRPr="005A6DBB">
              <w:rPr>
                <w:rFonts w:ascii="Times New Roman" w:hAnsi="Times New Roman"/>
                <w:sz w:val="20"/>
                <w:szCs w:val="20"/>
                <w:shd w:val="clear" w:color="auto" w:fill="FFFFFF"/>
              </w:rPr>
              <w:t xml:space="preserve"> în care se </w:t>
            </w:r>
            <w:proofErr w:type="spellStart"/>
            <w:r w:rsidRPr="005A6DBB">
              <w:rPr>
                <w:rFonts w:ascii="Times New Roman" w:hAnsi="Times New Roman"/>
                <w:sz w:val="20"/>
                <w:szCs w:val="20"/>
                <w:shd w:val="clear" w:color="auto" w:fill="FFFFFF"/>
              </w:rPr>
              <w:t>prevede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altfel</w:t>
            </w:r>
            <w:proofErr w:type="spellEnd"/>
            <w:r w:rsidRPr="005A6DBB">
              <w:rPr>
                <w:rFonts w:ascii="Times New Roman" w:hAnsi="Times New Roman"/>
                <w:sz w:val="20"/>
                <w:szCs w:val="20"/>
                <w:shd w:val="clear" w:color="auto" w:fill="FFFFFF"/>
              </w:rPr>
              <w:t xml:space="preserve">, în conformitate cu </w:t>
            </w:r>
            <w:proofErr w:type="spellStart"/>
            <w:r w:rsidRPr="005A6DBB">
              <w:rPr>
                <w:rFonts w:ascii="Times New Roman" w:hAnsi="Times New Roman"/>
                <w:sz w:val="20"/>
                <w:szCs w:val="20"/>
                <w:shd w:val="clear" w:color="auto" w:fill="FFFFFF"/>
              </w:rPr>
              <w:t>articolul</w:t>
            </w:r>
            <w:proofErr w:type="spellEnd"/>
            <w:r w:rsidRPr="005A6DBB">
              <w:rPr>
                <w:rFonts w:ascii="Times New Roman" w:hAnsi="Times New Roman"/>
                <w:sz w:val="20"/>
                <w:szCs w:val="20"/>
                <w:shd w:val="clear" w:color="auto" w:fill="FFFFFF"/>
              </w:rPr>
              <w:t xml:space="preserve"> 20 </w:t>
            </w:r>
            <w:proofErr w:type="spellStart"/>
            <w:r w:rsidRPr="005A6DBB">
              <w:rPr>
                <w:rFonts w:ascii="Times New Roman" w:hAnsi="Times New Roman"/>
                <w:sz w:val="20"/>
                <w:szCs w:val="20"/>
                <w:shd w:val="clear" w:color="auto" w:fill="FFFFFF"/>
              </w:rPr>
              <w:t>litera</w:t>
            </w:r>
            <w:proofErr w:type="spellEnd"/>
            <w:r w:rsidRPr="005A6DBB">
              <w:rPr>
                <w:rFonts w:ascii="Times New Roman" w:hAnsi="Times New Roman"/>
                <w:sz w:val="20"/>
                <w:szCs w:val="20"/>
                <w:shd w:val="clear" w:color="auto" w:fill="FFFFFF"/>
              </w:rPr>
              <w:t xml:space="preserve"> (c):</w:t>
            </w:r>
          </w:p>
          <w:p w14:paraId="0E6F8DAC"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funcționarea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sistemului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garanții</w:t>
            </w:r>
            <w:proofErr w:type="spellEnd"/>
            <w:r w:rsidRPr="005A6DBB">
              <w:rPr>
                <w:rFonts w:ascii="Times New Roman" w:hAnsi="Times New Roman"/>
                <w:sz w:val="20"/>
                <w:szCs w:val="20"/>
                <w:shd w:val="clear" w:color="auto" w:fill="FFFFFF"/>
                <w:lang w:val="fr-FR"/>
              </w:rPr>
              <w:t xml:space="preserve"> de origine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gaz și </w:t>
            </w:r>
            <w:proofErr w:type="spellStart"/>
            <w:r w:rsidRPr="005A6DBB">
              <w:rPr>
                <w:rFonts w:ascii="Times New Roman" w:hAnsi="Times New Roman"/>
                <w:sz w:val="20"/>
                <w:szCs w:val="20"/>
                <w:shd w:val="clear" w:color="auto" w:fill="FFFFFF"/>
                <w:lang w:val="fr-FR"/>
              </w:rPr>
              <w:t>încălzire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răcire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nivelurile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eliberare</w:t>
            </w:r>
            <w:proofErr w:type="spellEnd"/>
            <w:r w:rsidRPr="005A6DBB">
              <w:rPr>
                <w:rFonts w:ascii="Times New Roman" w:hAnsi="Times New Roman"/>
                <w:sz w:val="20"/>
                <w:szCs w:val="20"/>
                <w:shd w:val="clear" w:color="auto" w:fill="FFFFFF"/>
                <w:lang w:val="fr-FR"/>
              </w:rPr>
              <w:t xml:space="preserve"> și de </w:t>
            </w:r>
            <w:proofErr w:type="spellStart"/>
            <w:r w:rsidRPr="005A6DBB">
              <w:rPr>
                <w:rFonts w:ascii="Times New Roman" w:hAnsi="Times New Roman"/>
                <w:sz w:val="20"/>
                <w:szCs w:val="20"/>
                <w:shd w:val="clear" w:color="auto" w:fill="FFFFFF"/>
                <w:lang w:val="fr-FR"/>
              </w:rPr>
              <w:t>anulare</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garanțiilor</w:t>
            </w:r>
            <w:proofErr w:type="spellEnd"/>
            <w:r w:rsidRPr="005A6DBB">
              <w:rPr>
                <w:rFonts w:ascii="Times New Roman" w:hAnsi="Times New Roman"/>
                <w:sz w:val="20"/>
                <w:szCs w:val="20"/>
                <w:shd w:val="clear" w:color="auto" w:fill="FFFFFF"/>
                <w:lang w:val="fr-FR"/>
              </w:rPr>
              <w:t xml:space="preserve"> de origine și </w:t>
            </w:r>
            <w:proofErr w:type="spellStart"/>
            <w:r w:rsidRPr="005A6DBB">
              <w:rPr>
                <w:rFonts w:ascii="Times New Roman" w:hAnsi="Times New Roman"/>
                <w:sz w:val="20"/>
                <w:szCs w:val="20"/>
                <w:shd w:val="clear" w:color="auto" w:fill="FFFFFF"/>
                <w:lang w:val="fr-FR"/>
              </w:rPr>
              <w:t>consumul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anual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național</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rezultat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precum</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măsurile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luate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a se </w:t>
            </w:r>
            <w:proofErr w:type="spellStart"/>
            <w:r w:rsidRPr="005A6DBB">
              <w:rPr>
                <w:rFonts w:ascii="Times New Roman" w:hAnsi="Times New Roman"/>
                <w:sz w:val="20"/>
                <w:szCs w:val="20"/>
                <w:shd w:val="clear" w:color="auto" w:fill="FFFFFF"/>
                <w:lang w:val="fr-FR"/>
              </w:rPr>
              <w:t>asigura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fiabilitatea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sistemului</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protecția</w:t>
            </w:r>
            <w:proofErr w:type="spellEnd"/>
            <w:r w:rsidRPr="005A6DBB">
              <w:rPr>
                <w:rFonts w:ascii="Times New Roman" w:hAnsi="Times New Roman"/>
                <w:sz w:val="20"/>
                <w:szCs w:val="20"/>
                <w:shd w:val="clear" w:color="auto" w:fill="FFFFFF"/>
                <w:lang w:val="fr-FR"/>
              </w:rPr>
              <w:t xml:space="preserve"> sa </w:t>
            </w:r>
            <w:proofErr w:type="spellStart"/>
            <w:r w:rsidRPr="005A6DBB">
              <w:rPr>
                <w:rFonts w:ascii="Times New Roman" w:hAnsi="Times New Roman"/>
                <w:sz w:val="20"/>
                <w:szCs w:val="20"/>
                <w:shd w:val="clear" w:color="auto" w:fill="FFFFFF"/>
                <w:lang w:val="fr-FR"/>
              </w:rPr>
              <w:t>împotriva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fraudelor</w:t>
            </w:r>
            <w:proofErr w:type="spellEnd"/>
            <w:r w:rsidRPr="005A6DBB">
              <w:rPr>
                <w:rFonts w:ascii="Times New Roman" w:hAnsi="Times New Roman"/>
                <w:sz w:val="20"/>
                <w:szCs w:val="20"/>
                <w:shd w:val="clear" w:color="auto" w:fill="FFFFFF"/>
                <w:lang w:val="fr-FR"/>
              </w:rPr>
              <w:t>;</w:t>
            </w:r>
          </w:p>
          <w:p w14:paraId="4DF165DB"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lang w:val="fr-FR"/>
              </w:rPr>
              <w:t>cantitățile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biocombustibili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biogaze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combustibili</w:t>
            </w:r>
            <w:proofErr w:type="spellEnd"/>
            <w:r w:rsidRPr="005A6DBB">
              <w:rPr>
                <w:rFonts w:ascii="Times New Roman" w:hAnsi="Times New Roman"/>
                <w:sz w:val="20"/>
                <w:szCs w:val="20"/>
                <w:shd w:val="clear" w:color="auto" w:fill="FFFFFF"/>
                <w:lang w:val="fr-FR"/>
              </w:rPr>
              <w:t xml:space="preserve"> de origine </w:t>
            </w:r>
            <w:proofErr w:type="spellStart"/>
            <w:r w:rsidRPr="005A6DBB">
              <w:rPr>
                <w:rFonts w:ascii="Times New Roman" w:hAnsi="Times New Roman"/>
                <w:sz w:val="20"/>
                <w:szCs w:val="20"/>
                <w:shd w:val="clear" w:color="auto" w:fill="FFFFFF"/>
                <w:lang w:val="fr-FR"/>
              </w:rPr>
              <w:t>nebiologică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produși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utilizați</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transporturi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combustibili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bază</w:t>
            </w:r>
            <w:proofErr w:type="spellEnd"/>
            <w:r w:rsidRPr="005A6DBB">
              <w:rPr>
                <w:rFonts w:ascii="Times New Roman" w:hAnsi="Times New Roman"/>
                <w:sz w:val="20"/>
                <w:szCs w:val="20"/>
                <w:shd w:val="clear" w:color="auto" w:fill="FFFFFF"/>
                <w:lang w:val="fr-FR"/>
              </w:rPr>
              <w:t xml:space="preserve"> de carbon </w:t>
            </w:r>
            <w:proofErr w:type="spellStart"/>
            <w:r w:rsidRPr="005A6DBB">
              <w:rPr>
                <w:rFonts w:ascii="Times New Roman" w:hAnsi="Times New Roman"/>
                <w:sz w:val="20"/>
                <w:szCs w:val="20"/>
                <w:shd w:val="clear" w:color="auto" w:fill="FFFFFF"/>
                <w:lang w:val="fr-FR"/>
              </w:rPr>
              <w:t>reciclat</w:t>
            </w:r>
            <w:proofErr w:type="spellEnd"/>
            <w:r w:rsidRPr="005A6DBB">
              <w:rPr>
                <w:rFonts w:ascii="Times New Roman" w:hAnsi="Times New Roman"/>
                <w:sz w:val="20"/>
                <w:szCs w:val="20"/>
                <w:shd w:val="clear" w:color="auto" w:fill="FFFFFF"/>
                <w:lang w:val="fr-FR"/>
              </w:rPr>
              <w:t xml:space="preserve"> și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consumate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sectorul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transporturilor</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dacă</w:t>
            </w:r>
            <w:proofErr w:type="spellEnd"/>
            <w:r w:rsidRPr="005A6DBB">
              <w:rPr>
                <w:rFonts w:ascii="Times New Roman" w:hAnsi="Times New Roman"/>
                <w:sz w:val="20"/>
                <w:szCs w:val="20"/>
                <w:shd w:val="clear" w:color="auto" w:fill="FFFFFF"/>
                <w:lang w:val="fr-FR"/>
              </w:rPr>
              <w:t xml:space="preserve"> este relevant, </w:t>
            </w:r>
            <w:proofErr w:type="spellStart"/>
            <w:r w:rsidRPr="005A6DBB">
              <w:rPr>
                <w:rFonts w:ascii="Times New Roman" w:hAnsi="Times New Roman"/>
                <w:sz w:val="20"/>
                <w:szCs w:val="20"/>
                <w:shd w:val="clear" w:color="auto" w:fill="FFFFFF"/>
                <w:lang w:val="fr-FR"/>
              </w:rPr>
              <w:t>performanța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punctul</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vedere</w:t>
            </w:r>
            <w:proofErr w:type="spellEnd"/>
            <w:r w:rsidRPr="005A6DBB">
              <w:rPr>
                <w:rFonts w:ascii="Times New Roman" w:hAnsi="Times New Roman"/>
                <w:sz w:val="20"/>
                <w:szCs w:val="20"/>
                <w:shd w:val="clear" w:color="auto" w:fill="FFFFFF"/>
                <w:lang w:val="fr-FR"/>
              </w:rPr>
              <w:t xml:space="preserve"> al </w:t>
            </w:r>
            <w:proofErr w:type="spellStart"/>
            <w:r w:rsidRPr="005A6DBB">
              <w:rPr>
                <w:rFonts w:ascii="Times New Roman" w:hAnsi="Times New Roman"/>
                <w:sz w:val="20"/>
                <w:szCs w:val="20"/>
                <w:shd w:val="clear" w:color="auto" w:fill="FFFFFF"/>
                <w:lang w:val="fr-FR"/>
              </w:rPr>
              <w:t>economisirii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gazelor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efect</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seră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făcând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distincția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între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combustibilii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produși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diferite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tipuri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culturi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alimentare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furajere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fiecare</w:t>
            </w:r>
            <w:proofErr w:type="spellEnd"/>
            <w:r w:rsidRPr="005A6DBB">
              <w:rPr>
                <w:rFonts w:ascii="Times New Roman" w:hAnsi="Times New Roman"/>
                <w:sz w:val="20"/>
                <w:szCs w:val="20"/>
                <w:shd w:val="clear" w:color="auto" w:fill="FFFFFF"/>
                <w:lang w:val="fr-FR"/>
              </w:rPr>
              <w:t xml:space="preserve"> tip de </w:t>
            </w:r>
            <w:proofErr w:type="spellStart"/>
            <w:r w:rsidRPr="005A6DBB">
              <w:rPr>
                <w:rFonts w:ascii="Times New Roman" w:hAnsi="Times New Roman"/>
                <w:sz w:val="20"/>
                <w:szCs w:val="20"/>
                <w:shd w:val="clear" w:color="auto" w:fill="FFFFFF"/>
                <w:lang w:val="fr-FR"/>
              </w:rPr>
              <w:t>materie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primă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enumerată</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anexa</w:t>
            </w:r>
            <w:proofErr w:type="spellEnd"/>
            <w:r w:rsidRPr="005A6DBB">
              <w:rPr>
                <w:rFonts w:ascii="Times New Roman" w:hAnsi="Times New Roman"/>
                <w:sz w:val="20"/>
                <w:szCs w:val="20"/>
                <w:shd w:val="clear" w:color="auto" w:fill="FFFFFF"/>
                <w:lang w:val="fr-FR"/>
              </w:rPr>
              <w:t xml:space="preserve"> IX la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(UE) 2018/2001;</w:t>
            </w:r>
          </w:p>
          <w:p w14:paraId="3DBDDD62"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evoluțiile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ceea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privește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disponibilitatea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originea</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utilizarea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resurselor</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biomasă</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scopuri</w:t>
            </w:r>
            <w:proofErr w:type="spellEnd"/>
            <w:r w:rsidRPr="005A6DBB">
              <w:rPr>
                <w:rFonts w:ascii="Times New Roman" w:hAnsi="Times New Roman"/>
                <w:sz w:val="20"/>
                <w:szCs w:val="20"/>
                <w:shd w:val="clear" w:color="auto" w:fill="FFFFFF"/>
              </w:rPr>
              <w:t xml:space="preserve"> </w:t>
            </w:r>
            <w:proofErr w:type="spellStart"/>
            <w:proofErr w:type="gram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w:t>
            </w:r>
            <w:proofErr w:type="gramEnd"/>
          </w:p>
          <w:p w14:paraId="41973FE2"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modificările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survenite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ceea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privește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prețurile</w:t>
            </w:r>
            <w:proofErr w:type="spellEnd"/>
            <w:r w:rsidRPr="005A6DBB">
              <w:rPr>
                <w:rFonts w:ascii="Times New Roman" w:hAnsi="Times New Roman"/>
                <w:sz w:val="20"/>
                <w:szCs w:val="20"/>
                <w:shd w:val="clear" w:color="auto" w:fill="FFFFFF"/>
              </w:rPr>
              <w:t xml:space="preserve"> produselor și </w:t>
            </w:r>
            <w:proofErr w:type="spellStart"/>
            <w:r w:rsidRPr="005A6DBB">
              <w:rPr>
                <w:rFonts w:ascii="Times New Roman" w:hAnsi="Times New Roman"/>
                <w:sz w:val="20"/>
                <w:szCs w:val="20"/>
                <w:shd w:val="clear" w:color="auto" w:fill="FFFFFF"/>
              </w:rPr>
              <w:t>destinația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terenurilor</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cadrul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statului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membru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asociate</w:t>
            </w:r>
            <w:proofErr w:type="spellEnd"/>
            <w:r w:rsidRPr="005A6DBB">
              <w:rPr>
                <w:rFonts w:ascii="Times New Roman" w:hAnsi="Times New Roman"/>
                <w:sz w:val="20"/>
                <w:szCs w:val="20"/>
                <w:shd w:val="clear" w:color="auto" w:fill="FFFFFF"/>
              </w:rPr>
              <w:t xml:space="preserve"> cu </w:t>
            </w:r>
            <w:proofErr w:type="spellStart"/>
            <w:r w:rsidRPr="005A6DBB">
              <w:rPr>
                <w:rFonts w:ascii="Times New Roman" w:hAnsi="Times New Roman"/>
                <w:sz w:val="20"/>
                <w:szCs w:val="20"/>
                <w:shd w:val="clear" w:color="auto" w:fill="FFFFFF"/>
              </w:rPr>
              <w:t>intensificarea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utilizării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biomasei</w:t>
            </w:r>
            <w:proofErr w:type="spellEnd"/>
            <w:r w:rsidRPr="005A6DBB">
              <w:rPr>
                <w:rFonts w:ascii="Times New Roman" w:hAnsi="Times New Roman"/>
                <w:sz w:val="20"/>
                <w:szCs w:val="20"/>
                <w:shd w:val="clear" w:color="auto" w:fill="FFFFFF"/>
              </w:rPr>
              <w:t xml:space="preserve"> și </w:t>
            </w:r>
            <w:proofErr w:type="gramStart"/>
            <w:r w:rsidRPr="005A6DBB">
              <w:rPr>
                <w:rFonts w:ascii="Times New Roman" w:hAnsi="Times New Roman"/>
                <w:sz w:val="20"/>
                <w:szCs w:val="20"/>
                <w:shd w:val="clear" w:color="auto" w:fill="FFFFFF"/>
              </w:rPr>
              <w:t>a</w:t>
            </w:r>
            <w:proofErr w:type="gram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altor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forme</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din surse </w:t>
            </w:r>
            <w:proofErr w:type="spellStart"/>
            <w:r w:rsidRPr="005A6DBB">
              <w:rPr>
                <w:rFonts w:ascii="Times New Roman" w:hAnsi="Times New Roman"/>
                <w:sz w:val="20"/>
                <w:szCs w:val="20"/>
                <w:shd w:val="clear" w:color="auto" w:fill="FFFFFF"/>
              </w:rPr>
              <w:t>regenerabile</w:t>
            </w:r>
            <w:proofErr w:type="spellEnd"/>
            <w:r w:rsidRPr="005A6DBB">
              <w:rPr>
                <w:rFonts w:ascii="Times New Roman" w:hAnsi="Times New Roman"/>
                <w:sz w:val="20"/>
                <w:szCs w:val="20"/>
                <w:shd w:val="clear" w:color="auto" w:fill="FFFFFF"/>
              </w:rPr>
              <w:t xml:space="preserve"> pe </w:t>
            </w:r>
            <w:proofErr w:type="spellStart"/>
            <w:r w:rsidRPr="005A6DBB">
              <w:rPr>
                <w:rFonts w:ascii="Times New Roman" w:hAnsi="Times New Roman"/>
                <w:sz w:val="20"/>
                <w:szCs w:val="20"/>
                <w:shd w:val="clear" w:color="auto" w:fill="FFFFFF"/>
              </w:rPr>
              <w:t>teritoriul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său</w:t>
            </w:r>
            <w:proofErr w:type="spellEnd"/>
            <w:r w:rsidRPr="005A6DBB">
              <w:rPr>
                <w:rFonts w:ascii="Times New Roman" w:hAnsi="Times New Roman"/>
                <w:sz w:val="20"/>
                <w:szCs w:val="20"/>
                <w:shd w:val="clear" w:color="auto" w:fill="FFFFFF"/>
              </w:rPr>
              <w:t>;</w:t>
            </w:r>
          </w:p>
          <w:p w14:paraId="7482A03E"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excedentul</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producție</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din surse </w:t>
            </w:r>
            <w:proofErr w:type="spellStart"/>
            <w:r w:rsidRPr="005A6DBB">
              <w:rPr>
                <w:rFonts w:ascii="Times New Roman" w:hAnsi="Times New Roman"/>
                <w:sz w:val="20"/>
                <w:szCs w:val="20"/>
                <w:shd w:val="clear" w:color="auto" w:fill="FFFFFF"/>
              </w:rPr>
              <w:t>regenerabile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estimat</w:t>
            </w:r>
            <w:proofErr w:type="spellEnd"/>
            <w:r w:rsidRPr="005A6DBB">
              <w:rPr>
                <w:rFonts w:ascii="Times New Roman" w:hAnsi="Times New Roman"/>
                <w:sz w:val="20"/>
                <w:szCs w:val="20"/>
                <w:shd w:val="clear" w:color="auto" w:fill="FFFFFF"/>
              </w:rPr>
              <w:t xml:space="preserve"> care </w:t>
            </w:r>
            <w:proofErr w:type="spellStart"/>
            <w:r w:rsidRPr="005A6DBB">
              <w:rPr>
                <w:rFonts w:ascii="Times New Roman" w:hAnsi="Times New Roman"/>
                <w:sz w:val="20"/>
                <w:szCs w:val="20"/>
                <w:shd w:val="clear" w:color="auto" w:fill="FFFFFF"/>
              </w:rPr>
              <w:t>ar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putea</w:t>
            </w:r>
            <w:proofErr w:type="spellEnd"/>
            <w:r w:rsidRPr="005A6DBB">
              <w:rPr>
                <w:rFonts w:ascii="Times New Roman" w:hAnsi="Times New Roman"/>
                <w:sz w:val="20"/>
                <w:szCs w:val="20"/>
                <w:shd w:val="clear" w:color="auto" w:fill="FFFFFF"/>
              </w:rPr>
              <w:t xml:space="preserve"> fi </w:t>
            </w:r>
            <w:proofErr w:type="spellStart"/>
            <w:r w:rsidRPr="005A6DBB">
              <w:rPr>
                <w:rFonts w:ascii="Times New Roman" w:hAnsi="Times New Roman"/>
                <w:sz w:val="20"/>
                <w:szCs w:val="20"/>
                <w:shd w:val="clear" w:color="auto" w:fill="FFFFFF"/>
              </w:rPr>
              <w:t>transferat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către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alte</w:t>
            </w:r>
            <w:proofErr w:type="spellEnd"/>
            <w:r w:rsidRPr="005A6DBB">
              <w:rPr>
                <w:rFonts w:ascii="Times New Roman" w:hAnsi="Times New Roman"/>
                <w:sz w:val="20"/>
                <w:szCs w:val="20"/>
                <w:shd w:val="clear" w:color="auto" w:fill="FFFFFF"/>
              </w:rPr>
              <w:t xml:space="preserve"> state </w:t>
            </w:r>
            <w:proofErr w:type="spellStart"/>
            <w:r w:rsidRPr="005A6DBB">
              <w:rPr>
                <w:rFonts w:ascii="Times New Roman" w:hAnsi="Times New Roman"/>
                <w:sz w:val="20"/>
                <w:szCs w:val="20"/>
                <w:shd w:val="clear" w:color="auto" w:fill="FFFFFF"/>
              </w:rPr>
              <w:t>membre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astfel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încât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acestea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respecte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articolul</w:t>
            </w:r>
            <w:proofErr w:type="spellEnd"/>
            <w:r w:rsidRPr="005A6DBB">
              <w:rPr>
                <w:rFonts w:ascii="Times New Roman" w:hAnsi="Times New Roman"/>
                <w:sz w:val="20"/>
                <w:szCs w:val="20"/>
                <w:shd w:val="clear" w:color="auto" w:fill="FFFFFF"/>
              </w:rPr>
              <w:t xml:space="preserve"> 3 </w:t>
            </w:r>
            <w:proofErr w:type="spellStart"/>
            <w:r w:rsidRPr="005A6DBB">
              <w:rPr>
                <w:rFonts w:ascii="Times New Roman" w:hAnsi="Times New Roman"/>
                <w:sz w:val="20"/>
                <w:szCs w:val="20"/>
                <w:shd w:val="clear" w:color="auto" w:fill="FFFFFF"/>
              </w:rPr>
              <w:t>alineatul</w:t>
            </w:r>
            <w:proofErr w:type="spellEnd"/>
            <w:r w:rsidRPr="005A6DBB">
              <w:rPr>
                <w:rFonts w:ascii="Times New Roman" w:hAnsi="Times New Roman"/>
                <w:sz w:val="20"/>
                <w:szCs w:val="20"/>
                <w:shd w:val="clear" w:color="auto" w:fill="FFFFFF"/>
              </w:rPr>
              <w:t xml:space="preserve"> (3) din </w:t>
            </w:r>
            <w:proofErr w:type="spellStart"/>
            <w:r w:rsidRPr="005A6DBB">
              <w:rPr>
                <w:rFonts w:ascii="Times New Roman" w:hAnsi="Times New Roman"/>
                <w:sz w:val="20"/>
                <w:szCs w:val="20"/>
                <w:shd w:val="clear" w:color="auto" w:fill="FFFFFF"/>
              </w:rPr>
              <w:t>Directiva</w:t>
            </w:r>
            <w:proofErr w:type="spellEnd"/>
            <w:r w:rsidRPr="005A6DBB">
              <w:rPr>
                <w:rFonts w:ascii="Times New Roman" w:hAnsi="Times New Roman"/>
                <w:sz w:val="20"/>
                <w:szCs w:val="20"/>
                <w:shd w:val="clear" w:color="auto" w:fill="FFFFFF"/>
              </w:rPr>
              <w:t xml:space="preserve"> (UE) 2018/2001 și </w:t>
            </w:r>
            <w:proofErr w:type="spellStart"/>
            <w:r w:rsidRPr="005A6DBB">
              <w:rPr>
                <w:rFonts w:ascii="Times New Roman" w:hAnsi="Times New Roman"/>
                <w:sz w:val="20"/>
                <w:szCs w:val="20"/>
                <w:shd w:val="clear" w:color="auto" w:fill="FFFFFF"/>
              </w:rPr>
              <w:t>să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realizeze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contribuțiile</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traiectoriile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naționale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menționate</w:t>
            </w:r>
            <w:proofErr w:type="spellEnd"/>
            <w:r w:rsidRPr="005A6DBB">
              <w:rPr>
                <w:rFonts w:ascii="Times New Roman" w:hAnsi="Times New Roman"/>
                <w:sz w:val="20"/>
                <w:szCs w:val="20"/>
                <w:shd w:val="clear" w:color="auto" w:fill="FFFFFF"/>
              </w:rPr>
              <w:t xml:space="preserve"> la </w:t>
            </w:r>
            <w:proofErr w:type="spellStart"/>
            <w:r w:rsidRPr="005A6DBB">
              <w:rPr>
                <w:rFonts w:ascii="Times New Roman" w:hAnsi="Times New Roman"/>
                <w:sz w:val="20"/>
                <w:szCs w:val="20"/>
                <w:shd w:val="clear" w:color="auto" w:fill="FFFFFF"/>
              </w:rPr>
              <w:t>articolul</w:t>
            </w:r>
            <w:proofErr w:type="spellEnd"/>
            <w:r w:rsidRPr="005A6DBB">
              <w:rPr>
                <w:rFonts w:ascii="Times New Roman" w:hAnsi="Times New Roman"/>
                <w:sz w:val="20"/>
                <w:szCs w:val="20"/>
                <w:shd w:val="clear" w:color="auto" w:fill="FFFFFF"/>
              </w:rPr>
              <w:t xml:space="preserve"> 4 </w:t>
            </w:r>
            <w:proofErr w:type="spellStart"/>
            <w:r w:rsidRPr="005A6DBB">
              <w:rPr>
                <w:rFonts w:ascii="Times New Roman" w:hAnsi="Times New Roman"/>
                <w:sz w:val="20"/>
                <w:szCs w:val="20"/>
                <w:shd w:val="clear" w:color="auto" w:fill="FFFFFF"/>
              </w:rPr>
              <w:t>litera</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punctul</w:t>
            </w:r>
            <w:proofErr w:type="spellEnd"/>
            <w:r w:rsidRPr="005A6DBB">
              <w:rPr>
                <w:rFonts w:ascii="Times New Roman" w:hAnsi="Times New Roman"/>
                <w:sz w:val="20"/>
                <w:szCs w:val="20"/>
                <w:shd w:val="clear" w:color="auto" w:fill="FFFFFF"/>
              </w:rPr>
              <w:t xml:space="preserve"> 2 din </w:t>
            </w:r>
            <w:proofErr w:type="spellStart"/>
            <w:r w:rsidRPr="005A6DBB">
              <w:rPr>
                <w:rFonts w:ascii="Times New Roman" w:hAnsi="Times New Roman"/>
                <w:sz w:val="20"/>
                <w:szCs w:val="20"/>
                <w:shd w:val="clear" w:color="auto" w:fill="FFFFFF"/>
              </w:rPr>
              <w:t>prezentul</w:t>
            </w:r>
            <w:proofErr w:type="spellEnd"/>
            <w:r w:rsidRPr="005A6DBB">
              <w:rPr>
                <w:rFonts w:ascii="Times New Roman" w:hAnsi="Times New Roman"/>
                <w:sz w:val="20"/>
                <w:szCs w:val="20"/>
                <w:shd w:val="clear" w:color="auto" w:fill="FFFFFF"/>
              </w:rPr>
              <w:t xml:space="preserve"> </w:t>
            </w:r>
            <w:proofErr w:type="spellStart"/>
            <w:proofErr w:type="gramStart"/>
            <w:r w:rsidRPr="005A6DBB">
              <w:rPr>
                <w:rFonts w:ascii="Times New Roman" w:hAnsi="Times New Roman"/>
                <w:sz w:val="20"/>
                <w:szCs w:val="20"/>
                <w:shd w:val="clear" w:color="auto" w:fill="FFFFFF"/>
              </w:rPr>
              <w:t>regulament</w:t>
            </w:r>
            <w:proofErr w:type="spellEnd"/>
            <w:r w:rsidRPr="005A6DBB">
              <w:rPr>
                <w:rFonts w:ascii="Times New Roman" w:hAnsi="Times New Roman"/>
                <w:sz w:val="20"/>
                <w:szCs w:val="20"/>
                <w:shd w:val="clear" w:color="auto" w:fill="FFFFFF"/>
              </w:rPr>
              <w:t>;</w:t>
            </w:r>
            <w:proofErr w:type="gramEnd"/>
          </w:p>
          <w:p w14:paraId="39CC88F3"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dacă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cazul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cererea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estimată</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din surse </w:t>
            </w:r>
            <w:proofErr w:type="spellStart"/>
            <w:r w:rsidRPr="005A6DBB">
              <w:rPr>
                <w:rFonts w:ascii="Times New Roman" w:hAnsi="Times New Roman"/>
                <w:sz w:val="20"/>
                <w:szCs w:val="20"/>
                <w:shd w:val="clear" w:color="auto" w:fill="FFFFFF"/>
              </w:rPr>
              <w:t>regenerabile</w:t>
            </w:r>
            <w:proofErr w:type="spellEnd"/>
            <w:r w:rsidRPr="005A6DBB">
              <w:rPr>
                <w:rFonts w:ascii="Times New Roman" w:hAnsi="Times New Roman"/>
                <w:sz w:val="20"/>
                <w:szCs w:val="20"/>
                <w:shd w:val="clear" w:color="auto" w:fill="FFFFFF"/>
              </w:rPr>
              <w:t xml:space="preserve"> care </w:t>
            </w:r>
            <w:proofErr w:type="spellStart"/>
            <w:r w:rsidRPr="005A6DBB">
              <w:rPr>
                <w:rFonts w:ascii="Times New Roman" w:hAnsi="Times New Roman"/>
                <w:sz w:val="20"/>
                <w:szCs w:val="20"/>
                <w:shd w:val="clear" w:color="auto" w:fill="FFFFFF"/>
              </w:rPr>
              <w:t>trebuie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satisfăcută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altfel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decât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prin</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producție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internă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până</w:t>
            </w:r>
            <w:proofErr w:type="spellEnd"/>
            <w:r w:rsidRPr="005A6DBB">
              <w:rPr>
                <w:rFonts w:ascii="Times New Roman" w:hAnsi="Times New Roman"/>
                <w:sz w:val="20"/>
                <w:szCs w:val="20"/>
                <w:shd w:val="clear" w:color="auto" w:fill="FFFFFF"/>
              </w:rPr>
              <w:t xml:space="preserve"> în 2030, </w:t>
            </w:r>
            <w:proofErr w:type="spellStart"/>
            <w:r w:rsidRPr="005A6DBB">
              <w:rPr>
                <w:rFonts w:ascii="Times New Roman" w:hAnsi="Times New Roman"/>
                <w:sz w:val="20"/>
                <w:szCs w:val="20"/>
                <w:shd w:val="clear" w:color="auto" w:fill="FFFFFF"/>
              </w:rPr>
              <w:t>inclusiv</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materia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primă</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biomasă</w:t>
            </w:r>
            <w:proofErr w:type="spellEnd"/>
            <w:r w:rsidRPr="005A6DBB">
              <w:rPr>
                <w:rFonts w:ascii="Times New Roman" w:hAnsi="Times New Roman"/>
                <w:sz w:val="20"/>
                <w:szCs w:val="20"/>
                <w:shd w:val="clear" w:color="auto" w:fill="FFFFFF"/>
              </w:rPr>
              <w:t xml:space="preserve"> </w:t>
            </w:r>
            <w:proofErr w:type="spellStart"/>
            <w:proofErr w:type="gramStart"/>
            <w:r w:rsidRPr="005A6DBB">
              <w:rPr>
                <w:rFonts w:ascii="Times New Roman" w:hAnsi="Times New Roman"/>
                <w:sz w:val="20"/>
                <w:szCs w:val="20"/>
                <w:shd w:val="clear" w:color="auto" w:fill="FFFFFF"/>
              </w:rPr>
              <w:t>importată</w:t>
            </w:r>
            <w:proofErr w:type="spellEnd"/>
            <w:r w:rsidRPr="005A6DBB">
              <w:rPr>
                <w:rFonts w:ascii="Times New Roman" w:hAnsi="Times New Roman"/>
                <w:sz w:val="20"/>
                <w:szCs w:val="20"/>
                <w:shd w:val="clear" w:color="auto" w:fill="FFFFFF"/>
              </w:rPr>
              <w:t>;</w:t>
            </w:r>
            <w:proofErr w:type="gramEnd"/>
          </w:p>
          <w:p w14:paraId="21D63A8B"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evoluția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tehnologică</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utilizarea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biocombustibililor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produși</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materiile</w:t>
            </w:r>
            <w:proofErr w:type="spellEnd"/>
            <w:r w:rsidRPr="005A6DBB">
              <w:rPr>
                <w:rFonts w:ascii="Times New Roman" w:hAnsi="Times New Roman"/>
                <w:sz w:val="20"/>
                <w:szCs w:val="20"/>
                <w:shd w:val="clear" w:color="auto" w:fill="FFFFFF"/>
              </w:rPr>
              <w:t xml:space="preserve"> prime enumerate în </w:t>
            </w:r>
            <w:proofErr w:type="spellStart"/>
            <w:r w:rsidRPr="005A6DBB">
              <w:rPr>
                <w:rFonts w:ascii="Times New Roman" w:hAnsi="Times New Roman"/>
                <w:sz w:val="20"/>
                <w:szCs w:val="20"/>
                <w:shd w:val="clear" w:color="auto" w:fill="FFFFFF"/>
              </w:rPr>
              <w:t>anexa</w:t>
            </w:r>
            <w:proofErr w:type="spellEnd"/>
            <w:r w:rsidRPr="005A6DBB">
              <w:rPr>
                <w:rFonts w:ascii="Times New Roman" w:hAnsi="Times New Roman"/>
                <w:sz w:val="20"/>
                <w:szCs w:val="20"/>
                <w:shd w:val="clear" w:color="auto" w:fill="FFFFFF"/>
              </w:rPr>
              <w:t xml:space="preserve"> IX la </w:t>
            </w:r>
            <w:proofErr w:type="spellStart"/>
            <w:r w:rsidRPr="005A6DBB">
              <w:rPr>
                <w:rFonts w:ascii="Times New Roman" w:hAnsi="Times New Roman"/>
                <w:sz w:val="20"/>
                <w:szCs w:val="20"/>
                <w:shd w:val="clear" w:color="auto" w:fill="FFFFFF"/>
              </w:rPr>
              <w:t>Directiva</w:t>
            </w:r>
            <w:proofErr w:type="spellEnd"/>
            <w:r w:rsidRPr="005A6DBB">
              <w:rPr>
                <w:rFonts w:ascii="Times New Roman" w:hAnsi="Times New Roman"/>
                <w:sz w:val="20"/>
                <w:szCs w:val="20"/>
                <w:shd w:val="clear" w:color="auto" w:fill="FFFFFF"/>
              </w:rPr>
              <w:t xml:space="preserve"> (UE) </w:t>
            </w:r>
            <w:proofErr w:type="gramStart"/>
            <w:r w:rsidRPr="005A6DBB">
              <w:rPr>
                <w:rFonts w:ascii="Times New Roman" w:hAnsi="Times New Roman"/>
                <w:sz w:val="20"/>
                <w:szCs w:val="20"/>
                <w:shd w:val="clear" w:color="auto" w:fill="FFFFFF"/>
              </w:rPr>
              <w:t>2018/2001;</w:t>
            </w:r>
            <w:proofErr w:type="gramEnd"/>
          </w:p>
          <w:p w14:paraId="39375264"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dacă</w:t>
            </w:r>
            <w:proofErr w:type="spellEnd"/>
            <w:r w:rsidRPr="005A6DBB">
              <w:rPr>
                <w:rFonts w:ascii="Times New Roman" w:hAnsi="Times New Roman"/>
                <w:sz w:val="20"/>
                <w:szCs w:val="20"/>
                <w:shd w:val="clear" w:color="auto" w:fill="FFFFFF"/>
              </w:rPr>
              <w:t xml:space="preserve"> sunt </w:t>
            </w:r>
            <w:proofErr w:type="spellStart"/>
            <w:r w:rsidRPr="005A6DBB">
              <w:rPr>
                <w:rFonts w:ascii="Times New Roman" w:hAnsi="Times New Roman"/>
                <w:sz w:val="20"/>
                <w:szCs w:val="20"/>
                <w:shd w:val="clear" w:color="auto" w:fill="FFFFFF"/>
              </w:rPr>
              <w:t>disponibile</w:t>
            </w:r>
            <w:proofErr w:type="spellEnd"/>
            <w:r w:rsidRPr="005A6DBB">
              <w:rPr>
                <w:rFonts w:ascii="Times New Roman" w:hAnsi="Times New Roman"/>
                <w:sz w:val="20"/>
                <w:szCs w:val="20"/>
                <w:shd w:val="clear" w:color="auto" w:fill="FFFFFF"/>
              </w:rPr>
              <w:t xml:space="preserve"> date, </w:t>
            </w:r>
            <w:proofErr w:type="spellStart"/>
            <w:r w:rsidRPr="005A6DBB">
              <w:rPr>
                <w:rFonts w:ascii="Times New Roman" w:hAnsi="Times New Roman"/>
                <w:sz w:val="20"/>
                <w:szCs w:val="20"/>
                <w:shd w:val="clear" w:color="auto" w:fill="FFFFFF"/>
              </w:rPr>
              <w:t>impactul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estimat</w:t>
            </w:r>
            <w:proofErr w:type="spellEnd"/>
            <w:r w:rsidRPr="005A6DBB">
              <w:rPr>
                <w:rFonts w:ascii="Times New Roman" w:hAnsi="Times New Roman"/>
                <w:sz w:val="20"/>
                <w:szCs w:val="20"/>
                <w:shd w:val="clear" w:color="auto" w:fill="FFFFFF"/>
              </w:rPr>
              <w:t xml:space="preserve"> al </w:t>
            </w:r>
            <w:proofErr w:type="spellStart"/>
            <w:r w:rsidRPr="005A6DBB">
              <w:rPr>
                <w:rFonts w:ascii="Times New Roman" w:hAnsi="Times New Roman"/>
                <w:sz w:val="20"/>
                <w:szCs w:val="20"/>
                <w:shd w:val="clear" w:color="auto" w:fill="FFFFFF"/>
              </w:rPr>
              <w:t>producției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sau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utilizării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biocombustibili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lastRenderedPageBreak/>
              <w:t>biolichide</w:t>
            </w:r>
            <w:proofErr w:type="spellEnd"/>
            <w:r w:rsidRPr="005A6DBB">
              <w:rPr>
                <w:rFonts w:ascii="Times New Roman" w:hAnsi="Times New Roman"/>
                <w:sz w:val="20"/>
                <w:szCs w:val="20"/>
                <w:shd w:val="clear" w:color="auto" w:fill="FFFFFF"/>
              </w:rPr>
              <w:t xml:space="preserve"> și de </w:t>
            </w:r>
            <w:proofErr w:type="spellStart"/>
            <w:r w:rsidRPr="005A6DBB">
              <w:rPr>
                <w:rFonts w:ascii="Times New Roman" w:hAnsi="Times New Roman"/>
                <w:sz w:val="20"/>
                <w:szCs w:val="20"/>
                <w:shd w:val="clear" w:color="auto" w:fill="FFFFFF"/>
              </w:rPr>
              <w:t>combustibili</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biomasă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asupra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biodiversității</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resurselor</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apă</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disponibilității</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calității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apei</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calității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solurilor</w:t>
            </w:r>
            <w:proofErr w:type="spellEnd"/>
            <w:r w:rsidRPr="005A6DBB">
              <w:rPr>
                <w:rFonts w:ascii="Times New Roman" w:hAnsi="Times New Roman"/>
                <w:sz w:val="20"/>
                <w:szCs w:val="20"/>
                <w:shd w:val="clear" w:color="auto" w:fill="FFFFFF"/>
              </w:rPr>
              <w:t xml:space="preserve"> și </w:t>
            </w:r>
            <w:proofErr w:type="gramStart"/>
            <w:r w:rsidRPr="005A6DBB">
              <w:rPr>
                <w:rFonts w:ascii="Times New Roman" w:hAnsi="Times New Roman"/>
                <w:sz w:val="20"/>
                <w:szCs w:val="20"/>
                <w:shd w:val="clear" w:color="auto" w:fill="FFFFFF"/>
              </w:rPr>
              <w:t>a</w:t>
            </w:r>
            <w:proofErr w:type="gram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aerului</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cadrul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statului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membru</w:t>
            </w:r>
            <w:proofErr w:type="spellEnd"/>
            <w:r w:rsidRPr="005A6DBB">
              <w:rPr>
                <w:rFonts w:ascii="Times New Roman" w:hAnsi="Times New Roman"/>
                <w:sz w:val="20"/>
                <w:szCs w:val="20"/>
                <w:shd w:val="clear" w:color="auto" w:fill="FFFFFF"/>
              </w:rPr>
              <w:t>;</w:t>
            </w:r>
          </w:p>
          <w:p w14:paraId="778ABF4B"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cazurile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observate</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fraudă</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lanțul</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custodie</w:t>
            </w:r>
            <w:proofErr w:type="spellEnd"/>
            <w:r w:rsidRPr="005A6DBB">
              <w:rPr>
                <w:rFonts w:ascii="Times New Roman" w:hAnsi="Times New Roman"/>
                <w:sz w:val="20"/>
                <w:szCs w:val="20"/>
                <w:shd w:val="clear" w:color="auto" w:fill="FFFFFF"/>
              </w:rPr>
              <w:t xml:space="preserve"> al </w:t>
            </w:r>
            <w:proofErr w:type="spellStart"/>
            <w:r w:rsidRPr="005A6DBB">
              <w:rPr>
                <w:rFonts w:ascii="Times New Roman" w:hAnsi="Times New Roman"/>
                <w:sz w:val="20"/>
                <w:szCs w:val="20"/>
                <w:shd w:val="clear" w:color="auto" w:fill="FFFFFF"/>
              </w:rPr>
              <w:t>biocombustibililor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biolichidelor</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combustibililor</w:t>
            </w:r>
            <w:proofErr w:type="spellEnd"/>
            <w:r w:rsidRPr="005A6DBB">
              <w:rPr>
                <w:rFonts w:ascii="Times New Roman" w:hAnsi="Times New Roman"/>
                <w:sz w:val="20"/>
                <w:szCs w:val="20"/>
                <w:shd w:val="clear" w:color="auto" w:fill="FFFFFF"/>
              </w:rPr>
              <w:t xml:space="preserve"> din </w:t>
            </w:r>
            <w:proofErr w:type="spellStart"/>
            <w:proofErr w:type="gramStart"/>
            <w:r w:rsidRPr="005A6DBB">
              <w:rPr>
                <w:rFonts w:ascii="Times New Roman" w:hAnsi="Times New Roman"/>
                <w:sz w:val="20"/>
                <w:szCs w:val="20"/>
                <w:shd w:val="clear" w:color="auto" w:fill="FFFFFF"/>
              </w:rPr>
              <w:t>biomasă</w:t>
            </w:r>
            <w:proofErr w:type="spellEnd"/>
            <w:r w:rsidRPr="005A6DBB">
              <w:rPr>
                <w:rFonts w:ascii="Times New Roman" w:hAnsi="Times New Roman"/>
                <w:sz w:val="20"/>
                <w:szCs w:val="20"/>
                <w:shd w:val="clear" w:color="auto" w:fill="FFFFFF"/>
              </w:rPr>
              <w:t>;</w:t>
            </w:r>
            <w:proofErr w:type="gramEnd"/>
          </w:p>
          <w:p w14:paraId="6AC8B20D"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informații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privind</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modul</w:t>
            </w:r>
            <w:proofErr w:type="spellEnd"/>
            <w:r w:rsidRPr="005A6DBB">
              <w:rPr>
                <w:rFonts w:ascii="Times New Roman" w:hAnsi="Times New Roman"/>
                <w:sz w:val="20"/>
                <w:szCs w:val="20"/>
                <w:shd w:val="clear" w:color="auto" w:fill="FFFFFF"/>
              </w:rPr>
              <w:t xml:space="preserve"> în care s-a </w:t>
            </w:r>
            <w:proofErr w:type="spellStart"/>
            <w:r w:rsidRPr="005A6DBB">
              <w:rPr>
                <w:rFonts w:ascii="Times New Roman" w:hAnsi="Times New Roman"/>
                <w:sz w:val="20"/>
                <w:szCs w:val="20"/>
                <w:shd w:val="clear" w:color="auto" w:fill="FFFFFF"/>
              </w:rPr>
              <w:t>estimat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ponderea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deșeurilor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biodegradabile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deșeurile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utilizate</w:t>
            </w:r>
            <w:proofErr w:type="spellEnd"/>
            <w:r w:rsidRPr="005A6DBB">
              <w:rPr>
                <w:rFonts w:ascii="Times New Roman" w:hAnsi="Times New Roman"/>
                <w:sz w:val="20"/>
                <w:szCs w:val="20"/>
                <w:shd w:val="clear" w:color="auto" w:fill="FFFFFF"/>
              </w:rPr>
              <w:t xml:space="preserve"> la </w:t>
            </w:r>
            <w:proofErr w:type="spellStart"/>
            <w:r w:rsidRPr="005A6DBB">
              <w:rPr>
                <w:rFonts w:ascii="Times New Roman" w:hAnsi="Times New Roman"/>
                <w:sz w:val="20"/>
                <w:szCs w:val="20"/>
                <w:shd w:val="clear" w:color="auto" w:fill="FFFFFF"/>
              </w:rPr>
              <w:t>producerea</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măsuri</w:t>
            </w:r>
            <w:proofErr w:type="spellEnd"/>
            <w:r w:rsidRPr="005A6DBB">
              <w:rPr>
                <w:rFonts w:ascii="Times New Roman" w:hAnsi="Times New Roman"/>
                <w:sz w:val="20"/>
                <w:szCs w:val="20"/>
                <w:shd w:val="clear" w:color="auto" w:fill="FFFFFF"/>
              </w:rPr>
              <w:t xml:space="preserve"> au </w:t>
            </w:r>
            <w:proofErr w:type="spellStart"/>
            <w:r w:rsidRPr="005A6DBB">
              <w:rPr>
                <w:rFonts w:ascii="Times New Roman" w:hAnsi="Times New Roman"/>
                <w:sz w:val="20"/>
                <w:szCs w:val="20"/>
                <w:shd w:val="clear" w:color="auto" w:fill="FFFFFF"/>
              </w:rPr>
              <w:t>fost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luate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pentru</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îmbunătăți</w:t>
            </w:r>
            <w:proofErr w:type="spellEnd"/>
            <w:r w:rsidRPr="005A6DBB">
              <w:rPr>
                <w:rFonts w:ascii="Times New Roman" w:hAnsi="Times New Roman"/>
                <w:sz w:val="20"/>
                <w:szCs w:val="20"/>
                <w:shd w:val="clear" w:color="auto" w:fill="FFFFFF"/>
              </w:rPr>
              <w:t xml:space="preserve"> și a </w:t>
            </w:r>
            <w:proofErr w:type="spellStart"/>
            <w:r w:rsidRPr="005A6DBB">
              <w:rPr>
                <w:rFonts w:ascii="Times New Roman" w:hAnsi="Times New Roman"/>
                <w:sz w:val="20"/>
                <w:szCs w:val="20"/>
                <w:shd w:val="clear" w:color="auto" w:fill="FFFFFF"/>
              </w:rPr>
              <w:t>verifica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aceste</w:t>
            </w:r>
            <w:proofErr w:type="spellEnd"/>
            <w:r w:rsidRPr="005A6DBB">
              <w:rPr>
                <w:rFonts w:ascii="Times New Roman" w:hAnsi="Times New Roman"/>
                <w:sz w:val="20"/>
                <w:szCs w:val="20"/>
                <w:shd w:val="clear" w:color="auto" w:fill="FFFFFF"/>
              </w:rPr>
              <w:t xml:space="preserve"> </w:t>
            </w:r>
            <w:proofErr w:type="spellStart"/>
            <w:proofErr w:type="gramStart"/>
            <w:r w:rsidRPr="005A6DBB">
              <w:rPr>
                <w:rFonts w:ascii="Times New Roman" w:hAnsi="Times New Roman"/>
                <w:sz w:val="20"/>
                <w:szCs w:val="20"/>
                <w:shd w:val="clear" w:color="auto" w:fill="FFFFFF"/>
              </w:rPr>
              <w:t>estimări</w:t>
            </w:r>
            <w:proofErr w:type="spellEnd"/>
            <w:r w:rsidRPr="005A6DBB">
              <w:rPr>
                <w:rFonts w:ascii="Times New Roman" w:hAnsi="Times New Roman"/>
                <w:sz w:val="20"/>
                <w:szCs w:val="20"/>
                <w:shd w:val="clear" w:color="auto" w:fill="FFFFFF"/>
              </w:rPr>
              <w:t>;</w:t>
            </w:r>
            <w:proofErr w:type="gramEnd"/>
          </w:p>
          <w:p w14:paraId="3A2FCA8E"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producția</w:t>
            </w:r>
            <w:proofErr w:type="spellEnd"/>
            <w:proofErr w:type="gram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și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clădiri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inclusiv</w:t>
            </w:r>
            <w:proofErr w:type="spellEnd"/>
            <w:r w:rsidRPr="005A6DBB">
              <w:rPr>
                <w:rFonts w:ascii="Times New Roman" w:hAnsi="Times New Roman"/>
                <w:sz w:val="20"/>
                <w:szCs w:val="20"/>
                <w:shd w:val="clear" w:color="auto" w:fill="FFFFFF"/>
                <w:lang w:val="fr-FR"/>
              </w:rPr>
              <w:t xml:space="preserve"> date </w:t>
            </w:r>
            <w:proofErr w:type="spellStart"/>
            <w:r w:rsidRPr="005A6DBB">
              <w:rPr>
                <w:rFonts w:ascii="Times New Roman" w:hAnsi="Times New Roman"/>
                <w:sz w:val="20"/>
                <w:szCs w:val="20"/>
                <w:shd w:val="clear" w:color="auto" w:fill="FFFFFF"/>
                <w:lang w:val="fr-FR"/>
              </w:rPr>
              <w:t>dezagregate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privire</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energia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consumată</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introdusă</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rețea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sistemele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solare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fotovoltaice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sistemele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solare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pompele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căldură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sistemele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geotermale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precum</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orice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alte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sisteme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descentralizate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w:t>
            </w:r>
          </w:p>
          <w:p w14:paraId="15058BC3"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cazul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ponderea</w:t>
            </w:r>
            <w:proofErr w:type="spellEnd"/>
            <w:r w:rsidRPr="005A6DBB">
              <w:rPr>
                <w:rFonts w:ascii="Times New Roman" w:hAnsi="Times New Roman"/>
                <w:sz w:val="20"/>
                <w:szCs w:val="20"/>
                <w:shd w:val="clear" w:color="auto" w:fill="FFFFFF"/>
                <w:lang w:val="fr-FR"/>
              </w:rPr>
              <w:t xml:space="preserve"> energiei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încălzirea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centralizată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precum</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energia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produsă</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orașe</w:t>
            </w:r>
            <w:proofErr w:type="spellEnd"/>
            <w:r w:rsidRPr="005A6DBB">
              <w:rPr>
                <w:rFonts w:ascii="Times New Roman" w:hAnsi="Times New Roman"/>
                <w:sz w:val="20"/>
                <w:szCs w:val="20"/>
                <w:shd w:val="clear" w:color="auto" w:fill="FFFFFF"/>
                <w:lang w:val="fr-FR"/>
              </w:rPr>
              <w:t xml:space="preserve"> și de </w:t>
            </w:r>
            <w:proofErr w:type="spellStart"/>
            <w:r w:rsidRPr="005A6DBB">
              <w:rPr>
                <w:rFonts w:ascii="Times New Roman" w:hAnsi="Times New Roman"/>
                <w:sz w:val="20"/>
                <w:szCs w:val="20"/>
                <w:shd w:val="clear" w:color="auto" w:fill="FFFFFF"/>
                <w:lang w:val="fr-FR"/>
              </w:rPr>
              <w:t>comunități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surse </w:t>
            </w:r>
            <w:proofErr w:type="spellStart"/>
            <w:r w:rsidRPr="005A6DBB">
              <w:rPr>
                <w:rFonts w:ascii="Times New Roman" w:hAnsi="Times New Roman"/>
                <w:sz w:val="20"/>
                <w:szCs w:val="20"/>
                <w:shd w:val="clear" w:color="auto" w:fill="FFFFFF"/>
                <w:lang w:val="fr-FR"/>
              </w:rPr>
              <w:t>regenerabile</w:t>
            </w:r>
            <w:proofErr w:type="spellEnd"/>
            <w:r w:rsidRPr="005A6DBB">
              <w:rPr>
                <w:rFonts w:ascii="Times New Roman" w:hAnsi="Times New Roman"/>
                <w:sz w:val="20"/>
                <w:szCs w:val="20"/>
                <w:shd w:val="clear" w:color="auto" w:fill="FFFFFF"/>
                <w:lang w:val="fr-FR"/>
              </w:rPr>
              <w:t>;</w:t>
            </w:r>
          </w:p>
          <w:p w14:paraId="07746EB3" w14:textId="2D73EE9C"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oferta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primară</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solidă</w:t>
            </w:r>
            <w:proofErr w:type="spellEnd"/>
            <w:r w:rsidRPr="005A6DBB">
              <w:rPr>
                <w:rFonts w:ascii="Times New Roman" w:hAnsi="Times New Roman"/>
                <w:sz w:val="20"/>
                <w:szCs w:val="20"/>
                <w:shd w:val="clear" w:color="auto" w:fill="FFFFFF"/>
                <w:lang w:val="fr-FR"/>
              </w:rPr>
              <w:t xml:space="preserve"> [în 1 000 m</w:t>
            </w:r>
            <w:r w:rsidRPr="005A6DBB">
              <w:rPr>
                <w:rStyle w:val="super"/>
                <w:rFonts w:ascii="Times New Roman" w:hAnsi="Times New Roman"/>
                <w:sz w:val="20"/>
                <w:szCs w:val="20"/>
                <w:shd w:val="clear" w:color="auto" w:fill="FFFFFF"/>
                <w:vertAlign w:val="superscript"/>
                <w:lang w:val="fr-FR"/>
              </w:rPr>
              <w:t>3</w:t>
            </w:r>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excepția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punctului</w:t>
            </w:r>
            <w:proofErr w:type="spellEnd"/>
            <w:r w:rsidRPr="005A6DBB">
              <w:rPr>
                <w:rFonts w:ascii="Times New Roman" w:hAnsi="Times New Roman"/>
                <w:sz w:val="20"/>
                <w:szCs w:val="20"/>
                <w:shd w:val="clear" w:color="auto" w:fill="FFFFFF"/>
                <w:lang w:val="fr-FR"/>
              </w:rPr>
              <w:t xml:space="preserve"> 1 litera (b) </w:t>
            </w:r>
            <w:proofErr w:type="spellStart"/>
            <w:r w:rsidRPr="005A6DBB">
              <w:rPr>
                <w:rFonts w:ascii="Times New Roman" w:hAnsi="Times New Roman"/>
                <w:sz w:val="20"/>
                <w:szCs w:val="20"/>
                <w:shd w:val="clear" w:color="auto" w:fill="FFFFFF"/>
                <w:lang w:val="fr-FR"/>
              </w:rPr>
              <w:t>subpunctul</w:t>
            </w:r>
            <w:proofErr w:type="spellEnd"/>
            <w:r w:rsidRPr="005A6DBB">
              <w:rPr>
                <w:rFonts w:ascii="Times New Roman" w:hAnsi="Times New Roman"/>
                <w:sz w:val="20"/>
                <w:szCs w:val="20"/>
                <w:shd w:val="clear" w:color="auto" w:fill="FFFFFF"/>
                <w:lang w:val="fr-FR"/>
              </w:rPr>
              <w:t xml:space="preserve"> (iii), care se </w:t>
            </w:r>
            <w:proofErr w:type="spellStart"/>
            <w:r w:rsidRPr="005A6DBB">
              <w:rPr>
                <w:rFonts w:ascii="Times New Roman" w:hAnsi="Times New Roman"/>
                <w:sz w:val="20"/>
                <w:szCs w:val="20"/>
                <w:shd w:val="clear" w:color="auto" w:fill="FFFFFF"/>
                <w:lang w:val="fr-FR"/>
              </w:rPr>
              <w:t>exprimă</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tone</w:t>
            </w:r>
            <w:proofErr w:type="spellEnd"/>
            <w:r w:rsidRPr="005A6DBB">
              <w:rPr>
                <w:rFonts w:ascii="Times New Roman" w:hAnsi="Times New Roman"/>
                <w:sz w:val="20"/>
                <w:szCs w:val="20"/>
                <w:shd w:val="clear" w:color="auto" w:fill="FFFFFF"/>
                <w:lang w:val="fr-FR"/>
              </w:rPr>
              <w:t>]</w:t>
            </w:r>
          </w:p>
          <w:p w14:paraId="5395A3EC" w14:textId="106D9AC8" w:rsidR="008F5636" w:rsidRPr="005A6DBB" w:rsidRDefault="008F5636" w:rsidP="000C5A3B">
            <w:pPr>
              <w:pStyle w:val="ColorfulList-Accent11"/>
              <w:numPr>
                <w:ilvl w:val="0"/>
                <w:numId w:val="72"/>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biomasa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forestieră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producție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internă</w:t>
            </w:r>
            <w:proofErr w:type="spellEnd"/>
            <w:r w:rsidRPr="005A6DBB">
              <w:rPr>
                <w:rFonts w:ascii="Times New Roman" w:hAnsi="Times New Roman"/>
                <w:sz w:val="20"/>
                <w:szCs w:val="20"/>
                <w:shd w:val="clear" w:color="auto" w:fill="FFFFFF"/>
                <w:lang w:val="fr-FR"/>
              </w:rPr>
              <w:t xml:space="preserve"> și import)</w:t>
            </w:r>
          </w:p>
          <w:p w14:paraId="57D7AD0B" w14:textId="6C508A30" w:rsidR="008F5636" w:rsidRPr="005A6DBB" w:rsidRDefault="008F5636" w:rsidP="000C5A3B">
            <w:pPr>
              <w:pStyle w:val="ColorfulList-Accent11"/>
              <w:numPr>
                <w:ilvl w:val="0"/>
                <w:numId w:val="73"/>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biomasa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primară</w:t>
            </w:r>
            <w:proofErr w:type="spellEnd"/>
            <w:r w:rsidRPr="005A6DBB">
              <w:rPr>
                <w:rFonts w:ascii="Times New Roman" w:hAnsi="Times New Roman"/>
                <w:sz w:val="20"/>
                <w:szCs w:val="20"/>
                <w:shd w:val="clear" w:color="auto" w:fill="FFFFFF"/>
                <w:lang w:val="fr-FR"/>
              </w:rPr>
              <w:t xml:space="preserve"> de origine </w:t>
            </w:r>
            <w:proofErr w:type="spellStart"/>
            <w:r w:rsidRPr="005A6DBB">
              <w:rPr>
                <w:rFonts w:ascii="Times New Roman" w:hAnsi="Times New Roman"/>
                <w:sz w:val="20"/>
                <w:szCs w:val="20"/>
                <w:shd w:val="clear" w:color="auto" w:fill="FFFFFF"/>
                <w:lang w:val="fr-FR"/>
              </w:rPr>
              <w:t>forestieră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utilizată</w:t>
            </w:r>
            <w:proofErr w:type="spellEnd"/>
            <w:r w:rsidRPr="005A6DBB">
              <w:rPr>
                <w:rFonts w:ascii="Times New Roman" w:hAnsi="Times New Roman"/>
                <w:sz w:val="20"/>
                <w:szCs w:val="20"/>
                <w:shd w:val="clear" w:color="auto" w:fill="FFFFFF"/>
                <w:lang w:val="fr-FR"/>
              </w:rPr>
              <w:t xml:space="preserve"> direct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p>
          <w:p w14:paraId="68D24D7E" w14:textId="6E4F1748" w:rsidR="008F5636" w:rsidRPr="005A6DBB" w:rsidRDefault="008F5636" w:rsidP="000C5A3B">
            <w:pPr>
              <w:pStyle w:val="ColorfulList-Accent11"/>
              <w:numPr>
                <w:ilvl w:val="0"/>
                <w:numId w:val="74"/>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sunt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disponibile</w:t>
            </w:r>
            <w:proofErr w:type="spellEnd"/>
            <w:r w:rsidRPr="005A6DBB">
              <w:rPr>
                <w:rFonts w:ascii="Times New Roman" w:hAnsi="Times New Roman"/>
                <w:sz w:val="20"/>
                <w:szCs w:val="20"/>
                <w:shd w:val="clear" w:color="auto" w:fill="FFFFFF"/>
                <w:lang w:val="fr-FR"/>
              </w:rPr>
              <w:t xml:space="preserve"> date, </w:t>
            </w:r>
            <w:proofErr w:type="spellStart"/>
            <w:r w:rsidRPr="005A6DBB">
              <w:rPr>
                <w:rFonts w:ascii="Times New Roman" w:hAnsi="Times New Roman"/>
                <w:sz w:val="20"/>
                <w:szCs w:val="20"/>
                <w:shd w:val="clear" w:color="auto" w:fill="FFFFFF"/>
                <w:lang w:val="fr-FR"/>
              </w:rPr>
              <w:t>crengi</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vârfuri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copaci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raportarea</w:t>
            </w:r>
            <w:proofErr w:type="spell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voluntară</w:t>
            </w:r>
            <w:proofErr w:type="spellEnd"/>
            <w:r w:rsidRPr="005A6DBB">
              <w:rPr>
                <w:rFonts w:ascii="Times New Roman" w:hAnsi="Times New Roman"/>
                <w:sz w:val="20"/>
                <w:szCs w:val="20"/>
                <w:shd w:val="clear" w:color="auto" w:fill="FFFFFF"/>
                <w:lang w:val="fr-FR"/>
              </w:rPr>
              <w:t>)</w:t>
            </w:r>
          </w:p>
          <w:p w14:paraId="6B3D04FD" w14:textId="238E276E" w:rsidR="008F5636" w:rsidRPr="005A6DBB" w:rsidRDefault="008F5636" w:rsidP="000C5A3B">
            <w:pPr>
              <w:pStyle w:val="ColorfulList-Accent11"/>
              <w:numPr>
                <w:ilvl w:val="0"/>
                <w:numId w:val="74"/>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dacă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cazul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buturugi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raportarea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voluntară</w:t>
            </w:r>
            <w:proofErr w:type="spellEnd"/>
            <w:r w:rsidRPr="005A6DBB">
              <w:rPr>
                <w:rFonts w:ascii="Times New Roman" w:hAnsi="Times New Roman"/>
                <w:sz w:val="20"/>
                <w:szCs w:val="20"/>
                <w:shd w:val="clear" w:color="auto" w:fill="FFFFFF"/>
              </w:rPr>
              <w:t>)</w:t>
            </w:r>
          </w:p>
          <w:p w14:paraId="1F8B600F" w14:textId="1A2B2208" w:rsidR="008F5636" w:rsidRPr="005A6DBB" w:rsidRDefault="008F5636" w:rsidP="000C5A3B">
            <w:pPr>
              <w:pStyle w:val="ColorfulList-Accent11"/>
              <w:numPr>
                <w:ilvl w:val="0"/>
                <w:numId w:val="74"/>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lemn</w:t>
            </w:r>
            <w:proofErr w:type="spellEnd"/>
            <w:r w:rsidRPr="005A6DBB">
              <w:rPr>
                <w:rFonts w:ascii="Times New Roman" w:hAnsi="Times New Roman"/>
                <w:sz w:val="20"/>
                <w:szCs w:val="20"/>
                <w:shd w:val="clear" w:color="auto" w:fill="FFFFFF"/>
              </w:rPr>
              <w:t xml:space="preserve"> rotund (</w:t>
            </w:r>
            <w:proofErr w:type="spellStart"/>
            <w:r w:rsidRPr="005A6DBB">
              <w:rPr>
                <w:rFonts w:ascii="Times New Roman" w:hAnsi="Times New Roman"/>
                <w:sz w:val="20"/>
                <w:szCs w:val="20"/>
                <w:shd w:val="clear" w:color="auto" w:fill="FFFFFF"/>
              </w:rPr>
              <w:t>defalcat</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lemn</w:t>
            </w:r>
            <w:proofErr w:type="spellEnd"/>
            <w:r w:rsidRPr="005A6DBB">
              <w:rPr>
                <w:rFonts w:ascii="Times New Roman" w:hAnsi="Times New Roman"/>
                <w:sz w:val="20"/>
                <w:szCs w:val="20"/>
                <w:shd w:val="clear" w:color="auto" w:fill="FFFFFF"/>
              </w:rPr>
              <w:t xml:space="preserve"> rotund industrial și </w:t>
            </w:r>
            <w:proofErr w:type="spellStart"/>
            <w:r w:rsidRPr="005A6DBB">
              <w:rPr>
                <w:rFonts w:ascii="Times New Roman" w:hAnsi="Times New Roman"/>
                <w:sz w:val="20"/>
                <w:szCs w:val="20"/>
                <w:shd w:val="clear" w:color="auto" w:fill="FFFFFF"/>
              </w:rPr>
              <w:t>lemn</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foc</w:t>
            </w:r>
            <w:proofErr w:type="spellEnd"/>
            <w:r w:rsidRPr="005A6DBB">
              <w:rPr>
                <w:rFonts w:ascii="Times New Roman" w:hAnsi="Times New Roman"/>
                <w:sz w:val="20"/>
                <w:szCs w:val="20"/>
                <w:shd w:val="clear" w:color="auto" w:fill="FFFFFF"/>
              </w:rPr>
              <w:t>)</w:t>
            </w:r>
          </w:p>
          <w:p w14:paraId="72E0796D" w14:textId="6397210A" w:rsidR="008F5636" w:rsidRPr="005A6DBB" w:rsidRDefault="008F5636" w:rsidP="000C5A3B">
            <w:pPr>
              <w:pStyle w:val="ColorfulList-Accent11"/>
              <w:numPr>
                <w:ilvl w:val="0"/>
                <w:numId w:val="73"/>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cazul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coproduse</w:t>
            </w:r>
            <w:proofErr w:type="spellEnd"/>
            <w:r w:rsidRPr="005A6DBB">
              <w:rPr>
                <w:rFonts w:ascii="Times New Roman" w:hAnsi="Times New Roman"/>
                <w:sz w:val="20"/>
                <w:szCs w:val="20"/>
                <w:shd w:val="clear" w:color="auto" w:fill="FFFFFF"/>
                <w:lang w:val="fr-FR"/>
              </w:rPr>
              <w:t xml:space="preserve"> ale </w:t>
            </w:r>
            <w:proofErr w:type="spellStart"/>
            <w:r w:rsidRPr="005A6DBB">
              <w:rPr>
                <w:rFonts w:ascii="Times New Roman" w:hAnsi="Times New Roman"/>
                <w:sz w:val="20"/>
                <w:szCs w:val="20"/>
                <w:shd w:val="clear" w:color="auto" w:fill="FFFFFF"/>
                <w:lang w:val="fr-FR"/>
              </w:rPr>
              <w:t>industriei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forestiere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utilizate</w:t>
            </w:r>
            <w:proofErr w:type="spellEnd"/>
            <w:r w:rsidRPr="005A6DBB">
              <w:rPr>
                <w:rFonts w:ascii="Times New Roman" w:hAnsi="Times New Roman"/>
                <w:sz w:val="20"/>
                <w:szCs w:val="20"/>
                <w:shd w:val="clear" w:color="auto" w:fill="FFFFFF"/>
                <w:lang w:val="fr-FR"/>
              </w:rPr>
              <w:t xml:space="preserve"> direct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p>
          <w:p w14:paraId="37DB703F" w14:textId="4C7F1F9C" w:rsidR="008F5636" w:rsidRPr="005A6DBB" w:rsidRDefault="008F5636" w:rsidP="000C5A3B">
            <w:pPr>
              <w:pStyle w:val="ColorfulList-Accent11"/>
              <w:numPr>
                <w:ilvl w:val="0"/>
                <w:numId w:val="75"/>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dacă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cazul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scoarță</w:t>
            </w:r>
            <w:proofErr w:type="spellEnd"/>
          </w:p>
          <w:p w14:paraId="43EC8E38" w14:textId="5A759245" w:rsidR="008F5636" w:rsidRPr="005A6DBB" w:rsidRDefault="008F5636" w:rsidP="000C5A3B">
            <w:pPr>
              <w:pStyle w:val="ColorfulList-Accent11"/>
              <w:numPr>
                <w:ilvl w:val="0"/>
                <w:numId w:val="75"/>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așchii</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rumeguș</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alte</w:t>
            </w:r>
            <w:proofErr w:type="spellEnd"/>
            <w:r w:rsidRPr="005A6DBB">
              <w:rPr>
                <w:rFonts w:ascii="Times New Roman" w:hAnsi="Times New Roman"/>
                <w:sz w:val="20"/>
                <w:szCs w:val="20"/>
                <w:shd w:val="clear" w:color="auto" w:fill="FFFFFF"/>
                <w:lang w:val="fr-FR"/>
              </w:rPr>
              <w:t xml:space="preserve"> particule de </w:t>
            </w:r>
            <w:proofErr w:type="spellStart"/>
            <w:r w:rsidRPr="005A6DBB">
              <w:rPr>
                <w:rFonts w:ascii="Times New Roman" w:hAnsi="Times New Roman"/>
                <w:sz w:val="20"/>
                <w:szCs w:val="20"/>
                <w:shd w:val="clear" w:color="auto" w:fill="FFFFFF"/>
                <w:lang w:val="fr-FR"/>
              </w:rPr>
              <w:t>lemn</w:t>
            </w:r>
            <w:proofErr w:type="spellEnd"/>
          </w:p>
          <w:p w14:paraId="6B794611" w14:textId="71FE9A2A" w:rsidR="008F5636" w:rsidRPr="005A6DBB" w:rsidRDefault="008F5636" w:rsidP="000C5A3B">
            <w:pPr>
              <w:pStyle w:val="ColorfulList-Accent11"/>
              <w:numPr>
                <w:ilvl w:val="0"/>
                <w:numId w:val="75"/>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cazul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leșie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neagră</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ulei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tal</w:t>
            </w:r>
            <w:proofErr w:type="spellEnd"/>
            <w:r w:rsidRPr="005A6DBB">
              <w:rPr>
                <w:rFonts w:ascii="Times New Roman" w:hAnsi="Times New Roman"/>
                <w:sz w:val="20"/>
                <w:szCs w:val="20"/>
                <w:shd w:val="clear" w:color="auto" w:fill="FFFFFF"/>
                <w:lang w:val="fr-FR"/>
              </w:rPr>
              <w:t xml:space="preserve"> brut</w:t>
            </w:r>
          </w:p>
          <w:p w14:paraId="774BBC96" w14:textId="77777777" w:rsidR="008F5636" w:rsidRPr="005A6DBB" w:rsidRDefault="008F5636" w:rsidP="000C5A3B">
            <w:pPr>
              <w:pStyle w:val="ColorfulList-Accent11"/>
              <w:numPr>
                <w:ilvl w:val="0"/>
                <w:numId w:val="73"/>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lastRenderedPageBreak/>
              <w:t>dacă</w:t>
            </w:r>
            <w:proofErr w:type="spellEnd"/>
            <w:proofErr w:type="gram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cazul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lemn</w:t>
            </w:r>
            <w:proofErr w:type="spellEnd"/>
            <w:r w:rsidRPr="005A6DBB">
              <w:rPr>
                <w:rFonts w:ascii="Times New Roman" w:hAnsi="Times New Roman"/>
                <w:sz w:val="20"/>
                <w:szCs w:val="20"/>
                <w:shd w:val="clear" w:color="auto" w:fill="FFFFFF"/>
                <w:lang w:val="fr-FR"/>
              </w:rPr>
              <w:t xml:space="preserve"> post-</w:t>
            </w:r>
            <w:proofErr w:type="spellStart"/>
            <w:r w:rsidRPr="005A6DBB">
              <w:rPr>
                <w:rFonts w:ascii="Times New Roman" w:hAnsi="Times New Roman"/>
                <w:sz w:val="20"/>
                <w:szCs w:val="20"/>
                <w:shd w:val="clear" w:color="auto" w:fill="FFFFFF"/>
                <w:lang w:val="fr-FR"/>
              </w:rPr>
              <w:t>consum</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w:t>
            </w:r>
            <w:proofErr w:type="spellEnd"/>
            <w:r w:rsidRPr="005A6DBB">
              <w:rPr>
                <w:rFonts w:ascii="Times New Roman" w:hAnsi="Times New Roman"/>
                <w:sz w:val="20"/>
                <w:szCs w:val="20"/>
                <w:shd w:val="clear" w:color="auto" w:fill="FFFFFF"/>
                <w:lang w:val="fr-FR"/>
              </w:rPr>
              <w:t xml:space="preserve"> direct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p>
          <w:p w14:paraId="45DA75FA" w14:textId="2F8EB0D1" w:rsidR="008F5636" w:rsidRPr="005A6DBB" w:rsidRDefault="008F5636" w:rsidP="000C5A3B">
            <w:pPr>
              <w:pStyle w:val="ColorfulList-Accent11"/>
              <w:numPr>
                <w:ilvl w:val="0"/>
                <w:numId w:val="73"/>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combustibil</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bază</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lemn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prelucrat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produs</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materii</w:t>
            </w:r>
            <w:proofErr w:type="spellEnd"/>
            <w:r w:rsidRPr="005A6DBB">
              <w:rPr>
                <w:rFonts w:ascii="Times New Roman" w:hAnsi="Times New Roman"/>
                <w:sz w:val="20"/>
                <w:szCs w:val="20"/>
                <w:shd w:val="clear" w:color="auto" w:fill="FFFFFF"/>
                <w:lang w:val="fr-FR"/>
              </w:rPr>
              <w:t xml:space="preserve"> prime care nu se </w:t>
            </w:r>
            <w:proofErr w:type="spellStart"/>
            <w:r w:rsidRPr="005A6DBB">
              <w:rPr>
                <w:rFonts w:ascii="Times New Roman" w:hAnsi="Times New Roman"/>
                <w:sz w:val="20"/>
                <w:szCs w:val="20"/>
                <w:shd w:val="clear" w:color="auto" w:fill="FFFFFF"/>
                <w:lang w:val="fr-FR"/>
              </w:rPr>
              <w:t>regăsesc</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punctul</w:t>
            </w:r>
            <w:proofErr w:type="spellEnd"/>
            <w:r w:rsidRPr="005A6DBB">
              <w:rPr>
                <w:rFonts w:ascii="Times New Roman" w:hAnsi="Times New Roman"/>
                <w:sz w:val="20"/>
                <w:szCs w:val="20"/>
                <w:shd w:val="clear" w:color="auto" w:fill="FFFFFF"/>
                <w:lang w:val="fr-FR"/>
              </w:rPr>
              <w:t xml:space="preserve"> 1 litera (a), (b)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(c):</w:t>
            </w:r>
          </w:p>
          <w:p w14:paraId="1022122D" w14:textId="1C9F9313" w:rsidR="008F5636" w:rsidRPr="005A6DBB" w:rsidRDefault="008F5636" w:rsidP="000C5A3B">
            <w:pPr>
              <w:pStyle w:val="ColorfulList-Accent11"/>
              <w:numPr>
                <w:ilvl w:val="0"/>
                <w:numId w:val="76"/>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cazul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cărbune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lemn</w:t>
            </w:r>
            <w:proofErr w:type="spellEnd"/>
          </w:p>
          <w:p w14:paraId="30D9EF68" w14:textId="4D2D4670" w:rsidR="008F5636" w:rsidRPr="005A6DBB" w:rsidRDefault="008F5636" w:rsidP="000C5A3B">
            <w:pPr>
              <w:pStyle w:val="ColorfulList-Accent11"/>
              <w:numPr>
                <w:ilvl w:val="0"/>
                <w:numId w:val="76"/>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pelete</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lemn</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brichete</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lemn</w:t>
            </w:r>
            <w:proofErr w:type="spellEnd"/>
          </w:p>
          <w:p w14:paraId="2C39C94A" w14:textId="3728C922" w:rsidR="008F5636" w:rsidRPr="005A6DBB" w:rsidRDefault="008F5636" w:rsidP="000C5A3B">
            <w:pPr>
              <w:pStyle w:val="ColorfulList-Accent11"/>
              <w:numPr>
                <w:ilvl w:val="0"/>
                <w:numId w:val="72"/>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sunt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disponibile</w:t>
            </w:r>
            <w:proofErr w:type="spellEnd"/>
            <w:r w:rsidRPr="005A6DBB">
              <w:rPr>
                <w:rFonts w:ascii="Times New Roman" w:hAnsi="Times New Roman"/>
                <w:sz w:val="20"/>
                <w:szCs w:val="20"/>
                <w:shd w:val="clear" w:color="auto" w:fill="FFFFFF"/>
                <w:lang w:val="fr-FR"/>
              </w:rPr>
              <w:t xml:space="preserve"> date, </w:t>
            </w:r>
            <w:proofErr w:type="spellStart"/>
            <w:r w:rsidRPr="005A6DBB">
              <w:rPr>
                <w:rFonts w:ascii="Times New Roman" w:hAnsi="Times New Roman"/>
                <w:sz w:val="20"/>
                <w:szCs w:val="20"/>
                <w:shd w:val="clear" w:color="auto" w:fill="FFFFFF"/>
                <w:lang w:val="fr-FR"/>
              </w:rPr>
              <w:t>biomasa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agricolă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producție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internă</w:t>
            </w:r>
            <w:proofErr w:type="spellEnd"/>
            <w:r w:rsidRPr="005A6DBB">
              <w:rPr>
                <w:rFonts w:ascii="Times New Roman" w:hAnsi="Times New Roman"/>
                <w:sz w:val="20"/>
                <w:szCs w:val="20"/>
                <w:shd w:val="clear" w:color="auto" w:fill="FFFFFF"/>
                <w:lang w:val="fr-FR"/>
              </w:rPr>
              <w:t>, import și export)</w:t>
            </w:r>
          </w:p>
          <w:p w14:paraId="32B8F265" w14:textId="22062E52" w:rsidR="008F5636" w:rsidRPr="005A6DBB" w:rsidRDefault="008F5636" w:rsidP="000C5A3B">
            <w:pPr>
              <w:pStyle w:val="ColorfulList-Accent11"/>
              <w:numPr>
                <w:ilvl w:val="0"/>
                <w:numId w:val="77"/>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culturi</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energetice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inclusiv</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speciile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forestiere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ciclu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scurt</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producție</w:t>
            </w:r>
            <w:proofErr w:type="spellEnd"/>
            <w:r w:rsidRPr="005A6DBB">
              <w:rPr>
                <w:rFonts w:ascii="Times New Roman" w:hAnsi="Times New Roman"/>
                <w:sz w:val="20"/>
                <w:szCs w:val="20"/>
                <w:shd w:val="clear" w:color="auto" w:fill="FFFFFF"/>
                <w:lang w:val="fr-FR"/>
              </w:rPr>
              <w:t>)</w:t>
            </w:r>
          </w:p>
          <w:p w14:paraId="622BB2BD" w14:textId="5C6A23AC" w:rsidR="008F5636" w:rsidRPr="005A6DBB" w:rsidRDefault="008F5636" w:rsidP="000C5A3B">
            <w:pPr>
              <w:pStyle w:val="ColorfulList-Accent11"/>
              <w:numPr>
                <w:ilvl w:val="0"/>
                <w:numId w:val="77"/>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reziduuri</w:t>
            </w:r>
            <w:proofErr w:type="spellEnd"/>
            <w:proofErr w:type="gram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culturi</w:t>
            </w:r>
            <w:proofErr w:type="spellEnd"/>
            <w:r w:rsidRPr="005A6DBB">
              <w:rPr>
                <w:rFonts w:ascii="Times New Roman" w:hAnsi="Times New Roman"/>
                <w:sz w:val="20"/>
                <w:szCs w:val="20"/>
                <w:shd w:val="clear" w:color="auto" w:fill="FFFFFF"/>
                <w:lang w:val="fr-FR"/>
              </w:rPr>
              <w:t xml:space="preserve"> agricole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termică</w:t>
            </w:r>
            <w:proofErr w:type="spellEnd"/>
          </w:p>
          <w:p w14:paraId="65B59EAD" w14:textId="453EE149" w:rsidR="008F5636" w:rsidRPr="005A6DBB" w:rsidRDefault="008F5636" w:rsidP="000C5A3B">
            <w:pPr>
              <w:pStyle w:val="ColorfulList-Accent11"/>
              <w:numPr>
                <w:ilvl w:val="0"/>
                <w:numId w:val="72"/>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dacă</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sunt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disponibile</w:t>
            </w:r>
            <w:proofErr w:type="spellEnd"/>
            <w:r w:rsidRPr="005A6DBB">
              <w:rPr>
                <w:rFonts w:ascii="Times New Roman" w:hAnsi="Times New Roman"/>
                <w:sz w:val="20"/>
                <w:szCs w:val="20"/>
                <w:shd w:val="clear" w:color="auto" w:fill="FFFFFF"/>
                <w:lang w:val="fr-FR"/>
              </w:rPr>
              <w:t xml:space="preserve"> date, </w:t>
            </w:r>
            <w:proofErr w:type="spellStart"/>
            <w:r w:rsidRPr="005A6DBB">
              <w:rPr>
                <w:rFonts w:ascii="Times New Roman" w:hAnsi="Times New Roman"/>
                <w:sz w:val="20"/>
                <w:szCs w:val="20"/>
                <w:shd w:val="clear" w:color="auto" w:fill="FFFFFF"/>
                <w:lang w:val="fr-FR"/>
              </w:rPr>
              <w:t>biomasa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deșeuri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organice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producție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internă</w:t>
            </w:r>
            <w:proofErr w:type="spellEnd"/>
            <w:r w:rsidRPr="005A6DBB">
              <w:rPr>
                <w:rFonts w:ascii="Times New Roman" w:hAnsi="Times New Roman"/>
                <w:sz w:val="20"/>
                <w:szCs w:val="20"/>
                <w:shd w:val="clear" w:color="auto" w:fill="FFFFFF"/>
                <w:lang w:val="fr-FR"/>
              </w:rPr>
              <w:t>, import și export)</w:t>
            </w:r>
          </w:p>
          <w:p w14:paraId="18558CE8" w14:textId="43FDFC91" w:rsidR="008F5636" w:rsidRPr="005A6DBB" w:rsidRDefault="008F5636" w:rsidP="000C5A3B">
            <w:pPr>
              <w:pStyle w:val="ColorfulList-Accent11"/>
              <w:numPr>
                <w:ilvl w:val="0"/>
                <w:numId w:val="78"/>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fracția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organică</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deșeurile</w:t>
            </w:r>
            <w:proofErr w:type="spellEnd"/>
            <w:r w:rsidRPr="005A6DBB">
              <w:rPr>
                <w:rFonts w:ascii="Times New Roman" w:hAnsi="Times New Roman"/>
                <w:sz w:val="20"/>
                <w:szCs w:val="20"/>
                <w:shd w:val="clear" w:color="auto" w:fill="FFFFFF"/>
              </w:rPr>
              <w:t xml:space="preserve"> industrial</w:t>
            </w:r>
          </w:p>
          <w:p w14:paraId="235B80FA" w14:textId="7A5BE798" w:rsidR="008F5636" w:rsidRPr="005A6DBB" w:rsidRDefault="008F5636" w:rsidP="000C5A3B">
            <w:pPr>
              <w:pStyle w:val="ColorfulList-Accent11"/>
              <w:numPr>
                <w:ilvl w:val="0"/>
                <w:numId w:val="78"/>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fracția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organică</w:t>
            </w:r>
            <w:proofErr w:type="spellEnd"/>
            <w:r w:rsidRPr="005A6DBB">
              <w:rPr>
                <w:rFonts w:ascii="Times New Roman" w:hAnsi="Times New Roman"/>
                <w:sz w:val="20"/>
                <w:szCs w:val="20"/>
                <w:shd w:val="clear" w:color="auto" w:fill="FFFFFF"/>
              </w:rPr>
              <w:t xml:space="preserve"> din </w:t>
            </w:r>
            <w:proofErr w:type="spellStart"/>
            <w:r w:rsidRPr="005A6DBB">
              <w:rPr>
                <w:rFonts w:ascii="Times New Roman" w:hAnsi="Times New Roman"/>
                <w:sz w:val="20"/>
                <w:szCs w:val="20"/>
                <w:shd w:val="clear" w:color="auto" w:fill="FFFFFF"/>
              </w:rPr>
              <w:t>deșeurile</w:t>
            </w:r>
            <w:proofErr w:type="spellEnd"/>
            <w:r w:rsidRPr="005A6DBB">
              <w:rPr>
                <w:rFonts w:ascii="Times New Roman" w:hAnsi="Times New Roman"/>
                <w:sz w:val="20"/>
                <w:szCs w:val="20"/>
                <w:shd w:val="clear" w:color="auto" w:fill="FFFFFF"/>
              </w:rPr>
              <w:t xml:space="preserve"> municipal</w:t>
            </w:r>
          </w:p>
          <w:p w14:paraId="06C9645B" w14:textId="5388C841" w:rsidR="008F5636" w:rsidRPr="005A6DBB" w:rsidRDefault="008F5636" w:rsidP="000C5A3B">
            <w:pPr>
              <w:pStyle w:val="ColorfulList-Accent11"/>
              <w:numPr>
                <w:ilvl w:val="0"/>
                <w:numId w:val="78"/>
              </w:numPr>
              <w:spacing w:after="0" w:line="240" w:lineRule="auto"/>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rPr>
              <w:t>nămoluri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reziduale</w:t>
            </w:r>
            <w:proofErr w:type="spellEnd"/>
          </w:p>
          <w:p w14:paraId="49A1D1CA" w14:textId="77777777" w:rsidR="008F5636" w:rsidRPr="005A6DBB" w:rsidRDefault="008F5636" w:rsidP="000C5A3B">
            <w:pPr>
              <w:pStyle w:val="ColorfulList-Accent11"/>
              <w:numPr>
                <w:ilvl w:val="0"/>
                <w:numId w:val="71"/>
              </w:numPr>
              <w:spacing w:after="0" w:line="240" w:lineRule="auto"/>
              <w:ind w:left="470" w:hanging="357"/>
              <w:jc w:val="both"/>
              <w:rPr>
                <w:rFonts w:ascii="Times New Roman" w:hAnsi="Times New Roman"/>
                <w:sz w:val="20"/>
                <w:szCs w:val="20"/>
                <w:lang w:val="fr-FR"/>
              </w:rPr>
            </w:pPr>
            <w:proofErr w:type="spellStart"/>
            <w:proofErr w:type="gramStart"/>
            <w:r w:rsidRPr="005A6DBB">
              <w:rPr>
                <w:rFonts w:ascii="Times New Roman" w:hAnsi="Times New Roman"/>
                <w:sz w:val="20"/>
                <w:szCs w:val="20"/>
                <w:shd w:val="clear" w:color="auto" w:fill="FFFFFF"/>
                <w:lang w:val="fr-FR"/>
              </w:rPr>
              <w:t>consumul</w:t>
            </w:r>
            <w:proofErr w:type="spellEnd"/>
            <w:proofErr w:type="gram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finală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solidă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cantitatea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solidă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utilizată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următoarele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sectoare</w:t>
            </w:r>
            <w:proofErr w:type="spellEnd"/>
            <w:r w:rsidRPr="005A6DBB">
              <w:rPr>
                <w:rFonts w:ascii="Times New Roman" w:hAnsi="Times New Roman"/>
                <w:sz w:val="20"/>
                <w:szCs w:val="20"/>
                <w:shd w:val="clear" w:color="auto" w:fill="FFFFFF"/>
                <w:lang w:val="fr-FR"/>
              </w:rPr>
              <w:t>):</w:t>
            </w:r>
          </w:p>
          <w:p w14:paraId="6D30AFCB" w14:textId="4893031A" w:rsidR="008F5636" w:rsidRPr="005A6DBB" w:rsidRDefault="008F5636" w:rsidP="000C5A3B">
            <w:pPr>
              <w:pStyle w:val="ColorfulList-Accent11"/>
              <w:numPr>
                <w:ilvl w:val="0"/>
                <w:numId w:val="79"/>
              </w:numPr>
              <w:spacing w:after="0" w:line="240" w:lineRule="auto"/>
              <w:jc w:val="both"/>
              <w:rPr>
                <w:rFonts w:ascii="Times New Roman" w:hAnsi="Times New Roman"/>
                <w:sz w:val="20"/>
                <w:szCs w:val="20"/>
                <w:lang w:val="fr-FR"/>
              </w:rPr>
            </w:pPr>
            <w:proofErr w:type="spellStart"/>
            <w:r w:rsidRPr="005A6DBB">
              <w:rPr>
                <w:rFonts w:ascii="Times New Roman" w:hAnsi="Times New Roman"/>
                <w:sz w:val="20"/>
                <w:szCs w:val="20"/>
                <w:shd w:val="clear" w:color="auto" w:fill="FFFFFF"/>
              </w:rPr>
              <w:t>sectorul</w:t>
            </w:r>
            <w:proofErr w:type="spellEnd"/>
            <w:r w:rsidRPr="005A6DBB">
              <w:rPr>
                <w:rFonts w:ascii="Times New Roman" w:hAnsi="Times New Roman"/>
                <w:sz w:val="20"/>
                <w:szCs w:val="20"/>
                <w:shd w:val="clear" w:color="auto" w:fill="FFFFFF"/>
              </w:rPr>
              <w:t xml:space="preserve"> energetic</w:t>
            </w:r>
          </w:p>
          <w:p w14:paraId="4AEAC666" w14:textId="539A8143" w:rsidR="008F5636" w:rsidRPr="005A6DBB" w:rsidRDefault="008F5636" w:rsidP="000C5A3B">
            <w:pPr>
              <w:pStyle w:val="ColorfulList-Accent11"/>
              <w:numPr>
                <w:ilvl w:val="0"/>
                <w:numId w:val="80"/>
              </w:numPr>
              <w:spacing w:after="0" w:line="240" w:lineRule="auto"/>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electrică</w:t>
            </w:r>
            <w:proofErr w:type="spellEnd"/>
          </w:p>
          <w:p w14:paraId="695DCEAA" w14:textId="5951A759" w:rsidR="008F5636" w:rsidRPr="005A6DBB" w:rsidRDefault="008F5636" w:rsidP="000C5A3B">
            <w:pPr>
              <w:pStyle w:val="ColorfulList-Accent11"/>
              <w:numPr>
                <w:ilvl w:val="0"/>
                <w:numId w:val="80"/>
              </w:numPr>
              <w:spacing w:after="0" w:line="240" w:lineRule="auto"/>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producerea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combinată</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și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termică</w:t>
            </w:r>
            <w:proofErr w:type="spellEnd"/>
          </w:p>
          <w:p w14:paraId="2C8DE5F7" w14:textId="4035C090" w:rsidR="008F5636" w:rsidRPr="005A6DBB" w:rsidRDefault="008F5636" w:rsidP="000C5A3B">
            <w:pPr>
              <w:pStyle w:val="ColorfulList-Accent11"/>
              <w:numPr>
                <w:ilvl w:val="0"/>
                <w:numId w:val="80"/>
              </w:numPr>
              <w:spacing w:after="0" w:line="240" w:lineRule="auto"/>
              <w:jc w:val="both"/>
              <w:rPr>
                <w:rFonts w:ascii="Times New Roman" w:hAnsi="Times New Roman"/>
                <w:sz w:val="20"/>
                <w:szCs w:val="20"/>
                <w:lang w:val="fr-FR"/>
              </w:rPr>
            </w:pP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termică</w:t>
            </w:r>
            <w:proofErr w:type="spellEnd"/>
          </w:p>
          <w:p w14:paraId="1D0EA3D8" w14:textId="77777777" w:rsidR="008F5636" w:rsidRPr="005A6DBB" w:rsidRDefault="008F5636" w:rsidP="000C5A3B">
            <w:pPr>
              <w:pStyle w:val="ColorfulList-Accent11"/>
              <w:numPr>
                <w:ilvl w:val="0"/>
                <w:numId w:val="79"/>
              </w:numPr>
              <w:spacing w:after="0" w:line="240" w:lineRule="auto"/>
              <w:jc w:val="both"/>
              <w:rPr>
                <w:rFonts w:ascii="Times New Roman" w:hAnsi="Times New Roman"/>
                <w:sz w:val="20"/>
                <w:szCs w:val="20"/>
                <w:lang w:val="fr-FR"/>
              </w:rPr>
            </w:pPr>
            <w:proofErr w:type="spellStart"/>
            <w:proofErr w:type="gramStart"/>
            <w:r w:rsidRPr="005A6DBB">
              <w:rPr>
                <w:rFonts w:ascii="Times New Roman" w:hAnsi="Times New Roman"/>
                <w:sz w:val="20"/>
                <w:szCs w:val="20"/>
                <w:shd w:val="clear" w:color="auto" w:fill="FFFFFF"/>
                <w:lang w:val="fr-FR"/>
              </w:rPr>
              <w:t>sectorul</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industrial</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nivel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CHP și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termică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consumate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autoproduse</w:t>
            </w:r>
            <w:proofErr w:type="spellEnd"/>
            <w:r w:rsidRPr="005A6DBB">
              <w:rPr>
                <w:rFonts w:ascii="Times New Roman" w:hAnsi="Times New Roman"/>
                <w:sz w:val="20"/>
                <w:szCs w:val="20"/>
                <w:shd w:val="clear" w:color="auto" w:fill="FFFFFF"/>
                <w:lang w:val="fr-FR"/>
              </w:rPr>
              <w:t>)</w:t>
            </w:r>
          </w:p>
          <w:p w14:paraId="49EDA730" w14:textId="77777777" w:rsidR="008F5636" w:rsidRPr="005A6DBB" w:rsidRDefault="008F5636" w:rsidP="000C5A3B">
            <w:pPr>
              <w:pStyle w:val="ColorfulList-Accent11"/>
              <w:numPr>
                <w:ilvl w:val="0"/>
                <w:numId w:val="79"/>
              </w:numPr>
              <w:spacing w:after="0" w:line="240" w:lineRule="auto"/>
              <w:jc w:val="both"/>
              <w:rPr>
                <w:rFonts w:ascii="Times New Roman" w:hAnsi="Times New Roman"/>
                <w:sz w:val="20"/>
                <w:szCs w:val="20"/>
                <w:lang w:val="en-US"/>
              </w:rPr>
            </w:pPr>
            <w:proofErr w:type="spellStart"/>
            <w:r w:rsidRPr="005A6DBB">
              <w:rPr>
                <w:rFonts w:ascii="Times New Roman" w:hAnsi="Times New Roman"/>
                <w:sz w:val="20"/>
                <w:szCs w:val="20"/>
                <w:shd w:val="clear" w:color="auto" w:fill="FFFFFF"/>
              </w:rPr>
              <w:t>consumul</w:t>
            </w:r>
            <w:proofErr w:type="spellEnd"/>
            <w:r w:rsidRPr="005A6DBB">
              <w:rPr>
                <w:rFonts w:ascii="Times New Roman" w:hAnsi="Times New Roman"/>
                <w:sz w:val="20"/>
                <w:szCs w:val="20"/>
                <w:shd w:val="clear" w:color="auto" w:fill="FFFFFF"/>
              </w:rPr>
              <w:t xml:space="preserve"> final direct în </w:t>
            </w:r>
            <w:proofErr w:type="spellStart"/>
            <w:r w:rsidRPr="005A6DBB">
              <w:rPr>
                <w:rFonts w:ascii="Times New Roman" w:hAnsi="Times New Roman"/>
                <w:sz w:val="20"/>
                <w:szCs w:val="20"/>
                <w:shd w:val="clear" w:color="auto" w:fill="FFFFFF"/>
              </w:rPr>
              <w:t>sectorul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rezidențial</w:t>
            </w:r>
            <w:proofErr w:type="spellEnd"/>
          </w:p>
          <w:p w14:paraId="2D2B05DD" w14:textId="3D33ABCA" w:rsidR="008F5636" w:rsidRPr="005A6DBB" w:rsidRDefault="008F5636" w:rsidP="000C5A3B">
            <w:pPr>
              <w:pStyle w:val="ColorfulList-Accent11"/>
              <w:numPr>
                <w:ilvl w:val="0"/>
                <w:numId w:val="79"/>
              </w:numPr>
              <w:spacing w:after="0" w:line="240" w:lineRule="auto"/>
              <w:jc w:val="both"/>
              <w:rPr>
                <w:rFonts w:ascii="Times New Roman" w:hAnsi="Times New Roman"/>
                <w:sz w:val="20"/>
                <w:szCs w:val="20"/>
                <w:lang w:val="en-US"/>
              </w:rPr>
            </w:pPr>
            <w:proofErr w:type="spellStart"/>
            <w:r w:rsidRPr="005A6DBB">
              <w:rPr>
                <w:rFonts w:ascii="Times New Roman" w:hAnsi="Times New Roman"/>
                <w:sz w:val="20"/>
                <w:szCs w:val="20"/>
              </w:rPr>
              <w:t>altele</w:t>
            </w:r>
            <w:proofErr w:type="spellEnd"/>
            <w:r w:rsidRPr="005A6DBB">
              <w:rPr>
                <w:rFonts w:ascii="Times New Roman" w:hAnsi="Times New Roman"/>
                <w:sz w:val="20"/>
                <w:szCs w:val="20"/>
              </w:rPr>
              <w:t>.</w:t>
            </w:r>
          </w:p>
          <w:p w14:paraId="7A9F336B" w14:textId="77777777" w:rsidR="008F5636" w:rsidRPr="005A6DBB" w:rsidRDefault="008F5636" w:rsidP="008F5636">
            <w:pPr>
              <w:pStyle w:val="ti-grseq-1"/>
              <w:shd w:val="clear" w:color="auto" w:fill="FFFFFF"/>
              <w:spacing w:before="0" w:beforeAutospacing="0" w:after="0" w:afterAutospacing="0"/>
              <w:jc w:val="both"/>
              <w:rPr>
                <w:b/>
                <w:bCs/>
                <w:sz w:val="20"/>
                <w:szCs w:val="20"/>
                <w:lang w:val="ro-MD"/>
              </w:rPr>
            </w:pPr>
            <w:proofErr w:type="spellStart"/>
            <w:r w:rsidRPr="005A6DBB">
              <w:rPr>
                <w:rStyle w:val="bold"/>
                <w:b/>
                <w:bCs/>
                <w:sz w:val="20"/>
                <w:szCs w:val="20"/>
              </w:rPr>
              <w:t>Partea</w:t>
            </w:r>
            <w:proofErr w:type="spellEnd"/>
            <w:r w:rsidRPr="005A6DBB">
              <w:rPr>
                <w:rStyle w:val="bold"/>
                <w:b/>
                <w:bCs/>
                <w:sz w:val="20"/>
                <w:szCs w:val="20"/>
              </w:rPr>
              <w:t xml:space="preserve"> 2</w:t>
            </w:r>
          </w:p>
          <w:p w14:paraId="4884844F" w14:textId="77777777" w:rsidR="008F5636" w:rsidRPr="005A6DBB" w:rsidRDefault="008F5636" w:rsidP="008F5636">
            <w:pPr>
              <w:pStyle w:val="ti-grseq-1"/>
              <w:shd w:val="clear" w:color="auto" w:fill="FFFFFF"/>
              <w:spacing w:before="0" w:beforeAutospacing="0" w:after="0" w:afterAutospacing="0"/>
              <w:jc w:val="both"/>
              <w:rPr>
                <w:b/>
                <w:bCs/>
                <w:sz w:val="20"/>
                <w:szCs w:val="20"/>
                <w:lang w:val="fr-FR"/>
              </w:rPr>
            </w:pPr>
            <w:proofErr w:type="spellStart"/>
            <w:r w:rsidRPr="005A6DBB">
              <w:rPr>
                <w:rStyle w:val="bold"/>
                <w:b/>
                <w:bCs/>
                <w:sz w:val="20"/>
                <w:szCs w:val="20"/>
                <w:lang w:val="fr-FR"/>
              </w:rPr>
              <w:t>Obligații</w:t>
            </w:r>
            <w:proofErr w:type="spellEnd"/>
            <w:r w:rsidRPr="005A6DBB">
              <w:rPr>
                <w:rStyle w:val="bold"/>
                <w:b/>
                <w:bCs/>
                <w:sz w:val="20"/>
                <w:szCs w:val="20"/>
                <w:lang w:val="fr-FR"/>
              </w:rPr>
              <w:t xml:space="preserve"> de </w:t>
            </w:r>
            <w:proofErr w:type="spellStart"/>
            <w:r w:rsidRPr="005A6DBB">
              <w:rPr>
                <w:rStyle w:val="bold"/>
                <w:b/>
                <w:bCs/>
                <w:sz w:val="20"/>
                <w:szCs w:val="20"/>
                <w:lang w:val="fr-FR"/>
              </w:rPr>
              <w:t>raportare</w:t>
            </w:r>
            <w:proofErr w:type="spellEnd"/>
            <w:r w:rsidRPr="005A6DBB">
              <w:rPr>
                <w:rStyle w:val="bold"/>
                <w:b/>
                <w:bCs/>
                <w:sz w:val="20"/>
                <w:szCs w:val="20"/>
                <w:lang w:val="fr-FR"/>
              </w:rPr>
              <w:t xml:space="preserve"> </w:t>
            </w:r>
            <w:proofErr w:type="spellStart"/>
            <w:r w:rsidRPr="005A6DBB">
              <w:rPr>
                <w:rStyle w:val="bold"/>
                <w:b/>
                <w:bCs/>
                <w:sz w:val="20"/>
                <w:szCs w:val="20"/>
                <w:lang w:val="fr-FR"/>
              </w:rPr>
              <w:t>suplimentare</w:t>
            </w:r>
            <w:proofErr w:type="spellEnd"/>
            <w:r w:rsidRPr="005A6DBB">
              <w:rPr>
                <w:rStyle w:val="bold"/>
                <w:b/>
                <w:bCs/>
                <w:sz w:val="20"/>
                <w:szCs w:val="20"/>
                <w:lang w:val="fr-FR"/>
              </w:rPr>
              <w:t xml:space="preserve"> în </w:t>
            </w:r>
            <w:proofErr w:type="spellStart"/>
            <w:r w:rsidRPr="005A6DBB">
              <w:rPr>
                <w:rStyle w:val="bold"/>
                <w:b/>
                <w:bCs/>
                <w:sz w:val="20"/>
                <w:szCs w:val="20"/>
                <w:lang w:val="fr-FR"/>
              </w:rPr>
              <w:t>domeniul</w:t>
            </w:r>
            <w:proofErr w:type="spellEnd"/>
            <w:r w:rsidRPr="005A6DBB">
              <w:rPr>
                <w:rStyle w:val="bold"/>
                <w:b/>
                <w:bCs/>
                <w:sz w:val="20"/>
                <w:szCs w:val="20"/>
                <w:lang w:val="fr-FR"/>
              </w:rPr>
              <w:t xml:space="preserve"> </w:t>
            </w:r>
            <w:proofErr w:type="spellStart"/>
            <w:r w:rsidRPr="005A6DBB">
              <w:rPr>
                <w:rStyle w:val="bold"/>
                <w:b/>
                <w:bCs/>
                <w:sz w:val="20"/>
                <w:szCs w:val="20"/>
                <w:lang w:val="fr-FR"/>
              </w:rPr>
              <w:t>eficienței</w:t>
            </w:r>
            <w:proofErr w:type="spellEnd"/>
            <w:r w:rsidRPr="005A6DBB">
              <w:rPr>
                <w:rStyle w:val="bold"/>
                <w:b/>
                <w:bCs/>
                <w:sz w:val="20"/>
                <w:szCs w:val="20"/>
                <w:lang w:val="fr-FR"/>
              </w:rPr>
              <w:t xml:space="preserve"> </w:t>
            </w:r>
            <w:proofErr w:type="spellStart"/>
            <w:r w:rsidRPr="005A6DBB">
              <w:rPr>
                <w:rStyle w:val="bold"/>
                <w:b/>
                <w:bCs/>
                <w:sz w:val="20"/>
                <w:szCs w:val="20"/>
                <w:lang w:val="fr-FR"/>
              </w:rPr>
              <w:t>energetice</w:t>
            </w:r>
            <w:proofErr w:type="spellEnd"/>
          </w:p>
          <w:p w14:paraId="6E271F05" w14:textId="77777777" w:rsidR="008F5636" w:rsidRPr="005A6DBB" w:rsidRDefault="008F5636" w:rsidP="008F5636">
            <w:pPr>
              <w:pStyle w:val="ColorfulList-Accent11"/>
              <w:spacing w:after="0" w:line="240" w:lineRule="auto"/>
              <w:ind w:left="0"/>
              <w:jc w:val="both"/>
              <w:rPr>
                <w:rFonts w:ascii="Times New Roman" w:hAnsi="Times New Roman"/>
                <w:sz w:val="20"/>
                <w:szCs w:val="20"/>
                <w:shd w:val="clear" w:color="auto" w:fill="FFFFFF"/>
              </w:rPr>
            </w:pPr>
            <w:r w:rsidRPr="005A6DBB">
              <w:rPr>
                <w:rFonts w:ascii="Times New Roman" w:hAnsi="Times New Roman"/>
                <w:sz w:val="20"/>
                <w:szCs w:val="20"/>
                <w:shd w:val="clear" w:color="auto" w:fill="FFFFFF"/>
              </w:rPr>
              <w:t xml:space="preserve">În </w:t>
            </w:r>
            <w:proofErr w:type="spellStart"/>
            <w:r w:rsidRPr="005A6DBB">
              <w:rPr>
                <w:rFonts w:ascii="Times New Roman" w:hAnsi="Times New Roman"/>
                <w:sz w:val="20"/>
                <w:szCs w:val="20"/>
                <w:shd w:val="clear" w:color="auto" w:fill="FFFFFF"/>
              </w:rPr>
              <w:t>domeniul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eficienței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trebuie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incluse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următoarele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informații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suplimentare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temeiul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articolului</w:t>
            </w:r>
            <w:proofErr w:type="spellEnd"/>
            <w:r w:rsidRPr="005A6DBB">
              <w:rPr>
                <w:rFonts w:ascii="Times New Roman" w:hAnsi="Times New Roman"/>
                <w:sz w:val="20"/>
                <w:szCs w:val="20"/>
                <w:shd w:val="clear" w:color="auto" w:fill="FFFFFF"/>
              </w:rPr>
              <w:t xml:space="preserve"> 21 </w:t>
            </w:r>
            <w:proofErr w:type="spellStart"/>
            <w:r w:rsidRPr="005A6DBB">
              <w:rPr>
                <w:rFonts w:ascii="Times New Roman" w:hAnsi="Times New Roman"/>
                <w:sz w:val="20"/>
                <w:szCs w:val="20"/>
                <w:shd w:val="clear" w:color="auto" w:fill="FFFFFF"/>
              </w:rPr>
              <w:t>litera</w:t>
            </w:r>
            <w:proofErr w:type="spellEnd"/>
            <w:r w:rsidRPr="005A6DBB">
              <w:rPr>
                <w:rFonts w:ascii="Times New Roman" w:hAnsi="Times New Roman"/>
                <w:sz w:val="20"/>
                <w:szCs w:val="20"/>
                <w:shd w:val="clear" w:color="auto" w:fill="FFFFFF"/>
              </w:rPr>
              <w:t xml:space="preserve"> (c):</w:t>
            </w:r>
          </w:p>
          <w:p w14:paraId="5933A927"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lastRenderedPageBreak/>
              <w:t>principalele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politici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măsuri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măsuri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finanțare</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programe</w:t>
            </w:r>
            <w:proofErr w:type="spellEnd"/>
            <w:r w:rsidRPr="005A6DBB">
              <w:rPr>
                <w:rFonts w:ascii="Times New Roman" w:hAnsi="Times New Roman"/>
                <w:sz w:val="20"/>
                <w:szCs w:val="20"/>
                <w:shd w:val="clear" w:color="auto" w:fill="FFFFFF"/>
              </w:rPr>
              <w:t xml:space="preserve"> legislative și </w:t>
            </w:r>
            <w:proofErr w:type="spellStart"/>
            <w:r w:rsidRPr="005A6DBB">
              <w:rPr>
                <w:rFonts w:ascii="Times New Roman" w:hAnsi="Times New Roman"/>
                <w:sz w:val="20"/>
                <w:szCs w:val="20"/>
                <w:shd w:val="clear" w:color="auto" w:fill="FFFFFF"/>
              </w:rPr>
              <w:t>nelegislative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puse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aplicare</w:t>
            </w:r>
            <w:proofErr w:type="spellEnd"/>
            <w:r w:rsidRPr="005A6DBB">
              <w:rPr>
                <w:rFonts w:ascii="Times New Roman" w:hAnsi="Times New Roman"/>
                <w:sz w:val="20"/>
                <w:szCs w:val="20"/>
                <w:shd w:val="clear" w:color="auto" w:fill="FFFFFF"/>
              </w:rPr>
              <w:t xml:space="preserve"> în anul X-2 și X-1 (X </w:t>
            </w:r>
            <w:proofErr w:type="spellStart"/>
            <w:r w:rsidRPr="005A6DBB">
              <w:rPr>
                <w:rFonts w:ascii="Times New Roman" w:hAnsi="Times New Roman"/>
                <w:sz w:val="20"/>
                <w:szCs w:val="20"/>
                <w:shd w:val="clear" w:color="auto" w:fill="FFFFFF"/>
              </w:rPr>
              <w:t>fiind</w:t>
            </w:r>
            <w:proofErr w:type="spellEnd"/>
            <w:r w:rsidRPr="005A6DBB">
              <w:rPr>
                <w:rFonts w:ascii="Times New Roman" w:hAnsi="Times New Roman"/>
                <w:sz w:val="20"/>
                <w:szCs w:val="20"/>
                <w:shd w:val="clear" w:color="auto" w:fill="FFFFFF"/>
              </w:rPr>
              <w:t xml:space="preserve"> anul în care </w:t>
            </w:r>
            <w:proofErr w:type="spellStart"/>
            <w:r w:rsidRPr="005A6DBB">
              <w:rPr>
                <w:rFonts w:ascii="Times New Roman" w:hAnsi="Times New Roman"/>
                <w:sz w:val="20"/>
                <w:szCs w:val="20"/>
                <w:shd w:val="clear" w:color="auto" w:fill="FFFFFF"/>
              </w:rPr>
              <w:t>trebuie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prezentat</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raportul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pentru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îndeplinirea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obiectivelor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menționate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articolului</w:t>
            </w:r>
            <w:proofErr w:type="spellEnd"/>
            <w:r w:rsidRPr="005A6DBB">
              <w:rPr>
                <w:rFonts w:ascii="Times New Roman" w:hAnsi="Times New Roman"/>
                <w:sz w:val="20"/>
                <w:szCs w:val="20"/>
                <w:shd w:val="clear" w:color="auto" w:fill="FFFFFF"/>
              </w:rPr>
              <w:t xml:space="preserve"> 4 </w:t>
            </w:r>
            <w:proofErr w:type="spellStart"/>
            <w:r w:rsidRPr="005A6DBB">
              <w:rPr>
                <w:rFonts w:ascii="Times New Roman" w:hAnsi="Times New Roman"/>
                <w:sz w:val="20"/>
                <w:szCs w:val="20"/>
                <w:shd w:val="clear" w:color="auto" w:fill="FFFFFF"/>
              </w:rPr>
              <w:t>litera</w:t>
            </w:r>
            <w:proofErr w:type="spellEnd"/>
            <w:r w:rsidRPr="005A6DBB">
              <w:rPr>
                <w:rFonts w:ascii="Times New Roman" w:hAnsi="Times New Roman"/>
                <w:sz w:val="20"/>
                <w:szCs w:val="20"/>
                <w:shd w:val="clear" w:color="auto" w:fill="FFFFFF"/>
              </w:rPr>
              <w:t xml:space="preserve"> (b), care </w:t>
            </w:r>
            <w:proofErr w:type="spellStart"/>
            <w:r w:rsidRPr="005A6DBB">
              <w:rPr>
                <w:rFonts w:ascii="Times New Roman" w:hAnsi="Times New Roman"/>
                <w:sz w:val="20"/>
                <w:szCs w:val="20"/>
                <w:shd w:val="clear" w:color="auto" w:fill="FFFFFF"/>
              </w:rPr>
              <w:t>promovează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piețele</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servicii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îmbunătățesc</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performanța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energetică</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clădirilor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măsuri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pentru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utilizarea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potențialului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eficiență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energetică</w:t>
            </w:r>
            <w:proofErr w:type="spellEnd"/>
            <w:r w:rsidRPr="005A6DBB">
              <w:rPr>
                <w:rFonts w:ascii="Times New Roman" w:hAnsi="Times New Roman"/>
                <w:sz w:val="20"/>
                <w:szCs w:val="20"/>
                <w:shd w:val="clear" w:color="auto" w:fill="FFFFFF"/>
              </w:rPr>
              <w:t xml:space="preserve"> al </w:t>
            </w:r>
            <w:proofErr w:type="spellStart"/>
            <w:r w:rsidRPr="005A6DBB">
              <w:rPr>
                <w:rFonts w:ascii="Times New Roman" w:hAnsi="Times New Roman"/>
                <w:sz w:val="20"/>
                <w:szCs w:val="20"/>
                <w:shd w:val="clear" w:color="auto" w:fill="FFFFFF"/>
              </w:rPr>
              <w:t>infrastructurii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energie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electrică</w:t>
            </w:r>
            <w:proofErr w:type="spellEnd"/>
            <w:r w:rsidRPr="005A6DBB">
              <w:rPr>
                <w:rFonts w:ascii="Times New Roman" w:hAnsi="Times New Roman"/>
                <w:sz w:val="20"/>
                <w:szCs w:val="20"/>
                <w:shd w:val="clear" w:color="auto" w:fill="FFFFFF"/>
              </w:rPr>
              <w:t xml:space="preserve"> și de </w:t>
            </w:r>
            <w:proofErr w:type="spellStart"/>
            <w:r w:rsidRPr="005A6DBB">
              <w:rPr>
                <w:rFonts w:ascii="Times New Roman" w:hAnsi="Times New Roman"/>
                <w:sz w:val="20"/>
                <w:szCs w:val="20"/>
                <w:shd w:val="clear" w:color="auto" w:fill="FFFFFF"/>
              </w:rPr>
              <w:t>gaz</w:t>
            </w:r>
            <w:proofErr w:type="spellEnd"/>
            <w:r w:rsidRPr="005A6DBB">
              <w:rPr>
                <w:rFonts w:ascii="Times New Roman" w:hAnsi="Times New Roman"/>
                <w:sz w:val="20"/>
                <w:szCs w:val="20"/>
                <w:shd w:val="clear" w:color="auto" w:fill="FFFFFF"/>
              </w:rPr>
              <w:t xml:space="preserve"> și al </w:t>
            </w:r>
            <w:proofErr w:type="spellStart"/>
            <w:r w:rsidRPr="005A6DBB">
              <w:rPr>
                <w:rFonts w:ascii="Times New Roman" w:hAnsi="Times New Roman"/>
                <w:sz w:val="20"/>
                <w:szCs w:val="20"/>
                <w:shd w:val="clear" w:color="auto" w:fill="FFFFFF"/>
              </w:rPr>
              <w:t>încălzirii</w:t>
            </w:r>
            <w:proofErr w:type="spellEnd"/>
            <w:r w:rsidRPr="005A6DBB">
              <w:rPr>
                <w:rFonts w:ascii="Times New Roman" w:hAnsi="Times New Roman"/>
                <w:sz w:val="20"/>
                <w:szCs w:val="20"/>
                <w:shd w:val="clear" w:color="auto" w:fill="FFFFFF"/>
              </w:rPr>
              <w:t xml:space="preserve"> și </w:t>
            </w:r>
            <w:proofErr w:type="spellStart"/>
            <w:r w:rsidRPr="005A6DBB">
              <w:rPr>
                <w:rFonts w:ascii="Times New Roman" w:hAnsi="Times New Roman"/>
                <w:sz w:val="20"/>
                <w:szCs w:val="20"/>
                <w:shd w:val="clear" w:color="auto" w:fill="FFFFFF"/>
              </w:rPr>
              <w:t>răcirii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pentru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îmbunătățirea</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informării</w:t>
            </w:r>
            <w:proofErr w:type="spellEnd"/>
            <w:r w:rsidRPr="005A6DBB">
              <w:rPr>
                <w:rFonts w:ascii="Times New Roman" w:hAnsi="Times New Roman"/>
                <w:sz w:val="20"/>
                <w:szCs w:val="20"/>
                <w:shd w:val="clear" w:color="auto" w:fill="FFFFFF"/>
              </w:rPr>
              <w:t xml:space="preserve"> și a </w:t>
            </w:r>
            <w:proofErr w:type="spellStart"/>
            <w:r w:rsidRPr="005A6DBB">
              <w:rPr>
                <w:rFonts w:ascii="Times New Roman" w:hAnsi="Times New Roman"/>
                <w:sz w:val="20"/>
                <w:szCs w:val="20"/>
                <w:shd w:val="clear" w:color="auto" w:fill="FFFFFF"/>
              </w:rPr>
              <w:t>categorisirii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alte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măsuri</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promovare</w:t>
            </w:r>
            <w:proofErr w:type="spellEnd"/>
            <w:r w:rsidRPr="005A6DBB">
              <w:rPr>
                <w:rFonts w:ascii="Times New Roman" w:hAnsi="Times New Roman"/>
                <w:sz w:val="20"/>
                <w:szCs w:val="20"/>
                <w:shd w:val="clear" w:color="auto" w:fill="FFFFFF"/>
              </w:rPr>
              <w:t xml:space="preserve"> a </w:t>
            </w:r>
            <w:proofErr w:type="spellStart"/>
            <w:r w:rsidRPr="005A6DBB">
              <w:rPr>
                <w:rFonts w:ascii="Times New Roman" w:hAnsi="Times New Roman"/>
                <w:sz w:val="20"/>
                <w:szCs w:val="20"/>
                <w:shd w:val="clear" w:color="auto" w:fill="FFFFFF"/>
              </w:rPr>
              <w:t>eficienței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w:t>
            </w:r>
          </w:p>
          <w:p w14:paraId="1CF6C0F3"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cantitatea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cumulată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economiilor</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obținute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7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 în anii X-3 și X-2;</w:t>
            </w:r>
          </w:p>
          <w:p w14:paraId="4FA025C1" w14:textId="025F2290" w:rsidR="008F5636" w:rsidRPr="005A6DBB" w:rsidRDefault="008F5636" w:rsidP="000C5A3B">
            <w:pPr>
              <w:pStyle w:val="Normal4"/>
              <w:numPr>
                <w:ilvl w:val="0"/>
                <w:numId w:val="81"/>
              </w:numPr>
              <w:spacing w:before="0" w:beforeAutospacing="0" w:after="0" w:afterAutospacing="0"/>
              <w:ind w:left="470" w:hanging="357"/>
              <w:jc w:val="both"/>
              <w:rPr>
                <w:sz w:val="20"/>
                <w:szCs w:val="20"/>
              </w:rPr>
            </w:pPr>
            <w:r w:rsidRPr="005A6DBB">
              <w:rPr>
                <w:sz w:val="20"/>
                <w:szCs w:val="20"/>
              </w:rPr>
              <w:t>cantitatea economiilor realizate prin măsuri de politică ce vizează reducerea sărăciei energetice, în conformitate cu articolul 7 alineatul (11) din Directiva 2012/27/UE;</w:t>
            </w:r>
          </w:p>
          <w:p w14:paraId="30F04046"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dacă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este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cazul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cantitatea</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economii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realizate</w:t>
            </w:r>
            <w:proofErr w:type="spellEnd"/>
            <w:r w:rsidRPr="005A6DBB">
              <w:rPr>
                <w:rFonts w:ascii="Times New Roman" w:hAnsi="Times New Roman"/>
                <w:sz w:val="20"/>
                <w:szCs w:val="20"/>
                <w:shd w:val="clear" w:color="auto" w:fill="FFFFFF"/>
              </w:rPr>
              <w:t xml:space="preserve"> în conformitate cu </w:t>
            </w:r>
            <w:proofErr w:type="spellStart"/>
            <w:r w:rsidRPr="005A6DBB">
              <w:rPr>
                <w:rFonts w:ascii="Times New Roman" w:hAnsi="Times New Roman"/>
                <w:sz w:val="20"/>
                <w:szCs w:val="20"/>
                <w:shd w:val="clear" w:color="auto" w:fill="FFFFFF"/>
              </w:rPr>
              <w:t>articolul</w:t>
            </w:r>
            <w:proofErr w:type="spellEnd"/>
            <w:r w:rsidRPr="005A6DBB">
              <w:rPr>
                <w:rFonts w:ascii="Times New Roman" w:hAnsi="Times New Roman"/>
                <w:sz w:val="20"/>
                <w:szCs w:val="20"/>
                <w:shd w:val="clear" w:color="auto" w:fill="FFFFFF"/>
              </w:rPr>
              <w:t xml:space="preserve"> 7 </w:t>
            </w:r>
            <w:proofErr w:type="spellStart"/>
            <w:r w:rsidRPr="005A6DBB">
              <w:rPr>
                <w:rFonts w:ascii="Times New Roman" w:hAnsi="Times New Roman"/>
                <w:sz w:val="20"/>
                <w:szCs w:val="20"/>
                <w:shd w:val="clear" w:color="auto" w:fill="FFFFFF"/>
              </w:rPr>
              <w:t>alineatul</w:t>
            </w:r>
            <w:proofErr w:type="spellEnd"/>
            <w:r w:rsidRPr="005A6DBB">
              <w:rPr>
                <w:rFonts w:ascii="Times New Roman" w:hAnsi="Times New Roman"/>
                <w:sz w:val="20"/>
                <w:szCs w:val="20"/>
                <w:shd w:val="clear" w:color="auto" w:fill="FFFFFF"/>
              </w:rPr>
              <w:t xml:space="preserve"> (4) </w:t>
            </w:r>
            <w:proofErr w:type="spellStart"/>
            <w:r w:rsidRPr="005A6DBB">
              <w:rPr>
                <w:rFonts w:ascii="Times New Roman" w:hAnsi="Times New Roman"/>
                <w:sz w:val="20"/>
                <w:szCs w:val="20"/>
                <w:shd w:val="clear" w:color="auto" w:fill="FFFFFF"/>
              </w:rPr>
              <w:t>litera</w:t>
            </w:r>
            <w:proofErr w:type="spellEnd"/>
            <w:r w:rsidRPr="005A6DBB">
              <w:rPr>
                <w:rFonts w:ascii="Times New Roman" w:hAnsi="Times New Roman"/>
                <w:sz w:val="20"/>
                <w:szCs w:val="20"/>
                <w:shd w:val="clear" w:color="auto" w:fill="FFFFFF"/>
              </w:rPr>
              <w:t xml:space="preserve"> (c) din </w:t>
            </w:r>
            <w:proofErr w:type="spellStart"/>
            <w:r w:rsidRPr="005A6DBB">
              <w:rPr>
                <w:rFonts w:ascii="Times New Roman" w:hAnsi="Times New Roman"/>
                <w:sz w:val="20"/>
                <w:szCs w:val="20"/>
                <w:shd w:val="clear" w:color="auto" w:fill="FFFFFF"/>
              </w:rPr>
              <w:t>Directiva</w:t>
            </w:r>
            <w:proofErr w:type="spellEnd"/>
            <w:r w:rsidRPr="005A6DBB">
              <w:rPr>
                <w:rFonts w:ascii="Times New Roman" w:hAnsi="Times New Roman"/>
                <w:sz w:val="20"/>
                <w:szCs w:val="20"/>
                <w:shd w:val="clear" w:color="auto" w:fill="FFFFFF"/>
              </w:rPr>
              <w:t xml:space="preserve"> 2012/27/</w:t>
            </w:r>
            <w:proofErr w:type="gramStart"/>
            <w:r w:rsidRPr="005A6DBB">
              <w:rPr>
                <w:rFonts w:ascii="Times New Roman" w:hAnsi="Times New Roman"/>
                <w:sz w:val="20"/>
                <w:szCs w:val="20"/>
                <w:shd w:val="clear" w:color="auto" w:fill="FFFFFF"/>
              </w:rPr>
              <w:t>UE;</w:t>
            </w:r>
            <w:proofErr w:type="gramEnd"/>
          </w:p>
          <w:p w14:paraId="1E9CA1DD"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progresul</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fiecare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sector</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motivele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care </w:t>
            </w:r>
            <w:proofErr w:type="spellStart"/>
            <w:r w:rsidRPr="005A6DBB">
              <w:rPr>
                <w:rFonts w:ascii="Times New Roman" w:hAnsi="Times New Roman"/>
                <w:sz w:val="20"/>
                <w:szCs w:val="20"/>
                <w:shd w:val="clear" w:color="auto" w:fill="FFFFFF"/>
                <w:lang w:val="fr-FR"/>
              </w:rPr>
              <w:t>consumul</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rămas</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stabil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crescut</w:t>
            </w:r>
            <w:proofErr w:type="spellEnd"/>
            <w:r w:rsidRPr="005A6DBB">
              <w:rPr>
                <w:rFonts w:ascii="Times New Roman" w:hAnsi="Times New Roman"/>
                <w:sz w:val="20"/>
                <w:szCs w:val="20"/>
                <w:shd w:val="clear" w:color="auto" w:fill="FFFFFF"/>
                <w:lang w:val="fr-FR"/>
              </w:rPr>
              <w:t xml:space="preserve"> în anul X-3 și X-2 în </w:t>
            </w:r>
            <w:proofErr w:type="spellStart"/>
            <w:r w:rsidRPr="005A6DBB">
              <w:rPr>
                <w:rFonts w:ascii="Times New Roman" w:hAnsi="Times New Roman"/>
                <w:sz w:val="20"/>
                <w:szCs w:val="20"/>
                <w:shd w:val="clear" w:color="auto" w:fill="FFFFFF"/>
                <w:lang w:val="fr-FR"/>
              </w:rPr>
              <w:t>sectoarele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consum</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finală</w:t>
            </w:r>
            <w:proofErr w:type="spellEnd"/>
            <w:r w:rsidRPr="005A6DBB">
              <w:rPr>
                <w:rFonts w:ascii="Times New Roman" w:hAnsi="Times New Roman"/>
                <w:sz w:val="20"/>
                <w:szCs w:val="20"/>
                <w:shd w:val="clear" w:color="auto" w:fill="FFFFFF"/>
                <w:lang w:val="fr-FR"/>
              </w:rPr>
              <w:t>;</w:t>
            </w:r>
          </w:p>
          <w:p w14:paraId="1993769F"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suprafața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totală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clădirilor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o </w:t>
            </w:r>
            <w:proofErr w:type="spellStart"/>
            <w:r w:rsidRPr="005A6DBB">
              <w:rPr>
                <w:rFonts w:ascii="Times New Roman" w:hAnsi="Times New Roman"/>
                <w:sz w:val="20"/>
                <w:szCs w:val="20"/>
                <w:shd w:val="clear" w:color="auto" w:fill="FFFFFF"/>
                <w:lang w:val="fr-FR"/>
              </w:rPr>
              <w:t>suprafață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totală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utilă</w:t>
            </w:r>
            <w:proofErr w:type="spellEnd"/>
            <w:r w:rsidRPr="005A6DBB">
              <w:rPr>
                <w:rFonts w:ascii="Times New Roman" w:hAnsi="Times New Roman"/>
                <w:sz w:val="20"/>
                <w:szCs w:val="20"/>
                <w:shd w:val="clear" w:color="auto" w:fill="FFFFFF"/>
                <w:lang w:val="fr-FR"/>
              </w:rPr>
              <w:t xml:space="preserve"> de peste 250 m</w:t>
            </w:r>
            <w:r w:rsidRPr="005A6DBB">
              <w:rPr>
                <w:rStyle w:val="super"/>
                <w:rFonts w:ascii="Times New Roman" w:hAnsi="Times New Roman"/>
                <w:sz w:val="20"/>
                <w:szCs w:val="20"/>
                <w:shd w:val="clear" w:color="auto" w:fill="FFFFFF"/>
                <w:vertAlign w:val="superscript"/>
                <w:lang w:val="fr-FR"/>
              </w:rPr>
              <w:t>2</w:t>
            </w:r>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deținute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ocupate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administrația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centrală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statului</w:t>
            </w:r>
            <w:proofErr w:type="spellEnd"/>
            <w:r w:rsidRPr="005A6DBB">
              <w:rPr>
                <w:rFonts w:ascii="Times New Roman" w:hAnsi="Times New Roman"/>
                <w:sz w:val="20"/>
                <w:szCs w:val="20"/>
                <w:shd w:val="clear" w:color="auto" w:fill="FFFFFF"/>
                <w:lang w:val="fr-FR"/>
              </w:rPr>
              <w:t xml:space="preserve"> membru care, la data de 1 </w:t>
            </w:r>
            <w:proofErr w:type="spellStart"/>
            <w:r w:rsidRPr="005A6DBB">
              <w:rPr>
                <w:rFonts w:ascii="Times New Roman" w:hAnsi="Times New Roman"/>
                <w:sz w:val="20"/>
                <w:szCs w:val="20"/>
                <w:shd w:val="clear" w:color="auto" w:fill="FFFFFF"/>
                <w:lang w:val="fr-FR"/>
              </w:rPr>
              <w:t>ianuarie</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anului</w:t>
            </w:r>
            <w:proofErr w:type="spellEnd"/>
            <w:r w:rsidRPr="005A6DBB">
              <w:rPr>
                <w:rFonts w:ascii="Times New Roman" w:hAnsi="Times New Roman"/>
                <w:sz w:val="20"/>
                <w:szCs w:val="20"/>
                <w:shd w:val="clear" w:color="auto" w:fill="FFFFFF"/>
                <w:lang w:val="fr-FR"/>
              </w:rPr>
              <w:t xml:space="preserve"> X-2 și X-1, nu </w:t>
            </w:r>
            <w:proofErr w:type="spellStart"/>
            <w:r w:rsidRPr="005A6DBB">
              <w:rPr>
                <w:rFonts w:ascii="Times New Roman" w:hAnsi="Times New Roman"/>
                <w:sz w:val="20"/>
                <w:szCs w:val="20"/>
                <w:shd w:val="clear" w:color="auto" w:fill="FFFFFF"/>
                <w:lang w:val="fr-FR"/>
              </w:rPr>
              <w:t>îndeplineau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cerințele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performanța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energetică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menționate</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5 </w:t>
            </w:r>
            <w:proofErr w:type="spellStart"/>
            <w:r w:rsidRPr="005A6DBB">
              <w:rPr>
                <w:rFonts w:ascii="Times New Roman" w:hAnsi="Times New Roman"/>
                <w:sz w:val="20"/>
                <w:szCs w:val="20"/>
                <w:shd w:val="clear" w:color="auto" w:fill="FFFFFF"/>
                <w:lang w:val="fr-FR"/>
              </w:rPr>
              <w:t>alineatul</w:t>
            </w:r>
            <w:proofErr w:type="spellEnd"/>
            <w:r w:rsidRPr="005A6DBB">
              <w:rPr>
                <w:rFonts w:ascii="Times New Roman" w:hAnsi="Times New Roman"/>
                <w:sz w:val="20"/>
                <w:szCs w:val="20"/>
                <w:shd w:val="clear" w:color="auto" w:fill="FFFFFF"/>
                <w:lang w:val="fr-FR"/>
              </w:rPr>
              <w:t xml:space="preserve"> (1)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w:t>
            </w:r>
          </w:p>
          <w:p w14:paraId="015E6AED"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suprafața</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totală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clădirilor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încălzite</w:t>
            </w:r>
            <w:proofErr w:type="spellEnd"/>
            <w:r w:rsidRPr="005A6DBB">
              <w:rPr>
                <w:rFonts w:ascii="Times New Roman" w:hAnsi="Times New Roman"/>
                <w:sz w:val="20"/>
                <w:szCs w:val="20"/>
                <w:shd w:val="clear" w:color="auto" w:fill="FFFFFF"/>
                <w:lang w:val="fr-FR"/>
              </w:rPr>
              <w:t xml:space="preserve"> și/</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răcite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deținute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ocupate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administrația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centrală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statului</w:t>
            </w:r>
            <w:proofErr w:type="spellEnd"/>
            <w:r w:rsidRPr="005A6DBB">
              <w:rPr>
                <w:rFonts w:ascii="Times New Roman" w:hAnsi="Times New Roman"/>
                <w:sz w:val="20"/>
                <w:szCs w:val="20"/>
                <w:shd w:val="clear" w:color="auto" w:fill="FFFFFF"/>
                <w:lang w:val="fr-FR"/>
              </w:rPr>
              <w:t xml:space="preserve"> membru care a </w:t>
            </w:r>
            <w:proofErr w:type="spellStart"/>
            <w:r w:rsidRPr="005A6DBB">
              <w:rPr>
                <w:rFonts w:ascii="Times New Roman" w:hAnsi="Times New Roman"/>
                <w:sz w:val="20"/>
                <w:szCs w:val="20"/>
                <w:shd w:val="clear" w:color="auto" w:fill="FFFFFF"/>
                <w:lang w:val="fr-FR"/>
              </w:rPr>
              <w:t>fost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renovată</w:t>
            </w:r>
            <w:proofErr w:type="spellEnd"/>
            <w:r w:rsidRPr="005A6DBB">
              <w:rPr>
                <w:rFonts w:ascii="Times New Roman" w:hAnsi="Times New Roman"/>
                <w:sz w:val="20"/>
                <w:szCs w:val="20"/>
                <w:shd w:val="clear" w:color="auto" w:fill="FFFFFF"/>
                <w:lang w:val="fr-FR"/>
              </w:rPr>
              <w:t xml:space="preserve"> în anul X-3 și X-2, </w:t>
            </w:r>
            <w:proofErr w:type="spellStart"/>
            <w:r w:rsidRPr="005A6DBB">
              <w:rPr>
                <w:rFonts w:ascii="Times New Roman" w:hAnsi="Times New Roman"/>
                <w:sz w:val="20"/>
                <w:szCs w:val="20"/>
                <w:shd w:val="clear" w:color="auto" w:fill="FFFFFF"/>
                <w:lang w:val="fr-FR"/>
              </w:rPr>
              <w:t>menționată</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5 </w:t>
            </w:r>
            <w:proofErr w:type="spellStart"/>
            <w:r w:rsidRPr="005A6DBB">
              <w:rPr>
                <w:rFonts w:ascii="Times New Roman" w:hAnsi="Times New Roman"/>
                <w:sz w:val="20"/>
                <w:szCs w:val="20"/>
                <w:shd w:val="clear" w:color="auto" w:fill="FFFFFF"/>
                <w:lang w:val="fr-FR"/>
              </w:rPr>
              <w:t>alineatul</w:t>
            </w:r>
            <w:proofErr w:type="spellEnd"/>
            <w:r w:rsidRPr="005A6DBB">
              <w:rPr>
                <w:rFonts w:ascii="Times New Roman" w:hAnsi="Times New Roman"/>
                <w:sz w:val="20"/>
                <w:szCs w:val="20"/>
                <w:shd w:val="clear" w:color="auto" w:fill="FFFFFF"/>
                <w:lang w:val="fr-FR"/>
              </w:rPr>
              <w:t xml:space="preserve"> (1)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cantitatea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economii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clădirile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eligibile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deținute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ocupate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administrația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centrală</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statului</w:t>
            </w:r>
            <w:proofErr w:type="spellEnd"/>
            <w:r w:rsidRPr="005A6DBB">
              <w:rPr>
                <w:rFonts w:ascii="Times New Roman" w:hAnsi="Times New Roman"/>
                <w:sz w:val="20"/>
                <w:szCs w:val="20"/>
                <w:shd w:val="clear" w:color="auto" w:fill="FFFFFF"/>
                <w:lang w:val="fr-FR"/>
              </w:rPr>
              <w:t xml:space="preserve"> membru, </w:t>
            </w:r>
            <w:proofErr w:type="spellStart"/>
            <w:r w:rsidRPr="005A6DBB">
              <w:rPr>
                <w:rFonts w:ascii="Times New Roman" w:hAnsi="Times New Roman"/>
                <w:sz w:val="20"/>
                <w:szCs w:val="20"/>
                <w:shd w:val="clear" w:color="auto" w:fill="FFFFFF"/>
                <w:lang w:val="fr-FR"/>
              </w:rPr>
              <w:t>menționată</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5 </w:t>
            </w:r>
            <w:proofErr w:type="spellStart"/>
            <w:r w:rsidRPr="005A6DBB">
              <w:rPr>
                <w:rFonts w:ascii="Times New Roman" w:hAnsi="Times New Roman"/>
                <w:sz w:val="20"/>
                <w:szCs w:val="20"/>
                <w:shd w:val="clear" w:color="auto" w:fill="FFFFFF"/>
                <w:lang w:val="fr-FR"/>
              </w:rPr>
              <w:t>alineatul</w:t>
            </w:r>
            <w:proofErr w:type="spellEnd"/>
            <w:r w:rsidRPr="005A6DBB">
              <w:rPr>
                <w:rFonts w:ascii="Times New Roman" w:hAnsi="Times New Roman"/>
                <w:sz w:val="20"/>
                <w:szCs w:val="20"/>
                <w:shd w:val="clear" w:color="auto" w:fill="FFFFFF"/>
                <w:lang w:val="fr-FR"/>
              </w:rPr>
              <w:t xml:space="preserve"> (6)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w:t>
            </w:r>
          </w:p>
          <w:p w14:paraId="5BC19F46"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rPr>
            </w:pPr>
            <w:proofErr w:type="spellStart"/>
            <w:r w:rsidRPr="005A6DBB">
              <w:rPr>
                <w:rFonts w:ascii="Times New Roman" w:hAnsi="Times New Roman"/>
                <w:sz w:val="20"/>
                <w:szCs w:val="20"/>
                <w:shd w:val="clear" w:color="auto" w:fill="FFFFFF"/>
              </w:rPr>
              <w:t>numărul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auditurilor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efectuate</w:t>
            </w:r>
            <w:proofErr w:type="spellEnd"/>
            <w:r w:rsidRPr="005A6DBB">
              <w:rPr>
                <w:rFonts w:ascii="Times New Roman" w:hAnsi="Times New Roman"/>
                <w:sz w:val="20"/>
                <w:szCs w:val="20"/>
                <w:shd w:val="clear" w:color="auto" w:fill="FFFFFF"/>
              </w:rPr>
              <w:t xml:space="preserve"> în anul X-3 și X-2. În plus, </w:t>
            </w:r>
            <w:proofErr w:type="spellStart"/>
            <w:r w:rsidRPr="005A6DBB">
              <w:rPr>
                <w:rFonts w:ascii="Times New Roman" w:hAnsi="Times New Roman"/>
                <w:sz w:val="20"/>
                <w:szCs w:val="20"/>
                <w:shd w:val="clear" w:color="auto" w:fill="FFFFFF"/>
              </w:rPr>
              <w:t>numărul</w:t>
            </w:r>
            <w:proofErr w:type="spellEnd"/>
            <w:r w:rsidRPr="005A6DBB">
              <w:rPr>
                <w:rFonts w:ascii="Times New Roman" w:hAnsi="Times New Roman"/>
                <w:sz w:val="20"/>
                <w:szCs w:val="20"/>
                <w:shd w:val="clear" w:color="auto" w:fill="FFFFFF"/>
              </w:rPr>
              <w:t xml:space="preserve"> total </w:t>
            </w:r>
            <w:proofErr w:type="spellStart"/>
            <w:r w:rsidRPr="005A6DBB">
              <w:rPr>
                <w:rFonts w:ascii="Times New Roman" w:hAnsi="Times New Roman"/>
                <w:sz w:val="20"/>
                <w:szCs w:val="20"/>
                <w:shd w:val="clear" w:color="auto" w:fill="FFFFFF"/>
              </w:rPr>
              <w:t>estimat</w:t>
            </w:r>
            <w:proofErr w:type="spellEnd"/>
            <w:r w:rsidRPr="005A6DBB">
              <w:rPr>
                <w:rFonts w:ascii="Times New Roman" w:hAnsi="Times New Roman"/>
                <w:sz w:val="20"/>
                <w:szCs w:val="20"/>
                <w:shd w:val="clear" w:color="auto" w:fill="FFFFFF"/>
              </w:rPr>
              <w:t xml:space="preserve"> de </w:t>
            </w:r>
            <w:proofErr w:type="spellStart"/>
            <w:r w:rsidRPr="005A6DBB">
              <w:rPr>
                <w:rFonts w:ascii="Times New Roman" w:hAnsi="Times New Roman"/>
                <w:sz w:val="20"/>
                <w:szCs w:val="20"/>
                <w:shd w:val="clear" w:color="auto" w:fill="FFFFFF"/>
              </w:rPr>
              <w:t>întreprinderi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mari</w:t>
            </w:r>
            <w:proofErr w:type="spellEnd"/>
            <w:r w:rsidRPr="005A6DBB">
              <w:rPr>
                <w:rFonts w:ascii="Times New Roman" w:hAnsi="Times New Roman"/>
                <w:sz w:val="20"/>
                <w:szCs w:val="20"/>
                <w:shd w:val="clear" w:color="auto" w:fill="FFFFFF"/>
              </w:rPr>
              <w:t xml:space="preserve"> de pe </w:t>
            </w:r>
            <w:proofErr w:type="spellStart"/>
            <w:r w:rsidRPr="005A6DBB">
              <w:rPr>
                <w:rFonts w:ascii="Times New Roman" w:hAnsi="Times New Roman"/>
                <w:sz w:val="20"/>
                <w:szCs w:val="20"/>
                <w:shd w:val="clear" w:color="auto" w:fill="FFFFFF"/>
              </w:rPr>
              <w:t>teritoriul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statului</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membru</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cărora</w:t>
            </w:r>
            <w:proofErr w:type="spellEnd"/>
            <w:r w:rsidRPr="005A6DBB">
              <w:rPr>
                <w:rFonts w:ascii="Times New Roman" w:hAnsi="Times New Roman"/>
                <w:sz w:val="20"/>
                <w:szCs w:val="20"/>
                <w:shd w:val="clear" w:color="auto" w:fill="FFFFFF"/>
              </w:rPr>
              <w:t xml:space="preserve"> li se </w:t>
            </w:r>
            <w:proofErr w:type="spellStart"/>
            <w:r w:rsidRPr="005A6DBB">
              <w:rPr>
                <w:rFonts w:ascii="Times New Roman" w:hAnsi="Times New Roman"/>
                <w:sz w:val="20"/>
                <w:szCs w:val="20"/>
                <w:shd w:val="clear" w:color="auto" w:fill="FFFFFF"/>
              </w:rPr>
              <w:t>aplică</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articolul</w:t>
            </w:r>
            <w:proofErr w:type="spellEnd"/>
            <w:r w:rsidRPr="005A6DBB">
              <w:rPr>
                <w:rFonts w:ascii="Times New Roman" w:hAnsi="Times New Roman"/>
                <w:sz w:val="20"/>
                <w:szCs w:val="20"/>
                <w:shd w:val="clear" w:color="auto" w:fill="FFFFFF"/>
              </w:rPr>
              <w:t xml:space="preserve"> 8 </w:t>
            </w:r>
            <w:proofErr w:type="spellStart"/>
            <w:r w:rsidRPr="005A6DBB">
              <w:rPr>
                <w:rFonts w:ascii="Times New Roman" w:hAnsi="Times New Roman"/>
                <w:sz w:val="20"/>
                <w:szCs w:val="20"/>
                <w:shd w:val="clear" w:color="auto" w:fill="FFFFFF"/>
              </w:rPr>
              <w:t>alineatul</w:t>
            </w:r>
            <w:proofErr w:type="spellEnd"/>
            <w:r w:rsidRPr="005A6DBB">
              <w:rPr>
                <w:rFonts w:ascii="Times New Roman" w:hAnsi="Times New Roman"/>
                <w:sz w:val="20"/>
                <w:szCs w:val="20"/>
                <w:shd w:val="clear" w:color="auto" w:fill="FFFFFF"/>
              </w:rPr>
              <w:t xml:space="preserve"> (4) din </w:t>
            </w:r>
            <w:proofErr w:type="spellStart"/>
            <w:r w:rsidRPr="005A6DBB">
              <w:rPr>
                <w:rFonts w:ascii="Times New Roman" w:hAnsi="Times New Roman"/>
                <w:sz w:val="20"/>
                <w:szCs w:val="20"/>
                <w:shd w:val="clear" w:color="auto" w:fill="FFFFFF"/>
              </w:rPr>
              <w:t>Directiva</w:t>
            </w:r>
            <w:proofErr w:type="spellEnd"/>
            <w:r w:rsidRPr="005A6DBB">
              <w:rPr>
                <w:rFonts w:ascii="Times New Roman" w:hAnsi="Times New Roman"/>
                <w:sz w:val="20"/>
                <w:szCs w:val="20"/>
                <w:shd w:val="clear" w:color="auto" w:fill="FFFFFF"/>
              </w:rPr>
              <w:t xml:space="preserve"> 2012/27/UE și </w:t>
            </w:r>
            <w:proofErr w:type="spellStart"/>
            <w:r w:rsidRPr="005A6DBB">
              <w:rPr>
                <w:rFonts w:ascii="Times New Roman" w:hAnsi="Times New Roman"/>
                <w:sz w:val="20"/>
                <w:szCs w:val="20"/>
                <w:shd w:val="clear" w:color="auto" w:fill="FFFFFF"/>
              </w:rPr>
              <w:t>numărul</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auditurilor</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energetice</w:t>
            </w:r>
            <w:proofErr w:type="spellEnd"/>
            <w:r w:rsidRPr="005A6DBB">
              <w:rPr>
                <w:rFonts w:ascii="Times New Roman" w:hAnsi="Times New Roman"/>
                <w:sz w:val="20"/>
                <w:szCs w:val="20"/>
                <w:shd w:val="clear" w:color="auto" w:fill="FFFFFF"/>
              </w:rPr>
              <w:t xml:space="preserve"> </w:t>
            </w:r>
            <w:proofErr w:type="spellStart"/>
            <w:r w:rsidRPr="005A6DBB">
              <w:rPr>
                <w:rFonts w:ascii="Times New Roman" w:hAnsi="Times New Roman"/>
                <w:sz w:val="20"/>
                <w:szCs w:val="20"/>
                <w:shd w:val="clear" w:color="auto" w:fill="FFFFFF"/>
              </w:rPr>
              <w:t>efectuate</w:t>
            </w:r>
            <w:proofErr w:type="spellEnd"/>
            <w:r w:rsidRPr="005A6DBB">
              <w:rPr>
                <w:rFonts w:ascii="Times New Roman" w:hAnsi="Times New Roman"/>
                <w:sz w:val="20"/>
                <w:szCs w:val="20"/>
                <w:shd w:val="clear" w:color="auto" w:fill="FFFFFF"/>
              </w:rPr>
              <w:t xml:space="preserve"> în </w:t>
            </w:r>
            <w:proofErr w:type="spellStart"/>
            <w:r w:rsidRPr="005A6DBB">
              <w:rPr>
                <w:rFonts w:ascii="Times New Roman" w:hAnsi="Times New Roman"/>
                <w:sz w:val="20"/>
                <w:szCs w:val="20"/>
                <w:shd w:val="clear" w:color="auto" w:fill="FFFFFF"/>
              </w:rPr>
              <w:t>întreprinderile</w:t>
            </w:r>
            <w:proofErr w:type="spellEnd"/>
            <w:r w:rsidRPr="005A6DBB">
              <w:rPr>
                <w:rFonts w:ascii="Times New Roman" w:hAnsi="Times New Roman"/>
                <w:sz w:val="20"/>
                <w:szCs w:val="20"/>
                <w:shd w:val="clear" w:color="auto" w:fill="FFFFFF"/>
              </w:rPr>
              <w:t xml:space="preserve"> respective în anul X-3 și X-</w:t>
            </w:r>
            <w:proofErr w:type="gramStart"/>
            <w:r w:rsidRPr="005A6DBB">
              <w:rPr>
                <w:rFonts w:ascii="Times New Roman" w:hAnsi="Times New Roman"/>
                <w:sz w:val="20"/>
                <w:szCs w:val="20"/>
                <w:shd w:val="clear" w:color="auto" w:fill="FFFFFF"/>
              </w:rPr>
              <w:t>2;</w:t>
            </w:r>
            <w:proofErr w:type="gramEnd"/>
          </w:p>
          <w:p w14:paraId="6BCF75A7"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lastRenderedPageBreak/>
              <w:t>factorul</w:t>
            </w:r>
            <w:proofErr w:type="spellEnd"/>
            <w:proofErr w:type="gram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primară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național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aplicat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electrică</w:t>
            </w:r>
            <w:proofErr w:type="spellEnd"/>
            <w:r w:rsidRPr="005A6DBB">
              <w:rPr>
                <w:rFonts w:ascii="Times New Roman" w:hAnsi="Times New Roman"/>
                <w:sz w:val="20"/>
                <w:szCs w:val="20"/>
                <w:shd w:val="clear" w:color="auto" w:fill="FFFFFF"/>
                <w:lang w:val="fr-FR"/>
              </w:rPr>
              <w:t xml:space="preserve"> și o </w:t>
            </w:r>
            <w:proofErr w:type="spellStart"/>
            <w:r w:rsidRPr="005A6DBB">
              <w:rPr>
                <w:rFonts w:ascii="Times New Roman" w:hAnsi="Times New Roman"/>
                <w:sz w:val="20"/>
                <w:szCs w:val="20"/>
                <w:shd w:val="clear" w:color="auto" w:fill="FFFFFF"/>
                <w:lang w:val="fr-FR"/>
              </w:rPr>
              <w:t>justificare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dacă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acesta</w:t>
            </w:r>
            <w:proofErr w:type="spell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diferit</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coeficientul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implicit</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menționat</w:t>
            </w:r>
            <w:proofErr w:type="spellEnd"/>
            <w:r w:rsidRPr="005A6DBB">
              <w:rPr>
                <w:rFonts w:ascii="Times New Roman" w:hAnsi="Times New Roman"/>
                <w:sz w:val="20"/>
                <w:szCs w:val="20"/>
                <w:shd w:val="clear" w:color="auto" w:fill="FFFFFF"/>
                <w:lang w:val="fr-FR"/>
              </w:rPr>
              <w:t xml:space="preserve"> în nota de </w:t>
            </w:r>
            <w:proofErr w:type="spellStart"/>
            <w:r w:rsidRPr="005A6DBB">
              <w:rPr>
                <w:rFonts w:ascii="Times New Roman" w:hAnsi="Times New Roman"/>
                <w:sz w:val="20"/>
                <w:szCs w:val="20"/>
                <w:shd w:val="clear" w:color="auto" w:fill="FFFFFF"/>
                <w:lang w:val="fr-FR"/>
              </w:rPr>
              <w:t>subsol</w:t>
            </w:r>
            <w:proofErr w:type="spellEnd"/>
            <w:r w:rsidRPr="005A6DBB">
              <w:rPr>
                <w:rFonts w:ascii="Times New Roman" w:hAnsi="Times New Roman"/>
                <w:sz w:val="20"/>
                <w:szCs w:val="20"/>
                <w:shd w:val="clear" w:color="auto" w:fill="FFFFFF"/>
                <w:lang w:val="fr-FR"/>
              </w:rPr>
              <w:t xml:space="preserve"> (3)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anexa</w:t>
            </w:r>
            <w:proofErr w:type="spellEnd"/>
            <w:r w:rsidRPr="005A6DBB">
              <w:rPr>
                <w:rFonts w:ascii="Times New Roman" w:hAnsi="Times New Roman"/>
                <w:sz w:val="20"/>
                <w:szCs w:val="20"/>
                <w:shd w:val="clear" w:color="auto" w:fill="FFFFFF"/>
                <w:lang w:val="fr-FR"/>
              </w:rPr>
              <w:t xml:space="preserve"> IV la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w:t>
            </w:r>
          </w:p>
          <w:p w14:paraId="611AD135" w14:textId="77777777" w:rsidR="008F5636" w:rsidRPr="005A6DBB" w:rsidRDefault="008F5636" w:rsidP="000C5A3B">
            <w:pPr>
              <w:pStyle w:val="ColorfulList-Accent11"/>
              <w:numPr>
                <w:ilvl w:val="0"/>
                <w:numId w:val="81"/>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numărul</w:t>
            </w:r>
            <w:proofErr w:type="spellEnd"/>
            <w:proofErr w:type="gram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suprafața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clădirilor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noi</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renovate</w:t>
            </w:r>
            <w:proofErr w:type="spellEnd"/>
            <w:r w:rsidRPr="005A6DBB">
              <w:rPr>
                <w:rFonts w:ascii="Times New Roman" w:hAnsi="Times New Roman"/>
                <w:sz w:val="20"/>
                <w:szCs w:val="20"/>
                <w:shd w:val="clear" w:color="auto" w:fill="FFFFFF"/>
                <w:lang w:val="fr-FR"/>
              </w:rPr>
              <w:t xml:space="preserve"> al </w:t>
            </w:r>
            <w:proofErr w:type="spellStart"/>
            <w:r w:rsidRPr="005A6DBB">
              <w:rPr>
                <w:rFonts w:ascii="Times New Roman" w:hAnsi="Times New Roman"/>
                <w:sz w:val="20"/>
                <w:szCs w:val="20"/>
                <w:shd w:val="clear" w:color="auto" w:fill="FFFFFF"/>
                <w:lang w:val="fr-FR"/>
              </w:rPr>
              <w:t>căror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consum</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aproape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egal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zero</w:t>
            </w:r>
            <w:proofErr w:type="spellEnd"/>
            <w:r w:rsidRPr="005A6DBB">
              <w:rPr>
                <w:rFonts w:ascii="Times New Roman" w:hAnsi="Times New Roman"/>
                <w:sz w:val="20"/>
                <w:szCs w:val="20"/>
                <w:shd w:val="clear" w:color="auto" w:fill="FFFFFF"/>
                <w:lang w:val="fr-FR"/>
              </w:rPr>
              <w:t xml:space="preserve"> în anul X-2 și X-1, </w:t>
            </w:r>
            <w:proofErr w:type="spellStart"/>
            <w:r w:rsidRPr="005A6DBB">
              <w:rPr>
                <w:rFonts w:ascii="Times New Roman" w:hAnsi="Times New Roman"/>
                <w:sz w:val="20"/>
                <w:szCs w:val="20"/>
                <w:shd w:val="clear" w:color="auto" w:fill="FFFFFF"/>
                <w:lang w:val="fr-FR"/>
              </w:rPr>
              <w:t>prevăzute</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9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2010/31/UE, </w:t>
            </w:r>
            <w:proofErr w:type="spellStart"/>
            <w:r w:rsidRPr="005A6DBB">
              <w:rPr>
                <w:rFonts w:ascii="Times New Roman" w:hAnsi="Times New Roman"/>
                <w:sz w:val="20"/>
                <w:szCs w:val="20"/>
                <w:shd w:val="clear" w:color="auto" w:fill="FFFFFF"/>
                <w:lang w:val="fr-FR"/>
              </w:rPr>
              <w:t>pe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baza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unor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eșantioane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statistice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dacă</w:t>
            </w:r>
            <w:proofErr w:type="spellEnd"/>
            <w:r w:rsidRPr="005A6DBB">
              <w:rPr>
                <w:rFonts w:ascii="Times New Roman" w:hAnsi="Times New Roman"/>
                <w:sz w:val="20"/>
                <w:szCs w:val="20"/>
                <w:shd w:val="clear" w:color="auto" w:fill="FFFFFF"/>
                <w:lang w:val="fr-FR"/>
              </w:rPr>
              <w:t xml:space="preserve"> este </w:t>
            </w:r>
            <w:proofErr w:type="spellStart"/>
            <w:r w:rsidRPr="005A6DBB">
              <w:rPr>
                <w:rFonts w:ascii="Times New Roman" w:hAnsi="Times New Roman"/>
                <w:sz w:val="20"/>
                <w:szCs w:val="20"/>
                <w:shd w:val="clear" w:color="auto" w:fill="FFFFFF"/>
                <w:lang w:val="fr-FR"/>
              </w:rPr>
              <w:t>necesar</w:t>
            </w:r>
            <w:proofErr w:type="spellEnd"/>
            <w:r w:rsidRPr="005A6DBB">
              <w:rPr>
                <w:rFonts w:ascii="Times New Roman" w:hAnsi="Times New Roman"/>
                <w:sz w:val="20"/>
                <w:szCs w:val="20"/>
                <w:shd w:val="clear" w:color="auto" w:fill="FFFFFF"/>
                <w:lang w:val="fr-FR"/>
              </w:rPr>
              <w:t>;</w:t>
            </w:r>
          </w:p>
          <w:p w14:paraId="1B9E8357" w14:textId="616C945F" w:rsidR="008F5636" w:rsidRPr="00463CD5" w:rsidRDefault="008F5636" w:rsidP="000C5A3B">
            <w:pPr>
              <w:pStyle w:val="ColorfulList-Accent11"/>
              <w:numPr>
                <w:ilvl w:val="0"/>
                <w:numId w:val="81"/>
              </w:numPr>
              <w:spacing w:after="0" w:line="240" w:lineRule="auto"/>
              <w:ind w:left="470" w:hanging="357"/>
              <w:jc w:val="both"/>
              <w:rPr>
                <w:rFonts w:ascii="Times New Roman" w:hAnsi="Times New Roman"/>
                <w:sz w:val="20"/>
                <w:szCs w:val="20"/>
                <w:lang w:val="fr-FR"/>
              </w:rPr>
            </w:pPr>
            <w:proofErr w:type="spellStart"/>
            <w:proofErr w:type="gramStart"/>
            <w:r w:rsidRPr="005A6DBB">
              <w:rPr>
                <w:rFonts w:ascii="Times New Roman" w:hAnsi="Times New Roman"/>
                <w:sz w:val="20"/>
                <w:szCs w:val="20"/>
                <w:shd w:val="clear" w:color="auto" w:fill="FFFFFF"/>
                <w:lang w:val="fr-FR"/>
              </w:rPr>
              <w:t>linkul</w:t>
            </w:r>
            <w:proofErr w:type="spellEnd"/>
            <w:proofErr w:type="gramEnd"/>
            <w:r w:rsidRPr="005A6DBB">
              <w:rPr>
                <w:rFonts w:ascii="Times New Roman" w:hAnsi="Times New Roman"/>
                <w:sz w:val="20"/>
                <w:szCs w:val="20"/>
                <w:shd w:val="clear" w:color="auto" w:fill="FFFFFF"/>
                <w:lang w:val="fr-FR"/>
              </w:rPr>
              <w:t xml:space="preserve"> de internet </w:t>
            </w:r>
            <w:proofErr w:type="spellStart"/>
            <w:r w:rsidRPr="005A6DBB">
              <w:rPr>
                <w:rFonts w:ascii="Times New Roman" w:hAnsi="Times New Roman"/>
                <w:sz w:val="20"/>
                <w:szCs w:val="20"/>
                <w:shd w:val="clear" w:color="auto" w:fill="FFFFFF"/>
                <w:lang w:val="fr-FR"/>
              </w:rPr>
              <w:t>către</w:t>
            </w:r>
            <w:proofErr w:type="spellEnd"/>
            <w:r w:rsidRPr="005A6DBB">
              <w:rPr>
                <w:rFonts w:ascii="Times New Roman" w:hAnsi="Times New Roman"/>
                <w:sz w:val="20"/>
                <w:szCs w:val="20"/>
                <w:shd w:val="clear" w:color="auto" w:fill="FFFFFF"/>
                <w:lang w:val="fr-FR"/>
              </w:rPr>
              <w:t xml:space="preserve"> site-</w:t>
            </w:r>
            <w:proofErr w:type="spellStart"/>
            <w:r w:rsidRPr="005A6DBB">
              <w:rPr>
                <w:rFonts w:ascii="Times New Roman" w:hAnsi="Times New Roman"/>
                <w:sz w:val="20"/>
                <w:szCs w:val="20"/>
                <w:shd w:val="clear" w:color="auto" w:fill="FFFFFF"/>
                <w:lang w:val="fr-FR"/>
              </w:rPr>
              <w:t>ul</w:t>
            </w:r>
            <w:proofErr w:type="spellEnd"/>
            <w:r w:rsidRPr="005A6DBB">
              <w:rPr>
                <w:rFonts w:ascii="Times New Roman" w:hAnsi="Times New Roman"/>
                <w:sz w:val="20"/>
                <w:szCs w:val="20"/>
                <w:shd w:val="clear" w:color="auto" w:fill="FFFFFF"/>
                <w:lang w:val="fr-FR"/>
              </w:rPr>
              <w:t xml:space="preserve"> web </w:t>
            </w:r>
            <w:proofErr w:type="spellStart"/>
            <w:r w:rsidRPr="005A6DBB">
              <w:rPr>
                <w:rFonts w:ascii="Times New Roman" w:hAnsi="Times New Roman"/>
                <w:sz w:val="20"/>
                <w:szCs w:val="20"/>
                <w:shd w:val="clear" w:color="auto" w:fill="FFFFFF"/>
                <w:lang w:val="fr-FR"/>
              </w:rPr>
              <w:t>unde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poate</w:t>
            </w:r>
            <w:proofErr w:type="spellEnd"/>
            <w:r w:rsidRPr="005A6DBB">
              <w:rPr>
                <w:rFonts w:ascii="Times New Roman" w:hAnsi="Times New Roman"/>
                <w:sz w:val="20"/>
                <w:szCs w:val="20"/>
                <w:shd w:val="clear" w:color="auto" w:fill="FFFFFF"/>
                <w:lang w:val="fr-FR"/>
              </w:rPr>
              <w:t xml:space="preserve"> fi </w:t>
            </w:r>
            <w:proofErr w:type="spellStart"/>
            <w:r w:rsidRPr="005A6DBB">
              <w:rPr>
                <w:rFonts w:ascii="Times New Roman" w:hAnsi="Times New Roman"/>
                <w:sz w:val="20"/>
                <w:szCs w:val="20"/>
                <w:shd w:val="clear" w:color="auto" w:fill="FFFFFF"/>
                <w:lang w:val="fr-FR"/>
              </w:rPr>
              <w:t>accesată</w:t>
            </w:r>
            <w:proofErr w:type="spellEnd"/>
            <w:r w:rsidRPr="005A6DBB">
              <w:rPr>
                <w:rFonts w:ascii="Times New Roman" w:hAnsi="Times New Roman"/>
                <w:sz w:val="20"/>
                <w:szCs w:val="20"/>
                <w:shd w:val="clear" w:color="auto" w:fill="FFFFFF"/>
                <w:lang w:val="fr-FR"/>
              </w:rPr>
              <w:t xml:space="preserve"> lista </w:t>
            </w:r>
            <w:proofErr w:type="spellStart"/>
            <w:r w:rsidRPr="005A6DBB">
              <w:rPr>
                <w:rFonts w:ascii="Times New Roman" w:hAnsi="Times New Roman"/>
                <w:sz w:val="20"/>
                <w:szCs w:val="20"/>
                <w:shd w:val="clear" w:color="auto" w:fill="FFFFFF"/>
                <w:lang w:val="fr-FR"/>
              </w:rPr>
              <w:t>sau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interfața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furnizorilor</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servicii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energetice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menționată</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articolul</w:t>
            </w:r>
            <w:proofErr w:type="spellEnd"/>
            <w:r w:rsidRPr="005A6DBB">
              <w:rPr>
                <w:rFonts w:ascii="Times New Roman" w:hAnsi="Times New Roman"/>
                <w:sz w:val="20"/>
                <w:szCs w:val="20"/>
                <w:shd w:val="clear" w:color="auto" w:fill="FFFFFF"/>
                <w:lang w:val="fr-FR"/>
              </w:rPr>
              <w:t xml:space="preserve"> 18 </w:t>
            </w:r>
            <w:proofErr w:type="spellStart"/>
            <w:r w:rsidRPr="005A6DBB">
              <w:rPr>
                <w:rFonts w:ascii="Times New Roman" w:hAnsi="Times New Roman"/>
                <w:sz w:val="20"/>
                <w:szCs w:val="20"/>
                <w:shd w:val="clear" w:color="auto" w:fill="FFFFFF"/>
                <w:lang w:val="fr-FR"/>
              </w:rPr>
              <w:t>alineatul</w:t>
            </w:r>
            <w:proofErr w:type="spellEnd"/>
            <w:r w:rsidRPr="005A6DBB">
              <w:rPr>
                <w:rFonts w:ascii="Times New Roman" w:hAnsi="Times New Roman"/>
                <w:sz w:val="20"/>
                <w:szCs w:val="20"/>
                <w:shd w:val="clear" w:color="auto" w:fill="FFFFFF"/>
                <w:lang w:val="fr-FR"/>
              </w:rPr>
              <w:t xml:space="preserve"> (1) litera (c)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Directiva</w:t>
            </w:r>
            <w:proofErr w:type="spellEnd"/>
            <w:r w:rsidRPr="005A6DBB">
              <w:rPr>
                <w:rFonts w:ascii="Times New Roman" w:hAnsi="Times New Roman"/>
                <w:sz w:val="20"/>
                <w:szCs w:val="20"/>
                <w:shd w:val="clear" w:color="auto" w:fill="FFFFFF"/>
                <w:lang w:val="fr-FR"/>
              </w:rPr>
              <w:t xml:space="preserve"> 2012/27/UE.</w:t>
            </w:r>
          </w:p>
        </w:tc>
        <w:tc>
          <w:tcPr>
            <w:tcW w:w="4440" w:type="dxa"/>
          </w:tcPr>
          <w:p w14:paraId="2B216ADC" w14:textId="4C648423" w:rsidR="005C1E9B" w:rsidRPr="00B55D43" w:rsidRDefault="005C1E9B" w:rsidP="004E2FB8">
            <w:pPr>
              <w:pStyle w:val="ColorfulList-Accent11"/>
              <w:spacing w:after="0" w:line="240" w:lineRule="auto"/>
              <w:ind w:left="0"/>
              <w:jc w:val="both"/>
              <w:rPr>
                <w:rFonts w:ascii="Times New Roman" w:hAnsi="Times New Roman"/>
                <w:color w:val="000000" w:themeColor="text1"/>
                <w:sz w:val="20"/>
                <w:szCs w:val="20"/>
                <w:shd w:val="clear" w:color="auto" w:fill="FFFFFF"/>
                <w:lang w:val="ro-MD"/>
              </w:rPr>
            </w:pPr>
          </w:p>
        </w:tc>
        <w:tc>
          <w:tcPr>
            <w:tcW w:w="1276" w:type="dxa"/>
          </w:tcPr>
          <w:p w14:paraId="3334EB72" w14:textId="6D78BB62" w:rsidR="00DA405E" w:rsidRPr="00C951E7" w:rsidRDefault="009231D7" w:rsidP="00DA405E">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C</w:t>
            </w:r>
            <w:r w:rsidR="00DA405E" w:rsidRPr="00C951E7">
              <w:rPr>
                <w:rFonts w:ascii="Times New Roman" w:hAnsi="Times New Roman"/>
                <w:bCs/>
                <w:color w:val="000000" w:themeColor="text1"/>
                <w:sz w:val="20"/>
                <w:szCs w:val="20"/>
                <w:lang w:val="ro-RO"/>
              </w:rPr>
              <w:t>ompatibil</w:t>
            </w:r>
          </w:p>
          <w:p w14:paraId="3C0D53FC" w14:textId="77777777" w:rsidR="008F5636" w:rsidRPr="00D93509" w:rsidRDefault="008F5636" w:rsidP="008F5636">
            <w:pPr>
              <w:pStyle w:val="ColorfulList-Accent11"/>
              <w:spacing w:after="0" w:line="240" w:lineRule="auto"/>
              <w:ind w:left="0"/>
              <w:jc w:val="both"/>
              <w:rPr>
                <w:lang w:val="ro-MD"/>
              </w:rPr>
            </w:pPr>
          </w:p>
        </w:tc>
        <w:tc>
          <w:tcPr>
            <w:tcW w:w="1276" w:type="dxa"/>
          </w:tcPr>
          <w:p w14:paraId="665BD11F" w14:textId="77777777" w:rsidR="008F5636" w:rsidRPr="00D93509" w:rsidRDefault="008F5636" w:rsidP="008F5636">
            <w:pPr>
              <w:pStyle w:val="ColorfulList-Accent11"/>
              <w:spacing w:after="0" w:line="240" w:lineRule="auto"/>
              <w:ind w:left="0"/>
              <w:jc w:val="both"/>
              <w:rPr>
                <w:lang w:val="ro-MD"/>
              </w:rPr>
            </w:pPr>
          </w:p>
        </w:tc>
        <w:tc>
          <w:tcPr>
            <w:tcW w:w="1701" w:type="dxa"/>
          </w:tcPr>
          <w:p w14:paraId="0692AA09" w14:textId="4C5EDF6E" w:rsidR="00322F0C" w:rsidRPr="00F13819" w:rsidRDefault="009844DE" w:rsidP="00322F0C">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Prevederile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w:t>
            </w:r>
            <w:r w:rsidRPr="00F13819">
              <w:rPr>
                <w:rFonts w:ascii="Times New Roman" w:eastAsia="Times New Roman" w:hAnsi="Times New Roman"/>
                <w:sz w:val="20"/>
                <w:szCs w:val="20"/>
                <w:lang w:val="ro-RO"/>
              </w:rPr>
              <w:lastRenderedPageBreak/>
              <w:t xml:space="preserve">Consiliului Ministerial al Comunității Energetice nr. </w:t>
            </w:r>
            <w:r w:rsidRPr="00980F03">
              <w:rPr>
                <w:rFonts w:ascii="Times New Roman" w:hAnsi="Times New Roman"/>
                <w:sz w:val="20"/>
                <w:szCs w:val="20"/>
                <w:shd w:val="clear" w:color="auto" w:fill="FFFFFF"/>
                <w:lang w:val="ro-MD"/>
              </w:rPr>
              <w:t xml:space="preserve">2015/08/MC-EnC </w:t>
            </w:r>
            <w:r>
              <w:rPr>
                <w:rFonts w:ascii="Times New Roman" w:eastAsia="Times New Roman" w:hAnsi="Times New Roman"/>
                <w:sz w:val="20"/>
                <w:szCs w:val="20"/>
                <w:lang w:val="ro-RO"/>
              </w:rPr>
              <w:t>D/2021/14/MC-</w:t>
            </w:r>
            <w:proofErr w:type="spellStart"/>
            <w:r>
              <w:rPr>
                <w:rFonts w:ascii="Times New Roman" w:eastAsia="Times New Roman" w:hAnsi="Times New Roman"/>
                <w:sz w:val="20"/>
                <w:szCs w:val="20"/>
                <w:lang w:val="ro-RO"/>
              </w:rPr>
              <w:t>EnC</w:t>
            </w:r>
            <w:proofErr w:type="spellEnd"/>
            <w:r>
              <w:rPr>
                <w:rFonts w:ascii="Times New Roman" w:eastAsia="Times New Roman" w:hAnsi="Times New Roman"/>
                <w:sz w:val="20"/>
                <w:szCs w:val="20"/>
                <w:lang w:val="ro-RO"/>
              </w:rPr>
              <w:t xml:space="preserve"> </w:t>
            </w:r>
            <w:r w:rsidR="00322F0C">
              <w:rPr>
                <w:rFonts w:ascii="Times New Roman" w:eastAsia="Times New Roman" w:hAnsi="Times New Roman"/>
                <w:sz w:val="20"/>
                <w:szCs w:val="20"/>
                <w:lang w:val="ro-RO"/>
              </w:rPr>
              <w:t xml:space="preserve">și </w:t>
            </w:r>
            <w:r w:rsidR="00322F0C" w:rsidRPr="00F13819">
              <w:rPr>
                <w:rFonts w:ascii="Times New Roman" w:eastAsia="Times New Roman" w:hAnsi="Times New Roman"/>
                <w:sz w:val="20"/>
                <w:szCs w:val="20"/>
                <w:lang w:val="ro-RO"/>
              </w:rPr>
              <w:t>D/202</w:t>
            </w:r>
            <w:r w:rsidR="00322F0C">
              <w:rPr>
                <w:rFonts w:ascii="Times New Roman" w:eastAsia="Times New Roman" w:hAnsi="Times New Roman"/>
                <w:sz w:val="20"/>
                <w:szCs w:val="20"/>
                <w:lang w:val="ro-RO"/>
              </w:rPr>
              <w:t>2</w:t>
            </w:r>
            <w:r w:rsidR="00322F0C" w:rsidRPr="00F13819">
              <w:rPr>
                <w:rFonts w:ascii="Times New Roman" w:eastAsia="Times New Roman" w:hAnsi="Times New Roman"/>
                <w:sz w:val="20"/>
                <w:szCs w:val="20"/>
                <w:lang w:val="ro-RO"/>
              </w:rPr>
              <w:t>/</w:t>
            </w:r>
            <w:r w:rsidR="00322F0C">
              <w:rPr>
                <w:rFonts w:ascii="Times New Roman" w:eastAsia="Times New Roman" w:hAnsi="Times New Roman"/>
                <w:sz w:val="20"/>
                <w:szCs w:val="20"/>
                <w:lang w:val="ro-RO"/>
              </w:rPr>
              <w:t>02</w:t>
            </w:r>
            <w:r w:rsidR="00322F0C" w:rsidRPr="00F13819">
              <w:rPr>
                <w:rFonts w:ascii="Times New Roman" w:eastAsia="Times New Roman" w:hAnsi="Times New Roman"/>
                <w:sz w:val="20"/>
                <w:szCs w:val="20"/>
                <w:lang w:val="ro-RO"/>
              </w:rPr>
              <w:t>/MC-</w:t>
            </w:r>
            <w:proofErr w:type="spellStart"/>
            <w:r w:rsidR="00322F0C" w:rsidRPr="00F13819">
              <w:rPr>
                <w:rFonts w:ascii="Times New Roman" w:eastAsia="Times New Roman" w:hAnsi="Times New Roman"/>
                <w:sz w:val="20"/>
                <w:szCs w:val="20"/>
                <w:lang w:val="ro-RO"/>
              </w:rPr>
              <w:t>EnC</w:t>
            </w:r>
            <w:proofErr w:type="spellEnd"/>
            <w:r w:rsidR="00322F0C" w:rsidRPr="00F13819">
              <w:rPr>
                <w:rFonts w:ascii="Times New Roman" w:eastAsia="Times New Roman" w:hAnsi="Times New Roman"/>
                <w:sz w:val="20"/>
                <w:szCs w:val="20"/>
                <w:lang w:val="ro-RO"/>
              </w:rPr>
              <w:t xml:space="preserve"> din </w:t>
            </w:r>
            <w:r w:rsidR="00322F0C">
              <w:rPr>
                <w:rFonts w:ascii="Times New Roman" w:eastAsia="Times New Roman" w:hAnsi="Times New Roman"/>
                <w:sz w:val="20"/>
                <w:szCs w:val="20"/>
                <w:lang w:val="ro-RO"/>
              </w:rPr>
              <w:t>15</w:t>
            </w:r>
            <w:r w:rsidR="00322F0C" w:rsidRPr="00F13819">
              <w:rPr>
                <w:rFonts w:ascii="Times New Roman" w:eastAsia="Times New Roman" w:hAnsi="Times New Roman"/>
                <w:sz w:val="20"/>
                <w:szCs w:val="20"/>
                <w:lang w:val="ro-RO"/>
              </w:rPr>
              <w:t>.1</w:t>
            </w:r>
            <w:r w:rsidR="00322F0C">
              <w:rPr>
                <w:rFonts w:ascii="Times New Roman" w:eastAsia="Times New Roman" w:hAnsi="Times New Roman"/>
                <w:sz w:val="20"/>
                <w:szCs w:val="20"/>
                <w:lang w:val="ro-RO"/>
              </w:rPr>
              <w:t>2</w:t>
            </w:r>
            <w:r w:rsidR="00322F0C" w:rsidRPr="00F13819">
              <w:rPr>
                <w:rFonts w:ascii="Times New Roman" w:eastAsia="Times New Roman" w:hAnsi="Times New Roman"/>
                <w:sz w:val="20"/>
                <w:szCs w:val="20"/>
                <w:lang w:val="ro-RO"/>
              </w:rPr>
              <w:t>.202</w:t>
            </w:r>
            <w:r w:rsidR="00322F0C">
              <w:rPr>
                <w:rFonts w:ascii="Times New Roman" w:eastAsia="Times New Roman" w:hAnsi="Times New Roman"/>
                <w:sz w:val="20"/>
                <w:szCs w:val="20"/>
                <w:lang w:val="ro-RO"/>
              </w:rPr>
              <w:t>2.</w:t>
            </w:r>
          </w:p>
          <w:p w14:paraId="66A13F29" w14:textId="4391D32B" w:rsidR="009844DE" w:rsidRPr="00F13819" w:rsidRDefault="009844DE" w:rsidP="009844DE">
            <w:pPr>
              <w:autoSpaceDE w:val="0"/>
              <w:spacing w:after="0" w:line="240" w:lineRule="auto"/>
              <w:rPr>
                <w:rFonts w:ascii="Times New Roman" w:hAnsi="Times New Roman"/>
                <w:sz w:val="20"/>
                <w:szCs w:val="20"/>
                <w:shd w:val="clear" w:color="auto" w:fill="FFFFFF"/>
                <w:lang w:val="ro-RO"/>
              </w:rPr>
            </w:pPr>
          </w:p>
          <w:p w14:paraId="5F8AACC1" w14:textId="38B32A24" w:rsidR="005D5B0E" w:rsidRPr="003C74D7" w:rsidRDefault="005D5B0E" w:rsidP="005D5B0E">
            <w:pPr>
              <w:pStyle w:val="ColorfulList-Accent11"/>
              <w:spacing w:after="0" w:line="240" w:lineRule="auto"/>
              <w:ind w:left="0"/>
              <w:jc w:val="both"/>
              <w:rPr>
                <w:rFonts w:ascii="Times New Roman" w:hAnsi="Times New Roman"/>
                <w:color w:val="000000" w:themeColor="text1"/>
                <w:sz w:val="20"/>
                <w:szCs w:val="20"/>
                <w:shd w:val="clear" w:color="auto" w:fill="FFFFFF"/>
                <w:lang w:val="ro-RO"/>
              </w:rPr>
            </w:pPr>
            <w:r>
              <w:rPr>
                <w:rFonts w:ascii="Times New Roman" w:eastAsia="Times New Roman" w:hAnsi="Times New Roman"/>
                <w:sz w:val="20"/>
                <w:szCs w:val="20"/>
                <w:lang w:val="ro-RO" w:eastAsia="ru-RU"/>
              </w:rPr>
              <w:t>Prevederile au fost transpuse în Anexa nr.8 la</w:t>
            </w:r>
          </w:p>
          <w:p w14:paraId="66124087" w14:textId="77777777" w:rsidR="005D5B0E" w:rsidRDefault="005D5B0E" w:rsidP="005D5B0E">
            <w:pPr>
              <w:pStyle w:val="ColorfulList-Accent11"/>
              <w:spacing w:after="0" w:line="240" w:lineRule="auto"/>
              <w:ind w:left="0"/>
              <w:jc w:val="both"/>
              <w:rPr>
                <w:lang w:val="ro-RO"/>
              </w:rPr>
            </w:pPr>
            <w:proofErr w:type="spellStart"/>
            <w:r w:rsidRPr="007E64AF">
              <w:rPr>
                <w:rFonts w:ascii="Times New Roman" w:hAnsi="Times New Roman"/>
                <w:color w:val="000000" w:themeColor="text1"/>
                <w:sz w:val="20"/>
                <w:szCs w:val="20"/>
                <w:shd w:val="clear" w:color="auto" w:fill="FFFFFF"/>
              </w:rPr>
              <w:t>Regulamentul</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privind</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mecanismul</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guvernanță</w:t>
            </w:r>
            <w:proofErr w:type="spell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energetică</w:t>
            </w:r>
            <w:proofErr w:type="spellEnd"/>
            <w:r w:rsidRPr="007E64AF">
              <w:rPr>
                <w:rFonts w:ascii="Times New Roman" w:hAnsi="Times New Roman"/>
                <w:color w:val="000000" w:themeColor="text1"/>
                <w:sz w:val="20"/>
                <w:szCs w:val="20"/>
                <w:shd w:val="clear" w:color="auto" w:fill="FFFFFF"/>
              </w:rPr>
              <w:t xml:space="preserve"> și </w:t>
            </w:r>
            <w:proofErr w:type="gramStart"/>
            <w:r w:rsidRPr="007E64AF">
              <w:rPr>
                <w:rFonts w:ascii="Times New Roman" w:hAnsi="Times New Roman"/>
                <w:color w:val="000000" w:themeColor="text1"/>
                <w:sz w:val="20"/>
                <w:szCs w:val="20"/>
                <w:shd w:val="clear" w:color="auto" w:fill="FFFFFF"/>
              </w:rPr>
              <w:t>a</w:t>
            </w:r>
            <w:proofErr w:type="gramEnd"/>
            <w:r w:rsidRPr="007E64AF">
              <w:rPr>
                <w:rFonts w:ascii="Times New Roman" w:hAnsi="Times New Roman"/>
                <w:color w:val="000000" w:themeColor="text1"/>
                <w:sz w:val="20"/>
                <w:szCs w:val="20"/>
                <w:shd w:val="clear" w:color="auto" w:fill="FFFFFF"/>
              </w:rPr>
              <w:t xml:space="preserve"> </w:t>
            </w:r>
            <w:proofErr w:type="spellStart"/>
            <w:r w:rsidRPr="007E64AF">
              <w:rPr>
                <w:rFonts w:ascii="Times New Roman" w:hAnsi="Times New Roman"/>
                <w:color w:val="000000" w:themeColor="text1"/>
                <w:sz w:val="20"/>
                <w:szCs w:val="20"/>
                <w:shd w:val="clear" w:color="auto" w:fill="FFFFFF"/>
              </w:rPr>
              <w:t>acțiunilor</w:t>
            </w:r>
            <w:proofErr w:type="spellEnd"/>
            <w:r w:rsidRPr="007E64AF">
              <w:rPr>
                <w:rFonts w:ascii="Times New Roman" w:hAnsi="Times New Roman"/>
                <w:color w:val="000000" w:themeColor="text1"/>
                <w:sz w:val="20"/>
                <w:szCs w:val="20"/>
                <w:shd w:val="clear" w:color="auto" w:fill="FFFFFF"/>
              </w:rPr>
              <w:t xml:space="preserve"> climatice, </w:t>
            </w:r>
            <w:proofErr w:type="spellStart"/>
            <w:r w:rsidRPr="007E64AF">
              <w:rPr>
                <w:rFonts w:ascii="Times New Roman" w:hAnsi="Times New Roman"/>
                <w:color w:val="000000" w:themeColor="text1"/>
                <w:sz w:val="20"/>
                <w:szCs w:val="20"/>
                <w:shd w:val="clear" w:color="auto" w:fill="FFFFFF"/>
              </w:rPr>
              <w:t>aprobat</w:t>
            </w:r>
            <w:proofErr w:type="spellEnd"/>
            <w:r w:rsidRPr="007E64AF">
              <w:rPr>
                <w:rFonts w:ascii="Times New Roman" w:hAnsi="Times New Roman"/>
                <w:color w:val="000000" w:themeColor="text1"/>
                <w:sz w:val="20"/>
                <w:szCs w:val="20"/>
                <w:shd w:val="clear" w:color="auto" w:fill="FFFFFF"/>
              </w:rPr>
              <w:t xml:space="preserve"> de </w:t>
            </w:r>
            <w:proofErr w:type="spellStart"/>
            <w:r w:rsidRPr="007E64AF">
              <w:rPr>
                <w:rFonts w:ascii="Times New Roman" w:hAnsi="Times New Roman"/>
                <w:color w:val="000000" w:themeColor="text1"/>
                <w:sz w:val="20"/>
                <w:szCs w:val="20"/>
                <w:shd w:val="clear" w:color="auto" w:fill="FFFFFF"/>
              </w:rPr>
              <w:t>Guvern</w:t>
            </w:r>
            <w:proofErr w:type="spellEnd"/>
            <w:r>
              <w:rPr>
                <w:rFonts w:ascii="Times New Roman" w:hAnsi="Times New Roman"/>
                <w:color w:val="000000" w:themeColor="text1"/>
                <w:sz w:val="20"/>
                <w:szCs w:val="20"/>
                <w:shd w:val="clear" w:color="auto" w:fill="FFFFFF"/>
              </w:rPr>
              <w:t>.</w:t>
            </w:r>
          </w:p>
          <w:p w14:paraId="6B7285A6" w14:textId="4BB9A1CD" w:rsidR="008F5636" w:rsidRPr="009844DE" w:rsidRDefault="008F5636" w:rsidP="00DA405E">
            <w:pPr>
              <w:pStyle w:val="ColorfulList-Accent11"/>
              <w:spacing w:after="0" w:line="240" w:lineRule="auto"/>
              <w:ind w:left="0"/>
              <w:jc w:val="both"/>
              <w:rPr>
                <w:lang w:val="ro-RO"/>
              </w:rPr>
            </w:pPr>
          </w:p>
        </w:tc>
        <w:tc>
          <w:tcPr>
            <w:tcW w:w="1460" w:type="dxa"/>
          </w:tcPr>
          <w:p w14:paraId="49B9D805" w14:textId="127CA4DA" w:rsidR="00DA405E" w:rsidRPr="003F755D" w:rsidRDefault="00DA405E" w:rsidP="00DA405E">
            <w:pPr>
              <w:autoSpaceDE w:val="0"/>
              <w:spacing w:after="0" w:line="240" w:lineRule="auto"/>
              <w:rPr>
                <w:rFonts w:ascii="Times New Roman" w:hAnsi="Times New Roman"/>
                <w:sz w:val="20"/>
                <w:szCs w:val="20"/>
                <w:shd w:val="clear" w:color="auto" w:fill="FFFFFF"/>
                <w:lang w:val="ro-RO"/>
              </w:rPr>
            </w:pPr>
            <w:proofErr w:type="spellStart"/>
            <w:r w:rsidRPr="003F755D">
              <w:rPr>
                <w:rFonts w:ascii="Times New Roman" w:hAnsi="Times New Roman"/>
                <w:sz w:val="20"/>
                <w:szCs w:val="20"/>
                <w:lang w:val="fr-FR"/>
              </w:rPr>
              <w:lastRenderedPageBreak/>
              <w:t>Ministerul</w:t>
            </w:r>
            <w:proofErr w:type="spellEnd"/>
            <w:r w:rsidRPr="003F755D">
              <w:rPr>
                <w:rFonts w:ascii="Times New Roman" w:hAnsi="Times New Roman"/>
                <w:sz w:val="20"/>
                <w:szCs w:val="20"/>
                <w:lang w:val="fr-FR"/>
              </w:rPr>
              <w:t xml:space="preserve"> </w:t>
            </w:r>
          </w:p>
          <w:p w14:paraId="237E2705" w14:textId="0BEBD433" w:rsidR="008F5636" w:rsidRPr="00D93509" w:rsidRDefault="005A6DBB" w:rsidP="008F5636">
            <w:pPr>
              <w:pStyle w:val="ColorfulList-Accent11"/>
              <w:spacing w:after="0" w:line="240" w:lineRule="auto"/>
              <w:ind w:left="0"/>
              <w:jc w:val="both"/>
              <w:rPr>
                <w:lang w:val="ro-MD"/>
              </w:rPr>
            </w:pPr>
            <w:r w:rsidRPr="00A81801">
              <w:rPr>
                <w:rFonts w:ascii="Times New Roman" w:hAnsi="Times New Roman"/>
                <w:color w:val="000000" w:themeColor="text1"/>
                <w:sz w:val="20"/>
                <w:szCs w:val="20"/>
              </w:rPr>
              <w:t>Energiei</w:t>
            </w:r>
          </w:p>
        </w:tc>
      </w:tr>
      <w:tr w:rsidR="008F5636" w:rsidRPr="00263A32" w14:paraId="26A7583A" w14:textId="77777777" w:rsidTr="00A90105">
        <w:tc>
          <w:tcPr>
            <w:tcW w:w="4945" w:type="dxa"/>
          </w:tcPr>
          <w:p w14:paraId="30CEC669" w14:textId="77777777" w:rsidR="008F5636" w:rsidRPr="005A6DBB" w:rsidRDefault="008F5636" w:rsidP="008F5636">
            <w:pPr>
              <w:pStyle w:val="doc-ti"/>
              <w:shd w:val="clear" w:color="auto" w:fill="FFFFFF"/>
              <w:spacing w:before="0" w:beforeAutospacing="0" w:after="0" w:afterAutospacing="0"/>
              <w:jc w:val="center"/>
              <w:rPr>
                <w:b/>
                <w:bCs/>
                <w:sz w:val="20"/>
                <w:szCs w:val="20"/>
                <w:lang w:val="ro-MD"/>
              </w:rPr>
            </w:pPr>
            <w:r w:rsidRPr="005A6DBB">
              <w:rPr>
                <w:b/>
                <w:bCs/>
                <w:sz w:val="20"/>
                <w:szCs w:val="20"/>
                <w:lang w:val="fr-FR"/>
              </w:rPr>
              <w:lastRenderedPageBreak/>
              <w:t>ANEXA X</w:t>
            </w:r>
          </w:p>
          <w:p w14:paraId="079E681D" w14:textId="77777777" w:rsidR="008F5636" w:rsidRPr="005A6DBB" w:rsidRDefault="008F5636" w:rsidP="008F5636">
            <w:pPr>
              <w:pStyle w:val="ti-grseq-1"/>
              <w:shd w:val="clear" w:color="auto" w:fill="FFFFFF"/>
              <w:spacing w:before="0" w:beforeAutospacing="0" w:after="0" w:afterAutospacing="0"/>
              <w:jc w:val="both"/>
              <w:rPr>
                <w:b/>
                <w:bCs/>
                <w:sz w:val="20"/>
                <w:szCs w:val="20"/>
                <w:lang w:val="fr-FR"/>
              </w:rPr>
            </w:pPr>
            <w:r w:rsidRPr="005A6DBB">
              <w:rPr>
                <w:rStyle w:val="bold"/>
                <w:b/>
                <w:bCs/>
                <w:sz w:val="20"/>
                <w:szCs w:val="20"/>
                <w:lang w:val="fr-FR"/>
              </w:rPr>
              <w:t>RAPORT PRIVIND DURABILITATEA BIOENERGIEI LA NIVELUL UNIUNII</w:t>
            </w:r>
          </w:p>
          <w:p w14:paraId="316A5519" w14:textId="77777777" w:rsidR="008F5636" w:rsidRPr="005A6DBB" w:rsidRDefault="008F5636" w:rsidP="008F5636">
            <w:pPr>
              <w:pStyle w:val="ColorfulList-Accent11"/>
              <w:spacing w:after="0" w:line="240" w:lineRule="auto"/>
              <w:ind w:left="0"/>
              <w:jc w:val="both"/>
              <w:rPr>
                <w:rFonts w:ascii="Times New Roman" w:hAnsi="Times New Roman"/>
                <w:sz w:val="20"/>
                <w:szCs w:val="20"/>
                <w:shd w:val="clear" w:color="auto" w:fill="FFFFFF"/>
                <w:lang w:val="fr-FR"/>
              </w:rPr>
            </w:pPr>
            <w:proofErr w:type="spellStart"/>
            <w:r w:rsidRPr="005A6DBB">
              <w:rPr>
                <w:rFonts w:ascii="Times New Roman" w:hAnsi="Times New Roman"/>
                <w:sz w:val="20"/>
                <w:szCs w:val="20"/>
                <w:shd w:val="clear" w:color="auto" w:fill="FFFFFF"/>
                <w:lang w:val="fr-FR"/>
              </w:rPr>
              <w:t>Raportul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durabilitatea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bioenergiei</w:t>
            </w:r>
            <w:proofErr w:type="spellEnd"/>
            <w:r w:rsidRPr="005A6DBB">
              <w:rPr>
                <w:rFonts w:ascii="Times New Roman" w:hAnsi="Times New Roman"/>
                <w:sz w:val="20"/>
                <w:szCs w:val="20"/>
                <w:shd w:val="clear" w:color="auto" w:fill="FFFFFF"/>
                <w:lang w:val="fr-FR"/>
              </w:rPr>
              <w:t xml:space="preserve"> în UE </w:t>
            </w:r>
            <w:proofErr w:type="spellStart"/>
            <w:r w:rsidRPr="005A6DBB">
              <w:rPr>
                <w:rFonts w:ascii="Times New Roman" w:hAnsi="Times New Roman"/>
                <w:sz w:val="20"/>
                <w:szCs w:val="20"/>
                <w:shd w:val="clear" w:color="auto" w:fill="FFFFFF"/>
                <w:lang w:val="fr-FR"/>
              </w:rPr>
              <w:t>referitor</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energia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care </w:t>
            </w:r>
            <w:proofErr w:type="spellStart"/>
            <w:r w:rsidRPr="005A6DBB">
              <w:rPr>
                <w:rFonts w:ascii="Times New Roman" w:hAnsi="Times New Roman"/>
                <w:sz w:val="20"/>
                <w:szCs w:val="20"/>
                <w:shd w:val="clear" w:color="auto" w:fill="FFFFFF"/>
                <w:lang w:val="fr-FR"/>
              </w:rPr>
              <w:t>urmează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să</w:t>
            </w:r>
            <w:proofErr w:type="spellEnd"/>
            <w:r w:rsidRPr="005A6DBB">
              <w:rPr>
                <w:rFonts w:ascii="Times New Roman" w:hAnsi="Times New Roman"/>
                <w:sz w:val="20"/>
                <w:szCs w:val="20"/>
                <w:shd w:val="clear" w:color="auto" w:fill="FFFFFF"/>
                <w:lang w:val="fr-FR"/>
              </w:rPr>
              <w:t xml:space="preserve"> fie </w:t>
            </w:r>
            <w:proofErr w:type="spellStart"/>
            <w:r w:rsidRPr="005A6DBB">
              <w:rPr>
                <w:rFonts w:ascii="Times New Roman" w:hAnsi="Times New Roman"/>
                <w:sz w:val="20"/>
                <w:szCs w:val="20"/>
                <w:shd w:val="clear" w:color="auto" w:fill="FFFFFF"/>
                <w:lang w:val="fr-FR"/>
              </w:rPr>
              <w:t>adoptat</w:t>
            </w:r>
            <w:proofErr w:type="spellEnd"/>
            <w:r w:rsidRPr="005A6DBB">
              <w:rPr>
                <w:rFonts w:ascii="Times New Roman" w:hAnsi="Times New Roman"/>
                <w:sz w:val="20"/>
                <w:szCs w:val="20"/>
                <w:shd w:val="clear" w:color="auto" w:fill="FFFFFF"/>
                <w:lang w:val="fr-FR"/>
              </w:rPr>
              <w:t xml:space="preserve"> la </w:t>
            </w:r>
            <w:proofErr w:type="spellStart"/>
            <w:r w:rsidRPr="005A6DBB">
              <w:rPr>
                <w:rFonts w:ascii="Times New Roman" w:hAnsi="Times New Roman"/>
                <w:sz w:val="20"/>
                <w:szCs w:val="20"/>
                <w:shd w:val="clear" w:color="auto" w:fill="FFFFFF"/>
                <w:lang w:val="fr-FR"/>
              </w:rPr>
              <w:t>fiecare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doi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ani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către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Comisie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împreună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raportul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starea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uniunii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energetice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temeiul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articolului</w:t>
            </w:r>
            <w:proofErr w:type="spellEnd"/>
            <w:r w:rsidRPr="005A6DBB">
              <w:rPr>
                <w:rFonts w:ascii="Times New Roman" w:hAnsi="Times New Roman"/>
                <w:sz w:val="20"/>
                <w:szCs w:val="20"/>
                <w:shd w:val="clear" w:color="auto" w:fill="FFFFFF"/>
                <w:lang w:val="fr-FR"/>
              </w:rPr>
              <w:t xml:space="preserve"> 35 </w:t>
            </w:r>
            <w:proofErr w:type="spellStart"/>
            <w:r w:rsidRPr="005A6DBB">
              <w:rPr>
                <w:rFonts w:ascii="Times New Roman" w:hAnsi="Times New Roman"/>
                <w:sz w:val="20"/>
                <w:szCs w:val="20"/>
                <w:shd w:val="clear" w:color="auto" w:fill="FFFFFF"/>
                <w:lang w:val="fr-FR"/>
              </w:rPr>
              <w:t>alineatul</w:t>
            </w:r>
            <w:proofErr w:type="spellEnd"/>
            <w:r w:rsidRPr="005A6DBB">
              <w:rPr>
                <w:rFonts w:ascii="Times New Roman" w:hAnsi="Times New Roman"/>
                <w:sz w:val="20"/>
                <w:szCs w:val="20"/>
                <w:shd w:val="clear" w:color="auto" w:fill="FFFFFF"/>
                <w:lang w:val="fr-FR"/>
              </w:rPr>
              <w:t xml:space="preserve"> (2) litera(d), </w:t>
            </w:r>
            <w:proofErr w:type="spellStart"/>
            <w:r w:rsidRPr="005A6DBB">
              <w:rPr>
                <w:rFonts w:ascii="Times New Roman" w:hAnsi="Times New Roman"/>
                <w:sz w:val="20"/>
                <w:szCs w:val="20"/>
                <w:shd w:val="clear" w:color="auto" w:fill="FFFFFF"/>
                <w:lang w:val="fr-FR"/>
              </w:rPr>
              <w:t>conține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puțin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următoarele</w:t>
            </w:r>
            <w:proofErr w:type="spellEnd"/>
            <w:r w:rsidRPr="005A6DBB">
              <w:rPr>
                <w:rFonts w:ascii="Times New Roman" w:hAnsi="Times New Roman"/>
                <w:sz w:val="20"/>
                <w:szCs w:val="20"/>
                <w:shd w:val="clear" w:color="auto" w:fill="FFFFFF"/>
                <w:lang w:val="fr-FR"/>
              </w:rPr>
              <w:t xml:space="preserve"> </w:t>
            </w:r>
            <w:proofErr w:type="spellStart"/>
            <w:proofErr w:type="gramStart"/>
            <w:r w:rsidRPr="005A6DBB">
              <w:rPr>
                <w:rFonts w:ascii="Times New Roman" w:hAnsi="Times New Roman"/>
                <w:sz w:val="20"/>
                <w:szCs w:val="20"/>
                <w:shd w:val="clear" w:color="auto" w:fill="FFFFFF"/>
                <w:lang w:val="fr-FR"/>
              </w:rPr>
              <w:t>informații</w:t>
            </w:r>
            <w:proofErr w:type="spellEnd"/>
            <w:r w:rsidRPr="005A6DBB">
              <w:rPr>
                <w:rFonts w:ascii="Times New Roman" w:hAnsi="Times New Roman"/>
                <w:sz w:val="20"/>
                <w:szCs w:val="20"/>
                <w:shd w:val="clear" w:color="auto" w:fill="FFFFFF"/>
                <w:lang w:val="fr-FR"/>
              </w:rPr>
              <w:t>:</w:t>
            </w:r>
            <w:proofErr w:type="gramEnd"/>
          </w:p>
          <w:p w14:paraId="426268AC" w14:textId="77777777"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beneficiile</w:t>
            </w:r>
            <w:proofErr w:type="spellEnd"/>
            <w:proofErr w:type="gram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costurile</w:t>
            </w:r>
            <w:proofErr w:type="spellEnd"/>
            <w:r w:rsidRPr="005A6DBB">
              <w:rPr>
                <w:rFonts w:ascii="Times New Roman" w:hAnsi="Times New Roman"/>
                <w:sz w:val="20"/>
                <w:szCs w:val="20"/>
                <w:shd w:val="clear" w:color="auto" w:fill="FFFFFF"/>
                <w:lang w:val="fr-FR"/>
              </w:rPr>
              <w:t xml:space="preserve"> relative </w:t>
            </w:r>
            <w:proofErr w:type="spellStart"/>
            <w:r w:rsidRPr="005A6DBB">
              <w:rPr>
                <w:rFonts w:ascii="Times New Roman" w:hAnsi="Times New Roman"/>
                <w:sz w:val="20"/>
                <w:szCs w:val="20"/>
                <w:shd w:val="clear" w:color="auto" w:fill="FFFFFF"/>
                <w:lang w:val="fr-FR"/>
              </w:rPr>
              <w:t>pentru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mediu</w:t>
            </w:r>
            <w:proofErr w:type="spellEnd"/>
            <w:r w:rsidRPr="005A6DBB">
              <w:rPr>
                <w:rFonts w:ascii="Times New Roman" w:hAnsi="Times New Roman"/>
                <w:sz w:val="20"/>
                <w:szCs w:val="20"/>
                <w:shd w:val="clear" w:color="auto" w:fill="FFFFFF"/>
                <w:lang w:val="fr-FR"/>
              </w:rPr>
              <w:t xml:space="preserve"> ale </w:t>
            </w:r>
            <w:proofErr w:type="spellStart"/>
            <w:r w:rsidRPr="005A6DBB">
              <w:rPr>
                <w:rFonts w:ascii="Times New Roman" w:hAnsi="Times New Roman"/>
                <w:sz w:val="20"/>
                <w:szCs w:val="20"/>
                <w:shd w:val="clear" w:color="auto" w:fill="FFFFFF"/>
                <w:lang w:val="fr-FR"/>
              </w:rPr>
              <w:t>diferiților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biocombustibili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biolichide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combustibili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din</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efectele </w:t>
            </w:r>
            <w:proofErr w:type="spellStart"/>
            <w:r w:rsidRPr="005A6DBB">
              <w:rPr>
                <w:rFonts w:ascii="Times New Roman" w:hAnsi="Times New Roman"/>
                <w:sz w:val="20"/>
                <w:szCs w:val="20"/>
                <w:shd w:val="clear" w:color="auto" w:fill="FFFFFF"/>
                <w:lang w:val="fr-FR"/>
              </w:rPr>
              <w:t>politicilor</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Uniunii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importurile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asupra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acestora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implicațiile</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ceea</w:t>
            </w:r>
            <w:proofErr w:type="spellEnd"/>
            <w:r w:rsidRPr="005A6DBB">
              <w:rPr>
                <w:rFonts w:ascii="Times New Roman" w:hAnsi="Times New Roman"/>
                <w:sz w:val="20"/>
                <w:szCs w:val="20"/>
                <w:shd w:val="clear" w:color="auto" w:fill="FFFFFF"/>
                <w:lang w:val="fr-FR"/>
              </w:rPr>
              <w:t xml:space="preserve"> ce </w:t>
            </w:r>
            <w:proofErr w:type="spellStart"/>
            <w:r w:rsidRPr="005A6DBB">
              <w:rPr>
                <w:rFonts w:ascii="Times New Roman" w:hAnsi="Times New Roman"/>
                <w:sz w:val="20"/>
                <w:szCs w:val="20"/>
                <w:shd w:val="clear" w:color="auto" w:fill="FFFFFF"/>
                <w:lang w:val="fr-FR"/>
              </w:rPr>
              <w:t>privește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siguranța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alimentării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cu</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energie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metodele</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realizare</w:t>
            </w:r>
            <w:proofErr w:type="spellEnd"/>
            <w:r w:rsidRPr="005A6DBB">
              <w:rPr>
                <w:rFonts w:ascii="Times New Roman" w:hAnsi="Times New Roman"/>
                <w:sz w:val="20"/>
                <w:szCs w:val="20"/>
                <w:shd w:val="clear" w:color="auto" w:fill="FFFFFF"/>
                <w:lang w:val="fr-FR"/>
              </w:rPr>
              <w:t xml:space="preserve"> a </w:t>
            </w:r>
            <w:proofErr w:type="spellStart"/>
            <w:r w:rsidRPr="005A6DBB">
              <w:rPr>
                <w:rFonts w:ascii="Times New Roman" w:hAnsi="Times New Roman"/>
                <w:sz w:val="20"/>
                <w:szCs w:val="20"/>
                <w:shd w:val="clear" w:color="auto" w:fill="FFFFFF"/>
                <w:lang w:val="fr-FR"/>
              </w:rPr>
              <w:t>unei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abordări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echilibrate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între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producția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internă</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importuri</w:t>
            </w:r>
            <w:proofErr w:type="spellEnd"/>
            <w:r w:rsidRPr="005A6DBB">
              <w:rPr>
                <w:rFonts w:ascii="Times New Roman" w:hAnsi="Times New Roman"/>
                <w:sz w:val="20"/>
                <w:szCs w:val="20"/>
                <w:shd w:val="clear" w:color="auto" w:fill="FFFFFF"/>
                <w:lang w:val="fr-FR"/>
              </w:rPr>
              <w:t>;</w:t>
            </w:r>
          </w:p>
          <w:p w14:paraId="723CCCAE" w14:textId="77777777"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fr-FR"/>
              </w:rPr>
            </w:pPr>
            <w:proofErr w:type="spellStart"/>
            <w:proofErr w:type="gramStart"/>
            <w:r w:rsidRPr="005A6DBB">
              <w:rPr>
                <w:rFonts w:ascii="Times New Roman" w:hAnsi="Times New Roman"/>
                <w:sz w:val="20"/>
                <w:szCs w:val="20"/>
                <w:shd w:val="clear" w:color="auto" w:fill="FFFFFF"/>
                <w:lang w:val="fr-FR"/>
              </w:rPr>
              <w:t>impactul</w:t>
            </w:r>
            <w:proofErr w:type="spellEnd"/>
            <w:proofErr w:type="gram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producției</w:t>
            </w:r>
            <w:proofErr w:type="spellEnd"/>
            <w:r w:rsidRPr="005A6DBB">
              <w:rPr>
                <w:rFonts w:ascii="Times New Roman" w:hAnsi="Times New Roman"/>
                <w:sz w:val="20"/>
                <w:szCs w:val="20"/>
                <w:shd w:val="clear" w:color="auto" w:fill="FFFFFF"/>
                <w:lang w:val="fr-FR"/>
              </w:rPr>
              <w:t xml:space="preserve"> și al </w:t>
            </w:r>
            <w:proofErr w:type="spellStart"/>
            <w:r w:rsidRPr="005A6DBB">
              <w:rPr>
                <w:rFonts w:ascii="Times New Roman" w:hAnsi="Times New Roman"/>
                <w:sz w:val="20"/>
                <w:szCs w:val="20"/>
                <w:shd w:val="clear" w:color="auto" w:fill="FFFFFF"/>
                <w:lang w:val="fr-FR"/>
              </w:rPr>
              <w:t>utilizării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biomasei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asupra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durabilității</w:t>
            </w:r>
            <w:proofErr w:type="spellEnd"/>
            <w:r w:rsidRPr="005A6DBB">
              <w:rPr>
                <w:rFonts w:ascii="Times New Roman" w:hAnsi="Times New Roman"/>
                <w:sz w:val="20"/>
                <w:szCs w:val="20"/>
                <w:shd w:val="clear" w:color="auto" w:fill="FFFFFF"/>
                <w:lang w:val="fr-FR"/>
              </w:rPr>
              <w:t xml:space="preserve"> în </w:t>
            </w:r>
            <w:proofErr w:type="spellStart"/>
            <w:r w:rsidRPr="005A6DBB">
              <w:rPr>
                <w:rFonts w:ascii="Times New Roman" w:hAnsi="Times New Roman"/>
                <w:sz w:val="20"/>
                <w:szCs w:val="20"/>
                <w:shd w:val="clear" w:color="auto" w:fill="FFFFFF"/>
                <w:lang w:val="fr-FR"/>
              </w:rPr>
              <w:t>Uniune</w:t>
            </w:r>
            <w:proofErr w:type="spellEnd"/>
            <w:r w:rsidRPr="005A6DBB">
              <w:rPr>
                <w:rFonts w:ascii="Times New Roman" w:hAnsi="Times New Roman"/>
                <w:sz w:val="20"/>
                <w:szCs w:val="20"/>
                <w:shd w:val="clear" w:color="auto" w:fill="FFFFFF"/>
                <w:lang w:val="fr-FR"/>
              </w:rPr>
              <w:t xml:space="preserve"> și în </w:t>
            </w:r>
            <w:proofErr w:type="spellStart"/>
            <w:r w:rsidRPr="005A6DBB">
              <w:rPr>
                <w:rFonts w:ascii="Times New Roman" w:hAnsi="Times New Roman"/>
                <w:sz w:val="20"/>
                <w:szCs w:val="20"/>
                <w:shd w:val="clear" w:color="auto" w:fill="FFFFFF"/>
                <w:lang w:val="fr-FR"/>
              </w:rPr>
              <w:t>țările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terțe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inclusiv</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impactul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asupra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biodiversității</w:t>
            </w:r>
            <w:proofErr w:type="spellEnd"/>
            <w:r w:rsidRPr="005A6DBB">
              <w:rPr>
                <w:rFonts w:ascii="Times New Roman" w:hAnsi="Times New Roman"/>
                <w:sz w:val="20"/>
                <w:szCs w:val="20"/>
                <w:shd w:val="clear" w:color="auto" w:fill="FFFFFF"/>
                <w:lang w:val="fr-FR"/>
              </w:rPr>
              <w:t>;</w:t>
            </w:r>
          </w:p>
          <w:p w14:paraId="70AD0B9C" w14:textId="77777777"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fr-FR"/>
              </w:rPr>
            </w:pPr>
            <w:proofErr w:type="gramStart"/>
            <w:r w:rsidRPr="005A6DBB">
              <w:rPr>
                <w:rFonts w:ascii="Times New Roman" w:hAnsi="Times New Roman"/>
                <w:sz w:val="20"/>
                <w:szCs w:val="20"/>
                <w:shd w:val="clear" w:color="auto" w:fill="FFFFFF"/>
                <w:lang w:val="fr-FR"/>
              </w:rPr>
              <w:t>date</w:t>
            </w:r>
            <w:proofErr w:type="gram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analiză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privind</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disponibilitatea</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cererea</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actuale</w:t>
            </w:r>
            <w:proofErr w:type="spellEnd"/>
            <w:r w:rsidRPr="005A6DBB">
              <w:rPr>
                <w:rFonts w:ascii="Times New Roman" w:hAnsi="Times New Roman"/>
                <w:sz w:val="20"/>
                <w:szCs w:val="20"/>
                <w:shd w:val="clear" w:color="auto" w:fill="FFFFFF"/>
                <w:lang w:val="fr-FR"/>
              </w:rPr>
              <w:t xml:space="preserve"> și </w:t>
            </w:r>
            <w:proofErr w:type="spellStart"/>
            <w:r w:rsidRPr="005A6DBB">
              <w:rPr>
                <w:rFonts w:ascii="Times New Roman" w:hAnsi="Times New Roman"/>
                <w:sz w:val="20"/>
                <w:szCs w:val="20"/>
                <w:shd w:val="clear" w:color="auto" w:fill="FFFFFF"/>
                <w:lang w:val="fr-FR"/>
              </w:rPr>
              <w:t>prognozate</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inclusiv</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impactul</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creșterii</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cererii</w:t>
            </w:r>
            <w:proofErr w:type="spellEnd"/>
            <w:r w:rsidRPr="005A6DBB">
              <w:rPr>
                <w:rFonts w:ascii="Times New Roman" w:hAnsi="Times New Roman"/>
                <w:sz w:val="20"/>
                <w:szCs w:val="20"/>
                <w:shd w:val="clear" w:color="auto" w:fill="FFFFFF"/>
                <w:lang w:val="fr-FR"/>
              </w:rPr>
              <w:t xml:space="preserve"> de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asupra</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sectoarelor</w:t>
            </w:r>
            <w:proofErr w:type="spellEnd"/>
            <w:r w:rsidRPr="005A6DBB">
              <w:rPr>
                <w:rFonts w:ascii="Times New Roman" w:hAnsi="Times New Roman"/>
                <w:sz w:val="20"/>
                <w:szCs w:val="20"/>
                <w:shd w:val="clear" w:color="auto" w:fill="FFFFFF"/>
                <w:lang w:val="fr-FR"/>
              </w:rPr>
              <w:t xml:space="preserve"> care </w:t>
            </w:r>
            <w:proofErr w:type="spellStart"/>
            <w:r w:rsidRPr="005A6DBB">
              <w:rPr>
                <w:rFonts w:ascii="Times New Roman" w:hAnsi="Times New Roman"/>
                <w:sz w:val="20"/>
                <w:szCs w:val="20"/>
                <w:shd w:val="clear" w:color="auto" w:fill="FFFFFF"/>
                <w:lang w:val="fr-FR"/>
              </w:rPr>
              <w:t>utilizează</w:t>
            </w:r>
            <w:proofErr w:type="spellEnd"/>
            <w:r w:rsidRPr="005A6DBB">
              <w:rPr>
                <w:rFonts w:ascii="Times New Roman" w:hAnsi="Times New Roman"/>
                <w:sz w:val="20"/>
                <w:szCs w:val="20"/>
                <w:shd w:val="clear" w:color="auto" w:fill="FFFFFF"/>
                <w:lang w:val="fr-FR"/>
              </w:rPr>
              <w:t xml:space="preserve"> </w:t>
            </w:r>
            <w:proofErr w:type="spellStart"/>
            <w:r w:rsidRPr="005A6DBB">
              <w:rPr>
                <w:rFonts w:ascii="Times New Roman" w:hAnsi="Times New Roman"/>
                <w:sz w:val="20"/>
                <w:szCs w:val="20"/>
                <w:shd w:val="clear" w:color="auto" w:fill="FFFFFF"/>
                <w:lang w:val="fr-FR"/>
              </w:rPr>
              <w:t>biomasă</w:t>
            </w:r>
            <w:proofErr w:type="spellEnd"/>
            <w:r w:rsidRPr="005A6DBB">
              <w:rPr>
                <w:rFonts w:ascii="Times New Roman" w:hAnsi="Times New Roman"/>
                <w:sz w:val="20"/>
                <w:szCs w:val="20"/>
                <w:shd w:val="clear" w:color="auto" w:fill="FFFFFF"/>
                <w:lang w:val="fr-FR"/>
              </w:rPr>
              <w:t>;</w:t>
            </w:r>
          </w:p>
          <w:p w14:paraId="0680AD87" w14:textId="271FD422" w:rsidR="008F5636" w:rsidRPr="005A6DBB" w:rsidRDefault="008F5636" w:rsidP="000C5A3B">
            <w:pPr>
              <w:pStyle w:val="Normal4"/>
              <w:numPr>
                <w:ilvl w:val="0"/>
                <w:numId w:val="82"/>
              </w:numPr>
              <w:spacing w:before="0" w:beforeAutospacing="0" w:after="0" w:afterAutospacing="0"/>
              <w:ind w:left="470" w:hanging="357"/>
              <w:jc w:val="both"/>
              <w:rPr>
                <w:sz w:val="20"/>
                <w:szCs w:val="20"/>
              </w:rPr>
            </w:pPr>
            <w:r w:rsidRPr="005A6DBB">
              <w:rPr>
                <w:color w:val="333333"/>
                <w:sz w:val="20"/>
                <w:szCs w:val="20"/>
              </w:rPr>
              <w:t xml:space="preserve">evoluția tehnologică și utilizarea biocombustibililor produși din materiile prime enumerate în anexa IX la Directiva (UE) 2018/2001 și o evaluare a disponibilității furajelor și a concurenței pentru resurse, ținând seama de principiile economiei circulare și de ierarhia deșeurilor stabilite în </w:t>
            </w:r>
            <w:r w:rsidRPr="005A6DBB">
              <w:rPr>
                <w:sz w:val="20"/>
                <w:szCs w:val="20"/>
              </w:rPr>
              <w:t>Directiva 2008/98/CE;</w:t>
            </w:r>
          </w:p>
          <w:p w14:paraId="3D783BF1" w14:textId="77777777"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ro-MD"/>
              </w:rPr>
            </w:pPr>
            <w:r w:rsidRPr="005A6DBB">
              <w:rPr>
                <w:rFonts w:ascii="Times New Roman" w:hAnsi="Times New Roman"/>
                <w:sz w:val="20"/>
                <w:szCs w:val="20"/>
                <w:shd w:val="clear" w:color="auto" w:fill="FFFFFF"/>
                <w:lang w:val="ro-MD"/>
              </w:rPr>
              <w:t xml:space="preserve">informații privind rezultatele disponibile ale cercetărilor științifice referitoare la schimbarea indirectă a destinației terenurilor în legătură cu toate căile de producție, precum și o analiză a acestor rezultate, însoțite de o evaluare privind posibilitatea </w:t>
            </w:r>
            <w:r w:rsidRPr="005A6DBB">
              <w:rPr>
                <w:rFonts w:ascii="Times New Roman" w:hAnsi="Times New Roman"/>
                <w:sz w:val="20"/>
                <w:szCs w:val="20"/>
                <w:shd w:val="clear" w:color="auto" w:fill="FFFFFF"/>
                <w:lang w:val="ro-MD"/>
              </w:rPr>
              <w:lastRenderedPageBreak/>
              <w:t>îngustării intervalului de incertitudine identificat în analiza care stă la baza estimărilor privind emisiile legate de schimbarea indirectă a destinației terenurilor, precum și posibilitatea luării în calcul a impactului politicilor Uniunii, cum ar fi politicile privind mediul, clima și politica agricolă;</w:t>
            </w:r>
          </w:p>
          <w:p w14:paraId="7BDA9DF6" w14:textId="77777777"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ro-MD"/>
              </w:rPr>
            </w:pPr>
            <w:r w:rsidRPr="005A6DBB">
              <w:rPr>
                <w:rFonts w:ascii="Times New Roman" w:hAnsi="Times New Roman"/>
                <w:sz w:val="20"/>
                <w:szCs w:val="20"/>
                <w:shd w:val="clear" w:color="auto" w:fill="FFFFFF"/>
                <w:lang w:val="ro-MD"/>
              </w:rPr>
              <w:t>în ceea ce privește atât țările terțe, cât și statele membre care reprezintă o sursă semnificativă de biocombustibili, biolichide și combustibili din biomasă consumați în Uniune, informații privind măsurile naționale luate pentru a respecta criteriile de durabilitate și criteriile de reducere a GES prevăzute la articolul 29 alineatele (2)-(7) și (10) din Directiva (UE) 2018/2001 pentru protecția solului, a apelor și a aerului; și</w:t>
            </w:r>
          </w:p>
          <w:p w14:paraId="382B5D94" w14:textId="6F5C3EC3" w:rsidR="008F5636" w:rsidRPr="005A6DBB" w:rsidRDefault="008F5636" w:rsidP="000C5A3B">
            <w:pPr>
              <w:pStyle w:val="ColorfulList-Accent11"/>
              <w:numPr>
                <w:ilvl w:val="0"/>
                <w:numId w:val="82"/>
              </w:numPr>
              <w:spacing w:after="0" w:line="240" w:lineRule="auto"/>
              <w:ind w:left="470" w:hanging="357"/>
              <w:jc w:val="both"/>
              <w:rPr>
                <w:rFonts w:ascii="Times New Roman" w:hAnsi="Times New Roman"/>
                <w:sz w:val="20"/>
                <w:szCs w:val="20"/>
                <w:shd w:val="clear" w:color="auto" w:fill="FFFFFF"/>
                <w:lang w:val="ro-MD"/>
              </w:rPr>
            </w:pPr>
            <w:r w:rsidRPr="005A6DBB">
              <w:rPr>
                <w:rFonts w:ascii="Times New Roman" w:hAnsi="Times New Roman"/>
                <w:sz w:val="20"/>
                <w:szCs w:val="20"/>
                <w:lang w:val="ro-MD"/>
              </w:rPr>
              <w:t>informații agregate din baza de date menționată la articolul 28 alineatul (2) din Directiva (UE) 2018/2001.</w:t>
            </w:r>
          </w:p>
          <w:p w14:paraId="09F55D20" w14:textId="11F31783" w:rsidR="008F5636" w:rsidRPr="00E410C5" w:rsidRDefault="008F5636" w:rsidP="008F5636">
            <w:pPr>
              <w:pStyle w:val="ColorfulList-Accent11"/>
              <w:spacing w:after="0" w:line="240" w:lineRule="auto"/>
              <w:ind w:left="0"/>
              <w:jc w:val="both"/>
              <w:rPr>
                <w:rFonts w:ascii="Times New Roman" w:hAnsi="Times New Roman"/>
                <w:sz w:val="20"/>
                <w:szCs w:val="20"/>
                <w:lang w:val="ro-MD"/>
              </w:rPr>
            </w:pPr>
            <w:r w:rsidRPr="005A6DBB">
              <w:rPr>
                <w:rFonts w:ascii="Times New Roman" w:hAnsi="Times New Roman"/>
                <w:sz w:val="20"/>
                <w:szCs w:val="20"/>
                <w:shd w:val="clear" w:color="auto" w:fill="FFFFFF"/>
                <w:lang w:val="ro-MD"/>
              </w:rPr>
              <w:t>În rapoartele sale cu privire la reducerea emisiilor de GES datorate utilizării biomasei, Comisia utilizează cantitățile raportate de statele membre în conformitate cu anexa</w:t>
            </w:r>
            <w:r w:rsidR="0096094C" w:rsidRPr="005A6DBB">
              <w:rPr>
                <w:rFonts w:ascii="Times New Roman" w:hAnsi="Times New Roman"/>
                <w:sz w:val="20"/>
                <w:szCs w:val="20"/>
                <w:shd w:val="clear" w:color="auto" w:fill="FFFFFF"/>
                <w:lang w:val="ro-MD"/>
              </w:rPr>
              <w:t xml:space="preserve"> </w:t>
            </w:r>
            <w:r w:rsidRPr="005A6DBB">
              <w:rPr>
                <w:rFonts w:ascii="Times New Roman" w:hAnsi="Times New Roman"/>
                <w:sz w:val="20"/>
                <w:szCs w:val="20"/>
                <w:shd w:val="clear" w:color="auto" w:fill="FFFFFF"/>
                <w:lang w:val="ro-MD"/>
              </w:rPr>
              <w:t>IX partea 1 litera (b) din prezentul regulament, inclusiv valorile medii provizorii ale emisiilor estimate legate de schimbarea indirectă a destinației terenurilor, precum și intervalul aferent derivat din analiza de sensibilitate stabilită în anexa VIII la Directiva (UE) 2018/2001. Comisia pune la dispoziția publicului datele referitoare la valorile medii provizorii ale emisiilor estimate legate de schimbarea indirectă a destinației terenurilor și intervalul aferent derivat din analiza de sensibilitate. În plus, Comisia evaluează dacă și în ce mod s-ar modifica estimarea privind reducerile directe ale emisiilor în cazul în care coprodusele ar fi luate în calcul folosind metoda substituției.</w:t>
            </w:r>
          </w:p>
        </w:tc>
        <w:tc>
          <w:tcPr>
            <w:tcW w:w="4440" w:type="dxa"/>
          </w:tcPr>
          <w:p w14:paraId="250250A5" w14:textId="77777777" w:rsidR="008F5636" w:rsidRPr="00D93509" w:rsidRDefault="008F5636" w:rsidP="008F5636">
            <w:pPr>
              <w:pStyle w:val="ColorfulList-Accent11"/>
              <w:spacing w:after="0" w:line="240" w:lineRule="auto"/>
              <w:ind w:left="0"/>
              <w:jc w:val="both"/>
              <w:rPr>
                <w:lang w:val="ro-MD"/>
              </w:rPr>
            </w:pPr>
          </w:p>
        </w:tc>
        <w:tc>
          <w:tcPr>
            <w:tcW w:w="1276" w:type="dxa"/>
          </w:tcPr>
          <w:p w14:paraId="64DC905F" w14:textId="6DE64810" w:rsidR="008F5636" w:rsidRPr="00D93509" w:rsidRDefault="0096094C" w:rsidP="0096094C">
            <w:pPr>
              <w:spacing w:after="0" w:line="240" w:lineRule="auto"/>
              <w:rPr>
                <w:lang w:val="ro-MD"/>
              </w:rPr>
            </w:pPr>
            <w:r w:rsidRPr="00C951E7">
              <w:rPr>
                <w:rFonts w:ascii="Times New Roman" w:hAnsi="Times New Roman"/>
                <w:sz w:val="20"/>
                <w:szCs w:val="20"/>
                <w:lang w:val="ro-RO"/>
              </w:rPr>
              <w:t>Prevederi UE neaplicabile</w:t>
            </w:r>
          </w:p>
        </w:tc>
        <w:tc>
          <w:tcPr>
            <w:tcW w:w="1276" w:type="dxa"/>
          </w:tcPr>
          <w:p w14:paraId="7C9B82D2" w14:textId="77777777" w:rsidR="008F5636" w:rsidRPr="00D93509" w:rsidRDefault="008F5636" w:rsidP="008F5636">
            <w:pPr>
              <w:pStyle w:val="ColorfulList-Accent11"/>
              <w:spacing w:after="0" w:line="240" w:lineRule="auto"/>
              <w:ind w:left="0"/>
              <w:jc w:val="both"/>
              <w:rPr>
                <w:lang w:val="ro-MD"/>
              </w:rPr>
            </w:pPr>
          </w:p>
        </w:tc>
        <w:tc>
          <w:tcPr>
            <w:tcW w:w="1701" w:type="dxa"/>
          </w:tcPr>
          <w:p w14:paraId="035B2DFF" w14:textId="72CADD0C" w:rsidR="0096094C" w:rsidRPr="00AF078F" w:rsidRDefault="0096094C" w:rsidP="0096094C">
            <w:pPr>
              <w:autoSpaceDE w:val="0"/>
              <w:spacing w:after="0" w:line="240" w:lineRule="auto"/>
              <w:jc w:val="both"/>
              <w:rPr>
                <w:rFonts w:ascii="Times New Roman" w:hAnsi="Times New Roman"/>
                <w:sz w:val="20"/>
                <w:szCs w:val="20"/>
                <w:lang w:val="ro-RO"/>
              </w:rPr>
            </w:pPr>
            <w:r w:rsidRPr="00AF078F">
              <w:rPr>
                <w:rFonts w:ascii="Times New Roman" w:hAnsi="Times New Roman"/>
                <w:sz w:val="20"/>
                <w:szCs w:val="20"/>
                <w:shd w:val="clear" w:color="auto" w:fill="FFFFFF"/>
                <w:lang w:val="ro-RO"/>
              </w:rPr>
              <w:t xml:space="preserve">Prevederile privind </w:t>
            </w:r>
            <w:proofErr w:type="spellStart"/>
            <w:r w:rsidRPr="00463CD5">
              <w:rPr>
                <w:rFonts w:ascii="Times New Roman" w:hAnsi="Times New Roman"/>
                <w:sz w:val="20"/>
                <w:szCs w:val="20"/>
                <w:shd w:val="clear" w:color="auto" w:fill="FFFFFF"/>
                <w:lang w:val="fr-FR"/>
              </w:rPr>
              <w:t>durabilitatea</w:t>
            </w:r>
            <w:proofErr w:type="spellEnd"/>
            <w:r w:rsidRPr="00463CD5">
              <w:rPr>
                <w:rFonts w:ascii="Times New Roman" w:hAnsi="Times New Roman"/>
                <w:sz w:val="20"/>
                <w:szCs w:val="20"/>
                <w:shd w:val="clear" w:color="auto" w:fill="FFFFFF"/>
                <w:lang w:val="fr-FR"/>
              </w:rPr>
              <w:t xml:space="preserve"> </w:t>
            </w:r>
            <w:proofErr w:type="spellStart"/>
            <w:r w:rsidRPr="00463CD5">
              <w:rPr>
                <w:rFonts w:ascii="Times New Roman" w:hAnsi="Times New Roman"/>
                <w:sz w:val="20"/>
                <w:szCs w:val="20"/>
                <w:shd w:val="clear" w:color="auto" w:fill="FFFFFF"/>
                <w:lang w:val="fr-FR"/>
              </w:rPr>
              <w:t>bioenergiei</w:t>
            </w:r>
            <w:proofErr w:type="spellEnd"/>
            <w:r w:rsidRPr="00463CD5">
              <w:rPr>
                <w:rFonts w:ascii="Times New Roman" w:hAnsi="Times New Roman"/>
                <w:sz w:val="20"/>
                <w:szCs w:val="20"/>
                <w:shd w:val="clear" w:color="auto" w:fill="FFFFFF"/>
                <w:lang w:val="fr-FR"/>
              </w:rPr>
              <w:t xml:space="preserve"> în UE </w:t>
            </w:r>
            <w:r w:rsidRPr="00AF078F">
              <w:rPr>
                <w:rFonts w:ascii="Times New Roman" w:hAnsi="Times New Roman"/>
                <w:sz w:val="20"/>
                <w:szCs w:val="20"/>
                <w:shd w:val="clear" w:color="auto" w:fill="FFFFFF"/>
                <w:lang w:val="ro-MD"/>
              </w:rPr>
              <w:t>adoptate de către C</w:t>
            </w:r>
            <w:proofErr w:type="spellStart"/>
            <w:r w:rsidRPr="00AF078F">
              <w:rPr>
                <w:rFonts w:ascii="Times New Roman" w:hAnsi="Times New Roman"/>
                <w:sz w:val="20"/>
                <w:szCs w:val="20"/>
                <w:shd w:val="clear" w:color="auto" w:fill="FFFFFF"/>
                <w:lang w:val="ro-RO"/>
              </w:rPr>
              <w:t>omisie</w:t>
            </w:r>
            <w:proofErr w:type="spellEnd"/>
            <w:r w:rsidRPr="00AF078F">
              <w:rPr>
                <w:rFonts w:ascii="Times New Roman" w:hAnsi="Times New Roman"/>
                <w:sz w:val="20"/>
                <w:szCs w:val="20"/>
                <w:shd w:val="clear" w:color="auto" w:fill="FFFFFF"/>
                <w:lang w:val="ro-RO"/>
              </w:rPr>
              <w:t xml:space="preserve"> </w:t>
            </w:r>
            <w:r w:rsidRPr="00AF078F">
              <w:rPr>
                <w:rFonts w:ascii="Times New Roman" w:hAnsi="Times New Roman"/>
                <w:sz w:val="20"/>
                <w:szCs w:val="20"/>
                <w:lang w:val="ro-RO"/>
              </w:rPr>
              <w:t>nu se transpun, deoarece nu sunt relevante pentru Republica Moldova.</w:t>
            </w:r>
          </w:p>
          <w:p w14:paraId="74F6AB38" w14:textId="366772AB" w:rsidR="008F5636" w:rsidRPr="00D93509" w:rsidRDefault="008F5636" w:rsidP="00DA405E">
            <w:pPr>
              <w:pStyle w:val="ColorfulList-Accent11"/>
              <w:spacing w:after="0" w:line="240" w:lineRule="auto"/>
              <w:ind w:left="0"/>
              <w:jc w:val="both"/>
              <w:rPr>
                <w:lang w:val="ro-MD"/>
              </w:rPr>
            </w:pPr>
          </w:p>
        </w:tc>
        <w:tc>
          <w:tcPr>
            <w:tcW w:w="1460" w:type="dxa"/>
          </w:tcPr>
          <w:p w14:paraId="36138A24" w14:textId="77777777" w:rsidR="008F5636" w:rsidRPr="00D93509" w:rsidRDefault="008F5636" w:rsidP="0096094C">
            <w:pPr>
              <w:autoSpaceDE w:val="0"/>
              <w:spacing w:after="0" w:line="240" w:lineRule="auto"/>
              <w:rPr>
                <w:lang w:val="ro-MD"/>
              </w:rPr>
            </w:pPr>
          </w:p>
        </w:tc>
      </w:tr>
      <w:tr w:rsidR="008F5636" w:rsidRPr="00AF078F" w14:paraId="489A21F9" w14:textId="77777777" w:rsidTr="00A90105">
        <w:tc>
          <w:tcPr>
            <w:tcW w:w="4945" w:type="dxa"/>
          </w:tcPr>
          <w:p w14:paraId="06A426CC" w14:textId="77777777" w:rsidR="008F5636" w:rsidRPr="005A6DBB" w:rsidRDefault="008F5636" w:rsidP="008F5636">
            <w:pPr>
              <w:pStyle w:val="doc-ti"/>
              <w:shd w:val="clear" w:color="auto" w:fill="FFFFFF"/>
              <w:spacing w:before="0" w:beforeAutospacing="0" w:after="0" w:afterAutospacing="0"/>
              <w:jc w:val="center"/>
              <w:rPr>
                <w:b/>
                <w:bCs/>
                <w:color w:val="333333"/>
                <w:sz w:val="20"/>
                <w:szCs w:val="20"/>
                <w:lang w:val="ro-MD"/>
              </w:rPr>
            </w:pPr>
            <w:r w:rsidRPr="005A6DBB">
              <w:rPr>
                <w:b/>
                <w:bCs/>
                <w:color w:val="333333"/>
                <w:sz w:val="20"/>
                <w:szCs w:val="20"/>
                <w:lang w:val="ro-MD"/>
              </w:rPr>
              <w:lastRenderedPageBreak/>
              <w:t>ANEXA XI</w:t>
            </w:r>
          </w:p>
          <w:p w14:paraId="62711199" w14:textId="0DE81A0F" w:rsidR="008F5636" w:rsidRPr="005A6DBB" w:rsidRDefault="008F5636" w:rsidP="008F5636">
            <w:pPr>
              <w:pStyle w:val="ti-grseq-1"/>
              <w:shd w:val="clear" w:color="auto" w:fill="FFFFFF"/>
              <w:spacing w:before="0" w:beforeAutospacing="0" w:after="0" w:afterAutospacing="0"/>
              <w:jc w:val="both"/>
              <w:rPr>
                <w:rStyle w:val="bold"/>
                <w:b/>
                <w:bCs/>
                <w:color w:val="333333"/>
                <w:sz w:val="20"/>
                <w:szCs w:val="20"/>
                <w:lang w:val="ro-MD"/>
              </w:rPr>
            </w:pPr>
            <w:r w:rsidRPr="005A6DBB">
              <w:rPr>
                <w:rStyle w:val="bold"/>
                <w:b/>
                <w:bCs/>
                <w:color w:val="333333"/>
                <w:sz w:val="20"/>
                <w:szCs w:val="20"/>
                <w:lang w:val="ro-MD"/>
              </w:rPr>
              <w:t>SCHEME VOLUNTARE CU PRIVIRE LA CARE COMISIA A ADOPTAT O DECIZIE ÎN TEMEIUL ARTICOLULUI 30 ALINEATUL (4) DIN DIRECTIVA (UE) 2018/2001</w:t>
            </w:r>
          </w:p>
          <w:p w14:paraId="1C3C57E4" w14:textId="6D9E7F64" w:rsidR="008F5636" w:rsidRPr="005A6DBB" w:rsidRDefault="008F5636" w:rsidP="008F5636">
            <w:pPr>
              <w:pStyle w:val="ti-grseq-1"/>
              <w:shd w:val="clear" w:color="auto" w:fill="FFFFFF"/>
              <w:spacing w:before="0" w:beforeAutospacing="0" w:after="0" w:afterAutospacing="0"/>
              <w:jc w:val="both"/>
              <w:rPr>
                <w:sz w:val="20"/>
                <w:szCs w:val="20"/>
                <w:shd w:val="clear" w:color="auto" w:fill="FFFFFF"/>
                <w:lang w:val="ro-MD"/>
              </w:rPr>
            </w:pPr>
            <w:r w:rsidRPr="005A6DBB">
              <w:rPr>
                <w:sz w:val="20"/>
                <w:szCs w:val="20"/>
                <w:shd w:val="clear" w:color="auto" w:fill="FFFFFF"/>
                <w:lang w:val="ro-MD"/>
              </w:rPr>
              <w:t>Raportul privind schemele voluntare cu privire la care Comisia a adoptat o decizie în temeiul articolul 30 alineatul (4) din Directiva (UE) 2018/2001, care urmează să fie adoptat la fiecare doi ani de către Comisie împreună cu raportul privind starea uniunii energetice în conformitate cu articolul 35 alineatul (2) litera (e) din prezentul regulament, conține evaluarea de către Comisie a cel puțin următoarelor elemente:</w:t>
            </w:r>
          </w:p>
          <w:p w14:paraId="6A0ACBFA" w14:textId="77777777"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r w:rsidRPr="005A6DBB">
              <w:rPr>
                <w:sz w:val="20"/>
                <w:szCs w:val="20"/>
                <w:shd w:val="clear" w:color="auto" w:fill="FFFFFF"/>
                <w:lang w:val="ro-MD"/>
              </w:rPr>
              <w:t xml:space="preserve">independența, modalitatea de efectuare și frecvența auditurilor, atât în legătură cu cele exprimate în </w:t>
            </w:r>
            <w:r w:rsidRPr="005A6DBB">
              <w:rPr>
                <w:sz w:val="20"/>
                <w:szCs w:val="20"/>
                <w:shd w:val="clear" w:color="auto" w:fill="FFFFFF"/>
                <w:lang w:val="ro-MD"/>
              </w:rPr>
              <w:lastRenderedPageBreak/>
              <w:t>privința acestor aspecte în documentația referitoare la schemă, în momentul în care schema în cauză a fost aprobată de Comisie, cât și în legătură cu bunele practici din cadrul industriei;</w:t>
            </w:r>
          </w:p>
          <w:p w14:paraId="099D6112" w14:textId="6BBDC3BB"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r w:rsidRPr="005A6DBB">
              <w:rPr>
                <w:sz w:val="20"/>
                <w:szCs w:val="20"/>
                <w:lang w:val="ro-MD"/>
              </w:rPr>
              <w:t>disponibilitatea și transparența aplicării metodelor de identificare și de tratare a neconformității, precum și experiența în legătură cu acestea, acordând o atenție deosebită tratării situațiilor sau acuzațiilor de nereguli grave din partea membrilor schemei;</w:t>
            </w:r>
          </w:p>
          <w:p w14:paraId="7C8B1E9D" w14:textId="1C3601F2"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r w:rsidRPr="005A6DBB">
              <w:rPr>
                <w:sz w:val="20"/>
                <w:szCs w:val="20"/>
                <w:shd w:val="clear" w:color="auto" w:fill="FFFFFF"/>
                <w:lang w:val="ro-MD"/>
              </w:rPr>
              <w:t>transparența, în special în legătură cu accesibilitatea schemei, disponibilitatea traducerilor în limbile aplicabile ale țărilor și regiunilor din care provin materiile prime, accesibilitatea unei liste a operatorilor certificați și a certificatelor relevante, precum și accesibilitatea rapoartelor auditorilor;</w:t>
            </w:r>
          </w:p>
          <w:p w14:paraId="5EF5536A" w14:textId="4E740E7D"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r w:rsidRPr="005A6DBB">
              <w:rPr>
                <w:sz w:val="20"/>
                <w:szCs w:val="20"/>
                <w:shd w:val="clear" w:color="auto" w:fill="FFFFFF"/>
                <w:lang w:val="ro-MD"/>
              </w:rPr>
              <w:t>implicarea părților interesate, în special în ceea ce privește consultarea comunităților indigene și locale înainte de a lua decizii în decursul elaborării și reexaminării schemei, precum și în decursul auditurilor, și răspunsul la contribuțiile acestora;</w:t>
            </w:r>
          </w:p>
          <w:p w14:paraId="555CAFBE" w14:textId="4B91E9DC"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r w:rsidRPr="005A6DBB">
              <w:rPr>
                <w:sz w:val="20"/>
                <w:szCs w:val="20"/>
                <w:shd w:val="clear" w:color="auto" w:fill="FFFFFF"/>
              </w:rPr>
              <w:t>robustețea</w:t>
            </w:r>
            <w:proofErr w:type="spellEnd"/>
            <w:r w:rsidRPr="005A6DBB">
              <w:rPr>
                <w:sz w:val="20"/>
                <w:szCs w:val="20"/>
                <w:shd w:val="clear" w:color="auto" w:fill="FFFFFF"/>
              </w:rPr>
              <w:t xml:space="preserve"> </w:t>
            </w:r>
            <w:proofErr w:type="spellStart"/>
            <w:r w:rsidRPr="005A6DBB">
              <w:rPr>
                <w:sz w:val="20"/>
                <w:szCs w:val="20"/>
                <w:shd w:val="clear" w:color="auto" w:fill="FFFFFF"/>
              </w:rPr>
              <w:t>generală</w:t>
            </w:r>
            <w:proofErr w:type="spellEnd"/>
            <w:r w:rsidRPr="005A6DBB">
              <w:rPr>
                <w:sz w:val="20"/>
                <w:szCs w:val="20"/>
                <w:shd w:val="clear" w:color="auto" w:fill="FFFFFF"/>
              </w:rPr>
              <w:t xml:space="preserve"> a </w:t>
            </w:r>
            <w:proofErr w:type="spellStart"/>
            <w:r w:rsidRPr="005A6DBB">
              <w:rPr>
                <w:sz w:val="20"/>
                <w:szCs w:val="20"/>
                <w:shd w:val="clear" w:color="auto" w:fill="FFFFFF"/>
              </w:rPr>
              <w:t>schemei</w:t>
            </w:r>
            <w:proofErr w:type="spellEnd"/>
            <w:r w:rsidRPr="005A6DBB">
              <w:rPr>
                <w:sz w:val="20"/>
                <w:szCs w:val="20"/>
                <w:shd w:val="clear" w:color="auto" w:fill="FFFFFF"/>
              </w:rPr>
              <w:t xml:space="preserve">, în special sub </w:t>
            </w:r>
            <w:proofErr w:type="spellStart"/>
            <w:r w:rsidRPr="005A6DBB">
              <w:rPr>
                <w:sz w:val="20"/>
                <w:szCs w:val="20"/>
                <w:shd w:val="clear" w:color="auto" w:fill="FFFFFF"/>
              </w:rPr>
              <w:t>aspectul</w:t>
            </w:r>
            <w:proofErr w:type="spellEnd"/>
            <w:r w:rsidRPr="005A6DBB">
              <w:rPr>
                <w:sz w:val="20"/>
                <w:szCs w:val="20"/>
                <w:shd w:val="clear" w:color="auto" w:fill="FFFFFF"/>
              </w:rPr>
              <w:t xml:space="preserve"> </w:t>
            </w:r>
            <w:proofErr w:type="spellStart"/>
            <w:r w:rsidRPr="005A6DBB">
              <w:rPr>
                <w:sz w:val="20"/>
                <w:szCs w:val="20"/>
                <w:shd w:val="clear" w:color="auto" w:fill="FFFFFF"/>
              </w:rPr>
              <w:t>normelor</w:t>
            </w:r>
            <w:proofErr w:type="spellEnd"/>
            <w:r w:rsidRPr="005A6DBB">
              <w:rPr>
                <w:sz w:val="20"/>
                <w:szCs w:val="20"/>
                <w:shd w:val="clear" w:color="auto" w:fill="FFFFFF"/>
              </w:rPr>
              <w:t xml:space="preserve"> </w:t>
            </w:r>
            <w:proofErr w:type="spellStart"/>
            <w:r w:rsidRPr="005A6DBB">
              <w:rPr>
                <w:sz w:val="20"/>
                <w:szCs w:val="20"/>
                <w:shd w:val="clear" w:color="auto" w:fill="FFFFFF"/>
              </w:rPr>
              <w:t>privind</w:t>
            </w:r>
            <w:proofErr w:type="spellEnd"/>
            <w:r w:rsidRPr="005A6DBB">
              <w:rPr>
                <w:sz w:val="20"/>
                <w:szCs w:val="20"/>
                <w:shd w:val="clear" w:color="auto" w:fill="FFFFFF"/>
              </w:rPr>
              <w:t xml:space="preserve"> </w:t>
            </w:r>
            <w:proofErr w:type="spellStart"/>
            <w:r w:rsidRPr="005A6DBB">
              <w:rPr>
                <w:sz w:val="20"/>
                <w:szCs w:val="20"/>
                <w:shd w:val="clear" w:color="auto" w:fill="FFFFFF"/>
              </w:rPr>
              <w:t>acreditarea</w:t>
            </w:r>
            <w:proofErr w:type="spellEnd"/>
            <w:r w:rsidRPr="005A6DBB">
              <w:rPr>
                <w:sz w:val="20"/>
                <w:szCs w:val="20"/>
                <w:shd w:val="clear" w:color="auto" w:fill="FFFFFF"/>
              </w:rPr>
              <w:t xml:space="preserve">, </w:t>
            </w:r>
            <w:proofErr w:type="spellStart"/>
            <w:r w:rsidRPr="005A6DBB">
              <w:rPr>
                <w:sz w:val="20"/>
                <w:szCs w:val="20"/>
                <w:shd w:val="clear" w:color="auto" w:fill="FFFFFF"/>
              </w:rPr>
              <w:t>calificarea</w:t>
            </w:r>
            <w:proofErr w:type="spellEnd"/>
            <w:r w:rsidRPr="005A6DBB">
              <w:rPr>
                <w:sz w:val="20"/>
                <w:szCs w:val="20"/>
                <w:shd w:val="clear" w:color="auto" w:fill="FFFFFF"/>
              </w:rPr>
              <w:t xml:space="preserve"> și </w:t>
            </w:r>
            <w:proofErr w:type="spellStart"/>
            <w:r w:rsidRPr="005A6DBB">
              <w:rPr>
                <w:sz w:val="20"/>
                <w:szCs w:val="20"/>
                <w:shd w:val="clear" w:color="auto" w:fill="FFFFFF"/>
              </w:rPr>
              <w:t>independența</w:t>
            </w:r>
            <w:proofErr w:type="spellEnd"/>
            <w:r w:rsidRPr="005A6DBB">
              <w:rPr>
                <w:sz w:val="20"/>
                <w:szCs w:val="20"/>
                <w:shd w:val="clear" w:color="auto" w:fill="FFFFFF"/>
              </w:rPr>
              <w:t xml:space="preserve"> </w:t>
            </w:r>
            <w:proofErr w:type="spellStart"/>
            <w:r w:rsidRPr="005A6DBB">
              <w:rPr>
                <w:sz w:val="20"/>
                <w:szCs w:val="20"/>
                <w:shd w:val="clear" w:color="auto" w:fill="FFFFFF"/>
              </w:rPr>
              <w:t>auditorilor</w:t>
            </w:r>
            <w:proofErr w:type="spellEnd"/>
            <w:r w:rsidRPr="005A6DBB">
              <w:rPr>
                <w:sz w:val="20"/>
                <w:szCs w:val="20"/>
                <w:shd w:val="clear" w:color="auto" w:fill="FFFFFF"/>
              </w:rPr>
              <w:t xml:space="preserve"> și </w:t>
            </w:r>
            <w:proofErr w:type="gramStart"/>
            <w:r w:rsidRPr="005A6DBB">
              <w:rPr>
                <w:sz w:val="20"/>
                <w:szCs w:val="20"/>
                <w:shd w:val="clear" w:color="auto" w:fill="FFFFFF"/>
              </w:rPr>
              <w:t>a</w:t>
            </w:r>
            <w:proofErr w:type="gramEnd"/>
            <w:r w:rsidRPr="005A6DBB">
              <w:rPr>
                <w:sz w:val="20"/>
                <w:szCs w:val="20"/>
                <w:shd w:val="clear" w:color="auto" w:fill="FFFFFF"/>
              </w:rPr>
              <w:t xml:space="preserve"> </w:t>
            </w:r>
            <w:proofErr w:type="spellStart"/>
            <w:r w:rsidRPr="005A6DBB">
              <w:rPr>
                <w:sz w:val="20"/>
                <w:szCs w:val="20"/>
                <w:shd w:val="clear" w:color="auto" w:fill="FFFFFF"/>
              </w:rPr>
              <w:t>organismelor</w:t>
            </w:r>
            <w:proofErr w:type="spellEnd"/>
            <w:r w:rsidRPr="005A6DBB">
              <w:rPr>
                <w:sz w:val="20"/>
                <w:szCs w:val="20"/>
                <w:shd w:val="clear" w:color="auto" w:fill="FFFFFF"/>
              </w:rPr>
              <w:t xml:space="preserve"> </w:t>
            </w:r>
            <w:proofErr w:type="spellStart"/>
            <w:r w:rsidRPr="005A6DBB">
              <w:rPr>
                <w:sz w:val="20"/>
                <w:szCs w:val="20"/>
                <w:shd w:val="clear" w:color="auto" w:fill="FFFFFF"/>
              </w:rPr>
              <w:t>aferente</w:t>
            </w:r>
            <w:proofErr w:type="spellEnd"/>
            <w:r w:rsidRPr="005A6DBB">
              <w:rPr>
                <w:sz w:val="20"/>
                <w:szCs w:val="20"/>
                <w:shd w:val="clear" w:color="auto" w:fill="FFFFFF"/>
              </w:rPr>
              <w:t xml:space="preserve"> </w:t>
            </w:r>
            <w:proofErr w:type="spellStart"/>
            <w:r w:rsidRPr="005A6DBB">
              <w:rPr>
                <w:sz w:val="20"/>
                <w:szCs w:val="20"/>
                <w:shd w:val="clear" w:color="auto" w:fill="FFFFFF"/>
              </w:rPr>
              <w:t>schemei</w:t>
            </w:r>
            <w:proofErr w:type="spellEnd"/>
            <w:r w:rsidRPr="005A6DBB">
              <w:rPr>
                <w:sz w:val="20"/>
                <w:szCs w:val="20"/>
                <w:shd w:val="clear" w:color="auto" w:fill="FFFFFF"/>
              </w:rPr>
              <w:t>;</w:t>
            </w:r>
          </w:p>
          <w:p w14:paraId="37C5750A" w14:textId="6E5CEC65"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proofErr w:type="gramStart"/>
            <w:r w:rsidRPr="005A6DBB">
              <w:rPr>
                <w:sz w:val="20"/>
                <w:szCs w:val="20"/>
                <w:shd w:val="clear" w:color="auto" w:fill="FFFFFF"/>
                <w:lang w:val="fr-FR"/>
              </w:rPr>
              <w:t>dacă</w:t>
            </w:r>
            <w:proofErr w:type="spellEnd"/>
            <w:proofErr w:type="gramEnd"/>
            <w:r w:rsidRPr="005A6DBB">
              <w:rPr>
                <w:sz w:val="20"/>
                <w:szCs w:val="20"/>
                <w:shd w:val="clear" w:color="auto" w:fill="FFFFFF"/>
                <w:lang w:val="fr-FR"/>
              </w:rPr>
              <w:t xml:space="preserve"> </w:t>
            </w:r>
            <w:proofErr w:type="spellStart"/>
            <w:r w:rsidRPr="005A6DBB">
              <w:rPr>
                <w:sz w:val="20"/>
                <w:szCs w:val="20"/>
                <w:shd w:val="clear" w:color="auto" w:fill="FFFFFF"/>
                <w:lang w:val="fr-FR"/>
              </w:rPr>
              <w:t>sunt</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disponibile</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actualizările</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schemei</w:t>
            </w:r>
            <w:proofErr w:type="spellEnd"/>
            <w:r w:rsidRPr="005A6DBB">
              <w:rPr>
                <w:sz w:val="20"/>
                <w:szCs w:val="20"/>
                <w:shd w:val="clear" w:color="auto" w:fill="FFFFFF"/>
                <w:lang w:val="fr-FR"/>
              </w:rPr>
              <w:t xml:space="preserve"> în </w:t>
            </w:r>
            <w:proofErr w:type="spellStart"/>
            <w:r w:rsidRPr="005A6DBB">
              <w:rPr>
                <w:sz w:val="20"/>
                <w:szCs w:val="20"/>
                <w:shd w:val="clear" w:color="auto" w:fill="FFFFFF"/>
                <w:lang w:val="fr-FR"/>
              </w:rPr>
              <w:t>funcție</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piață</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cantitatea</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materii</w:t>
            </w:r>
            <w:proofErr w:type="spellEnd"/>
            <w:r w:rsidRPr="005A6DBB">
              <w:rPr>
                <w:sz w:val="20"/>
                <w:szCs w:val="20"/>
                <w:shd w:val="clear" w:color="auto" w:fill="FFFFFF"/>
                <w:lang w:val="fr-FR"/>
              </w:rPr>
              <w:t xml:space="preserve"> prime și de </w:t>
            </w:r>
            <w:proofErr w:type="spellStart"/>
            <w:r w:rsidRPr="005A6DBB">
              <w:rPr>
                <w:sz w:val="20"/>
                <w:szCs w:val="20"/>
                <w:shd w:val="clear" w:color="auto" w:fill="FFFFFF"/>
                <w:lang w:val="fr-FR"/>
              </w:rPr>
              <w:t>biocombustibili</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certificată</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clasificată</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pe</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țara</w:t>
            </w:r>
            <w:proofErr w:type="spellEnd"/>
            <w:r w:rsidRPr="005A6DBB">
              <w:rPr>
                <w:sz w:val="20"/>
                <w:szCs w:val="20"/>
                <w:shd w:val="clear" w:color="auto" w:fill="FFFFFF"/>
                <w:lang w:val="fr-FR"/>
              </w:rPr>
              <w:t xml:space="preserve"> de origine și </w:t>
            </w:r>
            <w:proofErr w:type="spellStart"/>
            <w:r w:rsidRPr="005A6DBB">
              <w:rPr>
                <w:sz w:val="20"/>
                <w:szCs w:val="20"/>
                <w:shd w:val="clear" w:color="auto" w:fill="FFFFFF"/>
                <w:lang w:val="fr-FR"/>
              </w:rPr>
              <w:t>pe</w:t>
            </w:r>
            <w:proofErr w:type="spellEnd"/>
            <w:r w:rsidRPr="005A6DBB">
              <w:rPr>
                <w:sz w:val="20"/>
                <w:szCs w:val="20"/>
                <w:shd w:val="clear" w:color="auto" w:fill="FFFFFF"/>
                <w:lang w:val="fr-FR"/>
              </w:rPr>
              <w:t xml:space="preserve"> tip, </w:t>
            </w:r>
            <w:proofErr w:type="spellStart"/>
            <w:r w:rsidRPr="005A6DBB">
              <w:rPr>
                <w:sz w:val="20"/>
                <w:szCs w:val="20"/>
                <w:shd w:val="clear" w:color="auto" w:fill="FFFFFF"/>
                <w:lang w:val="fr-FR"/>
              </w:rPr>
              <w:t>numărul</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participanți</w:t>
            </w:r>
            <w:proofErr w:type="spellEnd"/>
            <w:r w:rsidRPr="005A6DBB">
              <w:rPr>
                <w:sz w:val="20"/>
                <w:szCs w:val="20"/>
                <w:shd w:val="clear" w:color="auto" w:fill="FFFFFF"/>
                <w:lang w:val="fr-FR"/>
              </w:rPr>
              <w:t>;</w:t>
            </w:r>
          </w:p>
          <w:p w14:paraId="7DE5DBD1" w14:textId="24E2090D"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r w:rsidRPr="005A6DBB">
              <w:rPr>
                <w:sz w:val="20"/>
                <w:szCs w:val="20"/>
                <w:shd w:val="clear" w:color="auto" w:fill="FFFFFF"/>
                <w:lang w:val="ro-MD"/>
              </w:rPr>
              <w:t>ușurința și eficacitatea punerii în aplicare a unui sistem de urmărire a probelor de conformitate cu criteriile de durabilitate pe care le oferă schema membrilor săi, acest sistem fiind destinat să servească drept mijloc de prevenire a activităților frauduloase, în special în vederea depistării, a tratării și a urmăririi ulterioare a suspiciunilor de fraudă și a altor nereguli și, după caz, numărul cazurilor de fraudă sau de nereguli depistate;</w:t>
            </w:r>
          </w:p>
          <w:p w14:paraId="0E81ED73" w14:textId="7003F363"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proofErr w:type="gramStart"/>
            <w:r w:rsidRPr="005A6DBB">
              <w:rPr>
                <w:sz w:val="20"/>
                <w:szCs w:val="20"/>
                <w:shd w:val="clear" w:color="auto" w:fill="FFFFFF"/>
                <w:lang w:val="fr-FR"/>
              </w:rPr>
              <w:t>posibilitatea</w:t>
            </w:r>
            <w:proofErr w:type="spellEnd"/>
            <w:proofErr w:type="gramEnd"/>
            <w:r w:rsidRPr="005A6DBB">
              <w:rPr>
                <w:sz w:val="20"/>
                <w:szCs w:val="20"/>
                <w:shd w:val="clear" w:color="auto" w:fill="FFFFFF"/>
                <w:lang w:val="fr-FR"/>
              </w:rPr>
              <w:t xml:space="preserve"> </w:t>
            </w:r>
            <w:proofErr w:type="spellStart"/>
            <w:r w:rsidRPr="005A6DBB">
              <w:rPr>
                <w:sz w:val="20"/>
                <w:szCs w:val="20"/>
                <w:shd w:val="clear" w:color="auto" w:fill="FFFFFF"/>
                <w:lang w:val="fr-FR"/>
              </w:rPr>
              <w:t>autorizării</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unor</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entități</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pentru</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recunoașterea</w:t>
            </w:r>
            <w:proofErr w:type="spellEnd"/>
            <w:r w:rsidRPr="005A6DBB">
              <w:rPr>
                <w:sz w:val="20"/>
                <w:szCs w:val="20"/>
                <w:shd w:val="clear" w:color="auto" w:fill="FFFFFF"/>
                <w:lang w:val="fr-FR"/>
              </w:rPr>
              <w:t xml:space="preserve"> și </w:t>
            </w:r>
            <w:proofErr w:type="spellStart"/>
            <w:r w:rsidRPr="005A6DBB">
              <w:rPr>
                <w:sz w:val="20"/>
                <w:szCs w:val="20"/>
                <w:shd w:val="clear" w:color="auto" w:fill="FFFFFF"/>
                <w:lang w:val="fr-FR"/>
              </w:rPr>
              <w:t>monitorizarea</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organismelor</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certificare</w:t>
            </w:r>
            <w:proofErr w:type="spellEnd"/>
            <w:r w:rsidRPr="005A6DBB">
              <w:rPr>
                <w:sz w:val="20"/>
                <w:szCs w:val="20"/>
                <w:shd w:val="clear" w:color="auto" w:fill="FFFFFF"/>
                <w:lang w:val="fr-FR"/>
              </w:rPr>
              <w:t>;</w:t>
            </w:r>
          </w:p>
          <w:p w14:paraId="629D1479" w14:textId="09C237EB"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proofErr w:type="gramStart"/>
            <w:r w:rsidRPr="005A6DBB">
              <w:rPr>
                <w:sz w:val="20"/>
                <w:szCs w:val="20"/>
                <w:shd w:val="clear" w:color="auto" w:fill="FFFFFF"/>
                <w:lang w:val="fr-FR"/>
              </w:rPr>
              <w:t>criteriile</w:t>
            </w:r>
            <w:proofErr w:type="spellEnd"/>
            <w:proofErr w:type="gramEnd"/>
            <w:r w:rsidRPr="005A6DBB">
              <w:rPr>
                <w:sz w:val="20"/>
                <w:szCs w:val="20"/>
                <w:shd w:val="clear" w:color="auto" w:fill="FFFFFF"/>
                <w:lang w:val="fr-FR"/>
              </w:rPr>
              <w:t xml:space="preserve"> de </w:t>
            </w:r>
            <w:proofErr w:type="spellStart"/>
            <w:r w:rsidRPr="005A6DBB">
              <w:rPr>
                <w:sz w:val="20"/>
                <w:szCs w:val="20"/>
                <w:shd w:val="clear" w:color="auto" w:fill="FFFFFF"/>
                <w:lang w:val="fr-FR"/>
              </w:rPr>
              <w:t>recunoaștere</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sau</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acreditare</w:t>
            </w:r>
            <w:proofErr w:type="spellEnd"/>
            <w:r w:rsidRPr="005A6DBB">
              <w:rPr>
                <w:sz w:val="20"/>
                <w:szCs w:val="20"/>
                <w:shd w:val="clear" w:color="auto" w:fill="FFFFFF"/>
                <w:lang w:val="fr-FR"/>
              </w:rPr>
              <w:t xml:space="preserve"> a </w:t>
            </w:r>
            <w:proofErr w:type="spellStart"/>
            <w:r w:rsidRPr="005A6DBB">
              <w:rPr>
                <w:sz w:val="20"/>
                <w:szCs w:val="20"/>
                <w:shd w:val="clear" w:color="auto" w:fill="FFFFFF"/>
                <w:lang w:val="fr-FR"/>
              </w:rPr>
              <w:t>organismelor</w:t>
            </w:r>
            <w:proofErr w:type="spellEnd"/>
            <w:r w:rsidRPr="005A6DBB">
              <w:rPr>
                <w:sz w:val="20"/>
                <w:szCs w:val="20"/>
                <w:shd w:val="clear" w:color="auto" w:fill="FFFFFF"/>
                <w:lang w:val="fr-FR"/>
              </w:rPr>
              <w:t xml:space="preserve"> de </w:t>
            </w:r>
            <w:proofErr w:type="spellStart"/>
            <w:r w:rsidRPr="005A6DBB">
              <w:rPr>
                <w:sz w:val="20"/>
                <w:szCs w:val="20"/>
                <w:shd w:val="clear" w:color="auto" w:fill="FFFFFF"/>
                <w:lang w:val="fr-FR"/>
              </w:rPr>
              <w:t>certificare</w:t>
            </w:r>
            <w:proofErr w:type="spellEnd"/>
            <w:r w:rsidRPr="005A6DBB">
              <w:rPr>
                <w:sz w:val="20"/>
                <w:szCs w:val="20"/>
                <w:shd w:val="clear" w:color="auto" w:fill="FFFFFF"/>
                <w:lang w:val="fr-FR"/>
              </w:rPr>
              <w:t>;</w:t>
            </w:r>
          </w:p>
          <w:p w14:paraId="7AE7E252" w14:textId="03B24834" w:rsidR="008F5636" w:rsidRPr="005A6DBB"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r w:rsidRPr="005A6DBB">
              <w:rPr>
                <w:sz w:val="20"/>
                <w:szCs w:val="20"/>
                <w:shd w:val="clear" w:color="auto" w:fill="FFFFFF"/>
              </w:rPr>
              <w:t>normele</w:t>
            </w:r>
            <w:proofErr w:type="spellEnd"/>
            <w:r w:rsidRPr="005A6DBB">
              <w:rPr>
                <w:sz w:val="20"/>
                <w:szCs w:val="20"/>
                <w:shd w:val="clear" w:color="auto" w:fill="FFFFFF"/>
              </w:rPr>
              <w:t xml:space="preserve"> </w:t>
            </w:r>
            <w:proofErr w:type="spellStart"/>
            <w:r w:rsidRPr="005A6DBB">
              <w:rPr>
                <w:sz w:val="20"/>
                <w:szCs w:val="20"/>
                <w:shd w:val="clear" w:color="auto" w:fill="FFFFFF"/>
              </w:rPr>
              <w:t>privind</w:t>
            </w:r>
            <w:proofErr w:type="spellEnd"/>
            <w:r w:rsidRPr="005A6DBB">
              <w:rPr>
                <w:sz w:val="20"/>
                <w:szCs w:val="20"/>
                <w:shd w:val="clear" w:color="auto" w:fill="FFFFFF"/>
              </w:rPr>
              <w:t xml:space="preserve"> </w:t>
            </w:r>
            <w:proofErr w:type="spellStart"/>
            <w:r w:rsidRPr="005A6DBB">
              <w:rPr>
                <w:sz w:val="20"/>
                <w:szCs w:val="20"/>
                <w:shd w:val="clear" w:color="auto" w:fill="FFFFFF"/>
              </w:rPr>
              <w:t>modul</w:t>
            </w:r>
            <w:proofErr w:type="spellEnd"/>
            <w:r w:rsidRPr="005A6DBB">
              <w:rPr>
                <w:sz w:val="20"/>
                <w:szCs w:val="20"/>
                <w:shd w:val="clear" w:color="auto" w:fill="FFFFFF"/>
              </w:rPr>
              <w:t xml:space="preserve"> în care </w:t>
            </w:r>
            <w:proofErr w:type="spellStart"/>
            <w:r w:rsidRPr="005A6DBB">
              <w:rPr>
                <w:sz w:val="20"/>
                <w:szCs w:val="20"/>
                <w:shd w:val="clear" w:color="auto" w:fill="FFFFFF"/>
              </w:rPr>
              <w:t>trebuie</w:t>
            </w:r>
            <w:proofErr w:type="spellEnd"/>
            <w:r w:rsidRPr="005A6DBB">
              <w:rPr>
                <w:sz w:val="20"/>
                <w:szCs w:val="20"/>
                <w:shd w:val="clear" w:color="auto" w:fill="FFFFFF"/>
              </w:rPr>
              <w:t xml:space="preserve"> </w:t>
            </w:r>
            <w:proofErr w:type="spellStart"/>
            <w:r w:rsidRPr="005A6DBB">
              <w:rPr>
                <w:sz w:val="20"/>
                <w:szCs w:val="20"/>
                <w:shd w:val="clear" w:color="auto" w:fill="FFFFFF"/>
              </w:rPr>
              <w:t>să</w:t>
            </w:r>
            <w:proofErr w:type="spellEnd"/>
            <w:r w:rsidRPr="005A6DBB">
              <w:rPr>
                <w:sz w:val="20"/>
                <w:szCs w:val="20"/>
                <w:shd w:val="clear" w:color="auto" w:fill="FFFFFF"/>
              </w:rPr>
              <w:t xml:space="preserve"> se </w:t>
            </w:r>
            <w:proofErr w:type="spellStart"/>
            <w:r w:rsidRPr="005A6DBB">
              <w:rPr>
                <w:sz w:val="20"/>
                <w:szCs w:val="20"/>
                <w:shd w:val="clear" w:color="auto" w:fill="FFFFFF"/>
              </w:rPr>
              <w:t>desfășoare</w:t>
            </w:r>
            <w:proofErr w:type="spellEnd"/>
            <w:r w:rsidRPr="005A6DBB">
              <w:rPr>
                <w:sz w:val="20"/>
                <w:szCs w:val="20"/>
                <w:shd w:val="clear" w:color="auto" w:fill="FFFFFF"/>
              </w:rPr>
              <w:t xml:space="preserve"> </w:t>
            </w:r>
            <w:proofErr w:type="spellStart"/>
            <w:r w:rsidRPr="005A6DBB">
              <w:rPr>
                <w:sz w:val="20"/>
                <w:szCs w:val="20"/>
                <w:shd w:val="clear" w:color="auto" w:fill="FFFFFF"/>
              </w:rPr>
              <w:t>monitorizarea</w:t>
            </w:r>
            <w:proofErr w:type="spellEnd"/>
            <w:r w:rsidRPr="005A6DBB">
              <w:rPr>
                <w:sz w:val="20"/>
                <w:szCs w:val="20"/>
                <w:shd w:val="clear" w:color="auto" w:fill="FFFFFF"/>
              </w:rPr>
              <w:t xml:space="preserve"> </w:t>
            </w:r>
            <w:proofErr w:type="spellStart"/>
            <w:r w:rsidRPr="005A6DBB">
              <w:rPr>
                <w:sz w:val="20"/>
                <w:szCs w:val="20"/>
                <w:shd w:val="clear" w:color="auto" w:fill="FFFFFF"/>
              </w:rPr>
              <w:t>organismelor</w:t>
            </w:r>
            <w:proofErr w:type="spellEnd"/>
            <w:r w:rsidRPr="005A6DBB">
              <w:rPr>
                <w:sz w:val="20"/>
                <w:szCs w:val="20"/>
                <w:shd w:val="clear" w:color="auto" w:fill="FFFFFF"/>
              </w:rPr>
              <w:t xml:space="preserve"> de </w:t>
            </w:r>
            <w:proofErr w:type="spellStart"/>
            <w:r w:rsidRPr="005A6DBB">
              <w:rPr>
                <w:sz w:val="20"/>
                <w:szCs w:val="20"/>
                <w:shd w:val="clear" w:color="auto" w:fill="FFFFFF"/>
              </w:rPr>
              <w:t>certificare</w:t>
            </w:r>
            <w:proofErr w:type="spellEnd"/>
            <w:r w:rsidRPr="005A6DBB">
              <w:rPr>
                <w:sz w:val="20"/>
                <w:szCs w:val="20"/>
                <w:shd w:val="clear" w:color="auto" w:fill="FFFFFF"/>
              </w:rPr>
              <w:t>;</w:t>
            </w:r>
          </w:p>
          <w:p w14:paraId="7CF0780B" w14:textId="3FE41784" w:rsidR="008F5636" w:rsidRPr="00E865EA" w:rsidRDefault="008F5636" w:rsidP="000C5A3B">
            <w:pPr>
              <w:pStyle w:val="ti-grseq-1"/>
              <w:numPr>
                <w:ilvl w:val="0"/>
                <w:numId w:val="88"/>
              </w:numPr>
              <w:shd w:val="clear" w:color="auto" w:fill="FFFFFF"/>
              <w:spacing w:before="0" w:beforeAutospacing="0" w:after="0" w:afterAutospacing="0"/>
              <w:ind w:left="470" w:hanging="357"/>
              <w:jc w:val="both"/>
              <w:rPr>
                <w:b/>
                <w:bCs/>
                <w:sz w:val="20"/>
                <w:szCs w:val="20"/>
                <w:lang w:val="ro-MD"/>
              </w:rPr>
            </w:pPr>
            <w:proofErr w:type="spellStart"/>
            <w:proofErr w:type="gramStart"/>
            <w:r w:rsidRPr="005A6DBB">
              <w:rPr>
                <w:sz w:val="20"/>
                <w:szCs w:val="20"/>
                <w:shd w:val="clear" w:color="auto" w:fill="FFFFFF"/>
                <w:lang w:val="fr-FR"/>
              </w:rPr>
              <w:t>modalități</w:t>
            </w:r>
            <w:proofErr w:type="spellEnd"/>
            <w:proofErr w:type="gramEnd"/>
            <w:r w:rsidRPr="005A6DBB">
              <w:rPr>
                <w:sz w:val="20"/>
                <w:szCs w:val="20"/>
                <w:shd w:val="clear" w:color="auto" w:fill="FFFFFF"/>
                <w:lang w:val="fr-FR"/>
              </w:rPr>
              <w:t xml:space="preserve"> de a facilita </w:t>
            </w:r>
            <w:proofErr w:type="spellStart"/>
            <w:r w:rsidRPr="005A6DBB">
              <w:rPr>
                <w:sz w:val="20"/>
                <w:szCs w:val="20"/>
                <w:shd w:val="clear" w:color="auto" w:fill="FFFFFF"/>
                <w:lang w:val="fr-FR"/>
              </w:rPr>
              <w:t>sau</w:t>
            </w:r>
            <w:proofErr w:type="spellEnd"/>
            <w:r w:rsidRPr="005A6DBB">
              <w:rPr>
                <w:sz w:val="20"/>
                <w:szCs w:val="20"/>
                <w:shd w:val="clear" w:color="auto" w:fill="FFFFFF"/>
                <w:lang w:val="fr-FR"/>
              </w:rPr>
              <w:t xml:space="preserve"> de a </w:t>
            </w:r>
            <w:proofErr w:type="spellStart"/>
            <w:r w:rsidRPr="005A6DBB">
              <w:rPr>
                <w:sz w:val="20"/>
                <w:szCs w:val="20"/>
                <w:shd w:val="clear" w:color="auto" w:fill="FFFFFF"/>
                <w:lang w:val="fr-FR"/>
              </w:rPr>
              <w:t>îmbunătăți</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promovarea</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bunelor</w:t>
            </w:r>
            <w:proofErr w:type="spellEnd"/>
            <w:r w:rsidRPr="005A6DBB">
              <w:rPr>
                <w:sz w:val="20"/>
                <w:szCs w:val="20"/>
                <w:shd w:val="clear" w:color="auto" w:fill="FFFFFF"/>
                <w:lang w:val="fr-FR"/>
              </w:rPr>
              <w:t xml:space="preserve"> </w:t>
            </w:r>
            <w:proofErr w:type="spellStart"/>
            <w:r w:rsidRPr="005A6DBB">
              <w:rPr>
                <w:sz w:val="20"/>
                <w:szCs w:val="20"/>
                <w:shd w:val="clear" w:color="auto" w:fill="FFFFFF"/>
                <w:lang w:val="fr-FR"/>
              </w:rPr>
              <w:t>practici</w:t>
            </w:r>
            <w:proofErr w:type="spellEnd"/>
            <w:r w:rsidRPr="005A6DBB">
              <w:rPr>
                <w:sz w:val="20"/>
                <w:szCs w:val="20"/>
                <w:shd w:val="clear" w:color="auto" w:fill="FFFFFF"/>
                <w:lang w:val="fr-FR"/>
              </w:rPr>
              <w:t>.</w:t>
            </w:r>
          </w:p>
        </w:tc>
        <w:tc>
          <w:tcPr>
            <w:tcW w:w="4440" w:type="dxa"/>
          </w:tcPr>
          <w:p w14:paraId="303A2912" w14:textId="77777777" w:rsidR="008F5636" w:rsidRPr="00D93509" w:rsidRDefault="008F5636" w:rsidP="008F5636">
            <w:pPr>
              <w:pStyle w:val="ColorfulList-Accent11"/>
              <w:spacing w:after="0" w:line="240" w:lineRule="auto"/>
              <w:ind w:left="0"/>
              <w:jc w:val="both"/>
              <w:rPr>
                <w:lang w:val="ro-MD"/>
              </w:rPr>
            </w:pPr>
          </w:p>
        </w:tc>
        <w:tc>
          <w:tcPr>
            <w:tcW w:w="1276" w:type="dxa"/>
          </w:tcPr>
          <w:p w14:paraId="424660BF" w14:textId="6A956824" w:rsidR="008F5636" w:rsidRPr="00B432DE" w:rsidRDefault="00AF078F" w:rsidP="008F5636">
            <w:pPr>
              <w:pStyle w:val="ColorfulList-Accent11"/>
              <w:spacing w:after="0" w:line="240" w:lineRule="auto"/>
              <w:ind w:left="0"/>
              <w:jc w:val="both"/>
              <w:rPr>
                <w:rFonts w:ascii="Times New Roman" w:hAnsi="Times New Roman"/>
                <w:sz w:val="20"/>
                <w:szCs w:val="20"/>
                <w:lang w:val="ro-MD"/>
              </w:rPr>
            </w:pPr>
            <w:r w:rsidRPr="00C951E7">
              <w:rPr>
                <w:rFonts w:ascii="Times New Roman" w:hAnsi="Times New Roman"/>
                <w:sz w:val="20"/>
                <w:szCs w:val="20"/>
                <w:lang w:val="ro-RO"/>
              </w:rPr>
              <w:t>Prevederi UE neaplicabile</w:t>
            </w:r>
          </w:p>
        </w:tc>
        <w:tc>
          <w:tcPr>
            <w:tcW w:w="1276" w:type="dxa"/>
          </w:tcPr>
          <w:p w14:paraId="20FA449F" w14:textId="77777777" w:rsidR="008F5636" w:rsidRPr="00D93509" w:rsidRDefault="008F5636" w:rsidP="008F5636">
            <w:pPr>
              <w:pStyle w:val="ColorfulList-Accent11"/>
              <w:spacing w:after="0" w:line="240" w:lineRule="auto"/>
              <w:ind w:left="0"/>
              <w:jc w:val="both"/>
              <w:rPr>
                <w:lang w:val="ro-MD"/>
              </w:rPr>
            </w:pPr>
          </w:p>
        </w:tc>
        <w:tc>
          <w:tcPr>
            <w:tcW w:w="1701" w:type="dxa"/>
          </w:tcPr>
          <w:p w14:paraId="13E26892" w14:textId="26A7DBD5" w:rsidR="00AF078F" w:rsidRPr="00AF078F" w:rsidRDefault="00AF078F" w:rsidP="00AF078F">
            <w:pPr>
              <w:autoSpaceDE w:val="0"/>
              <w:spacing w:after="0" w:line="240" w:lineRule="auto"/>
              <w:jc w:val="both"/>
              <w:rPr>
                <w:rFonts w:ascii="Times New Roman" w:hAnsi="Times New Roman"/>
                <w:sz w:val="20"/>
                <w:szCs w:val="20"/>
                <w:lang w:val="ro-RO"/>
              </w:rPr>
            </w:pPr>
            <w:r w:rsidRPr="00AF078F">
              <w:rPr>
                <w:rFonts w:ascii="Times New Roman" w:hAnsi="Times New Roman"/>
                <w:sz w:val="20"/>
                <w:szCs w:val="20"/>
                <w:shd w:val="clear" w:color="auto" w:fill="FFFFFF"/>
                <w:lang w:val="ro-RO"/>
              </w:rPr>
              <w:t xml:space="preserve">Prevederile privind </w:t>
            </w:r>
            <w:r w:rsidRPr="00AF078F">
              <w:rPr>
                <w:rFonts w:ascii="Times New Roman" w:hAnsi="Times New Roman"/>
                <w:sz w:val="20"/>
                <w:szCs w:val="20"/>
                <w:shd w:val="clear" w:color="auto" w:fill="FFFFFF"/>
                <w:lang w:val="ro-MD"/>
              </w:rPr>
              <w:t>schemele voluntare adoptate de către C</w:t>
            </w:r>
            <w:proofErr w:type="spellStart"/>
            <w:r w:rsidRPr="00AF078F">
              <w:rPr>
                <w:rFonts w:ascii="Times New Roman" w:hAnsi="Times New Roman"/>
                <w:sz w:val="20"/>
                <w:szCs w:val="20"/>
                <w:shd w:val="clear" w:color="auto" w:fill="FFFFFF"/>
                <w:lang w:val="ro-RO"/>
              </w:rPr>
              <w:t>omisie</w:t>
            </w:r>
            <w:proofErr w:type="spellEnd"/>
            <w:r w:rsidRPr="00AF078F">
              <w:rPr>
                <w:rFonts w:ascii="Times New Roman" w:hAnsi="Times New Roman"/>
                <w:sz w:val="20"/>
                <w:szCs w:val="20"/>
                <w:shd w:val="clear" w:color="auto" w:fill="FFFFFF"/>
                <w:lang w:val="ro-RO"/>
              </w:rPr>
              <w:t xml:space="preserve"> </w:t>
            </w:r>
            <w:r w:rsidRPr="00AF078F">
              <w:rPr>
                <w:rFonts w:ascii="Times New Roman" w:hAnsi="Times New Roman"/>
                <w:sz w:val="20"/>
                <w:szCs w:val="20"/>
                <w:lang w:val="ro-RO"/>
              </w:rPr>
              <w:t>nu se transpun, deoarece nu sunt relevante pentru Republica Moldova.</w:t>
            </w:r>
          </w:p>
          <w:p w14:paraId="3C275B4F" w14:textId="4B303808" w:rsidR="008F5636" w:rsidRPr="00D93509" w:rsidRDefault="008F5636" w:rsidP="008F5636">
            <w:pPr>
              <w:pStyle w:val="ColorfulList-Accent11"/>
              <w:spacing w:after="0" w:line="240" w:lineRule="auto"/>
              <w:ind w:left="0"/>
              <w:jc w:val="both"/>
              <w:rPr>
                <w:lang w:val="ro-MD"/>
              </w:rPr>
            </w:pPr>
          </w:p>
        </w:tc>
        <w:tc>
          <w:tcPr>
            <w:tcW w:w="1460" w:type="dxa"/>
          </w:tcPr>
          <w:p w14:paraId="4CE6AD7B" w14:textId="77777777" w:rsidR="008F5636" w:rsidRPr="00D93509" w:rsidRDefault="008F5636" w:rsidP="0096094C">
            <w:pPr>
              <w:autoSpaceDE w:val="0"/>
              <w:spacing w:after="0" w:line="240" w:lineRule="auto"/>
              <w:rPr>
                <w:lang w:val="ro-MD"/>
              </w:rPr>
            </w:pPr>
          </w:p>
        </w:tc>
      </w:tr>
      <w:tr w:rsidR="008F5636" w:rsidRPr="00D93509" w14:paraId="5A4B54EF" w14:textId="77777777" w:rsidTr="00A90105">
        <w:tc>
          <w:tcPr>
            <w:tcW w:w="4945" w:type="dxa"/>
          </w:tcPr>
          <w:p w14:paraId="2FEA0B48" w14:textId="77777777" w:rsidR="008F5636" w:rsidRPr="00DA3743" w:rsidRDefault="008F5636" w:rsidP="008F5636">
            <w:pPr>
              <w:pStyle w:val="doc-ti"/>
              <w:shd w:val="clear" w:color="auto" w:fill="FFFFFF"/>
              <w:spacing w:before="0" w:beforeAutospacing="0" w:after="0" w:afterAutospacing="0" w:line="360" w:lineRule="auto"/>
              <w:jc w:val="center"/>
              <w:rPr>
                <w:b/>
                <w:bCs/>
                <w:sz w:val="20"/>
                <w:szCs w:val="20"/>
                <w:lang w:val="ro-MD"/>
              </w:rPr>
            </w:pPr>
            <w:r w:rsidRPr="00DA3743">
              <w:rPr>
                <w:b/>
                <w:bCs/>
                <w:sz w:val="20"/>
                <w:szCs w:val="20"/>
                <w:lang w:val="fr-FR"/>
              </w:rPr>
              <w:t>ANEXA XII</w:t>
            </w:r>
          </w:p>
          <w:p w14:paraId="40BF8BFE" w14:textId="77777777" w:rsidR="008F5636" w:rsidRPr="00DA3743" w:rsidRDefault="008F5636" w:rsidP="008F5636">
            <w:pPr>
              <w:pStyle w:val="ti-grseq-1"/>
              <w:shd w:val="clear" w:color="auto" w:fill="FFFFFF"/>
              <w:spacing w:before="0" w:beforeAutospacing="0" w:after="0" w:afterAutospacing="0"/>
              <w:jc w:val="both"/>
              <w:rPr>
                <w:b/>
                <w:bCs/>
                <w:sz w:val="20"/>
                <w:szCs w:val="20"/>
                <w:lang w:val="fr-FR"/>
              </w:rPr>
            </w:pPr>
            <w:r w:rsidRPr="00DA3743">
              <w:rPr>
                <w:rStyle w:val="bold"/>
                <w:b/>
                <w:bCs/>
                <w:sz w:val="20"/>
                <w:szCs w:val="20"/>
                <w:lang w:val="fr-FR"/>
              </w:rPr>
              <w:lastRenderedPageBreak/>
              <w:t>SISTEME NAȚIONALE DE INVENTARIERE</w:t>
            </w:r>
          </w:p>
          <w:p w14:paraId="73B87742" w14:textId="77777777" w:rsidR="008F5636" w:rsidRPr="00DA3743" w:rsidRDefault="008F5636" w:rsidP="008F5636">
            <w:pPr>
              <w:pStyle w:val="ColorfulList-Accent11"/>
              <w:spacing w:after="0" w:line="240" w:lineRule="auto"/>
              <w:ind w:left="0"/>
              <w:jc w:val="both"/>
              <w:rPr>
                <w:rFonts w:ascii="Times New Roman" w:hAnsi="Times New Roman"/>
                <w:color w:val="333333"/>
                <w:sz w:val="20"/>
                <w:szCs w:val="20"/>
                <w:shd w:val="clear" w:color="auto" w:fill="FFFFFF"/>
              </w:rPr>
            </w:pPr>
            <w:proofErr w:type="spellStart"/>
            <w:r w:rsidRPr="00DA3743">
              <w:rPr>
                <w:rFonts w:ascii="Times New Roman" w:hAnsi="Times New Roman"/>
                <w:color w:val="333333"/>
                <w:sz w:val="20"/>
                <w:szCs w:val="20"/>
                <w:shd w:val="clear" w:color="auto" w:fill="FFFFFF"/>
              </w:rPr>
              <w:t>Informațiile</w:t>
            </w:r>
            <w:proofErr w:type="spellEnd"/>
            <w:r w:rsidRPr="00DA3743">
              <w:rPr>
                <w:rFonts w:ascii="Times New Roman" w:hAnsi="Times New Roman"/>
                <w:color w:val="333333"/>
                <w:sz w:val="20"/>
                <w:szCs w:val="20"/>
                <w:shd w:val="clear" w:color="auto" w:fill="FFFFFF"/>
              </w:rPr>
              <w:t xml:space="preserve"> </w:t>
            </w:r>
            <w:proofErr w:type="spellStart"/>
            <w:r w:rsidRPr="00DA3743">
              <w:rPr>
                <w:rFonts w:ascii="Times New Roman" w:hAnsi="Times New Roman"/>
                <w:color w:val="333333"/>
                <w:sz w:val="20"/>
                <w:szCs w:val="20"/>
                <w:shd w:val="clear" w:color="auto" w:fill="FFFFFF"/>
              </w:rPr>
              <w:t>menționate</w:t>
            </w:r>
            <w:proofErr w:type="spellEnd"/>
            <w:r w:rsidRPr="00DA3743">
              <w:rPr>
                <w:rFonts w:ascii="Times New Roman" w:hAnsi="Times New Roman"/>
                <w:color w:val="333333"/>
                <w:sz w:val="20"/>
                <w:szCs w:val="20"/>
                <w:shd w:val="clear" w:color="auto" w:fill="FFFFFF"/>
              </w:rPr>
              <w:t xml:space="preserve"> la </w:t>
            </w:r>
            <w:proofErr w:type="spellStart"/>
            <w:r w:rsidRPr="00DA3743">
              <w:rPr>
                <w:rFonts w:ascii="Times New Roman" w:hAnsi="Times New Roman"/>
                <w:color w:val="333333"/>
                <w:sz w:val="20"/>
                <w:szCs w:val="20"/>
                <w:shd w:val="clear" w:color="auto" w:fill="FFFFFF"/>
              </w:rPr>
              <w:t>articolul</w:t>
            </w:r>
            <w:proofErr w:type="spellEnd"/>
            <w:r w:rsidRPr="00DA3743">
              <w:rPr>
                <w:rFonts w:ascii="Times New Roman" w:hAnsi="Times New Roman"/>
                <w:color w:val="333333"/>
                <w:sz w:val="20"/>
                <w:szCs w:val="20"/>
                <w:shd w:val="clear" w:color="auto" w:fill="FFFFFF"/>
              </w:rPr>
              <w:t xml:space="preserve"> 37 </w:t>
            </w:r>
            <w:proofErr w:type="spellStart"/>
            <w:r w:rsidRPr="00DA3743">
              <w:rPr>
                <w:rFonts w:ascii="Times New Roman" w:hAnsi="Times New Roman"/>
                <w:color w:val="333333"/>
                <w:sz w:val="20"/>
                <w:szCs w:val="20"/>
                <w:shd w:val="clear" w:color="auto" w:fill="FFFFFF"/>
              </w:rPr>
              <w:t>includ</w:t>
            </w:r>
            <w:proofErr w:type="spellEnd"/>
            <w:r w:rsidRPr="00DA3743">
              <w:rPr>
                <w:rFonts w:ascii="Times New Roman" w:hAnsi="Times New Roman"/>
                <w:color w:val="333333"/>
                <w:sz w:val="20"/>
                <w:szCs w:val="20"/>
                <w:shd w:val="clear" w:color="auto" w:fill="FFFFFF"/>
              </w:rPr>
              <w:t xml:space="preserve"> </w:t>
            </w:r>
            <w:proofErr w:type="spellStart"/>
            <w:r w:rsidRPr="00DA3743">
              <w:rPr>
                <w:rFonts w:ascii="Times New Roman" w:hAnsi="Times New Roman"/>
                <w:color w:val="333333"/>
                <w:sz w:val="20"/>
                <w:szCs w:val="20"/>
                <w:shd w:val="clear" w:color="auto" w:fill="FFFFFF"/>
              </w:rPr>
              <w:t>următoarele</w:t>
            </w:r>
            <w:proofErr w:type="spellEnd"/>
            <w:r w:rsidRPr="00DA3743">
              <w:rPr>
                <w:rFonts w:ascii="Times New Roman" w:hAnsi="Times New Roman"/>
                <w:color w:val="333333"/>
                <w:sz w:val="20"/>
                <w:szCs w:val="20"/>
                <w:shd w:val="clear" w:color="auto" w:fill="FFFFFF"/>
              </w:rPr>
              <w:t>:</w:t>
            </w:r>
          </w:p>
          <w:p w14:paraId="677586D8" w14:textId="77777777" w:rsidR="008F5636" w:rsidRPr="00DA3743" w:rsidRDefault="008F5636" w:rsidP="000C5A3B">
            <w:pPr>
              <w:pStyle w:val="ColorfulList-Accent11"/>
              <w:numPr>
                <w:ilvl w:val="0"/>
                <w:numId w:val="89"/>
              </w:numPr>
              <w:spacing w:after="0" w:line="240" w:lineRule="auto"/>
              <w:ind w:left="414" w:hanging="357"/>
              <w:jc w:val="both"/>
              <w:rPr>
                <w:rFonts w:ascii="Times New Roman" w:hAnsi="Times New Roman"/>
                <w:sz w:val="20"/>
                <w:szCs w:val="20"/>
              </w:rPr>
            </w:pPr>
            <w:proofErr w:type="spellStart"/>
            <w:r w:rsidRPr="00DA3743">
              <w:rPr>
                <w:rFonts w:ascii="Times New Roman" w:hAnsi="Times New Roman"/>
                <w:sz w:val="20"/>
                <w:szCs w:val="20"/>
                <w:shd w:val="clear" w:color="auto" w:fill="FFFFFF"/>
              </w:rPr>
              <w:t>datele</w:t>
            </w:r>
            <w:proofErr w:type="spellEnd"/>
            <w:r w:rsidRPr="00DA3743">
              <w:rPr>
                <w:rFonts w:ascii="Times New Roman" w:hAnsi="Times New Roman"/>
                <w:sz w:val="20"/>
                <w:szCs w:val="20"/>
                <w:shd w:val="clear" w:color="auto" w:fill="FFFFFF"/>
              </w:rPr>
              <w:t xml:space="preserve"> și </w:t>
            </w:r>
            <w:proofErr w:type="spellStart"/>
            <w:r w:rsidRPr="00DA3743">
              <w:rPr>
                <w:rFonts w:ascii="Times New Roman" w:hAnsi="Times New Roman"/>
                <w:sz w:val="20"/>
                <w:szCs w:val="20"/>
                <w:shd w:val="clear" w:color="auto" w:fill="FFFFFF"/>
              </w:rPr>
              <w:t>metodele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raportate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pentru</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activități</w:t>
            </w:r>
            <w:proofErr w:type="spellEnd"/>
            <w:r w:rsidRPr="00DA3743">
              <w:rPr>
                <w:rFonts w:ascii="Times New Roman" w:hAnsi="Times New Roman"/>
                <w:sz w:val="20"/>
                <w:szCs w:val="20"/>
                <w:shd w:val="clear" w:color="auto" w:fill="FFFFFF"/>
              </w:rPr>
              <w:t xml:space="preserve"> și </w:t>
            </w:r>
            <w:proofErr w:type="spellStart"/>
            <w:r w:rsidRPr="00DA3743">
              <w:rPr>
                <w:rFonts w:ascii="Times New Roman" w:hAnsi="Times New Roman"/>
                <w:sz w:val="20"/>
                <w:szCs w:val="20"/>
                <w:shd w:val="clear" w:color="auto" w:fill="FFFFFF"/>
              </w:rPr>
              <w:t>instalații</w:t>
            </w:r>
            <w:proofErr w:type="spellEnd"/>
            <w:r w:rsidRPr="00DA3743">
              <w:rPr>
                <w:rFonts w:ascii="Times New Roman" w:hAnsi="Times New Roman"/>
                <w:sz w:val="20"/>
                <w:szCs w:val="20"/>
                <w:shd w:val="clear" w:color="auto" w:fill="FFFFFF"/>
              </w:rPr>
              <w:t xml:space="preserve"> în </w:t>
            </w:r>
            <w:proofErr w:type="spellStart"/>
            <w:r w:rsidRPr="00DA3743">
              <w:rPr>
                <w:rFonts w:ascii="Times New Roman" w:hAnsi="Times New Roman"/>
                <w:sz w:val="20"/>
                <w:szCs w:val="20"/>
                <w:shd w:val="clear" w:color="auto" w:fill="FFFFFF"/>
              </w:rPr>
              <w:t>temeiul</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Directivei</w:t>
            </w:r>
            <w:proofErr w:type="spellEnd"/>
            <w:r w:rsidRPr="00DA3743">
              <w:rPr>
                <w:rFonts w:ascii="Times New Roman" w:hAnsi="Times New Roman"/>
                <w:sz w:val="20"/>
                <w:szCs w:val="20"/>
                <w:shd w:val="clear" w:color="auto" w:fill="FFFFFF"/>
              </w:rPr>
              <w:t xml:space="preserve"> 2003/87/CE în </w:t>
            </w:r>
            <w:proofErr w:type="spellStart"/>
            <w:r w:rsidRPr="00DA3743">
              <w:rPr>
                <w:rFonts w:ascii="Times New Roman" w:hAnsi="Times New Roman"/>
                <w:sz w:val="20"/>
                <w:szCs w:val="20"/>
                <w:shd w:val="clear" w:color="auto" w:fill="FFFFFF"/>
              </w:rPr>
              <w:t>scopul</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întocmirii</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inventarelor</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naționale</w:t>
            </w:r>
            <w:proofErr w:type="spellEnd"/>
            <w:r w:rsidRPr="00DA3743">
              <w:rPr>
                <w:rFonts w:ascii="Times New Roman" w:hAnsi="Times New Roman"/>
                <w:sz w:val="20"/>
                <w:szCs w:val="20"/>
                <w:shd w:val="clear" w:color="auto" w:fill="FFFFFF"/>
              </w:rPr>
              <w:t xml:space="preserve"> ale GES, </w:t>
            </w:r>
            <w:proofErr w:type="spellStart"/>
            <w:r w:rsidRPr="00DA3743">
              <w:rPr>
                <w:rFonts w:ascii="Times New Roman" w:hAnsi="Times New Roman"/>
                <w:sz w:val="20"/>
                <w:szCs w:val="20"/>
                <w:shd w:val="clear" w:color="auto" w:fill="FFFFFF"/>
              </w:rPr>
              <w:t>pentru</w:t>
            </w:r>
            <w:proofErr w:type="spellEnd"/>
            <w:r w:rsidRPr="00DA3743">
              <w:rPr>
                <w:rFonts w:ascii="Times New Roman" w:hAnsi="Times New Roman"/>
                <w:sz w:val="20"/>
                <w:szCs w:val="20"/>
                <w:shd w:val="clear" w:color="auto" w:fill="FFFFFF"/>
              </w:rPr>
              <w:t xml:space="preserve"> </w:t>
            </w:r>
            <w:proofErr w:type="gramStart"/>
            <w:r w:rsidRPr="00DA3743">
              <w:rPr>
                <w:rFonts w:ascii="Times New Roman" w:hAnsi="Times New Roman"/>
                <w:sz w:val="20"/>
                <w:szCs w:val="20"/>
                <w:shd w:val="clear" w:color="auto" w:fill="FFFFFF"/>
              </w:rPr>
              <w:t>a</w:t>
            </w:r>
            <w:proofErr w:type="gram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asigura</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coerența</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între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emisiile</w:t>
            </w:r>
            <w:proofErr w:type="spellEnd"/>
            <w:r w:rsidRPr="00DA3743">
              <w:rPr>
                <w:rFonts w:ascii="Times New Roman" w:hAnsi="Times New Roman"/>
                <w:sz w:val="20"/>
                <w:szCs w:val="20"/>
                <w:shd w:val="clear" w:color="auto" w:fill="FFFFFF"/>
              </w:rPr>
              <w:t xml:space="preserve"> de GES </w:t>
            </w:r>
            <w:proofErr w:type="spellStart"/>
            <w:r w:rsidRPr="00DA3743">
              <w:rPr>
                <w:rFonts w:ascii="Times New Roman" w:hAnsi="Times New Roman"/>
                <w:sz w:val="20"/>
                <w:szCs w:val="20"/>
                <w:shd w:val="clear" w:color="auto" w:fill="FFFFFF"/>
              </w:rPr>
              <w:t>raportate</w:t>
            </w:r>
            <w:proofErr w:type="spellEnd"/>
            <w:r w:rsidRPr="00DA3743">
              <w:rPr>
                <w:rFonts w:ascii="Times New Roman" w:hAnsi="Times New Roman"/>
                <w:sz w:val="20"/>
                <w:szCs w:val="20"/>
                <w:shd w:val="clear" w:color="auto" w:fill="FFFFFF"/>
              </w:rPr>
              <w:t xml:space="preserve"> în </w:t>
            </w:r>
            <w:proofErr w:type="spellStart"/>
            <w:r w:rsidRPr="00DA3743">
              <w:rPr>
                <w:rFonts w:ascii="Times New Roman" w:hAnsi="Times New Roman"/>
                <w:sz w:val="20"/>
                <w:szCs w:val="20"/>
                <w:shd w:val="clear" w:color="auto" w:fill="FFFFFF"/>
              </w:rPr>
              <w:t>temeiul</w:t>
            </w:r>
            <w:proofErr w:type="spellEnd"/>
            <w:r w:rsidRPr="00DA3743">
              <w:rPr>
                <w:rFonts w:ascii="Times New Roman" w:hAnsi="Times New Roman"/>
                <w:sz w:val="20"/>
                <w:szCs w:val="20"/>
                <w:shd w:val="clear" w:color="auto" w:fill="FFFFFF"/>
              </w:rPr>
              <w:t xml:space="preserve"> EU ETS și </w:t>
            </w:r>
            <w:proofErr w:type="spellStart"/>
            <w:r w:rsidRPr="00DA3743">
              <w:rPr>
                <w:rFonts w:ascii="Times New Roman" w:hAnsi="Times New Roman"/>
                <w:sz w:val="20"/>
                <w:szCs w:val="20"/>
                <w:shd w:val="clear" w:color="auto" w:fill="FFFFFF"/>
              </w:rPr>
              <w:t>cele</w:t>
            </w:r>
            <w:proofErr w:type="spellEnd"/>
            <w:r w:rsidRPr="00DA3743">
              <w:rPr>
                <w:rFonts w:ascii="Times New Roman" w:hAnsi="Times New Roman"/>
                <w:sz w:val="20"/>
                <w:szCs w:val="20"/>
                <w:shd w:val="clear" w:color="auto" w:fill="FFFFFF"/>
              </w:rPr>
              <w:t xml:space="preserve"> din </w:t>
            </w:r>
            <w:proofErr w:type="spellStart"/>
            <w:r w:rsidRPr="00DA3743">
              <w:rPr>
                <w:rFonts w:ascii="Times New Roman" w:hAnsi="Times New Roman"/>
                <w:sz w:val="20"/>
                <w:szCs w:val="20"/>
                <w:shd w:val="clear" w:color="auto" w:fill="FFFFFF"/>
              </w:rPr>
              <w:t>inventarele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naționale</w:t>
            </w:r>
            <w:proofErr w:type="spellEnd"/>
            <w:r w:rsidRPr="00DA3743">
              <w:rPr>
                <w:rFonts w:ascii="Times New Roman" w:hAnsi="Times New Roman"/>
                <w:sz w:val="20"/>
                <w:szCs w:val="20"/>
                <w:shd w:val="clear" w:color="auto" w:fill="FFFFFF"/>
              </w:rPr>
              <w:t xml:space="preserve"> ale GES;</w:t>
            </w:r>
          </w:p>
          <w:p w14:paraId="45F5390A" w14:textId="77777777" w:rsidR="008F5636" w:rsidRPr="00DA3743" w:rsidRDefault="008F5636" w:rsidP="000C5A3B">
            <w:pPr>
              <w:pStyle w:val="ColorfulList-Accent11"/>
              <w:numPr>
                <w:ilvl w:val="0"/>
                <w:numId w:val="89"/>
              </w:numPr>
              <w:spacing w:after="0" w:line="240" w:lineRule="auto"/>
              <w:ind w:left="414" w:hanging="357"/>
              <w:jc w:val="both"/>
              <w:rPr>
                <w:rFonts w:ascii="Times New Roman" w:hAnsi="Times New Roman"/>
                <w:sz w:val="20"/>
                <w:szCs w:val="20"/>
              </w:rPr>
            </w:pPr>
            <w:proofErr w:type="spellStart"/>
            <w:r w:rsidRPr="00DA3743">
              <w:rPr>
                <w:rFonts w:ascii="Times New Roman" w:hAnsi="Times New Roman"/>
                <w:sz w:val="20"/>
                <w:szCs w:val="20"/>
                <w:shd w:val="clear" w:color="auto" w:fill="FFFFFF"/>
              </w:rPr>
              <w:t>datele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colectate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prin</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intermediul</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sistemelor</w:t>
            </w:r>
            <w:proofErr w:type="spellEnd"/>
            <w:r w:rsidRPr="00DA3743">
              <w:rPr>
                <w:rFonts w:ascii="Times New Roman" w:hAnsi="Times New Roman"/>
                <w:sz w:val="20"/>
                <w:szCs w:val="20"/>
                <w:shd w:val="clear" w:color="auto" w:fill="FFFFFF"/>
              </w:rPr>
              <w:t xml:space="preserve"> de </w:t>
            </w:r>
            <w:proofErr w:type="spellStart"/>
            <w:r w:rsidRPr="00DA3743">
              <w:rPr>
                <w:rFonts w:ascii="Times New Roman" w:hAnsi="Times New Roman"/>
                <w:sz w:val="20"/>
                <w:szCs w:val="20"/>
                <w:shd w:val="clear" w:color="auto" w:fill="FFFFFF"/>
              </w:rPr>
              <w:t>raportare</w:t>
            </w:r>
            <w:proofErr w:type="spellEnd"/>
            <w:r w:rsidRPr="00DA3743">
              <w:rPr>
                <w:rFonts w:ascii="Times New Roman" w:hAnsi="Times New Roman"/>
                <w:sz w:val="20"/>
                <w:szCs w:val="20"/>
                <w:shd w:val="clear" w:color="auto" w:fill="FFFFFF"/>
              </w:rPr>
              <w:t xml:space="preserve"> cu </w:t>
            </w:r>
            <w:proofErr w:type="spellStart"/>
            <w:r w:rsidRPr="00DA3743">
              <w:rPr>
                <w:rFonts w:ascii="Times New Roman" w:hAnsi="Times New Roman"/>
                <w:sz w:val="20"/>
                <w:szCs w:val="20"/>
                <w:shd w:val="clear" w:color="auto" w:fill="FFFFFF"/>
              </w:rPr>
              <w:t>privire</w:t>
            </w:r>
            <w:proofErr w:type="spellEnd"/>
            <w:r w:rsidRPr="00DA3743">
              <w:rPr>
                <w:rFonts w:ascii="Times New Roman" w:hAnsi="Times New Roman"/>
                <w:sz w:val="20"/>
                <w:szCs w:val="20"/>
                <w:shd w:val="clear" w:color="auto" w:fill="FFFFFF"/>
              </w:rPr>
              <w:t xml:space="preserve"> la </w:t>
            </w:r>
            <w:proofErr w:type="spellStart"/>
            <w:r w:rsidRPr="00DA3743">
              <w:rPr>
                <w:rFonts w:ascii="Times New Roman" w:hAnsi="Times New Roman"/>
                <w:sz w:val="20"/>
                <w:szCs w:val="20"/>
                <w:shd w:val="clear" w:color="auto" w:fill="FFFFFF"/>
              </w:rPr>
              <w:t>gazele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fluorurate</w:t>
            </w:r>
            <w:proofErr w:type="spellEnd"/>
            <w:r w:rsidRPr="00DA3743">
              <w:rPr>
                <w:rFonts w:ascii="Times New Roman" w:hAnsi="Times New Roman"/>
                <w:sz w:val="20"/>
                <w:szCs w:val="20"/>
                <w:shd w:val="clear" w:color="auto" w:fill="FFFFFF"/>
              </w:rPr>
              <w:t xml:space="preserve"> din </w:t>
            </w:r>
            <w:proofErr w:type="spellStart"/>
            <w:r w:rsidRPr="00DA3743">
              <w:rPr>
                <w:rFonts w:ascii="Times New Roman" w:hAnsi="Times New Roman"/>
                <w:sz w:val="20"/>
                <w:szCs w:val="20"/>
                <w:shd w:val="clear" w:color="auto" w:fill="FFFFFF"/>
              </w:rPr>
              <w:t>sectoarele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relevante</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stabilite</w:t>
            </w:r>
            <w:proofErr w:type="spellEnd"/>
            <w:r w:rsidRPr="00DA3743">
              <w:rPr>
                <w:rFonts w:ascii="Times New Roman" w:hAnsi="Times New Roman"/>
                <w:sz w:val="20"/>
                <w:szCs w:val="20"/>
                <w:shd w:val="clear" w:color="auto" w:fill="FFFFFF"/>
              </w:rPr>
              <w:t xml:space="preserve"> în </w:t>
            </w:r>
            <w:proofErr w:type="spellStart"/>
            <w:r w:rsidRPr="00DA3743">
              <w:rPr>
                <w:rFonts w:ascii="Times New Roman" w:hAnsi="Times New Roman"/>
                <w:sz w:val="20"/>
                <w:szCs w:val="20"/>
                <w:shd w:val="clear" w:color="auto" w:fill="FFFFFF"/>
              </w:rPr>
              <w:t>temeiul</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articolului</w:t>
            </w:r>
            <w:proofErr w:type="spellEnd"/>
            <w:r w:rsidRPr="00DA3743">
              <w:rPr>
                <w:rFonts w:ascii="Times New Roman" w:hAnsi="Times New Roman"/>
                <w:sz w:val="20"/>
                <w:szCs w:val="20"/>
                <w:shd w:val="clear" w:color="auto" w:fill="FFFFFF"/>
              </w:rPr>
              <w:t xml:space="preserve"> 20 din </w:t>
            </w:r>
            <w:proofErr w:type="spellStart"/>
            <w:r w:rsidRPr="00DA3743">
              <w:rPr>
                <w:rFonts w:ascii="Times New Roman" w:hAnsi="Times New Roman"/>
                <w:sz w:val="20"/>
                <w:szCs w:val="20"/>
                <w:shd w:val="clear" w:color="auto" w:fill="FFFFFF"/>
              </w:rPr>
              <w:t>Regulamentul</w:t>
            </w:r>
            <w:proofErr w:type="spellEnd"/>
            <w:r w:rsidRPr="00DA3743">
              <w:rPr>
                <w:rFonts w:ascii="Times New Roman" w:hAnsi="Times New Roman"/>
                <w:sz w:val="20"/>
                <w:szCs w:val="20"/>
                <w:shd w:val="clear" w:color="auto" w:fill="FFFFFF"/>
              </w:rPr>
              <w:t xml:space="preserve"> (UE) nr. 517/2014 în </w:t>
            </w:r>
            <w:proofErr w:type="spellStart"/>
            <w:r w:rsidRPr="00DA3743">
              <w:rPr>
                <w:rFonts w:ascii="Times New Roman" w:hAnsi="Times New Roman"/>
                <w:sz w:val="20"/>
                <w:szCs w:val="20"/>
                <w:shd w:val="clear" w:color="auto" w:fill="FFFFFF"/>
              </w:rPr>
              <w:t>scopul</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întocmirii</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inventarelor</w:t>
            </w:r>
            <w:proofErr w:type="spellEnd"/>
            <w:r w:rsidRPr="00DA3743">
              <w:rPr>
                <w:rFonts w:ascii="Times New Roman" w:hAnsi="Times New Roman"/>
                <w:sz w:val="20"/>
                <w:szCs w:val="20"/>
                <w:shd w:val="clear" w:color="auto" w:fill="FFFFFF"/>
              </w:rPr>
              <w:t xml:space="preserve"> </w:t>
            </w:r>
            <w:proofErr w:type="spellStart"/>
            <w:r w:rsidRPr="00DA3743">
              <w:rPr>
                <w:rFonts w:ascii="Times New Roman" w:hAnsi="Times New Roman"/>
                <w:sz w:val="20"/>
                <w:szCs w:val="20"/>
                <w:shd w:val="clear" w:color="auto" w:fill="FFFFFF"/>
              </w:rPr>
              <w:t>naționale</w:t>
            </w:r>
            <w:proofErr w:type="spellEnd"/>
            <w:r w:rsidRPr="00DA3743">
              <w:rPr>
                <w:rFonts w:ascii="Times New Roman" w:hAnsi="Times New Roman"/>
                <w:sz w:val="20"/>
                <w:szCs w:val="20"/>
                <w:shd w:val="clear" w:color="auto" w:fill="FFFFFF"/>
              </w:rPr>
              <w:t xml:space="preserve"> ale </w:t>
            </w:r>
            <w:proofErr w:type="gramStart"/>
            <w:r w:rsidRPr="00DA3743">
              <w:rPr>
                <w:rFonts w:ascii="Times New Roman" w:hAnsi="Times New Roman"/>
                <w:sz w:val="20"/>
                <w:szCs w:val="20"/>
                <w:shd w:val="clear" w:color="auto" w:fill="FFFFFF"/>
              </w:rPr>
              <w:t>GES;</w:t>
            </w:r>
            <w:proofErr w:type="gramEnd"/>
          </w:p>
          <w:p w14:paraId="414932A2" w14:textId="77777777" w:rsidR="008F5636" w:rsidRPr="00DA3743" w:rsidRDefault="008F5636" w:rsidP="000C5A3B">
            <w:pPr>
              <w:pStyle w:val="ColorfulList-Accent11"/>
              <w:numPr>
                <w:ilvl w:val="0"/>
                <w:numId w:val="89"/>
              </w:numPr>
              <w:spacing w:after="0" w:line="240" w:lineRule="auto"/>
              <w:ind w:left="414" w:hanging="357"/>
              <w:jc w:val="both"/>
              <w:rPr>
                <w:rFonts w:ascii="Times New Roman" w:hAnsi="Times New Roman"/>
                <w:sz w:val="20"/>
                <w:szCs w:val="20"/>
                <w:lang w:val="fr-FR"/>
              </w:rPr>
            </w:pPr>
            <w:proofErr w:type="spellStart"/>
            <w:proofErr w:type="gramStart"/>
            <w:r w:rsidRPr="00DA3743">
              <w:rPr>
                <w:rFonts w:ascii="Times New Roman" w:hAnsi="Times New Roman"/>
                <w:sz w:val="20"/>
                <w:szCs w:val="20"/>
                <w:shd w:val="clear" w:color="auto" w:fill="FFFFFF"/>
                <w:lang w:val="fr-FR"/>
              </w:rPr>
              <w:t>emisiile</w:t>
            </w:r>
            <w:proofErr w:type="spellEnd"/>
            <w:proofErr w:type="gram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datele</w:t>
            </w:r>
            <w:proofErr w:type="spellEnd"/>
            <w:r w:rsidRPr="00DA3743">
              <w:rPr>
                <w:rFonts w:ascii="Times New Roman" w:hAnsi="Times New Roman"/>
                <w:sz w:val="20"/>
                <w:szCs w:val="20"/>
                <w:shd w:val="clear" w:color="auto" w:fill="FFFFFF"/>
                <w:lang w:val="fr-FR"/>
              </w:rPr>
              <w:t xml:space="preserve"> și </w:t>
            </w:r>
            <w:proofErr w:type="spellStart"/>
            <w:r w:rsidRPr="00DA3743">
              <w:rPr>
                <w:rFonts w:ascii="Times New Roman" w:hAnsi="Times New Roman"/>
                <w:sz w:val="20"/>
                <w:szCs w:val="20"/>
                <w:shd w:val="clear" w:color="auto" w:fill="FFFFFF"/>
                <w:lang w:val="fr-FR"/>
              </w:rPr>
              <w:t>metodologiile</w:t>
            </w:r>
            <w:proofErr w:type="spellEnd"/>
            <w:r w:rsidRPr="00DA3743">
              <w:rPr>
                <w:rFonts w:ascii="Times New Roman" w:hAnsi="Times New Roman"/>
                <w:sz w:val="20"/>
                <w:szCs w:val="20"/>
                <w:shd w:val="clear" w:color="auto" w:fill="FFFFFF"/>
                <w:lang w:val="fr-FR"/>
              </w:rPr>
              <w:t xml:space="preserve"> care </w:t>
            </w:r>
            <w:proofErr w:type="spellStart"/>
            <w:r w:rsidRPr="00DA3743">
              <w:rPr>
                <w:rFonts w:ascii="Times New Roman" w:hAnsi="Times New Roman"/>
                <w:sz w:val="20"/>
                <w:szCs w:val="20"/>
                <w:shd w:val="clear" w:color="auto" w:fill="FFFFFF"/>
                <w:lang w:val="fr-FR"/>
              </w:rPr>
              <w:t>stau</w:t>
            </w:r>
            <w:proofErr w:type="spellEnd"/>
            <w:r w:rsidRPr="00DA3743">
              <w:rPr>
                <w:rFonts w:ascii="Times New Roman" w:hAnsi="Times New Roman"/>
                <w:sz w:val="20"/>
                <w:szCs w:val="20"/>
                <w:shd w:val="clear" w:color="auto" w:fill="FFFFFF"/>
                <w:lang w:val="fr-FR"/>
              </w:rPr>
              <w:t xml:space="preserve"> la </w:t>
            </w:r>
            <w:proofErr w:type="spellStart"/>
            <w:r w:rsidRPr="00DA3743">
              <w:rPr>
                <w:rFonts w:ascii="Times New Roman" w:hAnsi="Times New Roman"/>
                <w:sz w:val="20"/>
                <w:szCs w:val="20"/>
                <w:shd w:val="clear" w:color="auto" w:fill="FFFFFF"/>
                <w:lang w:val="fr-FR"/>
              </w:rPr>
              <w:t>baza</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acestora</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raportate</w:t>
            </w:r>
            <w:proofErr w:type="spellEnd"/>
            <w:r w:rsidRPr="00DA3743">
              <w:rPr>
                <w:rFonts w:ascii="Times New Roman" w:hAnsi="Times New Roman"/>
                <w:sz w:val="20"/>
                <w:szCs w:val="20"/>
                <w:shd w:val="clear" w:color="auto" w:fill="FFFFFF"/>
                <w:lang w:val="fr-FR"/>
              </w:rPr>
              <w:t xml:space="preserve"> de </w:t>
            </w:r>
            <w:proofErr w:type="spellStart"/>
            <w:r w:rsidRPr="00DA3743">
              <w:rPr>
                <w:rFonts w:ascii="Times New Roman" w:hAnsi="Times New Roman"/>
                <w:sz w:val="20"/>
                <w:szCs w:val="20"/>
                <w:shd w:val="clear" w:color="auto" w:fill="FFFFFF"/>
                <w:lang w:val="fr-FR"/>
              </w:rPr>
              <w:t>instalații</w:t>
            </w:r>
            <w:proofErr w:type="spellEnd"/>
            <w:r w:rsidRPr="00DA3743">
              <w:rPr>
                <w:rFonts w:ascii="Times New Roman" w:hAnsi="Times New Roman"/>
                <w:sz w:val="20"/>
                <w:szCs w:val="20"/>
                <w:shd w:val="clear" w:color="auto" w:fill="FFFFFF"/>
                <w:lang w:val="fr-FR"/>
              </w:rPr>
              <w:t xml:space="preserve"> în </w:t>
            </w:r>
            <w:proofErr w:type="spellStart"/>
            <w:r w:rsidRPr="00DA3743">
              <w:rPr>
                <w:rFonts w:ascii="Times New Roman" w:hAnsi="Times New Roman"/>
                <w:sz w:val="20"/>
                <w:szCs w:val="20"/>
                <w:shd w:val="clear" w:color="auto" w:fill="FFFFFF"/>
                <w:lang w:val="fr-FR"/>
              </w:rPr>
              <w:t>temeiul</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Regulamentului</w:t>
            </w:r>
            <w:proofErr w:type="spellEnd"/>
            <w:r w:rsidRPr="00DA3743">
              <w:rPr>
                <w:rFonts w:ascii="Times New Roman" w:hAnsi="Times New Roman"/>
                <w:sz w:val="20"/>
                <w:szCs w:val="20"/>
                <w:shd w:val="clear" w:color="auto" w:fill="FFFFFF"/>
                <w:lang w:val="fr-FR"/>
              </w:rPr>
              <w:t xml:space="preserve"> (CE) nr.166/2006 în </w:t>
            </w:r>
            <w:proofErr w:type="spellStart"/>
            <w:r w:rsidRPr="00DA3743">
              <w:rPr>
                <w:rFonts w:ascii="Times New Roman" w:hAnsi="Times New Roman"/>
                <w:sz w:val="20"/>
                <w:szCs w:val="20"/>
                <w:shd w:val="clear" w:color="auto" w:fill="FFFFFF"/>
                <w:lang w:val="fr-FR"/>
              </w:rPr>
              <w:t>scopul</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întocmirii</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inventarelor</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naționale</w:t>
            </w:r>
            <w:proofErr w:type="spellEnd"/>
            <w:r w:rsidRPr="00DA3743">
              <w:rPr>
                <w:rFonts w:ascii="Times New Roman" w:hAnsi="Times New Roman"/>
                <w:sz w:val="20"/>
                <w:szCs w:val="20"/>
                <w:shd w:val="clear" w:color="auto" w:fill="FFFFFF"/>
                <w:lang w:val="fr-FR"/>
              </w:rPr>
              <w:t xml:space="preserve"> ale GES;</w:t>
            </w:r>
          </w:p>
          <w:p w14:paraId="67F4755F" w14:textId="77777777" w:rsidR="008F5636" w:rsidRPr="00DA3743" w:rsidRDefault="008F5636" w:rsidP="000C5A3B">
            <w:pPr>
              <w:pStyle w:val="ColorfulList-Accent11"/>
              <w:numPr>
                <w:ilvl w:val="0"/>
                <w:numId w:val="89"/>
              </w:numPr>
              <w:spacing w:after="0" w:line="240" w:lineRule="auto"/>
              <w:ind w:left="414" w:hanging="357"/>
              <w:jc w:val="both"/>
              <w:rPr>
                <w:rFonts w:ascii="Times New Roman" w:hAnsi="Times New Roman"/>
                <w:sz w:val="20"/>
                <w:szCs w:val="20"/>
                <w:lang w:val="fr-FR"/>
              </w:rPr>
            </w:pPr>
            <w:proofErr w:type="spellStart"/>
            <w:proofErr w:type="gramStart"/>
            <w:r w:rsidRPr="00DA3743">
              <w:rPr>
                <w:rFonts w:ascii="Times New Roman" w:hAnsi="Times New Roman"/>
                <w:sz w:val="20"/>
                <w:szCs w:val="20"/>
                <w:shd w:val="clear" w:color="auto" w:fill="FFFFFF"/>
                <w:lang w:val="fr-FR"/>
              </w:rPr>
              <w:t>datele</w:t>
            </w:r>
            <w:proofErr w:type="spellEnd"/>
            <w:proofErr w:type="gram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raportate</w:t>
            </w:r>
            <w:proofErr w:type="spellEnd"/>
            <w:r w:rsidRPr="00DA3743">
              <w:rPr>
                <w:rFonts w:ascii="Times New Roman" w:hAnsi="Times New Roman"/>
                <w:sz w:val="20"/>
                <w:szCs w:val="20"/>
                <w:shd w:val="clear" w:color="auto" w:fill="FFFFFF"/>
                <w:lang w:val="fr-FR"/>
              </w:rPr>
              <w:t xml:space="preserve"> în </w:t>
            </w:r>
            <w:proofErr w:type="spellStart"/>
            <w:r w:rsidRPr="00DA3743">
              <w:rPr>
                <w:rFonts w:ascii="Times New Roman" w:hAnsi="Times New Roman"/>
                <w:sz w:val="20"/>
                <w:szCs w:val="20"/>
                <w:shd w:val="clear" w:color="auto" w:fill="FFFFFF"/>
                <w:lang w:val="fr-FR"/>
              </w:rPr>
              <w:t>temeiul</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Regulamentului</w:t>
            </w:r>
            <w:proofErr w:type="spellEnd"/>
            <w:r w:rsidRPr="00DA3743">
              <w:rPr>
                <w:rFonts w:ascii="Times New Roman" w:hAnsi="Times New Roman"/>
                <w:sz w:val="20"/>
                <w:szCs w:val="20"/>
                <w:shd w:val="clear" w:color="auto" w:fill="FFFFFF"/>
                <w:lang w:val="fr-FR"/>
              </w:rPr>
              <w:t xml:space="preserve"> (CE) nr. 1099/</w:t>
            </w:r>
            <w:proofErr w:type="gramStart"/>
            <w:r w:rsidRPr="00DA3743">
              <w:rPr>
                <w:rFonts w:ascii="Times New Roman" w:hAnsi="Times New Roman"/>
                <w:sz w:val="20"/>
                <w:szCs w:val="20"/>
                <w:shd w:val="clear" w:color="auto" w:fill="FFFFFF"/>
                <w:lang w:val="fr-FR"/>
              </w:rPr>
              <w:t>2008;</w:t>
            </w:r>
            <w:proofErr w:type="gramEnd"/>
          </w:p>
          <w:p w14:paraId="5C162293" w14:textId="6B43F600" w:rsidR="008F5636" w:rsidRPr="00221D81" w:rsidRDefault="008F5636" w:rsidP="000C5A3B">
            <w:pPr>
              <w:pStyle w:val="ColorfulList-Accent11"/>
              <w:numPr>
                <w:ilvl w:val="0"/>
                <w:numId w:val="89"/>
              </w:numPr>
              <w:spacing w:after="0" w:line="240" w:lineRule="auto"/>
              <w:ind w:left="414" w:hanging="357"/>
              <w:jc w:val="both"/>
              <w:rPr>
                <w:rFonts w:ascii="Times New Roman" w:hAnsi="Times New Roman"/>
                <w:sz w:val="20"/>
                <w:szCs w:val="20"/>
                <w:lang w:val="fr-FR"/>
              </w:rPr>
            </w:pPr>
            <w:proofErr w:type="spellStart"/>
            <w:proofErr w:type="gramStart"/>
            <w:r w:rsidRPr="00DA3743">
              <w:rPr>
                <w:rFonts w:ascii="Times New Roman" w:hAnsi="Times New Roman"/>
                <w:sz w:val="20"/>
                <w:szCs w:val="20"/>
                <w:shd w:val="clear" w:color="auto" w:fill="FFFFFF"/>
                <w:lang w:val="fr-FR"/>
              </w:rPr>
              <w:t>datele</w:t>
            </w:r>
            <w:proofErr w:type="spellEnd"/>
            <w:proofErr w:type="gram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colectate</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prin</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monitorizarea</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geografică</w:t>
            </w:r>
            <w:proofErr w:type="spellEnd"/>
            <w:r w:rsidRPr="00DA3743">
              <w:rPr>
                <w:rFonts w:ascii="Times New Roman" w:hAnsi="Times New Roman"/>
                <w:sz w:val="20"/>
                <w:szCs w:val="20"/>
                <w:shd w:val="clear" w:color="auto" w:fill="FFFFFF"/>
                <w:lang w:val="fr-FR"/>
              </w:rPr>
              <w:t xml:space="preserve"> a </w:t>
            </w:r>
            <w:proofErr w:type="spellStart"/>
            <w:r w:rsidRPr="00DA3743">
              <w:rPr>
                <w:rFonts w:ascii="Times New Roman" w:hAnsi="Times New Roman"/>
                <w:sz w:val="20"/>
                <w:szCs w:val="20"/>
                <w:shd w:val="clear" w:color="auto" w:fill="FFFFFF"/>
                <w:lang w:val="fr-FR"/>
              </w:rPr>
              <w:t>terenurilor</w:t>
            </w:r>
            <w:proofErr w:type="spellEnd"/>
            <w:r w:rsidRPr="00DA3743">
              <w:rPr>
                <w:rFonts w:ascii="Times New Roman" w:hAnsi="Times New Roman"/>
                <w:sz w:val="20"/>
                <w:szCs w:val="20"/>
                <w:shd w:val="clear" w:color="auto" w:fill="FFFFFF"/>
                <w:lang w:val="fr-FR"/>
              </w:rPr>
              <w:t xml:space="preserve"> în </w:t>
            </w:r>
            <w:proofErr w:type="spellStart"/>
            <w:r w:rsidRPr="00DA3743">
              <w:rPr>
                <w:rFonts w:ascii="Times New Roman" w:hAnsi="Times New Roman"/>
                <w:sz w:val="20"/>
                <w:szCs w:val="20"/>
                <w:shd w:val="clear" w:color="auto" w:fill="FFFFFF"/>
                <w:lang w:val="fr-FR"/>
              </w:rPr>
              <w:t>contextul</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programelor</w:t>
            </w:r>
            <w:proofErr w:type="spellEnd"/>
            <w:r w:rsidRPr="00DA3743">
              <w:rPr>
                <w:rFonts w:ascii="Times New Roman" w:hAnsi="Times New Roman"/>
                <w:sz w:val="20"/>
                <w:szCs w:val="20"/>
                <w:shd w:val="clear" w:color="auto" w:fill="FFFFFF"/>
                <w:lang w:val="fr-FR"/>
              </w:rPr>
              <w:t xml:space="preserve"> și </w:t>
            </w:r>
            <w:proofErr w:type="spellStart"/>
            <w:r w:rsidRPr="00DA3743">
              <w:rPr>
                <w:rFonts w:ascii="Times New Roman" w:hAnsi="Times New Roman"/>
                <w:sz w:val="20"/>
                <w:szCs w:val="20"/>
                <w:shd w:val="clear" w:color="auto" w:fill="FFFFFF"/>
                <w:lang w:val="fr-FR"/>
              </w:rPr>
              <w:t>studiilor</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existente</w:t>
            </w:r>
            <w:proofErr w:type="spellEnd"/>
            <w:r w:rsidRPr="00DA3743">
              <w:rPr>
                <w:rFonts w:ascii="Times New Roman" w:hAnsi="Times New Roman"/>
                <w:sz w:val="20"/>
                <w:szCs w:val="20"/>
                <w:shd w:val="clear" w:color="auto" w:fill="FFFFFF"/>
                <w:lang w:val="fr-FR"/>
              </w:rPr>
              <w:t xml:space="preserve"> ale </w:t>
            </w:r>
            <w:proofErr w:type="spellStart"/>
            <w:r w:rsidRPr="00DA3743">
              <w:rPr>
                <w:rFonts w:ascii="Times New Roman" w:hAnsi="Times New Roman"/>
                <w:sz w:val="20"/>
                <w:szCs w:val="20"/>
                <w:shd w:val="clear" w:color="auto" w:fill="FFFFFF"/>
                <w:lang w:val="fr-FR"/>
              </w:rPr>
              <w:t>Uniunii</w:t>
            </w:r>
            <w:proofErr w:type="spellEnd"/>
            <w:r w:rsidRPr="00DA3743">
              <w:rPr>
                <w:rFonts w:ascii="Times New Roman" w:hAnsi="Times New Roman"/>
                <w:sz w:val="20"/>
                <w:szCs w:val="20"/>
                <w:shd w:val="clear" w:color="auto" w:fill="FFFFFF"/>
                <w:lang w:val="fr-FR"/>
              </w:rPr>
              <w:t xml:space="preserve"> și ale </w:t>
            </w:r>
            <w:proofErr w:type="spellStart"/>
            <w:r w:rsidRPr="00DA3743">
              <w:rPr>
                <w:rFonts w:ascii="Times New Roman" w:hAnsi="Times New Roman"/>
                <w:sz w:val="20"/>
                <w:szCs w:val="20"/>
                <w:shd w:val="clear" w:color="auto" w:fill="FFFFFF"/>
                <w:lang w:val="fr-FR"/>
              </w:rPr>
              <w:t>statelor</w:t>
            </w:r>
            <w:proofErr w:type="spellEnd"/>
            <w:r w:rsidRPr="00DA3743">
              <w:rPr>
                <w:rFonts w:ascii="Times New Roman" w:hAnsi="Times New Roman"/>
                <w:sz w:val="20"/>
                <w:szCs w:val="20"/>
                <w:shd w:val="clear" w:color="auto" w:fill="FFFFFF"/>
                <w:lang w:val="fr-FR"/>
              </w:rPr>
              <w:t xml:space="preserve"> membre, </w:t>
            </w:r>
            <w:proofErr w:type="spellStart"/>
            <w:r w:rsidRPr="00DA3743">
              <w:rPr>
                <w:rFonts w:ascii="Times New Roman" w:hAnsi="Times New Roman"/>
                <w:sz w:val="20"/>
                <w:szCs w:val="20"/>
                <w:shd w:val="clear" w:color="auto" w:fill="FFFFFF"/>
                <w:lang w:val="fr-FR"/>
              </w:rPr>
              <w:t>inclusiv</w:t>
            </w:r>
            <w:proofErr w:type="spellEnd"/>
            <w:r w:rsidRPr="00DA3743">
              <w:rPr>
                <w:rFonts w:ascii="Times New Roman" w:hAnsi="Times New Roman"/>
                <w:sz w:val="20"/>
                <w:szCs w:val="20"/>
                <w:shd w:val="clear" w:color="auto" w:fill="FFFFFF"/>
                <w:lang w:val="fr-FR"/>
              </w:rPr>
              <w:t xml:space="preserve"> LUCAS (</w:t>
            </w:r>
            <w:proofErr w:type="spellStart"/>
            <w:r w:rsidRPr="00DA3743">
              <w:rPr>
                <w:rFonts w:ascii="Times New Roman" w:hAnsi="Times New Roman"/>
                <w:sz w:val="20"/>
                <w:szCs w:val="20"/>
                <w:shd w:val="clear" w:color="auto" w:fill="FFFFFF"/>
                <w:lang w:val="fr-FR"/>
              </w:rPr>
              <w:t>Studiul-cadru</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privind</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utilizarea</w:t>
            </w:r>
            <w:proofErr w:type="spellEnd"/>
            <w:r w:rsidRPr="00DA3743">
              <w:rPr>
                <w:rFonts w:ascii="Times New Roman" w:hAnsi="Times New Roman"/>
                <w:sz w:val="20"/>
                <w:szCs w:val="20"/>
                <w:shd w:val="clear" w:color="auto" w:fill="FFFFFF"/>
                <w:lang w:val="fr-FR"/>
              </w:rPr>
              <w:t xml:space="preserve"> și </w:t>
            </w:r>
            <w:proofErr w:type="spellStart"/>
            <w:r w:rsidRPr="00DA3743">
              <w:rPr>
                <w:rFonts w:ascii="Times New Roman" w:hAnsi="Times New Roman"/>
                <w:sz w:val="20"/>
                <w:szCs w:val="20"/>
                <w:shd w:val="clear" w:color="auto" w:fill="FFFFFF"/>
                <w:lang w:val="fr-FR"/>
              </w:rPr>
              <w:t>ocuparea</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terenurilor</w:t>
            </w:r>
            <w:proofErr w:type="spellEnd"/>
            <w:r w:rsidRPr="00DA3743">
              <w:rPr>
                <w:rFonts w:ascii="Times New Roman" w:hAnsi="Times New Roman"/>
                <w:sz w:val="20"/>
                <w:szCs w:val="20"/>
                <w:shd w:val="clear" w:color="auto" w:fill="FFFFFF"/>
                <w:lang w:val="fr-FR"/>
              </w:rPr>
              <w:t xml:space="preserve">) și </w:t>
            </w:r>
            <w:proofErr w:type="spellStart"/>
            <w:r w:rsidRPr="00DA3743">
              <w:rPr>
                <w:rFonts w:ascii="Times New Roman" w:hAnsi="Times New Roman"/>
                <w:sz w:val="20"/>
                <w:szCs w:val="20"/>
                <w:shd w:val="clear" w:color="auto" w:fill="FFFFFF"/>
                <w:lang w:val="fr-FR"/>
              </w:rPr>
              <w:t>programul</w:t>
            </w:r>
            <w:proofErr w:type="spellEnd"/>
            <w:r w:rsidRPr="00DA3743">
              <w:rPr>
                <w:rFonts w:ascii="Times New Roman" w:hAnsi="Times New Roman"/>
                <w:sz w:val="20"/>
                <w:szCs w:val="20"/>
                <w:shd w:val="clear" w:color="auto" w:fill="FFFFFF"/>
                <w:lang w:val="fr-FR"/>
              </w:rPr>
              <w:t xml:space="preserve"> </w:t>
            </w:r>
            <w:proofErr w:type="spellStart"/>
            <w:r w:rsidRPr="00DA3743">
              <w:rPr>
                <w:rFonts w:ascii="Times New Roman" w:hAnsi="Times New Roman"/>
                <w:sz w:val="20"/>
                <w:szCs w:val="20"/>
                <w:shd w:val="clear" w:color="auto" w:fill="FFFFFF"/>
                <w:lang w:val="fr-FR"/>
              </w:rPr>
              <w:t>Copernicus</w:t>
            </w:r>
            <w:proofErr w:type="spellEnd"/>
            <w:r w:rsidRPr="00DA3743">
              <w:rPr>
                <w:rFonts w:ascii="Times New Roman" w:hAnsi="Times New Roman"/>
                <w:sz w:val="20"/>
                <w:szCs w:val="20"/>
                <w:shd w:val="clear" w:color="auto" w:fill="FFFFFF"/>
                <w:lang w:val="fr-FR"/>
              </w:rPr>
              <w:t>.</w:t>
            </w:r>
          </w:p>
        </w:tc>
        <w:tc>
          <w:tcPr>
            <w:tcW w:w="4440" w:type="dxa"/>
          </w:tcPr>
          <w:p w14:paraId="5839486D" w14:textId="55DD21ED" w:rsidR="008F5636" w:rsidRPr="0061344F" w:rsidRDefault="0061344F" w:rsidP="0061344F">
            <w:pPr>
              <w:shd w:val="clear" w:color="auto" w:fill="FFFFFF"/>
              <w:adjustRightInd w:val="0"/>
              <w:spacing w:after="0" w:line="240" w:lineRule="auto"/>
              <w:jc w:val="both"/>
              <w:textAlignment w:val="top"/>
              <w:rPr>
                <w:rFonts w:ascii="Times New Roman" w:hAnsi="Times New Roman"/>
                <w:sz w:val="20"/>
                <w:szCs w:val="20"/>
                <w:lang w:val="ro-MD" w:eastAsia="ro-RO" w:bidi="or-IN"/>
              </w:rPr>
            </w:pPr>
            <w:r w:rsidRPr="0061344F">
              <w:rPr>
                <w:rFonts w:ascii="Times New Roman" w:hAnsi="Times New Roman"/>
                <w:sz w:val="20"/>
                <w:szCs w:val="20"/>
                <w:lang w:val="ro-MD" w:eastAsia="ro-RO" w:bidi="or-IN"/>
              </w:rPr>
              <w:lastRenderedPageBreak/>
              <w:t xml:space="preserve"> </w:t>
            </w:r>
          </w:p>
        </w:tc>
        <w:tc>
          <w:tcPr>
            <w:tcW w:w="1276" w:type="dxa"/>
          </w:tcPr>
          <w:p w14:paraId="289C7470" w14:textId="4AEBA265" w:rsidR="008F5636" w:rsidRPr="005301D6" w:rsidRDefault="00FD0DD6" w:rsidP="008F5636">
            <w:pPr>
              <w:pStyle w:val="ColorfulList-Accent11"/>
              <w:spacing w:after="0" w:line="240" w:lineRule="auto"/>
              <w:ind w:left="0"/>
              <w:jc w:val="both"/>
              <w:rPr>
                <w:rFonts w:ascii="Times New Roman" w:hAnsi="Times New Roman"/>
                <w:sz w:val="20"/>
                <w:szCs w:val="20"/>
                <w:lang w:val="ro-MD"/>
              </w:rPr>
            </w:pPr>
            <w:r>
              <w:rPr>
                <w:rFonts w:ascii="Times New Roman" w:hAnsi="Times New Roman"/>
                <w:bCs/>
                <w:color w:val="000000" w:themeColor="text1"/>
                <w:sz w:val="20"/>
                <w:szCs w:val="20"/>
                <w:lang w:val="ro-RO"/>
              </w:rPr>
              <w:t>C</w:t>
            </w:r>
            <w:r w:rsidR="005A6DBB">
              <w:rPr>
                <w:rFonts w:ascii="Times New Roman" w:hAnsi="Times New Roman"/>
                <w:bCs/>
                <w:color w:val="000000" w:themeColor="text1"/>
                <w:sz w:val="20"/>
                <w:szCs w:val="20"/>
                <w:lang w:val="ro-RO"/>
              </w:rPr>
              <w:t>ompatibil</w:t>
            </w:r>
          </w:p>
        </w:tc>
        <w:tc>
          <w:tcPr>
            <w:tcW w:w="1276" w:type="dxa"/>
          </w:tcPr>
          <w:p w14:paraId="152BA350" w14:textId="77777777" w:rsidR="008F5636" w:rsidRPr="00D93509" w:rsidRDefault="008F5636" w:rsidP="008F5636">
            <w:pPr>
              <w:pStyle w:val="ColorfulList-Accent11"/>
              <w:spacing w:after="0" w:line="240" w:lineRule="auto"/>
              <w:ind w:left="0"/>
              <w:jc w:val="both"/>
              <w:rPr>
                <w:lang w:val="ro-MD"/>
              </w:rPr>
            </w:pPr>
          </w:p>
        </w:tc>
        <w:tc>
          <w:tcPr>
            <w:tcW w:w="1701" w:type="dxa"/>
          </w:tcPr>
          <w:p w14:paraId="1C9D1790" w14:textId="5CF4DD29" w:rsidR="00E37476" w:rsidRPr="00514326" w:rsidRDefault="00E37476" w:rsidP="00E37476">
            <w:pPr>
              <w:pStyle w:val="af0"/>
              <w:shd w:val="clear" w:color="auto" w:fill="FFFFFF"/>
              <w:adjustRightInd w:val="0"/>
              <w:spacing w:before="0" w:beforeAutospacing="0" w:after="0" w:afterAutospacing="0"/>
              <w:jc w:val="both"/>
              <w:textAlignment w:val="top"/>
              <w:rPr>
                <w:rFonts w:asciiTheme="majorBidi" w:hAnsiTheme="majorBidi" w:cstheme="majorBidi"/>
                <w:b/>
                <w:bCs/>
                <w:sz w:val="20"/>
                <w:szCs w:val="20"/>
                <w:lang w:eastAsia="en-US"/>
              </w:rPr>
            </w:pPr>
            <w:r w:rsidRPr="00E37476">
              <w:rPr>
                <w:sz w:val="20"/>
                <w:szCs w:val="20"/>
                <w:lang w:val="ro-MD"/>
              </w:rPr>
              <w:t xml:space="preserve">Prevederile referitoare la </w:t>
            </w:r>
            <w:r w:rsidRPr="00E37476">
              <w:rPr>
                <w:sz w:val="20"/>
                <w:szCs w:val="20"/>
                <w:lang w:val="ro-MD"/>
              </w:rPr>
              <w:lastRenderedPageBreak/>
              <w:t>Sistemul național de inventariere</w:t>
            </w:r>
            <w:r>
              <w:rPr>
                <w:sz w:val="20"/>
                <w:szCs w:val="20"/>
                <w:lang w:val="ro-MD"/>
              </w:rPr>
              <w:t xml:space="preserve"> este transpus </w:t>
            </w:r>
            <w:r w:rsidRPr="00E37476">
              <w:rPr>
                <w:sz w:val="20"/>
                <w:szCs w:val="20"/>
                <w:lang w:val="ro-MD"/>
              </w:rPr>
              <w:t>în</w:t>
            </w:r>
            <w:r>
              <w:rPr>
                <w:sz w:val="20"/>
                <w:szCs w:val="20"/>
                <w:lang w:val="ro-MD"/>
              </w:rPr>
              <w:t xml:space="preserve"> pct.11-15</w:t>
            </w:r>
            <w:r w:rsidRPr="00E37476">
              <w:rPr>
                <w:sz w:val="20"/>
                <w:szCs w:val="20"/>
                <w:lang w:val="ro-MD"/>
              </w:rPr>
              <w:t xml:space="preserve"> </w:t>
            </w:r>
            <w:r w:rsidRPr="00E37476">
              <w:rPr>
                <w:sz w:val="20"/>
                <w:szCs w:val="20"/>
              </w:rPr>
              <w:t>HG</w:t>
            </w:r>
            <w:r w:rsidRPr="00E37476">
              <w:rPr>
                <w:sz w:val="20"/>
                <w:szCs w:val="20"/>
                <w:shd w:val="clear" w:color="auto" w:fill="FFFFFF"/>
                <w:lang w:val="ro-MD"/>
              </w:rPr>
              <w:t xml:space="preserve"> </w:t>
            </w:r>
            <w:r w:rsidRPr="00E37476">
              <w:rPr>
                <w:rStyle w:val="apple-converted-space"/>
                <w:sz w:val="20"/>
                <w:szCs w:val="20"/>
                <w:shd w:val="clear" w:color="auto" w:fill="FFFFFF"/>
                <w:lang w:val="ro-MD"/>
              </w:rPr>
              <w:t>nr.</w:t>
            </w:r>
            <w:r w:rsidRPr="00E37476">
              <w:rPr>
                <w:sz w:val="20"/>
                <w:szCs w:val="20"/>
                <w:lang w:val="ro-MD"/>
              </w:rPr>
              <w:t>1277/2018 cu privire la instituirea și funcționarea sistemului național de monitorizare și raportare a emisiilor de gaze cu efect de seră și altor informații relevante pentru schimbările climatice</w:t>
            </w:r>
          </w:p>
          <w:p w14:paraId="4624F77F" w14:textId="519DA8C8" w:rsidR="008F5636" w:rsidRPr="00E37476" w:rsidRDefault="008F5636" w:rsidP="008F5636">
            <w:pPr>
              <w:pStyle w:val="ColorfulList-Accent11"/>
              <w:spacing w:after="0" w:line="240" w:lineRule="auto"/>
              <w:ind w:left="0"/>
              <w:jc w:val="both"/>
              <w:rPr>
                <w:rFonts w:ascii="Times New Roman" w:hAnsi="Times New Roman"/>
                <w:sz w:val="20"/>
                <w:szCs w:val="20"/>
                <w:lang w:val="ro-RO"/>
              </w:rPr>
            </w:pPr>
          </w:p>
        </w:tc>
        <w:tc>
          <w:tcPr>
            <w:tcW w:w="1460" w:type="dxa"/>
          </w:tcPr>
          <w:p w14:paraId="3AE3E559" w14:textId="77777777" w:rsidR="008F5636" w:rsidRPr="00543A71" w:rsidRDefault="008F5636" w:rsidP="008F5636">
            <w:pPr>
              <w:autoSpaceDE w:val="0"/>
              <w:spacing w:after="0" w:line="240" w:lineRule="auto"/>
              <w:rPr>
                <w:rFonts w:ascii="Times New Roman" w:hAnsi="Times New Roman"/>
                <w:sz w:val="20"/>
                <w:szCs w:val="20"/>
                <w:shd w:val="clear" w:color="auto" w:fill="FFFFFF"/>
                <w:lang w:val="ro-RO"/>
              </w:rPr>
            </w:pPr>
            <w:r w:rsidRPr="00543A71">
              <w:rPr>
                <w:rFonts w:ascii="Times New Roman" w:hAnsi="Times New Roman"/>
                <w:sz w:val="20"/>
                <w:szCs w:val="20"/>
                <w:shd w:val="clear" w:color="auto" w:fill="FFFFFF"/>
                <w:lang w:val="ro-RO"/>
              </w:rPr>
              <w:lastRenderedPageBreak/>
              <w:t>Ministerul Mediului</w:t>
            </w:r>
          </w:p>
          <w:p w14:paraId="53E26A89" w14:textId="77777777" w:rsidR="008F5636" w:rsidRPr="00543A71" w:rsidRDefault="008F5636" w:rsidP="008F5636">
            <w:pPr>
              <w:pStyle w:val="ColorfulList-Accent11"/>
              <w:spacing w:after="0" w:line="240" w:lineRule="auto"/>
              <w:ind w:left="0"/>
              <w:jc w:val="both"/>
              <w:rPr>
                <w:rFonts w:ascii="Times New Roman" w:hAnsi="Times New Roman"/>
                <w:sz w:val="20"/>
                <w:szCs w:val="20"/>
                <w:lang w:val="ro-MD"/>
              </w:rPr>
            </w:pPr>
          </w:p>
          <w:p w14:paraId="1337AF43" w14:textId="301DF67E" w:rsidR="008F5636" w:rsidRPr="00D93509" w:rsidRDefault="008F5636" w:rsidP="008F5636">
            <w:pPr>
              <w:autoSpaceDE w:val="0"/>
              <w:spacing w:after="0" w:line="240" w:lineRule="auto"/>
              <w:rPr>
                <w:lang w:val="ro-MD"/>
              </w:rPr>
            </w:pPr>
            <w:r w:rsidRPr="00543A71">
              <w:rPr>
                <w:rFonts w:ascii="Times New Roman" w:hAnsi="Times New Roman"/>
                <w:sz w:val="20"/>
                <w:szCs w:val="20"/>
                <w:lang w:val="ro-MD"/>
              </w:rPr>
              <w:t>Agenția de Mediu</w:t>
            </w:r>
          </w:p>
        </w:tc>
      </w:tr>
      <w:tr w:rsidR="008F5636" w:rsidRPr="00D93509" w14:paraId="01EC7453" w14:textId="77777777" w:rsidTr="00A90105">
        <w:tc>
          <w:tcPr>
            <w:tcW w:w="4945" w:type="dxa"/>
          </w:tcPr>
          <w:p w14:paraId="17064C7D" w14:textId="334663CE" w:rsidR="008F5636" w:rsidRPr="00295A9F" w:rsidRDefault="008F5636" w:rsidP="008F5636">
            <w:pPr>
              <w:pStyle w:val="ColorfulList-Accent11"/>
              <w:spacing w:after="0" w:line="240" w:lineRule="auto"/>
              <w:ind w:left="0"/>
              <w:jc w:val="center"/>
              <w:rPr>
                <w:rFonts w:ascii="Times New Roman" w:hAnsi="Times New Roman"/>
                <w:sz w:val="20"/>
                <w:szCs w:val="20"/>
                <w:lang w:val="ro-MD"/>
              </w:rPr>
            </w:pPr>
            <w:r w:rsidRPr="00DA3743">
              <w:rPr>
                <w:rFonts w:ascii="Times New Roman" w:hAnsi="Times New Roman"/>
                <w:b/>
                <w:bCs/>
                <w:color w:val="333333"/>
                <w:sz w:val="20"/>
                <w:szCs w:val="20"/>
                <w:shd w:val="clear" w:color="auto" w:fill="FFFFFF"/>
              </w:rPr>
              <w:t>ANEXA XIII</w:t>
            </w:r>
          </w:p>
        </w:tc>
        <w:tc>
          <w:tcPr>
            <w:tcW w:w="4440" w:type="dxa"/>
          </w:tcPr>
          <w:p w14:paraId="67B10DF5" w14:textId="77777777" w:rsidR="008F5636" w:rsidRPr="00D93509" w:rsidRDefault="008F5636" w:rsidP="008F5636">
            <w:pPr>
              <w:pStyle w:val="ColorfulList-Accent11"/>
              <w:spacing w:after="0" w:line="240" w:lineRule="auto"/>
              <w:ind w:left="0"/>
              <w:jc w:val="both"/>
              <w:rPr>
                <w:lang w:val="ro-MD"/>
              </w:rPr>
            </w:pPr>
          </w:p>
        </w:tc>
        <w:tc>
          <w:tcPr>
            <w:tcW w:w="1276" w:type="dxa"/>
          </w:tcPr>
          <w:p w14:paraId="0E7152D6" w14:textId="544A87CA" w:rsidR="008F5636" w:rsidRPr="00D93509" w:rsidRDefault="008F5636" w:rsidP="008F5636">
            <w:pPr>
              <w:pStyle w:val="ColorfulList-Accent11"/>
              <w:spacing w:after="0" w:line="240" w:lineRule="auto"/>
              <w:ind w:left="0"/>
              <w:jc w:val="center"/>
              <w:rPr>
                <w:lang w:val="ro-MD"/>
              </w:rPr>
            </w:pPr>
            <w:r w:rsidRPr="00C951E7">
              <w:rPr>
                <w:rFonts w:ascii="Times New Roman" w:hAnsi="Times New Roman"/>
                <w:sz w:val="20"/>
                <w:szCs w:val="20"/>
                <w:lang w:val="ro-RO"/>
              </w:rPr>
              <w:t>Prevederi UE neaplicabile</w:t>
            </w:r>
          </w:p>
        </w:tc>
        <w:tc>
          <w:tcPr>
            <w:tcW w:w="1276" w:type="dxa"/>
          </w:tcPr>
          <w:p w14:paraId="2C83A59F" w14:textId="77777777" w:rsidR="008F5636" w:rsidRPr="00D93509" w:rsidRDefault="008F5636" w:rsidP="008F5636">
            <w:pPr>
              <w:pStyle w:val="ColorfulList-Accent11"/>
              <w:spacing w:after="0" w:line="240" w:lineRule="auto"/>
              <w:ind w:left="0"/>
              <w:jc w:val="both"/>
              <w:rPr>
                <w:lang w:val="ro-MD"/>
              </w:rPr>
            </w:pPr>
          </w:p>
        </w:tc>
        <w:tc>
          <w:tcPr>
            <w:tcW w:w="1701" w:type="dxa"/>
          </w:tcPr>
          <w:p w14:paraId="5175A259" w14:textId="49B14C13" w:rsidR="008F5636" w:rsidRPr="00D93509" w:rsidRDefault="008F5636" w:rsidP="008F5636">
            <w:pPr>
              <w:pStyle w:val="ColorfulList-Accent11"/>
              <w:spacing w:after="0" w:line="240" w:lineRule="auto"/>
              <w:ind w:left="0"/>
              <w:jc w:val="both"/>
              <w:rPr>
                <w:lang w:val="ro-MD"/>
              </w:rPr>
            </w:pPr>
            <w:r w:rsidRPr="00F801AD">
              <w:rPr>
                <w:rFonts w:ascii="Times New Roman" w:hAnsi="Times New Roman"/>
                <w:color w:val="000000" w:themeColor="text1"/>
                <w:sz w:val="20"/>
                <w:szCs w:val="20"/>
                <w:lang w:val="ro-RO"/>
              </w:rPr>
              <w:t>Transpunerea nu este necesară, deoarece se referă la tehnica legislativă UE.</w:t>
            </w:r>
          </w:p>
        </w:tc>
        <w:tc>
          <w:tcPr>
            <w:tcW w:w="1460" w:type="dxa"/>
          </w:tcPr>
          <w:p w14:paraId="28E20527" w14:textId="77777777" w:rsidR="008F5636" w:rsidRPr="00D93509" w:rsidRDefault="008F5636" w:rsidP="008F5636">
            <w:pPr>
              <w:pStyle w:val="ColorfulList-Accent11"/>
              <w:spacing w:after="0" w:line="240" w:lineRule="auto"/>
              <w:ind w:left="0"/>
              <w:jc w:val="both"/>
              <w:rPr>
                <w:lang w:val="ro-MD"/>
              </w:rPr>
            </w:pPr>
          </w:p>
        </w:tc>
      </w:tr>
      <w:tr w:rsidR="001A1E50" w:rsidRPr="00263A32" w14:paraId="2E3B7A30" w14:textId="77777777" w:rsidTr="00A90105">
        <w:tc>
          <w:tcPr>
            <w:tcW w:w="4945" w:type="dxa"/>
          </w:tcPr>
          <w:p w14:paraId="1E231FC2" w14:textId="747A521F" w:rsidR="001A1E50" w:rsidRPr="00DA3743" w:rsidRDefault="001A1E50" w:rsidP="008F5636">
            <w:pPr>
              <w:pStyle w:val="ColorfulList-Accent11"/>
              <w:spacing w:after="0" w:line="240" w:lineRule="auto"/>
              <w:ind w:left="0"/>
              <w:jc w:val="center"/>
              <w:rPr>
                <w:rFonts w:ascii="Times New Roman" w:hAnsi="Times New Roman"/>
                <w:b/>
                <w:bCs/>
                <w:color w:val="333333"/>
                <w:sz w:val="20"/>
                <w:szCs w:val="20"/>
                <w:shd w:val="clear" w:color="auto" w:fill="FFFFFF"/>
              </w:rPr>
            </w:pPr>
            <w:r w:rsidRPr="00DA3743">
              <w:rPr>
                <w:rFonts w:ascii="Times New Roman" w:hAnsi="Times New Roman"/>
                <w:b/>
                <w:bCs/>
                <w:color w:val="333333"/>
                <w:sz w:val="20"/>
                <w:szCs w:val="20"/>
                <w:shd w:val="clear" w:color="auto" w:fill="FFFFFF"/>
              </w:rPr>
              <w:t>ANEXA XI</w:t>
            </w:r>
            <w:r>
              <w:rPr>
                <w:rFonts w:ascii="Times New Roman" w:hAnsi="Times New Roman"/>
                <w:b/>
                <w:bCs/>
                <w:color w:val="333333"/>
                <w:sz w:val="20"/>
                <w:szCs w:val="20"/>
                <w:shd w:val="clear" w:color="auto" w:fill="FFFFFF"/>
              </w:rPr>
              <w:t>V</w:t>
            </w:r>
          </w:p>
        </w:tc>
        <w:tc>
          <w:tcPr>
            <w:tcW w:w="4440" w:type="dxa"/>
          </w:tcPr>
          <w:p w14:paraId="44860F06" w14:textId="77777777" w:rsidR="001A1E50" w:rsidRPr="00D93509" w:rsidRDefault="001A1E50" w:rsidP="008F5636">
            <w:pPr>
              <w:pStyle w:val="ColorfulList-Accent11"/>
              <w:spacing w:after="0" w:line="240" w:lineRule="auto"/>
              <w:ind w:left="0"/>
              <w:jc w:val="both"/>
              <w:rPr>
                <w:lang w:val="ro-MD"/>
              </w:rPr>
            </w:pPr>
          </w:p>
        </w:tc>
        <w:tc>
          <w:tcPr>
            <w:tcW w:w="1276" w:type="dxa"/>
          </w:tcPr>
          <w:p w14:paraId="65FB1FD6" w14:textId="0B0743EC" w:rsidR="001A1E50" w:rsidRPr="00C951E7" w:rsidRDefault="001A1E50" w:rsidP="008F5636">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Parțial compatibil</w:t>
            </w:r>
          </w:p>
        </w:tc>
        <w:tc>
          <w:tcPr>
            <w:tcW w:w="1276" w:type="dxa"/>
          </w:tcPr>
          <w:p w14:paraId="6E013998" w14:textId="77777777" w:rsidR="001A1E50" w:rsidRPr="00D93509" w:rsidRDefault="001A1E50" w:rsidP="008F5636">
            <w:pPr>
              <w:pStyle w:val="ColorfulList-Accent11"/>
              <w:spacing w:after="0" w:line="240" w:lineRule="auto"/>
              <w:ind w:left="0"/>
              <w:jc w:val="both"/>
              <w:rPr>
                <w:lang w:val="ro-MD"/>
              </w:rPr>
            </w:pPr>
          </w:p>
        </w:tc>
        <w:tc>
          <w:tcPr>
            <w:tcW w:w="1701" w:type="dxa"/>
          </w:tcPr>
          <w:p w14:paraId="76706E69" w14:textId="77777777" w:rsidR="001A1E50" w:rsidRPr="00F13819" w:rsidRDefault="001A1E50" w:rsidP="001A1E50">
            <w:pPr>
              <w:autoSpaceDE w:val="0"/>
              <w:spacing w:after="0" w:line="240" w:lineRule="auto"/>
              <w:rPr>
                <w:rFonts w:ascii="Times New Roman" w:hAnsi="Times New Roman"/>
                <w:sz w:val="20"/>
                <w:szCs w:val="20"/>
                <w:shd w:val="clear" w:color="auto" w:fill="FFFFFF"/>
                <w:lang w:val="ro-RO"/>
              </w:rPr>
            </w:pPr>
            <w:r>
              <w:rPr>
                <w:rFonts w:ascii="Times New Roman" w:eastAsia="Times New Roman" w:hAnsi="Times New Roman"/>
                <w:sz w:val="20"/>
                <w:szCs w:val="20"/>
                <w:lang w:val="ro-RO"/>
              </w:rPr>
              <w:t xml:space="preserve">Prevederile corelate cu prevederile </w:t>
            </w:r>
            <w:r w:rsidRPr="00F13819">
              <w:rPr>
                <w:rFonts w:ascii="Times New Roman" w:eastAsia="Times New Roman" w:hAnsi="Times New Roman"/>
                <w:sz w:val="20"/>
                <w:szCs w:val="20"/>
                <w:lang w:val="ro-RO"/>
              </w:rPr>
              <w:t>Decizi</w:t>
            </w:r>
            <w:r>
              <w:rPr>
                <w:rFonts w:ascii="Times New Roman" w:eastAsia="Times New Roman" w:hAnsi="Times New Roman"/>
                <w:sz w:val="20"/>
                <w:szCs w:val="20"/>
                <w:lang w:val="ro-RO"/>
              </w:rPr>
              <w:t>ei</w:t>
            </w:r>
            <w:r w:rsidRPr="00F13819">
              <w:rPr>
                <w:rFonts w:ascii="Times New Roman" w:eastAsia="Times New Roman" w:hAnsi="Times New Roman"/>
                <w:sz w:val="20"/>
                <w:szCs w:val="20"/>
                <w:lang w:val="ro-RO"/>
              </w:rPr>
              <w:t xml:space="preserve"> Consiliului Ministerial al Comunității Energetice nr. D/2021/14/MC-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30.11.2021</w:t>
            </w:r>
            <w:r>
              <w:rPr>
                <w:rFonts w:ascii="Times New Roman" w:eastAsia="Times New Roman" w:hAnsi="Times New Roman"/>
                <w:sz w:val="20"/>
                <w:szCs w:val="20"/>
                <w:lang w:val="ro-RO"/>
              </w:rPr>
              <w:t xml:space="preserve"> </w:t>
            </w:r>
          </w:p>
          <w:p w14:paraId="5248AE13" w14:textId="77777777" w:rsidR="001A1E50" w:rsidRDefault="001A1E50" w:rsidP="001A1E50">
            <w:pPr>
              <w:autoSpaceDE w:val="0"/>
              <w:spacing w:after="0" w:line="240" w:lineRule="auto"/>
              <w:rPr>
                <w:rFonts w:ascii="Times New Roman" w:eastAsia="Times New Roman" w:hAnsi="Times New Roman"/>
                <w:sz w:val="20"/>
                <w:szCs w:val="20"/>
                <w:lang w:val="ro-RO"/>
              </w:rPr>
            </w:pPr>
            <w:r>
              <w:rPr>
                <w:rFonts w:ascii="Times New Roman" w:hAnsi="Times New Roman"/>
                <w:sz w:val="20"/>
                <w:szCs w:val="20"/>
                <w:shd w:val="clear" w:color="auto" w:fill="FFFFFF"/>
                <w:lang w:val="ro-RO"/>
              </w:rPr>
              <w:t xml:space="preserve">și </w:t>
            </w:r>
            <w:r w:rsidRPr="00F13819">
              <w:rPr>
                <w:rFonts w:ascii="Times New Roman" w:eastAsia="Times New Roman" w:hAnsi="Times New Roman"/>
                <w:sz w:val="20"/>
                <w:szCs w:val="20"/>
                <w:lang w:val="ro-RO"/>
              </w:rPr>
              <w:t>D/202</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w:t>
            </w:r>
            <w:r>
              <w:rPr>
                <w:rFonts w:ascii="Times New Roman" w:eastAsia="Times New Roman" w:hAnsi="Times New Roman"/>
                <w:sz w:val="20"/>
                <w:szCs w:val="20"/>
                <w:lang w:val="ro-RO"/>
              </w:rPr>
              <w:t>02</w:t>
            </w:r>
            <w:r w:rsidRPr="00F13819">
              <w:rPr>
                <w:rFonts w:ascii="Times New Roman" w:eastAsia="Times New Roman" w:hAnsi="Times New Roman"/>
                <w:sz w:val="20"/>
                <w:szCs w:val="20"/>
                <w:lang w:val="ro-RO"/>
              </w:rPr>
              <w:t>/MC-</w:t>
            </w:r>
            <w:proofErr w:type="spellStart"/>
            <w:r w:rsidRPr="00F13819">
              <w:rPr>
                <w:rFonts w:ascii="Times New Roman" w:eastAsia="Times New Roman" w:hAnsi="Times New Roman"/>
                <w:sz w:val="20"/>
                <w:szCs w:val="20"/>
                <w:lang w:val="ro-RO"/>
              </w:rPr>
              <w:t>EnC</w:t>
            </w:r>
            <w:proofErr w:type="spellEnd"/>
            <w:r w:rsidRPr="00F13819">
              <w:rPr>
                <w:rFonts w:ascii="Times New Roman" w:eastAsia="Times New Roman" w:hAnsi="Times New Roman"/>
                <w:sz w:val="20"/>
                <w:szCs w:val="20"/>
                <w:lang w:val="ro-RO"/>
              </w:rPr>
              <w:t xml:space="preserve"> din </w:t>
            </w:r>
            <w:r>
              <w:rPr>
                <w:rFonts w:ascii="Times New Roman" w:eastAsia="Times New Roman" w:hAnsi="Times New Roman"/>
                <w:sz w:val="20"/>
                <w:szCs w:val="20"/>
                <w:lang w:val="ro-RO"/>
              </w:rPr>
              <w:t>15</w:t>
            </w:r>
            <w:r w:rsidRPr="00F13819">
              <w:rPr>
                <w:rFonts w:ascii="Times New Roman" w:eastAsia="Times New Roman" w:hAnsi="Times New Roman"/>
                <w:sz w:val="20"/>
                <w:szCs w:val="20"/>
                <w:lang w:val="ro-RO"/>
              </w:rPr>
              <w:t>.1</w:t>
            </w:r>
            <w:r>
              <w:rPr>
                <w:rFonts w:ascii="Times New Roman" w:eastAsia="Times New Roman" w:hAnsi="Times New Roman"/>
                <w:sz w:val="20"/>
                <w:szCs w:val="20"/>
                <w:lang w:val="ro-RO"/>
              </w:rPr>
              <w:t>2</w:t>
            </w:r>
            <w:r w:rsidRPr="00F13819">
              <w:rPr>
                <w:rFonts w:ascii="Times New Roman" w:eastAsia="Times New Roman" w:hAnsi="Times New Roman"/>
                <w:sz w:val="20"/>
                <w:szCs w:val="20"/>
                <w:lang w:val="ro-RO"/>
              </w:rPr>
              <w:t>.202</w:t>
            </w:r>
            <w:r>
              <w:rPr>
                <w:rFonts w:ascii="Times New Roman" w:eastAsia="Times New Roman" w:hAnsi="Times New Roman"/>
                <w:sz w:val="20"/>
                <w:szCs w:val="20"/>
                <w:lang w:val="ro-RO"/>
              </w:rPr>
              <w:t>2</w:t>
            </w:r>
          </w:p>
          <w:p w14:paraId="400B68CA" w14:textId="77777777" w:rsidR="001A1E50" w:rsidRPr="00C951E7" w:rsidRDefault="001A1E50" w:rsidP="008F5636">
            <w:pPr>
              <w:pStyle w:val="ColorfulList-Accent11"/>
              <w:spacing w:after="0" w:line="240" w:lineRule="auto"/>
              <w:ind w:left="0"/>
              <w:jc w:val="both"/>
              <w:rPr>
                <w:rFonts w:ascii="Times New Roman" w:hAnsi="Times New Roman"/>
                <w:sz w:val="20"/>
                <w:szCs w:val="20"/>
                <w:lang w:val="ro-RO"/>
              </w:rPr>
            </w:pPr>
          </w:p>
        </w:tc>
        <w:tc>
          <w:tcPr>
            <w:tcW w:w="1460" w:type="dxa"/>
          </w:tcPr>
          <w:p w14:paraId="10BFEEDE" w14:textId="77777777" w:rsidR="001A1E50" w:rsidRPr="00D93509" w:rsidRDefault="001A1E50" w:rsidP="008F5636">
            <w:pPr>
              <w:pStyle w:val="ColorfulList-Accent11"/>
              <w:spacing w:after="0" w:line="240" w:lineRule="auto"/>
              <w:ind w:left="0"/>
              <w:jc w:val="both"/>
              <w:rPr>
                <w:lang w:val="ro-MD"/>
              </w:rPr>
            </w:pPr>
          </w:p>
        </w:tc>
      </w:tr>
    </w:tbl>
    <w:p w14:paraId="6B7ACABC" w14:textId="77777777" w:rsidR="00565581" w:rsidRPr="00D93509" w:rsidRDefault="00565581" w:rsidP="00565581">
      <w:pPr>
        <w:pStyle w:val="ColorfulList-Accent11"/>
        <w:spacing w:after="0" w:line="240" w:lineRule="auto"/>
        <w:ind w:left="0"/>
        <w:jc w:val="both"/>
        <w:rPr>
          <w:lang w:val="ro-MD"/>
        </w:rPr>
      </w:pPr>
    </w:p>
    <w:sectPr w:rsidR="00565581" w:rsidRPr="00D93509" w:rsidSect="009447D5">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3238" w14:textId="77777777" w:rsidR="00693926" w:rsidRDefault="00693926">
      <w:pPr>
        <w:spacing w:after="0" w:line="240" w:lineRule="auto"/>
      </w:pPr>
      <w:r>
        <w:separator/>
      </w:r>
    </w:p>
  </w:endnote>
  <w:endnote w:type="continuationSeparator" w:id="0">
    <w:p w14:paraId="306B86A1" w14:textId="77777777" w:rsidR="00693926" w:rsidRDefault="0069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CC"/>
    <w:family w:val="roman"/>
    <w:pitch w:val="default"/>
    <w:sig w:usb0="00000000" w:usb1="00000000"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A1C0" w14:textId="77777777" w:rsidR="00693926" w:rsidRDefault="00693926">
      <w:pPr>
        <w:spacing w:after="0" w:line="240" w:lineRule="auto"/>
      </w:pPr>
      <w:r>
        <w:rPr>
          <w:color w:val="000000"/>
        </w:rPr>
        <w:separator/>
      </w:r>
    </w:p>
  </w:footnote>
  <w:footnote w:type="continuationSeparator" w:id="0">
    <w:p w14:paraId="3DEE262D" w14:textId="77777777" w:rsidR="00693926" w:rsidRDefault="00693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C39"/>
    <w:multiLevelType w:val="hybridMultilevel"/>
    <w:tmpl w:val="77F8CD4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F5AB5"/>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00991B42"/>
    <w:multiLevelType w:val="hybridMultilevel"/>
    <w:tmpl w:val="C0565FA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 w15:restartNumberingAfterBreak="0">
    <w:nsid w:val="00C9598A"/>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0C95C58"/>
    <w:multiLevelType w:val="hybridMultilevel"/>
    <w:tmpl w:val="B156D6CE"/>
    <w:lvl w:ilvl="0" w:tplc="0418001B">
      <w:start w:val="1"/>
      <w:numFmt w:val="lowerRoman"/>
      <w:lvlText w:val="%1."/>
      <w:lvlJc w:val="righ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10B2B52"/>
    <w:multiLevelType w:val="hybridMultilevel"/>
    <w:tmpl w:val="D03C37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20C3E50"/>
    <w:multiLevelType w:val="hybridMultilevel"/>
    <w:tmpl w:val="8AD69FF0"/>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 w15:restartNumberingAfterBreak="0">
    <w:nsid w:val="026F0AE9"/>
    <w:multiLevelType w:val="hybridMultilevel"/>
    <w:tmpl w:val="465A3A98"/>
    <w:lvl w:ilvl="0" w:tplc="4A40D9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2C86C71"/>
    <w:multiLevelType w:val="hybridMultilevel"/>
    <w:tmpl w:val="F89AF3B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0B7D93"/>
    <w:multiLevelType w:val="hybridMultilevel"/>
    <w:tmpl w:val="C60C5742"/>
    <w:lvl w:ilvl="0" w:tplc="0E425364">
      <w:start w:val="1"/>
      <w:numFmt w:val="lowerLetter"/>
      <w:lvlText w:val="%1)"/>
      <w:lvlJc w:val="left"/>
      <w:pPr>
        <w:ind w:left="1080" w:hanging="360"/>
      </w:pPr>
      <w:rPr>
        <w:rFonts w:cs="Times New Roman" w:hint="default"/>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377110B"/>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03F04E87"/>
    <w:multiLevelType w:val="hybridMultilevel"/>
    <w:tmpl w:val="B5FABC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3FE4908"/>
    <w:multiLevelType w:val="hybridMultilevel"/>
    <w:tmpl w:val="8FB499E2"/>
    <w:lvl w:ilvl="0" w:tplc="0366D602">
      <w:start w:val="1"/>
      <w:numFmt w:val="decimal"/>
      <w:lvlText w:val="%1."/>
      <w:lvlJc w:val="left"/>
      <w:pPr>
        <w:ind w:left="720" w:hanging="360"/>
      </w:pPr>
      <w:rPr>
        <w:rFonts w:ascii="Times New Roman" w:hAnsi="Times New Roman" w:cs="Times New Roman" w:hint="default"/>
        <w:b w:val="0"/>
        <w:bCs/>
        <w:sz w:val="20"/>
        <w:szCs w:val="20"/>
      </w:rPr>
    </w:lvl>
    <w:lvl w:ilvl="1" w:tplc="D8C23DD2">
      <w:start w:val="1"/>
      <w:numFmt w:val="lowerLetter"/>
      <w:lvlText w:val="%2)"/>
      <w:lvlJc w:val="left"/>
      <w:pPr>
        <w:ind w:left="1440" w:hanging="360"/>
      </w:pPr>
      <w:rPr>
        <w:rFonts w:ascii="Times New Roman" w:eastAsia="Batang" w:hAnsi="Times New Roman" w:cs="Times New Roman"/>
        <w:sz w:val="20"/>
        <w:szCs w:val="2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4EE448A"/>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4" w15:restartNumberingAfterBreak="0">
    <w:nsid w:val="05134E6D"/>
    <w:multiLevelType w:val="hybridMultilevel"/>
    <w:tmpl w:val="D36C6278"/>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CB60FF"/>
    <w:multiLevelType w:val="hybridMultilevel"/>
    <w:tmpl w:val="52003DB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061D4860"/>
    <w:multiLevelType w:val="hybridMultilevel"/>
    <w:tmpl w:val="A31E3060"/>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067C6F36"/>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06C60E37"/>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 w15:restartNumberingAfterBreak="0">
    <w:nsid w:val="072C54AA"/>
    <w:multiLevelType w:val="hybridMultilevel"/>
    <w:tmpl w:val="69D6CF3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074E6F48"/>
    <w:multiLevelType w:val="hybridMultilevel"/>
    <w:tmpl w:val="CD1AD86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1" w15:restartNumberingAfterBreak="0">
    <w:nsid w:val="078E01A2"/>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087B183C"/>
    <w:multiLevelType w:val="hybridMultilevel"/>
    <w:tmpl w:val="62B40198"/>
    <w:lvl w:ilvl="0" w:tplc="6E78774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08DE4B6A"/>
    <w:multiLevelType w:val="hybridMultilevel"/>
    <w:tmpl w:val="1528DC3C"/>
    <w:lvl w:ilvl="0" w:tplc="8A18647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0902456A"/>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25" w15:restartNumberingAfterBreak="0">
    <w:nsid w:val="09064AA3"/>
    <w:multiLevelType w:val="hybridMultilevel"/>
    <w:tmpl w:val="4F503EC8"/>
    <w:lvl w:ilvl="0" w:tplc="04180011">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98729ED"/>
    <w:multiLevelType w:val="hybridMultilevel"/>
    <w:tmpl w:val="60367CCE"/>
    <w:lvl w:ilvl="0" w:tplc="0418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7" w15:restartNumberingAfterBreak="0">
    <w:nsid w:val="098F627D"/>
    <w:multiLevelType w:val="hybridMultilevel"/>
    <w:tmpl w:val="38D6BC7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9FD5D53"/>
    <w:multiLevelType w:val="hybridMultilevel"/>
    <w:tmpl w:val="9B40960E"/>
    <w:lvl w:ilvl="0" w:tplc="3B2A26BC">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0A284196"/>
    <w:multiLevelType w:val="hybridMultilevel"/>
    <w:tmpl w:val="687E0842"/>
    <w:lvl w:ilvl="0" w:tplc="4AC6152C">
      <w:start w:val="1"/>
      <w:numFmt w:val="decimal"/>
      <w:lvlText w:val="%1)"/>
      <w:lvlJc w:val="left"/>
      <w:pPr>
        <w:ind w:left="108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0" w15:restartNumberingAfterBreak="0">
    <w:nsid w:val="0A9349F3"/>
    <w:multiLevelType w:val="hybridMultilevel"/>
    <w:tmpl w:val="2DA6A99C"/>
    <w:lvl w:ilvl="0" w:tplc="3D2AE21A">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0AB607F5"/>
    <w:multiLevelType w:val="hybridMultilevel"/>
    <w:tmpl w:val="AE36F4BA"/>
    <w:lvl w:ilvl="0" w:tplc="04180017">
      <w:start w:val="5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0B0F6BC3"/>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0BA32812"/>
    <w:multiLevelType w:val="hybridMultilevel"/>
    <w:tmpl w:val="604838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BAE53D3"/>
    <w:multiLevelType w:val="hybridMultilevel"/>
    <w:tmpl w:val="5C8A6EE8"/>
    <w:lvl w:ilvl="0" w:tplc="5C800DD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5" w15:restartNumberingAfterBreak="0">
    <w:nsid w:val="0C484C6F"/>
    <w:multiLevelType w:val="hybridMultilevel"/>
    <w:tmpl w:val="EDBE16C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6" w15:restartNumberingAfterBreak="0">
    <w:nsid w:val="0CFB1F91"/>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0D2C004F"/>
    <w:multiLevelType w:val="hybridMultilevel"/>
    <w:tmpl w:val="1BF85ECE"/>
    <w:lvl w:ilvl="0" w:tplc="04180011">
      <w:start w:val="1"/>
      <w:numFmt w:val="decimal"/>
      <w:lvlText w:val="%1)"/>
      <w:lvlJc w:val="left"/>
      <w:pPr>
        <w:ind w:left="720" w:hanging="360"/>
      </w:pPr>
      <w:rPr>
        <w:sz w:val="20"/>
        <w:szCs w:val="20"/>
      </w:rPr>
    </w:lvl>
    <w:lvl w:ilvl="1" w:tplc="FFFFFFFF">
      <w:start w:val="6"/>
      <w:numFmt w:val="bullet"/>
      <w:lvlText w:val=""/>
      <w:lvlJc w:val="left"/>
      <w:pPr>
        <w:ind w:left="1440" w:hanging="360"/>
      </w:pPr>
      <w:rPr>
        <w:rFonts w:ascii="Symbol" w:eastAsia="Calibr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DB75610"/>
    <w:multiLevelType w:val="hybridMultilevel"/>
    <w:tmpl w:val="EF007C7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0E0F0D2E"/>
    <w:multiLevelType w:val="hybridMultilevel"/>
    <w:tmpl w:val="72885A66"/>
    <w:lvl w:ilvl="0" w:tplc="51BCFF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0E5E5873"/>
    <w:multiLevelType w:val="hybridMultilevel"/>
    <w:tmpl w:val="28022B3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F531B98"/>
    <w:multiLevelType w:val="hybridMultilevel"/>
    <w:tmpl w:val="B77CA31E"/>
    <w:lvl w:ilvl="0" w:tplc="2A02117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0F607EBE"/>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0FCF3D79"/>
    <w:multiLevelType w:val="hybridMultilevel"/>
    <w:tmpl w:val="3B9C449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4" w15:restartNumberingAfterBreak="0">
    <w:nsid w:val="0FF130AE"/>
    <w:multiLevelType w:val="hybridMultilevel"/>
    <w:tmpl w:val="04B8611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103F7FAE"/>
    <w:multiLevelType w:val="hybridMultilevel"/>
    <w:tmpl w:val="27F8BB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7" w15:restartNumberingAfterBreak="0">
    <w:nsid w:val="10A712F7"/>
    <w:multiLevelType w:val="hybridMultilevel"/>
    <w:tmpl w:val="97783A4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1192410E"/>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12090BD7"/>
    <w:multiLevelType w:val="hybridMultilevel"/>
    <w:tmpl w:val="57C812F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13C92A5C"/>
    <w:multiLevelType w:val="hybridMultilevel"/>
    <w:tmpl w:val="81262676"/>
    <w:lvl w:ilvl="0" w:tplc="0418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3DD40C2"/>
    <w:multiLevelType w:val="hybridMultilevel"/>
    <w:tmpl w:val="18CEDD3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143740CA"/>
    <w:multiLevelType w:val="hybridMultilevel"/>
    <w:tmpl w:val="395843B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4FE0853"/>
    <w:multiLevelType w:val="hybridMultilevel"/>
    <w:tmpl w:val="F2F06266"/>
    <w:lvl w:ilvl="0" w:tplc="7AB88A2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158F447F"/>
    <w:multiLevelType w:val="hybridMultilevel"/>
    <w:tmpl w:val="E424FCBA"/>
    <w:lvl w:ilvl="0" w:tplc="397802B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15A9222C"/>
    <w:multiLevelType w:val="hybridMultilevel"/>
    <w:tmpl w:val="437C82C8"/>
    <w:lvl w:ilvl="0" w:tplc="C7686C04">
      <w:start w:val="1"/>
      <w:numFmt w:val="lowerRoman"/>
      <w:lvlText w:val="(%1)"/>
      <w:lvlJc w:val="left"/>
      <w:pPr>
        <w:ind w:left="720" w:hanging="360"/>
      </w:pPr>
      <w:rPr>
        <w:rFonts w:ascii="Times New Roman" w:eastAsiaTheme="minorEastAsia"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69F0198"/>
    <w:multiLevelType w:val="hybridMultilevel"/>
    <w:tmpl w:val="1128B02A"/>
    <w:lvl w:ilvl="0" w:tplc="04180017">
      <w:start w:val="1"/>
      <w:numFmt w:val="lowerLetter"/>
      <w:lvlText w:val="%1)"/>
      <w:lvlJc w:val="left"/>
      <w:pPr>
        <w:ind w:left="720" w:hanging="360"/>
      </w:pPr>
    </w:lvl>
    <w:lvl w:ilvl="1" w:tplc="FC68C010">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16CF2E4A"/>
    <w:multiLevelType w:val="hybridMultilevel"/>
    <w:tmpl w:val="9E16186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6D35F89"/>
    <w:multiLevelType w:val="hybridMultilevel"/>
    <w:tmpl w:val="8FAC615E"/>
    <w:lvl w:ilvl="0" w:tplc="0418001B">
      <w:start w:val="1"/>
      <w:numFmt w:val="lowerRoman"/>
      <w:lvlText w:val="%1."/>
      <w:lvlJc w:val="righ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59" w15:restartNumberingAfterBreak="0">
    <w:nsid w:val="16E04818"/>
    <w:multiLevelType w:val="hybridMultilevel"/>
    <w:tmpl w:val="2E8ACCBA"/>
    <w:lvl w:ilvl="0" w:tplc="938CD59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16EF789A"/>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1" w15:restartNumberingAfterBreak="0">
    <w:nsid w:val="170F441E"/>
    <w:multiLevelType w:val="hybridMultilevel"/>
    <w:tmpl w:val="09625404"/>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2" w15:restartNumberingAfterBreak="0">
    <w:nsid w:val="182757DC"/>
    <w:multiLevelType w:val="hybridMultilevel"/>
    <w:tmpl w:val="ABBA6FA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18871C7C"/>
    <w:multiLevelType w:val="hybridMultilevel"/>
    <w:tmpl w:val="D03C376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4" w15:restartNumberingAfterBreak="0">
    <w:nsid w:val="18B75E49"/>
    <w:multiLevelType w:val="hybridMultilevel"/>
    <w:tmpl w:val="C868C790"/>
    <w:lvl w:ilvl="0" w:tplc="04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18BE5F52"/>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6" w15:restartNumberingAfterBreak="0">
    <w:nsid w:val="19811124"/>
    <w:multiLevelType w:val="hybridMultilevel"/>
    <w:tmpl w:val="653634EE"/>
    <w:lvl w:ilvl="0" w:tplc="0419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7" w15:restartNumberingAfterBreak="0">
    <w:nsid w:val="1ABB1E8F"/>
    <w:multiLevelType w:val="hybridMultilevel"/>
    <w:tmpl w:val="16F6648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1ABD03F7"/>
    <w:multiLevelType w:val="hybridMultilevel"/>
    <w:tmpl w:val="1C24EF36"/>
    <w:lvl w:ilvl="0" w:tplc="D46840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9" w15:restartNumberingAfterBreak="0">
    <w:nsid w:val="1AFF59AE"/>
    <w:multiLevelType w:val="hybridMultilevel"/>
    <w:tmpl w:val="725EE892"/>
    <w:lvl w:ilvl="0" w:tplc="04180017">
      <w:start w:val="1"/>
      <w:numFmt w:val="lowerLetter"/>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70" w15:restartNumberingAfterBreak="0">
    <w:nsid w:val="1B694E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1" w15:restartNumberingAfterBreak="0">
    <w:nsid w:val="1B8F68AE"/>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2" w15:restartNumberingAfterBreak="0">
    <w:nsid w:val="1BB80A78"/>
    <w:multiLevelType w:val="hybridMultilevel"/>
    <w:tmpl w:val="780831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3" w15:restartNumberingAfterBreak="0">
    <w:nsid w:val="1C116419"/>
    <w:multiLevelType w:val="hybridMultilevel"/>
    <w:tmpl w:val="675491C0"/>
    <w:lvl w:ilvl="0" w:tplc="A2AAD15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C2857F5"/>
    <w:multiLevelType w:val="hybridMultilevel"/>
    <w:tmpl w:val="1006FFA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CE7765B"/>
    <w:multiLevelType w:val="hybridMultilevel"/>
    <w:tmpl w:val="4418A43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D546072"/>
    <w:multiLevelType w:val="hybridMultilevel"/>
    <w:tmpl w:val="51440D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D894D75"/>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8" w15:restartNumberingAfterBreak="0">
    <w:nsid w:val="1DBC721E"/>
    <w:multiLevelType w:val="hybridMultilevel"/>
    <w:tmpl w:val="DF767442"/>
    <w:lvl w:ilvl="0" w:tplc="04180017">
      <w:start w:val="18"/>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1E4B5E1D"/>
    <w:multiLevelType w:val="hybridMultilevel"/>
    <w:tmpl w:val="D842E268"/>
    <w:lvl w:ilvl="0" w:tplc="FC68C01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80" w15:restartNumberingAfterBreak="0">
    <w:nsid w:val="1E9D24A3"/>
    <w:multiLevelType w:val="hybridMultilevel"/>
    <w:tmpl w:val="E38E3D36"/>
    <w:lvl w:ilvl="0" w:tplc="AE5A3174">
      <w:start w:val="1"/>
      <w:numFmt w:val="decimal"/>
      <w:lvlText w:val="%1."/>
      <w:lvlJc w:val="left"/>
      <w:pPr>
        <w:ind w:left="720" w:hanging="360"/>
      </w:pPr>
      <w:rPr>
        <w:rFonts w:ascii="Times New Roman" w:hAnsi="Times New Roman" w:cs="Times New Roman" w:hint="default"/>
        <w:b w:val="0"/>
        <w:bCs/>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1ED86C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1EF678E0"/>
    <w:multiLevelType w:val="hybridMultilevel"/>
    <w:tmpl w:val="A0C40F50"/>
    <w:lvl w:ilvl="0" w:tplc="E3AA933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3" w15:restartNumberingAfterBreak="0">
    <w:nsid w:val="1EFB404D"/>
    <w:multiLevelType w:val="hybridMultilevel"/>
    <w:tmpl w:val="012A27F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4" w15:restartNumberingAfterBreak="0">
    <w:nsid w:val="1F1801EE"/>
    <w:multiLevelType w:val="hybridMultilevel"/>
    <w:tmpl w:val="73168EC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5" w15:restartNumberingAfterBreak="0">
    <w:nsid w:val="1F703C7F"/>
    <w:multiLevelType w:val="hybridMultilevel"/>
    <w:tmpl w:val="0FDA8B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02B5AD6"/>
    <w:multiLevelType w:val="hybridMultilevel"/>
    <w:tmpl w:val="037633D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7" w15:restartNumberingAfterBreak="0">
    <w:nsid w:val="20661783"/>
    <w:multiLevelType w:val="hybridMultilevel"/>
    <w:tmpl w:val="4B42A4EC"/>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8" w15:restartNumberingAfterBreak="0">
    <w:nsid w:val="2071371E"/>
    <w:multiLevelType w:val="hybridMultilevel"/>
    <w:tmpl w:val="6152114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9" w15:restartNumberingAfterBreak="0">
    <w:nsid w:val="20AA581F"/>
    <w:multiLevelType w:val="hybridMultilevel"/>
    <w:tmpl w:val="BB4CE3A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20BC1772"/>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91" w15:restartNumberingAfterBreak="0">
    <w:nsid w:val="20C01B0B"/>
    <w:multiLevelType w:val="hybridMultilevel"/>
    <w:tmpl w:val="7A44E6A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20D41DF7"/>
    <w:multiLevelType w:val="hybridMultilevel"/>
    <w:tmpl w:val="5582B2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3" w15:restartNumberingAfterBreak="0">
    <w:nsid w:val="20F34F7D"/>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4" w15:restartNumberingAfterBreak="0">
    <w:nsid w:val="213B1140"/>
    <w:multiLevelType w:val="hybridMultilevel"/>
    <w:tmpl w:val="922ADA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14045AD"/>
    <w:multiLevelType w:val="hybridMultilevel"/>
    <w:tmpl w:val="79E0F54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217536AA"/>
    <w:multiLevelType w:val="hybridMultilevel"/>
    <w:tmpl w:val="B2DE9EE8"/>
    <w:lvl w:ilvl="0" w:tplc="D392133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97" w15:restartNumberingAfterBreak="0">
    <w:nsid w:val="218931AA"/>
    <w:multiLevelType w:val="hybridMultilevel"/>
    <w:tmpl w:val="B32085E2"/>
    <w:lvl w:ilvl="0" w:tplc="A448CDB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8" w15:restartNumberingAfterBreak="0">
    <w:nsid w:val="22861738"/>
    <w:multiLevelType w:val="hybridMultilevel"/>
    <w:tmpl w:val="00A4CD1A"/>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99" w15:restartNumberingAfterBreak="0">
    <w:nsid w:val="23C27498"/>
    <w:multiLevelType w:val="hybridMultilevel"/>
    <w:tmpl w:val="496AC4D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3C33881"/>
    <w:multiLevelType w:val="hybridMultilevel"/>
    <w:tmpl w:val="DE504E2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1" w15:restartNumberingAfterBreak="0">
    <w:nsid w:val="23C61C23"/>
    <w:multiLevelType w:val="hybridMultilevel"/>
    <w:tmpl w:val="566E1610"/>
    <w:lvl w:ilvl="0" w:tplc="AC7ED370">
      <w:start w:val="1"/>
      <w:numFmt w:val="lowerLetter"/>
      <w:lvlText w:val="(%1)"/>
      <w:lvlJc w:val="left"/>
      <w:pPr>
        <w:ind w:left="720" w:hanging="360"/>
      </w:pPr>
      <w:rPr>
        <w:rFonts w:ascii="Times New Roman" w:hAnsi="Times New Roman" w:cs="Times New Roman" w:hint="default"/>
        <w:color w:val="auto"/>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2" w15:restartNumberingAfterBreak="0">
    <w:nsid w:val="23EF4773"/>
    <w:multiLevelType w:val="hybridMultilevel"/>
    <w:tmpl w:val="CB8A1BF0"/>
    <w:lvl w:ilvl="0" w:tplc="338E50C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3" w15:restartNumberingAfterBreak="0">
    <w:nsid w:val="24766BA0"/>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4" w15:restartNumberingAfterBreak="0">
    <w:nsid w:val="253C1D5D"/>
    <w:multiLevelType w:val="hybridMultilevel"/>
    <w:tmpl w:val="B330B912"/>
    <w:lvl w:ilvl="0" w:tplc="9FD8BC54">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5" w15:restartNumberingAfterBreak="0">
    <w:nsid w:val="258B0D0A"/>
    <w:multiLevelType w:val="hybridMultilevel"/>
    <w:tmpl w:val="C1987B3A"/>
    <w:lvl w:ilvl="0" w:tplc="E882771E">
      <w:start w:val="1"/>
      <w:numFmt w:val="decimal"/>
      <w:lvlText w:val="(%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6640ABF"/>
    <w:multiLevelType w:val="hybridMultilevel"/>
    <w:tmpl w:val="DE504E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26FC4A4A"/>
    <w:multiLevelType w:val="hybridMultilevel"/>
    <w:tmpl w:val="7730E89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8" w15:restartNumberingAfterBreak="0">
    <w:nsid w:val="270072AA"/>
    <w:multiLevelType w:val="hybridMultilevel"/>
    <w:tmpl w:val="FC724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7AB7D25"/>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10" w15:restartNumberingAfterBreak="0">
    <w:nsid w:val="283A6466"/>
    <w:multiLevelType w:val="hybridMultilevel"/>
    <w:tmpl w:val="076E55E6"/>
    <w:lvl w:ilvl="0" w:tplc="E1A64AD4">
      <w:start w:val="1"/>
      <w:numFmt w:val="decimal"/>
      <w:lvlText w:val="%1."/>
      <w:lvlJc w:val="left"/>
      <w:pPr>
        <w:ind w:left="786"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286B439C"/>
    <w:multiLevelType w:val="hybridMultilevel"/>
    <w:tmpl w:val="ED60FAF4"/>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9611D4B"/>
    <w:multiLevelType w:val="hybridMultilevel"/>
    <w:tmpl w:val="AA0C08E8"/>
    <w:lvl w:ilvl="0" w:tplc="8114459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3" w15:restartNumberingAfterBreak="0">
    <w:nsid w:val="29833154"/>
    <w:multiLevelType w:val="hybridMultilevel"/>
    <w:tmpl w:val="E1E8FB6E"/>
    <w:lvl w:ilvl="0" w:tplc="6758F188">
      <w:start w:val="1"/>
      <w:numFmt w:val="lowerLetter"/>
      <w:lvlText w:val="%1)"/>
      <w:lvlJc w:val="left"/>
      <w:pPr>
        <w:ind w:left="1910" w:hanging="360"/>
      </w:pPr>
      <w:rPr>
        <w:rFonts w:ascii="Times New Roman" w:eastAsia="Batang" w:hAnsi="Times New Roman" w:cs="Times New Roman"/>
        <w:sz w:val="20"/>
        <w:szCs w:val="20"/>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114" w15:restartNumberingAfterBreak="0">
    <w:nsid w:val="29B41B94"/>
    <w:multiLevelType w:val="hybridMultilevel"/>
    <w:tmpl w:val="9A705E7E"/>
    <w:lvl w:ilvl="0" w:tplc="61D0E20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5" w15:restartNumberingAfterBreak="0">
    <w:nsid w:val="29B95DE3"/>
    <w:multiLevelType w:val="hybridMultilevel"/>
    <w:tmpl w:val="C7D84E94"/>
    <w:lvl w:ilvl="0" w:tplc="0419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6" w15:restartNumberingAfterBreak="0">
    <w:nsid w:val="29CA733A"/>
    <w:multiLevelType w:val="hybridMultilevel"/>
    <w:tmpl w:val="2124CB20"/>
    <w:lvl w:ilvl="0" w:tplc="C7686C04">
      <w:start w:val="1"/>
      <w:numFmt w:val="lowerRoman"/>
      <w:lvlText w:val="(%1)"/>
      <w:lvlJc w:val="left"/>
      <w:pPr>
        <w:ind w:left="1910" w:hanging="360"/>
      </w:pPr>
      <w:rPr>
        <w:rFonts w:ascii="Times New Roman" w:eastAsiaTheme="minorEastAsia" w:hAnsi="Times New Roman" w:cs="Times New Roman" w:hint="default"/>
        <w:color w:val="auto"/>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117" w15:restartNumberingAfterBreak="0">
    <w:nsid w:val="2A0C578B"/>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8" w15:restartNumberingAfterBreak="0">
    <w:nsid w:val="2B4360C8"/>
    <w:multiLevelType w:val="hybridMultilevel"/>
    <w:tmpl w:val="3E14EBA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9" w15:restartNumberingAfterBreak="0">
    <w:nsid w:val="2BED6787"/>
    <w:multiLevelType w:val="hybridMultilevel"/>
    <w:tmpl w:val="A79A45DC"/>
    <w:lvl w:ilvl="0" w:tplc="9AA2BA3E">
      <w:start w:val="1"/>
      <w:numFmt w:val="lowerLetter"/>
      <w:lvlText w:val="%1)"/>
      <w:lvlJc w:val="left"/>
      <w:pPr>
        <w:ind w:left="720" w:hanging="360"/>
      </w:pPr>
      <w:rPr>
        <w:sz w:val="20"/>
        <w:szCs w:val="20"/>
      </w:r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0" w15:restartNumberingAfterBreak="0">
    <w:nsid w:val="2BF03F8B"/>
    <w:multiLevelType w:val="hybridMultilevel"/>
    <w:tmpl w:val="DD5EDDB0"/>
    <w:lvl w:ilvl="0" w:tplc="04180011">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2D571B4F"/>
    <w:multiLevelType w:val="hybridMultilevel"/>
    <w:tmpl w:val="C3D6A12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D816E95"/>
    <w:multiLevelType w:val="hybridMultilevel"/>
    <w:tmpl w:val="143A5F3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3" w15:restartNumberingAfterBreak="0">
    <w:nsid w:val="2DB95695"/>
    <w:multiLevelType w:val="hybridMultilevel"/>
    <w:tmpl w:val="84DC6688"/>
    <w:lvl w:ilvl="0" w:tplc="E6C267B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4" w15:restartNumberingAfterBreak="0">
    <w:nsid w:val="2F4F1895"/>
    <w:multiLevelType w:val="hybridMultilevel"/>
    <w:tmpl w:val="53429AA2"/>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25" w15:restartNumberingAfterBreak="0">
    <w:nsid w:val="2F615639"/>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6" w15:restartNumberingAfterBreak="0">
    <w:nsid w:val="2FB43D95"/>
    <w:multiLevelType w:val="hybridMultilevel"/>
    <w:tmpl w:val="4C0CBEF8"/>
    <w:lvl w:ilvl="0" w:tplc="0419001B">
      <w:start w:val="1"/>
      <w:numFmt w:val="lowerRoman"/>
      <w:lvlText w:val="%1."/>
      <w:lvlJc w:val="right"/>
      <w:pPr>
        <w:ind w:left="1800" w:hanging="360"/>
      </w:pPr>
      <w:rPr>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15:restartNumberingAfterBreak="0">
    <w:nsid w:val="2FDC3C23"/>
    <w:multiLevelType w:val="hybridMultilevel"/>
    <w:tmpl w:val="91CCE83A"/>
    <w:lvl w:ilvl="0" w:tplc="A066FC2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8" w15:restartNumberingAfterBreak="0">
    <w:nsid w:val="2FED47A9"/>
    <w:multiLevelType w:val="hybridMultilevel"/>
    <w:tmpl w:val="77BA9A4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9" w15:restartNumberingAfterBreak="0">
    <w:nsid w:val="300B43E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0" w15:restartNumberingAfterBreak="0">
    <w:nsid w:val="30973F7C"/>
    <w:multiLevelType w:val="hybridMultilevel"/>
    <w:tmpl w:val="526C76A2"/>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1" w15:restartNumberingAfterBreak="0">
    <w:nsid w:val="30D47A7C"/>
    <w:multiLevelType w:val="hybridMultilevel"/>
    <w:tmpl w:val="51EC3BF0"/>
    <w:lvl w:ilvl="0" w:tplc="EFFAF4E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2" w15:restartNumberingAfterBreak="0">
    <w:nsid w:val="310E192A"/>
    <w:multiLevelType w:val="hybridMultilevel"/>
    <w:tmpl w:val="28A0CC9A"/>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3"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4" w15:restartNumberingAfterBreak="0">
    <w:nsid w:val="32146621"/>
    <w:multiLevelType w:val="hybridMultilevel"/>
    <w:tmpl w:val="6B60D5C0"/>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2540124"/>
    <w:multiLevelType w:val="hybridMultilevel"/>
    <w:tmpl w:val="4CC0E000"/>
    <w:lvl w:ilvl="0" w:tplc="F40ABE1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6" w15:restartNumberingAfterBreak="0">
    <w:nsid w:val="326927E2"/>
    <w:multiLevelType w:val="hybridMultilevel"/>
    <w:tmpl w:val="A3B62A0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7" w15:restartNumberingAfterBreak="0">
    <w:nsid w:val="32BE619F"/>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8" w15:restartNumberingAfterBreak="0">
    <w:nsid w:val="32CB5790"/>
    <w:multiLevelType w:val="hybridMultilevel"/>
    <w:tmpl w:val="04F0B92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9" w15:restartNumberingAfterBreak="0">
    <w:nsid w:val="33EB0D3B"/>
    <w:multiLevelType w:val="hybridMultilevel"/>
    <w:tmpl w:val="FE18851A"/>
    <w:lvl w:ilvl="0" w:tplc="04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0" w15:restartNumberingAfterBreak="0">
    <w:nsid w:val="343A4FEF"/>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1" w15:restartNumberingAfterBreak="0">
    <w:nsid w:val="34740F8E"/>
    <w:multiLevelType w:val="hybridMultilevel"/>
    <w:tmpl w:val="7172BDB4"/>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2" w15:restartNumberingAfterBreak="0">
    <w:nsid w:val="34CC2E68"/>
    <w:multiLevelType w:val="hybridMultilevel"/>
    <w:tmpl w:val="651EA60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4D03C57"/>
    <w:multiLevelType w:val="hybridMultilevel"/>
    <w:tmpl w:val="076C2EC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4" w15:restartNumberingAfterBreak="0">
    <w:nsid w:val="35566114"/>
    <w:multiLevelType w:val="hybridMultilevel"/>
    <w:tmpl w:val="6F68789C"/>
    <w:lvl w:ilvl="0" w:tplc="DBC2418A">
      <w:start w:val="1"/>
      <w:numFmt w:val="lowerLetter"/>
      <w:lvlText w:val="(%1)"/>
      <w:lvlJc w:val="left"/>
      <w:pPr>
        <w:ind w:left="1910" w:hanging="360"/>
      </w:pPr>
      <w:rPr>
        <w:rFonts w:hint="default"/>
      </w:rPr>
    </w:lvl>
    <w:lvl w:ilvl="1" w:tplc="FFFFFFFF" w:tentative="1">
      <w:start w:val="1"/>
      <w:numFmt w:val="lowerLetter"/>
      <w:lvlText w:val="%2."/>
      <w:lvlJc w:val="left"/>
      <w:pPr>
        <w:ind w:left="2630" w:hanging="360"/>
      </w:pPr>
    </w:lvl>
    <w:lvl w:ilvl="2" w:tplc="FFFFFFFF" w:tentative="1">
      <w:start w:val="1"/>
      <w:numFmt w:val="lowerRoman"/>
      <w:lvlText w:val="%3."/>
      <w:lvlJc w:val="right"/>
      <w:pPr>
        <w:ind w:left="3350" w:hanging="180"/>
      </w:pPr>
    </w:lvl>
    <w:lvl w:ilvl="3" w:tplc="FFFFFFFF" w:tentative="1">
      <w:start w:val="1"/>
      <w:numFmt w:val="decimal"/>
      <w:lvlText w:val="%4."/>
      <w:lvlJc w:val="left"/>
      <w:pPr>
        <w:ind w:left="4070" w:hanging="360"/>
      </w:pPr>
    </w:lvl>
    <w:lvl w:ilvl="4" w:tplc="FFFFFFFF" w:tentative="1">
      <w:start w:val="1"/>
      <w:numFmt w:val="lowerLetter"/>
      <w:lvlText w:val="%5."/>
      <w:lvlJc w:val="left"/>
      <w:pPr>
        <w:ind w:left="4790" w:hanging="360"/>
      </w:pPr>
    </w:lvl>
    <w:lvl w:ilvl="5" w:tplc="FFFFFFFF" w:tentative="1">
      <w:start w:val="1"/>
      <w:numFmt w:val="lowerRoman"/>
      <w:lvlText w:val="%6."/>
      <w:lvlJc w:val="right"/>
      <w:pPr>
        <w:ind w:left="5510" w:hanging="180"/>
      </w:pPr>
    </w:lvl>
    <w:lvl w:ilvl="6" w:tplc="FFFFFFFF" w:tentative="1">
      <w:start w:val="1"/>
      <w:numFmt w:val="decimal"/>
      <w:lvlText w:val="%7."/>
      <w:lvlJc w:val="left"/>
      <w:pPr>
        <w:ind w:left="6230" w:hanging="360"/>
      </w:pPr>
    </w:lvl>
    <w:lvl w:ilvl="7" w:tplc="FFFFFFFF" w:tentative="1">
      <w:start w:val="1"/>
      <w:numFmt w:val="lowerLetter"/>
      <w:lvlText w:val="%8."/>
      <w:lvlJc w:val="left"/>
      <w:pPr>
        <w:ind w:left="6950" w:hanging="360"/>
      </w:pPr>
    </w:lvl>
    <w:lvl w:ilvl="8" w:tplc="FFFFFFFF" w:tentative="1">
      <w:start w:val="1"/>
      <w:numFmt w:val="lowerRoman"/>
      <w:lvlText w:val="%9."/>
      <w:lvlJc w:val="right"/>
      <w:pPr>
        <w:ind w:left="7670" w:hanging="180"/>
      </w:pPr>
    </w:lvl>
  </w:abstractNum>
  <w:abstractNum w:abstractNumId="145" w15:restartNumberingAfterBreak="0">
    <w:nsid w:val="362D0C6F"/>
    <w:multiLevelType w:val="hybridMultilevel"/>
    <w:tmpl w:val="9404FA06"/>
    <w:lvl w:ilvl="0" w:tplc="4A06395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6" w15:restartNumberingAfterBreak="0">
    <w:nsid w:val="370E4161"/>
    <w:multiLevelType w:val="hybridMultilevel"/>
    <w:tmpl w:val="3C32BA8C"/>
    <w:lvl w:ilvl="0" w:tplc="C7686C04">
      <w:start w:val="1"/>
      <w:numFmt w:val="lowerRoman"/>
      <w:lvlText w:val="(%1)"/>
      <w:lvlJc w:val="left"/>
      <w:pPr>
        <w:ind w:left="2520" w:hanging="360"/>
      </w:pPr>
      <w:rPr>
        <w:rFonts w:ascii="Times New Roman" w:eastAsiaTheme="minorEastAsia" w:hAnsi="Times New Roman" w:cs="Times New Roman"/>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7" w15:restartNumberingAfterBreak="0">
    <w:nsid w:val="375E5D7C"/>
    <w:multiLevelType w:val="hybridMultilevel"/>
    <w:tmpl w:val="3D62579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78B06F7"/>
    <w:multiLevelType w:val="hybridMultilevel"/>
    <w:tmpl w:val="CEF29210"/>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386B115A"/>
    <w:multiLevelType w:val="hybridMultilevel"/>
    <w:tmpl w:val="CF20938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0" w15:restartNumberingAfterBreak="0">
    <w:nsid w:val="388C1F52"/>
    <w:multiLevelType w:val="hybridMultilevel"/>
    <w:tmpl w:val="234C5CE4"/>
    <w:lvl w:ilvl="0" w:tplc="CF8CBA6A">
      <w:start w:val="4"/>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1" w15:restartNumberingAfterBreak="0">
    <w:nsid w:val="38A42050"/>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52" w15:restartNumberingAfterBreak="0">
    <w:nsid w:val="3954133F"/>
    <w:multiLevelType w:val="hybridMultilevel"/>
    <w:tmpl w:val="378C4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3" w15:restartNumberingAfterBreak="0">
    <w:nsid w:val="3960443D"/>
    <w:multiLevelType w:val="hybridMultilevel"/>
    <w:tmpl w:val="33C2F6D8"/>
    <w:lvl w:ilvl="0" w:tplc="27C4FC28">
      <w:start w:val="1"/>
      <w:numFmt w:val="decimal"/>
      <w:lvlText w:val="(%1)"/>
      <w:lvlJc w:val="left"/>
      <w:pPr>
        <w:ind w:left="1190" w:hanging="360"/>
      </w:pPr>
      <w:rPr>
        <w:rFonts w:hint="default"/>
      </w:r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154" w15:restartNumberingAfterBreak="0">
    <w:nsid w:val="397202A7"/>
    <w:multiLevelType w:val="hybridMultilevel"/>
    <w:tmpl w:val="71FC3E54"/>
    <w:lvl w:ilvl="0" w:tplc="87E03212">
      <w:start w:val="1"/>
      <w:numFmt w:val="lowerRoman"/>
      <w:lvlText w:val="%1."/>
      <w:lvlJc w:val="right"/>
      <w:pPr>
        <w:ind w:left="720" w:hanging="360"/>
      </w:pPr>
      <w:rPr>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5" w15:restartNumberingAfterBreak="0">
    <w:nsid w:val="39AA6D00"/>
    <w:multiLevelType w:val="hybridMultilevel"/>
    <w:tmpl w:val="0C5A16BE"/>
    <w:lvl w:ilvl="0" w:tplc="04180017">
      <w:start w:val="40"/>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6" w15:restartNumberingAfterBreak="0">
    <w:nsid w:val="3A7B2FD5"/>
    <w:multiLevelType w:val="hybridMultilevel"/>
    <w:tmpl w:val="5D34102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7" w15:restartNumberingAfterBreak="0">
    <w:nsid w:val="3BDB7E50"/>
    <w:multiLevelType w:val="hybridMultilevel"/>
    <w:tmpl w:val="9D6256E4"/>
    <w:lvl w:ilvl="0" w:tplc="FCE4434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8" w15:restartNumberingAfterBreak="0">
    <w:nsid w:val="3C124541"/>
    <w:multiLevelType w:val="hybridMultilevel"/>
    <w:tmpl w:val="215C3A6C"/>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9" w15:restartNumberingAfterBreak="0">
    <w:nsid w:val="3C194F39"/>
    <w:multiLevelType w:val="hybridMultilevel"/>
    <w:tmpl w:val="BA64122C"/>
    <w:lvl w:ilvl="0" w:tplc="6186D61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0" w15:restartNumberingAfterBreak="0">
    <w:nsid w:val="3C802CB0"/>
    <w:multiLevelType w:val="hybridMultilevel"/>
    <w:tmpl w:val="68A62E34"/>
    <w:lvl w:ilvl="0" w:tplc="D1FE8E9C">
      <w:start w:val="1"/>
      <w:numFmt w:val="lowerLetter"/>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1" w15:restartNumberingAfterBreak="0">
    <w:nsid w:val="3CD62370"/>
    <w:multiLevelType w:val="hybridMultilevel"/>
    <w:tmpl w:val="603A261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2" w15:restartNumberingAfterBreak="0">
    <w:nsid w:val="3D285FD7"/>
    <w:multiLevelType w:val="hybridMultilevel"/>
    <w:tmpl w:val="3566D596"/>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D4A7BA6"/>
    <w:multiLevelType w:val="hybridMultilevel"/>
    <w:tmpl w:val="59966CDE"/>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3DA93B66"/>
    <w:multiLevelType w:val="hybridMultilevel"/>
    <w:tmpl w:val="5A32A6C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E870282"/>
    <w:multiLevelType w:val="hybridMultilevel"/>
    <w:tmpl w:val="D71CFBE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6" w15:restartNumberingAfterBreak="0">
    <w:nsid w:val="3ED70FAF"/>
    <w:multiLevelType w:val="hybridMultilevel"/>
    <w:tmpl w:val="D682B97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7" w15:restartNumberingAfterBreak="0">
    <w:nsid w:val="3EF4598C"/>
    <w:multiLevelType w:val="hybridMultilevel"/>
    <w:tmpl w:val="0C2C384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68" w15:restartNumberingAfterBreak="0">
    <w:nsid w:val="3F281438"/>
    <w:multiLevelType w:val="hybridMultilevel"/>
    <w:tmpl w:val="8340CDD4"/>
    <w:lvl w:ilvl="0" w:tplc="C41031DA">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9" w15:restartNumberingAfterBreak="0">
    <w:nsid w:val="3FA26BA2"/>
    <w:multiLevelType w:val="hybridMultilevel"/>
    <w:tmpl w:val="FC1420C6"/>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0" w15:restartNumberingAfterBreak="0">
    <w:nsid w:val="3FE27B4D"/>
    <w:multiLevelType w:val="hybridMultilevel"/>
    <w:tmpl w:val="15C20138"/>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1" w15:restartNumberingAfterBreak="0">
    <w:nsid w:val="4006717C"/>
    <w:multiLevelType w:val="hybridMultilevel"/>
    <w:tmpl w:val="A8289830"/>
    <w:lvl w:ilvl="0" w:tplc="D6C62A98">
      <w:start w:val="1"/>
      <w:numFmt w:val="lowerRoman"/>
      <w:lvlText w:val="%1."/>
      <w:lvlJc w:val="right"/>
      <w:pPr>
        <w:ind w:left="2520" w:hanging="360"/>
      </w:pPr>
      <w:rPr>
        <w:b w:val="0"/>
        <w:bCs/>
      </w:r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172" w15:restartNumberingAfterBreak="0">
    <w:nsid w:val="405B2528"/>
    <w:multiLevelType w:val="hybridMultilevel"/>
    <w:tmpl w:val="36A82C1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3" w15:restartNumberingAfterBreak="0">
    <w:nsid w:val="416A49E0"/>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4" w15:restartNumberingAfterBreak="0">
    <w:nsid w:val="41D953DC"/>
    <w:multiLevelType w:val="hybridMultilevel"/>
    <w:tmpl w:val="F3188BD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3345441"/>
    <w:multiLevelType w:val="hybridMultilevel"/>
    <w:tmpl w:val="F476127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76" w15:restartNumberingAfterBreak="0">
    <w:nsid w:val="43391C94"/>
    <w:multiLevelType w:val="hybridMultilevel"/>
    <w:tmpl w:val="2CB6B35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7" w15:restartNumberingAfterBreak="0">
    <w:nsid w:val="43850748"/>
    <w:multiLevelType w:val="hybridMultilevel"/>
    <w:tmpl w:val="F268402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39273AA"/>
    <w:multiLevelType w:val="hybridMultilevel"/>
    <w:tmpl w:val="1858436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9" w15:restartNumberingAfterBreak="0">
    <w:nsid w:val="44181A84"/>
    <w:multiLevelType w:val="hybridMultilevel"/>
    <w:tmpl w:val="D674B2E6"/>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0" w15:restartNumberingAfterBreak="0">
    <w:nsid w:val="44594711"/>
    <w:multiLevelType w:val="hybridMultilevel"/>
    <w:tmpl w:val="AED23D0E"/>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4513397F"/>
    <w:multiLevelType w:val="hybridMultilevel"/>
    <w:tmpl w:val="1C565BDA"/>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5516EDE"/>
    <w:multiLevelType w:val="hybridMultilevel"/>
    <w:tmpl w:val="D5E2D9CE"/>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57B500A"/>
    <w:multiLevelType w:val="hybridMultilevel"/>
    <w:tmpl w:val="2DCC50A6"/>
    <w:lvl w:ilvl="0" w:tplc="893E772C">
      <w:start w:val="1"/>
      <w:numFmt w:val="decimal"/>
      <w:lvlText w:val="(%1)"/>
      <w:lvlJc w:val="left"/>
      <w:pPr>
        <w:ind w:left="1647" w:hanging="360"/>
      </w:pPr>
      <w:rPr>
        <w:rFonts w:ascii="Times New Roman" w:hAnsi="Times New Roman" w:cs="Times New Roman" w:hint="default"/>
        <w:sz w:val="20"/>
        <w:szCs w:val="2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84" w15:restartNumberingAfterBreak="0">
    <w:nsid w:val="45A210BC"/>
    <w:multiLevelType w:val="hybridMultilevel"/>
    <w:tmpl w:val="733C28D8"/>
    <w:lvl w:ilvl="0" w:tplc="69DCA33E">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85" w15:restartNumberingAfterBreak="0">
    <w:nsid w:val="45C9056D"/>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6" w15:restartNumberingAfterBreak="0">
    <w:nsid w:val="4635343D"/>
    <w:multiLevelType w:val="hybridMultilevel"/>
    <w:tmpl w:val="2BD4DC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6A16430"/>
    <w:multiLevelType w:val="hybridMultilevel"/>
    <w:tmpl w:val="72FCB936"/>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47640548"/>
    <w:multiLevelType w:val="hybridMultilevel"/>
    <w:tmpl w:val="9572CFFC"/>
    <w:lvl w:ilvl="0" w:tplc="E604CA9C">
      <w:start w:val="1"/>
      <w:numFmt w:val="lowerLetter"/>
      <w:lvlText w:val="%1)"/>
      <w:lvlJc w:val="left"/>
      <w:pPr>
        <w:ind w:left="1800" w:hanging="360"/>
      </w:pPr>
      <w:rPr>
        <w:rFonts w:cs="Times New Roman"/>
        <w:color w:val="auto"/>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189" w15:restartNumberingAfterBreak="0">
    <w:nsid w:val="47F845E1"/>
    <w:multiLevelType w:val="hybridMultilevel"/>
    <w:tmpl w:val="13CCF0E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0" w15:restartNumberingAfterBreak="0">
    <w:nsid w:val="48C907AD"/>
    <w:multiLevelType w:val="hybridMultilevel"/>
    <w:tmpl w:val="3994533E"/>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1" w15:restartNumberingAfterBreak="0">
    <w:nsid w:val="49364F34"/>
    <w:multiLevelType w:val="hybridMultilevel"/>
    <w:tmpl w:val="5A90C65E"/>
    <w:lvl w:ilvl="0" w:tplc="0418001B">
      <w:start w:val="1"/>
      <w:numFmt w:val="lowerRoman"/>
      <w:lvlText w:val="%1."/>
      <w:lvlJc w:val="righ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192" w15:restartNumberingAfterBreak="0">
    <w:nsid w:val="4A4334F0"/>
    <w:multiLevelType w:val="hybridMultilevel"/>
    <w:tmpl w:val="22403E3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3" w15:restartNumberingAfterBreak="0">
    <w:nsid w:val="4B0E2410"/>
    <w:multiLevelType w:val="hybridMultilevel"/>
    <w:tmpl w:val="7058699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BFE01CE"/>
    <w:multiLevelType w:val="hybridMultilevel"/>
    <w:tmpl w:val="6C963FA6"/>
    <w:lvl w:ilvl="0" w:tplc="0418001B">
      <w:start w:val="1"/>
      <w:numFmt w:val="lowerRoman"/>
      <w:lvlText w:val="%1."/>
      <w:lvlJc w:val="right"/>
      <w:pPr>
        <w:ind w:left="1077" w:hanging="360"/>
      </w:pPr>
    </w:lvl>
    <w:lvl w:ilvl="1" w:tplc="4F26DE3E">
      <w:start w:val="6"/>
      <w:numFmt w:val="bullet"/>
      <w:lvlText w:val=""/>
      <w:lvlJc w:val="left"/>
      <w:pPr>
        <w:ind w:left="1797" w:hanging="360"/>
      </w:pPr>
      <w:rPr>
        <w:rFonts w:ascii="Symbol" w:eastAsia="Times New Roman" w:hAnsi="Symbol" w:cs="Times New Roman" w:hint="default"/>
      </w:r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195" w15:restartNumberingAfterBreak="0">
    <w:nsid w:val="4CF63193"/>
    <w:multiLevelType w:val="hybridMultilevel"/>
    <w:tmpl w:val="10807172"/>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196" w15:restartNumberingAfterBreak="0">
    <w:nsid w:val="4D3F20C7"/>
    <w:multiLevelType w:val="hybridMultilevel"/>
    <w:tmpl w:val="4BE851C0"/>
    <w:lvl w:ilvl="0" w:tplc="9E92BF6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7" w15:restartNumberingAfterBreak="0">
    <w:nsid w:val="4FF23241"/>
    <w:multiLevelType w:val="hybridMultilevel"/>
    <w:tmpl w:val="40CA176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8" w15:restartNumberingAfterBreak="0">
    <w:nsid w:val="509B114F"/>
    <w:multiLevelType w:val="multilevel"/>
    <w:tmpl w:val="46A6BE42"/>
    <w:lvl w:ilvl="0">
      <w:start w:val="1"/>
      <w:numFmt w:val="decimal"/>
      <w:lvlText w:val="%1."/>
      <w:lvlJc w:val="left"/>
      <w:pPr>
        <w:ind w:left="644"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99" w15:restartNumberingAfterBreak="0">
    <w:nsid w:val="51417B15"/>
    <w:multiLevelType w:val="hybridMultilevel"/>
    <w:tmpl w:val="DCE4D8F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1C52D55"/>
    <w:multiLevelType w:val="hybridMultilevel"/>
    <w:tmpl w:val="AAF0317C"/>
    <w:lvl w:ilvl="0" w:tplc="04180011">
      <w:start w:val="1"/>
      <w:numFmt w:val="decimal"/>
      <w:lvlText w:val="%1)"/>
      <w:lvlJc w:val="left"/>
      <w:pPr>
        <w:ind w:left="2160" w:hanging="360"/>
      </w:p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01" w15:restartNumberingAfterBreak="0">
    <w:nsid w:val="52846293"/>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2" w15:restartNumberingAfterBreak="0">
    <w:nsid w:val="52A25263"/>
    <w:multiLevelType w:val="hybridMultilevel"/>
    <w:tmpl w:val="7D48D246"/>
    <w:lvl w:ilvl="0" w:tplc="04180017">
      <w:start w:val="1"/>
      <w:numFmt w:val="lowerLetter"/>
      <w:lvlText w:val="%1)"/>
      <w:lvlJc w:val="left"/>
      <w:pPr>
        <w:ind w:left="720" w:hanging="360"/>
      </w:pPr>
    </w:lvl>
    <w:lvl w:ilvl="1" w:tplc="81A887FA">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3" w15:restartNumberingAfterBreak="0">
    <w:nsid w:val="53564CE9"/>
    <w:multiLevelType w:val="hybridMultilevel"/>
    <w:tmpl w:val="DAE29974"/>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5363387B"/>
    <w:multiLevelType w:val="hybridMultilevel"/>
    <w:tmpl w:val="3DF66A90"/>
    <w:lvl w:ilvl="0" w:tplc="67689AEE">
      <w:start w:val="1"/>
      <w:numFmt w:val="decimal"/>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205" w15:restartNumberingAfterBreak="0">
    <w:nsid w:val="53674FFD"/>
    <w:multiLevelType w:val="hybridMultilevel"/>
    <w:tmpl w:val="D8386E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3C8772B"/>
    <w:multiLevelType w:val="hybridMultilevel"/>
    <w:tmpl w:val="63427556"/>
    <w:lvl w:ilvl="0" w:tplc="11A2F74A">
      <w:start w:val="55"/>
      <w:numFmt w:val="decimal"/>
      <w:lvlText w:val="%1."/>
      <w:lvlJc w:val="left"/>
      <w:pPr>
        <w:ind w:left="473" w:hanging="360"/>
      </w:pPr>
      <w:rPr>
        <w:rFonts w:eastAsia="Calibri"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07" w15:restartNumberingAfterBreak="0">
    <w:nsid w:val="540D2DF4"/>
    <w:multiLevelType w:val="hybridMultilevel"/>
    <w:tmpl w:val="59AEDDD8"/>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543B2986"/>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9" w15:restartNumberingAfterBreak="0">
    <w:nsid w:val="54A74EF2"/>
    <w:multiLevelType w:val="hybridMultilevel"/>
    <w:tmpl w:val="600631E4"/>
    <w:lvl w:ilvl="0" w:tplc="54362F72">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0" w15:restartNumberingAfterBreak="0">
    <w:nsid w:val="555E4CEB"/>
    <w:multiLevelType w:val="hybridMultilevel"/>
    <w:tmpl w:val="DA6AA734"/>
    <w:lvl w:ilvl="0" w:tplc="07E40C76">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1" w15:restartNumberingAfterBreak="0">
    <w:nsid w:val="55E327CE"/>
    <w:multiLevelType w:val="hybridMultilevel"/>
    <w:tmpl w:val="73C0E7E0"/>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2" w15:restartNumberingAfterBreak="0">
    <w:nsid w:val="56425EF8"/>
    <w:multiLevelType w:val="hybridMultilevel"/>
    <w:tmpl w:val="8CB6A4A6"/>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3" w15:restartNumberingAfterBreak="0">
    <w:nsid w:val="567E6704"/>
    <w:multiLevelType w:val="hybridMultilevel"/>
    <w:tmpl w:val="B3E29200"/>
    <w:lvl w:ilvl="0" w:tplc="04180017">
      <w:start w:val="1"/>
      <w:numFmt w:val="lowerLetter"/>
      <w:lvlText w:val="%1)"/>
      <w:lvlJc w:val="left"/>
      <w:pPr>
        <w:ind w:left="1910" w:hanging="360"/>
      </w:pPr>
    </w:lvl>
    <w:lvl w:ilvl="1" w:tplc="08180019" w:tentative="1">
      <w:start w:val="1"/>
      <w:numFmt w:val="lowerLetter"/>
      <w:lvlText w:val="%2."/>
      <w:lvlJc w:val="left"/>
      <w:pPr>
        <w:ind w:left="2630" w:hanging="360"/>
      </w:pPr>
    </w:lvl>
    <w:lvl w:ilvl="2" w:tplc="0818001B" w:tentative="1">
      <w:start w:val="1"/>
      <w:numFmt w:val="lowerRoman"/>
      <w:lvlText w:val="%3."/>
      <w:lvlJc w:val="right"/>
      <w:pPr>
        <w:ind w:left="3350" w:hanging="180"/>
      </w:pPr>
    </w:lvl>
    <w:lvl w:ilvl="3" w:tplc="0818000F" w:tentative="1">
      <w:start w:val="1"/>
      <w:numFmt w:val="decimal"/>
      <w:lvlText w:val="%4."/>
      <w:lvlJc w:val="left"/>
      <w:pPr>
        <w:ind w:left="4070" w:hanging="360"/>
      </w:pPr>
    </w:lvl>
    <w:lvl w:ilvl="4" w:tplc="08180019" w:tentative="1">
      <w:start w:val="1"/>
      <w:numFmt w:val="lowerLetter"/>
      <w:lvlText w:val="%5."/>
      <w:lvlJc w:val="left"/>
      <w:pPr>
        <w:ind w:left="4790" w:hanging="360"/>
      </w:pPr>
    </w:lvl>
    <w:lvl w:ilvl="5" w:tplc="0818001B" w:tentative="1">
      <w:start w:val="1"/>
      <w:numFmt w:val="lowerRoman"/>
      <w:lvlText w:val="%6."/>
      <w:lvlJc w:val="right"/>
      <w:pPr>
        <w:ind w:left="5510" w:hanging="180"/>
      </w:pPr>
    </w:lvl>
    <w:lvl w:ilvl="6" w:tplc="0818000F" w:tentative="1">
      <w:start w:val="1"/>
      <w:numFmt w:val="decimal"/>
      <w:lvlText w:val="%7."/>
      <w:lvlJc w:val="left"/>
      <w:pPr>
        <w:ind w:left="6230" w:hanging="360"/>
      </w:pPr>
    </w:lvl>
    <w:lvl w:ilvl="7" w:tplc="08180019" w:tentative="1">
      <w:start w:val="1"/>
      <w:numFmt w:val="lowerLetter"/>
      <w:lvlText w:val="%8."/>
      <w:lvlJc w:val="left"/>
      <w:pPr>
        <w:ind w:left="6950" w:hanging="360"/>
      </w:pPr>
    </w:lvl>
    <w:lvl w:ilvl="8" w:tplc="0818001B" w:tentative="1">
      <w:start w:val="1"/>
      <w:numFmt w:val="lowerRoman"/>
      <w:lvlText w:val="%9."/>
      <w:lvlJc w:val="right"/>
      <w:pPr>
        <w:ind w:left="7670" w:hanging="180"/>
      </w:pPr>
    </w:lvl>
  </w:abstractNum>
  <w:abstractNum w:abstractNumId="214" w15:restartNumberingAfterBreak="0">
    <w:nsid w:val="569028C8"/>
    <w:multiLevelType w:val="hybridMultilevel"/>
    <w:tmpl w:val="6B563F24"/>
    <w:lvl w:ilvl="0" w:tplc="C6B001A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5" w15:restartNumberingAfterBreak="0">
    <w:nsid w:val="569130F4"/>
    <w:multiLevelType w:val="hybridMultilevel"/>
    <w:tmpl w:val="99B65E3C"/>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6" w15:restartNumberingAfterBreak="0">
    <w:nsid w:val="56913F76"/>
    <w:multiLevelType w:val="hybridMultilevel"/>
    <w:tmpl w:val="653634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6EE2B50"/>
    <w:multiLevelType w:val="hybridMultilevel"/>
    <w:tmpl w:val="B19431D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18" w15:restartNumberingAfterBreak="0">
    <w:nsid w:val="57227703"/>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9" w15:restartNumberingAfterBreak="0">
    <w:nsid w:val="576918A3"/>
    <w:multiLevelType w:val="hybridMultilevel"/>
    <w:tmpl w:val="C58C1B5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0" w15:restartNumberingAfterBreak="0">
    <w:nsid w:val="57AA5E24"/>
    <w:multiLevelType w:val="hybridMultilevel"/>
    <w:tmpl w:val="E7AEC1EC"/>
    <w:lvl w:ilvl="0" w:tplc="F9BC63F2">
      <w:start w:val="1"/>
      <w:numFmt w:val="lowerLetter"/>
      <w:lvlText w:val="%1)"/>
      <w:lvlJc w:val="left"/>
      <w:pPr>
        <w:ind w:left="720" w:hanging="360"/>
      </w:pPr>
      <w:rPr>
        <w:rFonts w:ascii="Times New Roman" w:eastAsia="Batang" w:hAnsi="Times New Roman" w:cs="Times New Roman"/>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7B91E87"/>
    <w:multiLevelType w:val="hybridMultilevel"/>
    <w:tmpl w:val="C59C647C"/>
    <w:lvl w:ilvl="0" w:tplc="5CCC5BD4">
      <w:start w:val="1"/>
      <w:numFmt w:val="lowerLetter"/>
      <w:lvlText w:val="%1)"/>
      <w:lvlJc w:val="left"/>
      <w:pPr>
        <w:ind w:left="1134" w:hanging="360"/>
      </w:pPr>
      <w:rPr>
        <w:b w:val="0"/>
        <w:bCs w:val="0"/>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222" w15:restartNumberingAfterBreak="0">
    <w:nsid w:val="57D72171"/>
    <w:multiLevelType w:val="hybridMultilevel"/>
    <w:tmpl w:val="BE30D2F4"/>
    <w:lvl w:ilvl="0" w:tplc="04180017">
      <w:start w:val="1"/>
      <w:numFmt w:val="lowerLetter"/>
      <w:lvlText w:val="%1)"/>
      <w:lvlJc w:val="left"/>
      <w:pPr>
        <w:ind w:left="720" w:hanging="360"/>
      </w:pPr>
    </w:lvl>
    <w:lvl w:ilvl="1" w:tplc="5464E238">
      <w:start w:val="1"/>
      <w:numFmt w:val="decimal"/>
      <w:lvlText w:val="%2)"/>
      <w:lvlJc w:val="left"/>
      <w:pPr>
        <w:ind w:left="1440" w:hanging="360"/>
      </w:pPr>
      <w:rPr>
        <w:rFonts w:ascii="Times New Roman" w:eastAsia="Calibri" w:hAnsi="Times New Roman" w:cs="Times New Roman"/>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3" w15:restartNumberingAfterBreak="0">
    <w:nsid w:val="58E3413E"/>
    <w:multiLevelType w:val="hybridMultilevel"/>
    <w:tmpl w:val="71565426"/>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4" w15:restartNumberingAfterBreak="0">
    <w:nsid w:val="58E6482A"/>
    <w:multiLevelType w:val="hybridMultilevel"/>
    <w:tmpl w:val="895E6CB4"/>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5" w15:restartNumberingAfterBreak="0">
    <w:nsid w:val="5957211E"/>
    <w:multiLevelType w:val="hybridMultilevel"/>
    <w:tmpl w:val="604E1AC4"/>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6" w15:restartNumberingAfterBreak="0">
    <w:nsid w:val="5A2D48EA"/>
    <w:multiLevelType w:val="hybridMultilevel"/>
    <w:tmpl w:val="D11260A2"/>
    <w:lvl w:ilvl="0" w:tplc="C6227AE8">
      <w:start w:val="1"/>
      <w:numFmt w:val="lowerLetter"/>
      <w:lvlText w:val="%1)"/>
      <w:lvlJc w:val="left"/>
      <w:pPr>
        <w:ind w:left="1800" w:hanging="360"/>
      </w:pPr>
      <w:rPr>
        <w:b w:val="0"/>
        <w:bCs/>
      </w:r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27" w15:restartNumberingAfterBreak="0">
    <w:nsid w:val="5A5D64A2"/>
    <w:multiLevelType w:val="hybridMultilevel"/>
    <w:tmpl w:val="95E269AE"/>
    <w:lvl w:ilvl="0" w:tplc="CEB48B46">
      <w:start w:val="8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8" w15:restartNumberingAfterBreak="0">
    <w:nsid w:val="5A750075"/>
    <w:multiLevelType w:val="hybridMultilevel"/>
    <w:tmpl w:val="5DA635A6"/>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9" w15:restartNumberingAfterBreak="0">
    <w:nsid w:val="5B005C81"/>
    <w:multiLevelType w:val="hybridMultilevel"/>
    <w:tmpl w:val="2F60D97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0" w15:restartNumberingAfterBreak="0">
    <w:nsid w:val="5B87107B"/>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31" w15:restartNumberingAfterBreak="0">
    <w:nsid w:val="5BEF2B4E"/>
    <w:multiLevelType w:val="hybridMultilevel"/>
    <w:tmpl w:val="2BA0E3D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32" w15:restartNumberingAfterBreak="0">
    <w:nsid w:val="5C1907CE"/>
    <w:multiLevelType w:val="hybridMultilevel"/>
    <w:tmpl w:val="B71E876C"/>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C667099"/>
    <w:multiLevelType w:val="hybridMultilevel"/>
    <w:tmpl w:val="32AAEE42"/>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4" w15:restartNumberingAfterBreak="0">
    <w:nsid w:val="5CB26A5D"/>
    <w:multiLevelType w:val="hybridMultilevel"/>
    <w:tmpl w:val="C13232E2"/>
    <w:lvl w:ilvl="0" w:tplc="5E625E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5" w15:restartNumberingAfterBreak="0">
    <w:nsid w:val="5CB96DF3"/>
    <w:multiLevelType w:val="hybridMultilevel"/>
    <w:tmpl w:val="F3720D00"/>
    <w:lvl w:ilvl="0" w:tplc="0A2A6E28">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6" w15:restartNumberingAfterBreak="0">
    <w:nsid w:val="5D401DC7"/>
    <w:multiLevelType w:val="hybridMultilevel"/>
    <w:tmpl w:val="9D9045D8"/>
    <w:lvl w:ilvl="0" w:tplc="D80E0FF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7" w15:restartNumberingAfterBreak="0">
    <w:nsid w:val="5EAD581E"/>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8" w15:restartNumberingAfterBreak="0">
    <w:nsid w:val="5EDC7618"/>
    <w:multiLevelType w:val="hybridMultilevel"/>
    <w:tmpl w:val="756ABFC2"/>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9" w15:restartNumberingAfterBreak="0">
    <w:nsid w:val="5F1313B7"/>
    <w:multiLevelType w:val="hybridMultilevel"/>
    <w:tmpl w:val="2A56A7C0"/>
    <w:lvl w:ilvl="0" w:tplc="04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0" w15:restartNumberingAfterBreak="0">
    <w:nsid w:val="600204E0"/>
    <w:multiLevelType w:val="hybridMultilevel"/>
    <w:tmpl w:val="E87C9A92"/>
    <w:lvl w:ilvl="0" w:tplc="423C7E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602B250F"/>
    <w:multiLevelType w:val="hybridMultilevel"/>
    <w:tmpl w:val="E9F618AE"/>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2" w15:restartNumberingAfterBreak="0">
    <w:nsid w:val="618339B8"/>
    <w:multiLevelType w:val="hybridMultilevel"/>
    <w:tmpl w:val="FC56F4C0"/>
    <w:lvl w:ilvl="0" w:tplc="0302E5E2">
      <w:start w:val="1"/>
      <w:numFmt w:val="lowerRoman"/>
      <w:lvlText w:val="%1."/>
      <w:lvlJc w:val="right"/>
      <w:pPr>
        <w:ind w:left="1080" w:hanging="360"/>
      </w:pPr>
      <w:rPr>
        <w:b w:val="0"/>
        <w:bCs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3" w15:restartNumberingAfterBreak="0">
    <w:nsid w:val="619E4291"/>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61D919C3"/>
    <w:multiLevelType w:val="hybridMultilevel"/>
    <w:tmpl w:val="031EEBA0"/>
    <w:lvl w:ilvl="0" w:tplc="ED242134">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5" w15:restartNumberingAfterBreak="0">
    <w:nsid w:val="624F4A3B"/>
    <w:multiLevelType w:val="hybridMultilevel"/>
    <w:tmpl w:val="FD5C7B5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26334C1"/>
    <w:multiLevelType w:val="hybridMultilevel"/>
    <w:tmpl w:val="F81C173E"/>
    <w:lvl w:ilvl="0" w:tplc="0418001B">
      <w:start w:val="1"/>
      <w:numFmt w:val="lowerRoman"/>
      <w:lvlText w:val="%1."/>
      <w:lvlJc w:val="right"/>
      <w:pPr>
        <w:ind w:left="777" w:hanging="360"/>
      </w:pPr>
    </w:lvl>
    <w:lvl w:ilvl="1" w:tplc="08180019" w:tentative="1">
      <w:start w:val="1"/>
      <w:numFmt w:val="lowerLetter"/>
      <w:lvlText w:val="%2."/>
      <w:lvlJc w:val="left"/>
      <w:pPr>
        <w:ind w:left="1497" w:hanging="360"/>
      </w:pPr>
    </w:lvl>
    <w:lvl w:ilvl="2" w:tplc="0818001B" w:tentative="1">
      <w:start w:val="1"/>
      <w:numFmt w:val="lowerRoman"/>
      <w:lvlText w:val="%3."/>
      <w:lvlJc w:val="right"/>
      <w:pPr>
        <w:ind w:left="2217" w:hanging="180"/>
      </w:pPr>
    </w:lvl>
    <w:lvl w:ilvl="3" w:tplc="0818000F" w:tentative="1">
      <w:start w:val="1"/>
      <w:numFmt w:val="decimal"/>
      <w:lvlText w:val="%4."/>
      <w:lvlJc w:val="left"/>
      <w:pPr>
        <w:ind w:left="2937" w:hanging="360"/>
      </w:pPr>
    </w:lvl>
    <w:lvl w:ilvl="4" w:tplc="08180019" w:tentative="1">
      <w:start w:val="1"/>
      <w:numFmt w:val="lowerLetter"/>
      <w:lvlText w:val="%5."/>
      <w:lvlJc w:val="left"/>
      <w:pPr>
        <w:ind w:left="3657" w:hanging="360"/>
      </w:pPr>
    </w:lvl>
    <w:lvl w:ilvl="5" w:tplc="0818001B" w:tentative="1">
      <w:start w:val="1"/>
      <w:numFmt w:val="lowerRoman"/>
      <w:lvlText w:val="%6."/>
      <w:lvlJc w:val="right"/>
      <w:pPr>
        <w:ind w:left="4377" w:hanging="180"/>
      </w:pPr>
    </w:lvl>
    <w:lvl w:ilvl="6" w:tplc="0818000F" w:tentative="1">
      <w:start w:val="1"/>
      <w:numFmt w:val="decimal"/>
      <w:lvlText w:val="%7."/>
      <w:lvlJc w:val="left"/>
      <w:pPr>
        <w:ind w:left="5097" w:hanging="360"/>
      </w:pPr>
    </w:lvl>
    <w:lvl w:ilvl="7" w:tplc="08180019" w:tentative="1">
      <w:start w:val="1"/>
      <w:numFmt w:val="lowerLetter"/>
      <w:lvlText w:val="%8."/>
      <w:lvlJc w:val="left"/>
      <w:pPr>
        <w:ind w:left="5817" w:hanging="360"/>
      </w:pPr>
    </w:lvl>
    <w:lvl w:ilvl="8" w:tplc="0818001B" w:tentative="1">
      <w:start w:val="1"/>
      <w:numFmt w:val="lowerRoman"/>
      <w:lvlText w:val="%9."/>
      <w:lvlJc w:val="right"/>
      <w:pPr>
        <w:ind w:left="6537" w:hanging="180"/>
      </w:pPr>
    </w:lvl>
  </w:abstractNum>
  <w:abstractNum w:abstractNumId="247" w15:restartNumberingAfterBreak="0">
    <w:nsid w:val="62727DB4"/>
    <w:multiLevelType w:val="hybridMultilevel"/>
    <w:tmpl w:val="BCB62C2A"/>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2DD77A7"/>
    <w:multiLevelType w:val="hybridMultilevel"/>
    <w:tmpl w:val="15CED8F4"/>
    <w:lvl w:ilvl="0" w:tplc="FC68C01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9" w15:restartNumberingAfterBreak="0">
    <w:nsid w:val="62DF4746"/>
    <w:multiLevelType w:val="hybridMultilevel"/>
    <w:tmpl w:val="B33A41D8"/>
    <w:lvl w:ilvl="0" w:tplc="5EC41650">
      <w:start w:val="1"/>
      <w:numFmt w:val="decimal"/>
      <w:lvlText w:val="%1)"/>
      <w:lvlJc w:val="left"/>
      <w:pPr>
        <w:ind w:left="1440" w:hanging="360"/>
      </w:pPr>
      <w:rPr>
        <w:b w:val="0"/>
        <w:bCs/>
        <w:sz w:val="20"/>
        <w:szCs w:val="20"/>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0" w15:restartNumberingAfterBreak="0">
    <w:nsid w:val="62EF277A"/>
    <w:multiLevelType w:val="hybridMultilevel"/>
    <w:tmpl w:val="22F80A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3B15BDB"/>
    <w:multiLevelType w:val="hybridMultilevel"/>
    <w:tmpl w:val="6352C40E"/>
    <w:lvl w:ilvl="0" w:tplc="3176DB6C">
      <w:start w:val="1"/>
      <w:numFmt w:val="decimal"/>
      <w:lvlText w:val="(%1)"/>
      <w:lvlJc w:val="left"/>
      <w:pPr>
        <w:ind w:left="1506" w:hanging="360"/>
      </w:pPr>
      <w:rPr>
        <w:rFonts w:hint="default"/>
      </w:r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252" w15:restartNumberingAfterBreak="0">
    <w:nsid w:val="645A2CBA"/>
    <w:multiLevelType w:val="hybridMultilevel"/>
    <w:tmpl w:val="2EA62640"/>
    <w:lvl w:ilvl="0" w:tplc="04180017">
      <w:start w:val="17"/>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3" w15:restartNumberingAfterBreak="0">
    <w:nsid w:val="648223C8"/>
    <w:multiLevelType w:val="hybridMultilevel"/>
    <w:tmpl w:val="F6B053F2"/>
    <w:lvl w:ilvl="0" w:tplc="DDD021BE">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4" w15:restartNumberingAfterBreak="0">
    <w:nsid w:val="652515F1"/>
    <w:multiLevelType w:val="hybridMultilevel"/>
    <w:tmpl w:val="C0E83BF0"/>
    <w:lvl w:ilvl="0" w:tplc="D570A498">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5" w15:restartNumberingAfterBreak="0">
    <w:nsid w:val="65537B32"/>
    <w:multiLevelType w:val="hybridMultilevel"/>
    <w:tmpl w:val="04B8611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6" w15:restartNumberingAfterBreak="0">
    <w:nsid w:val="65BC1884"/>
    <w:multiLevelType w:val="hybridMultilevel"/>
    <w:tmpl w:val="AD341260"/>
    <w:lvl w:ilvl="0" w:tplc="04180011">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7" w15:restartNumberingAfterBreak="0">
    <w:nsid w:val="65C03D13"/>
    <w:multiLevelType w:val="hybridMultilevel"/>
    <w:tmpl w:val="0F14BCE8"/>
    <w:lvl w:ilvl="0" w:tplc="04190017">
      <w:start w:val="1"/>
      <w:numFmt w:val="lowerLetter"/>
      <w:lvlText w:val="%1)"/>
      <w:lvlJc w:val="left"/>
      <w:pPr>
        <w:ind w:left="1134" w:hanging="360"/>
      </w:pPr>
      <w:rPr>
        <w:b w:val="0"/>
        <w:bCs w:val="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58" w15:restartNumberingAfterBreak="0">
    <w:nsid w:val="669B2144"/>
    <w:multiLevelType w:val="hybridMultilevel"/>
    <w:tmpl w:val="CF769FC8"/>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9" w15:restartNumberingAfterBreak="0">
    <w:nsid w:val="67AE54D7"/>
    <w:multiLevelType w:val="hybridMultilevel"/>
    <w:tmpl w:val="599654A0"/>
    <w:lvl w:ilvl="0" w:tplc="04180011">
      <w:start w:val="1"/>
      <w:numFmt w:val="decimal"/>
      <w:lvlText w:val="%1)"/>
      <w:lvlJc w:val="left"/>
      <w:pPr>
        <w:ind w:left="720" w:hanging="360"/>
      </w:pPr>
    </w:lvl>
    <w:lvl w:ilvl="1" w:tplc="FFFFFFFF">
      <w:start w:val="1"/>
      <w:numFmt w:val="decimal"/>
      <w:lvlText w:val="%2)"/>
      <w:lvlJc w:val="lef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7D511D4"/>
    <w:multiLevelType w:val="hybridMultilevel"/>
    <w:tmpl w:val="C7D84E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67DE01C8"/>
    <w:multiLevelType w:val="hybridMultilevel"/>
    <w:tmpl w:val="015EED10"/>
    <w:lvl w:ilvl="0" w:tplc="C7686C04">
      <w:start w:val="1"/>
      <w:numFmt w:val="lowerRoman"/>
      <w:lvlText w:val="(%1)"/>
      <w:lvlJc w:val="left"/>
      <w:pPr>
        <w:ind w:left="720" w:hanging="360"/>
      </w:pPr>
      <w:rPr>
        <w:rFonts w:ascii="Times New Roman" w:eastAsiaTheme="minorEastAsia"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686B0CC3"/>
    <w:multiLevelType w:val="hybridMultilevel"/>
    <w:tmpl w:val="180257F2"/>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3" w15:restartNumberingAfterBreak="0">
    <w:nsid w:val="688C1F08"/>
    <w:multiLevelType w:val="hybridMultilevel"/>
    <w:tmpl w:val="2FECBA10"/>
    <w:lvl w:ilvl="0" w:tplc="C7686C04">
      <w:start w:val="1"/>
      <w:numFmt w:val="lowerRoman"/>
      <w:lvlText w:val="(%1)"/>
      <w:lvlJc w:val="left"/>
      <w:pPr>
        <w:ind w:left="2520" w:hanging="360"/>
      </w:pPr>
      <w:rPr>
        <w:rFonts w:ascii="Times New Roman" w:eastAsiaTheme="minorEastAsia" w:hAnsi="Times New Roman" w:cs="Times New Roman"/>
        <w:color w:val="auto"/>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4" w15:restartNumberingAfterBreak="0">
    <w:nsid w:val="68CF1D28"/>
    <w:multiLevelType w:val="hybridMultilevel"/>
    <w:tmpl w:val="A03215D8"/>
    <w:lvl w:ilvl="0" w:tplc="04180017">
      <w:start w:val="1"/>
      <w:numFmt w:val="lowerLetter"/>
      <w:lvlText w:val="%1)"/>
      <w:lvlJc w:val="left"/>
      <w:pPr>
        <w:ind w:left="720" w:hanging="360"/>
      </w:pPr>
    </w:lvl>
    <w:lvl w:ilvl="1" w:tplc="56068A76">
      <w:start w:val="6"/>
      <w:numFmt w:val="bullet"/>
      <w:lvlText w:val=""/>
      <w:lvlJc w:val="left"/>
      <w:pPr>
        <w:ind w:left="1440" w:hanging="360"/>
      </w:pPr>
      <w:rPr>
        <w:rFonts w:ascii="Symbol" w:eastAsia="Calibr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5" w15:restartNumberingAfterBreak="0">
    <w:nsid w:val="695229A7"/>
    <w:multiLevelType w:val="hybridMultilevel"/>
    <w:tmpl w:val="38E4CCDC"/>
    <w:lvl w:ilvl="0" w:tplc="93BE84A0">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6" w15:restartNumberingAfterBreak="0">
    <w:nsid w:val="698A167B"/>
    <w:multiLevelType w:val="hybridMultilevel"/>
    <w:tmpl w:val="A78E919A"/>
    <w:lvl w:ilvl="0" w:tplc="FEFEE5AC">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69AD541C"/>
    <w:multiLevelType w:val="hybridMultilevel"/>
    <w:tmpl w:val="F55691A6"/>
    <w:lvl w:ilvl="0" w:tplc="378A3B5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8" w15:restartNumberingAfterBreak="0">
    <w:nsid w:val="6A9518CE"/>
    <w:multiLevelType w:val="hybridMultilevel"/>
    <w:tmpl w:val="927E739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69" w15:restartNumberingAfterBreak="0">
    <w:nsid w:val="6AB33354"/>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0" w15:restartNumberingAfterBreak="0">
    <w:nsid w:val="6AB61BE6"/>
    <w:multiLevelType w:val="hybridMultilevel"/>
    <w:tmpl w:val="B53070DA"/>
    <w:lvl w:ilvl="0" w:tplc="F8DA7D4A">
      <w:start w:val="1"/>
      <w:numFmt w:val="upp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1" w15:restartNumberingAfterBreak="0">
    <w:nsid w:val="6BCA780E"/>
    <w:multiLevelType w:val="hybridMultilevel"/>
    <w:tmpl w:val="F4F4F8C4"/>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2" w15:restartNumberingAfterBreak="0">
    <w:nsid w:val="6CEE43ED"/>
    <w:multiLevelType w:val="hybridMultilevel"/>
    <w:tmpl w:val="5EB26BEC"/>
    <w:lvl w:ilvl="0" w:tplc="04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3" w15:restartNumberingAfterBreak="0">
    <w:nsid w:val="6D273EA5"/>
    <w:multiLevelType w:val="hybridMultilevel"/>
    <w:tmpl w:val="A7947544"/>
    <w:lvl w:ilvl="0" w:tplc="C7686C04">
      <w:start w:val="1"/>
      <w:numFmt w:val="lowerRoman"/>
      <w:lvlText w:val="(%1)"/>
      <w:lvlJc w:val="left"/>
      <w:pPr>
        <w:ind w:left="720" w:hanging="360"/>
      </w:pPr>
      <w:rPr>
        <w:rFonts w:ascii="Times New Roman" w:eastAsiaTheme="minorEastAsia" w:hAnsi="Times New Roman" w:cs="Times New Roman"/>
        <w:color w:val="auto"/>
      </w:rPr>
    </w:lvl>
    <w:lvl w:ilvl="1" w:tplc="FFFFFFFF" w:tentative="1">
      <w:start w:val="1"/>
      <w:numFmt w:val="lowerLetter"/>
      <w:lvlText w:val="%2."/>
      <w:lvlJc w:val="left"/>
      <w:pPr>
        <w:ind w:left="3350" w:hanging="360"/>
      </w:pPr>
    </w:lvl>
    <w:lvl w:ilvl="2" w:tplc="FFFFFFFF" w:tentative="1">
      <w:start w:val="1"/>
      <w:numFmt w:val="lowerRoman"/>
      <w:lvlText w:val="%3."/>
      <w:lvlJc w:val="right"/>
      <w:pPr>
        <w:ind w:left="4070" w:hanging="180"/>
      </w:pPr>
    </w:lvl>
    <w:lvl w:ilvl="3" w:tplc="FFFFFFFF" w:tentative="1">
      <w:start w:val="1"/>
      <w:numFmt w:val="decimal"/>
      <w:lvlText w:val="%4."/>
      <w:lvlJc w:val="left"/>
      <w:pPr>
        <w:ind w:left="4790" w:hanging="360"/>
      </w:pPr>
    </w:lvl>
    <w:lvl w:ilvl="4" w:tplc="FFFFFFFF" w:tentative="1">
      <w:start w:val="1"/>
      <w:numFmt w:val="lowerLetter"/>
      <w:lvlText w:val="%5."/>
      <w:lvlJc w:val="left"/>
      <w:pPr>
        <w:ind w:left="5510" w:hanging="360"/>
      </w:pPr>
    </w:lvl>
    <w:lvl w:ilvl="5" w:tplc="FFFFFFFF" w:tentative="1">
      <w:start w:val="1"/>
      <w:numFmt w:val="lowerRoman"/>
      <w:lvlText w:val="%6."/>
      <w:lvlJc w:val="right"/>
      <w:pPr>
        <w:ind w:left="6230" w:hanging="180"/>
      </w:pPr>
    </w:lvl>
    <w:lvl w:ilvl="6" w:tplc="FFFFFFFF" w:tentative="1">
      <w:start w:val="1"/>
      <w:numFmt w:val="decimal"/>
      <w:lvlText w:val="%7."/>
      <w:lvlJc w:val="left"/>
      <w:pPr>
        <w:ind w:left="6950" w:hanging="360"/>
      </w:pPr>
    </w:lvl>
    <w:lvl w:ilvl="7" w:tplc="FFFFFFFF" w:tentative="1">
      <w:start w:val="1"/>
      <w:numFmt w:val="lowerLetter"/>
      <w:lvlText w:val="%8."/>
      <w:lvlJc w:val="left"/>
      <w:pPr>
        <w:ind w:left="7670" w:hanging="360"/>
      </w:pPr>
    </w:lvl>
    <w:lvl w:ilvl="8" w:tplc="FFFFFFFF" w:tentative="1">
      <w:start w:val="1"/>
      <w:numFmt w:val="lowerRoman"/>
      <w:lvlText w:val="%9."/>
      <w:lvlJc w:val="right"/>
      <w:pPr>
        <w:ind w:left="8390" w:hanging="180"/>
      </w:pPr>
    </w:lvl>
  </w:abstractNum>
  <w:abstractNum w:abstractNumId="274" w15:restartNumberingAfterBreak="0">
    <w:nsid w:val="6DC440A1"/>
    <w:multiLevelType w:val="hybridMultilevel"/>
    <w:tmpl w:val="4614CD7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5" w15:restartNumberingAfterBreak="0">
    <w:nsid w:val="6E6A30C2"/>
    <w:multiLevelType w:val="hybridMultilevel"/>
    <w:tmpl w:val="88CC88C8"/>
    <w:lvl w:ilvl="0" w:tplc="0418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EDA74C4"/>
    <w:multiLevelType w:val="hybridMultilevel"/>
    <w:tmpl w:val="9D74E4C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7" w15:restartNumberingAfterBreak="0">
    <w:nsid w:val="6EF1543D"/>
    <w:multiLevelType w:val="hybridMultilevel"/>
    <w:tmpl w:val="8D72FAA2"/>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F4900B8"/>
    <w:multiLevelType w:val="hybridMultilevel"/>
    <w:tmpl w:val="1E68DB1A"/>
    <w:lvl w:ilvl="0" w:tplc="F27E7654">
      <w:start w:val="1"/>
      <w:numFmt w:val="lowerLetter"/>
      <w:lvlText w:val="%1)"/>
      <w:lvlJc w:val="left"/>
      <w:pPr>
        <w:ind w:left="2160" w:hanging="360"/>
      </w:pPr>
      <w:rPr>
        <w:rFonts w:cs="Times New Roman"/>
        <w:b w:val="0"/>
        <w:bCs/>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79" w15:restartNumberingAfterBreak="0">
    <w:nsid w:val="6F5324C3"/>
    <w:multiLevelType w:val="hybridMultilevel"/>
    <w:tmpl w:val="7B4C934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0" w15:restartNumberingAfterBreak="0">
    <w:nsid w:val="6FA25A2F"/>
    <w:multiLevelType w:val="multilevel"/>
    <w:tmpl w:val="318E786E"/>
    <w:lvl w:ilvl="0">
      <w:start w:val="1"/>
      <w:numFmt w:val="decimal"/>
      <w:lvlText w:val="%1)"/>
      <w:lvlJc w:val="left"/>
      <w:pPr>
        <w:ind w:left="720" w:hanging="360"/>
      </w:pPr>
      <w:rPr>
        <w:b w:val="0"/>
        <w:bCs w:val="0"/>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1" w15:restartNumberingAfterBreak="0">
    <w:nsid w:val="6FA67CE5"/>
    <w:multiLevelType w:val="hybridMultilevel"/>
    <w:tmpl w:val="5DAAD0FE"/>
    <w:lvl w:ilvl="0" w:tplc="E604CA9C">
      <w:start w:val="1"/>
      <w:numFmt w:val="lowerLetter"/>
      <w:lvlText w:val="%1)"/>
      <w:lvlJc w:val="left"/>
      <w:pPr>
        <w:ind w:left="2160" w:hanging="360"/>
      </w:pPr>
      <w:rPr>
        <w:rFonts w:cs="Times New Roman"/>
        <w:color w:val="auto"/>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282" w15:restartNumberingAfterBreak="0">
    <w:nsid w:val="6FDA5760"/>
    <w:multiLevelType w:val="hybridMultilevel"/>
    <w:tmpl w:val="B2B09FBA"/>
    <w:lvl w:ilvl="0" w:tplc="14429A0C">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3" w15:restartNumberingAfterBreak="0">
    <w:nsid w:val="7046784D"/>
    <w:multiLevelType w:val="hybridMultilevel"/>
    <w:tmpl w:val="08727FDC"/>
    <w:lvl w:ilvl="0" w:tplc="FFFFFFFF">
      <w:start w:val="1"/>
      <w:numFmt w:val="decimal"/>
      <w:lvlText w:val="%1."/>
      <w:lvlJc w:val="left"/>
      <w:pPr>
        <w:ind w:left="720" w:hanging="360"/>
      </w:pPr>
      <w:rPr>
        <w:rFonts w:hint="default"/>
      </w:rPr>
    </w:lvl>
    <w:lvl w:ilvl="1" w:tplc="86F01C66">
      <w:start w:val="1"/>
      <w:numFmt w:val="decimal"/>
      <w:lvlText w:val="%2)"/>
      <w:lvlJc w:val="left"/>
      <w:pPr>
        <w:ind w:left="1440" w:hanging="360"/>
      </w:pPr>
      <w:rPr>
        <w:b w:val="0"/>
        <w:bCs/>
      </w:rPr>
    </w:lvl>
    <w:lvl w:ilvl="2" w:tplc="AF5E32FA">
      <w:start w:val="1"/>
      <w:numFmt w:val="decimal"/>
      <w:lvlText w:val="(%3)"/>
      <w:lvlJc w:val="left"/>
      <w:pPr>
        <w:ind w:left="2340" w:hanging="360"/>
      </w:pPr>
      <w:rPr>
        <w:rFonts w:hint="default"/>
      </w:rPr>
    </w:lvl>
    <w:lvl w:ilvl="3" w:tplc="72E2A0E2">
      <w:start w:val="4"/>
      <w:numFmt w:val="upperRoman"/>
      <w:lvlText w:val="%4."/>
      <w:lvlJc w:val="left"/>
      <w:pPr>
        <w:ind w:left="3240" w:hanging="72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4" w15:restartNumberingAfterBreak="0">
    <w:nsid w:val="70BE0A39"/>
    <w:multiLevelType w:val="hybridMultilevel"/>
    <w:tmpl w:val="01EAE7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5" w15:restartNumberingAfterBreak="0">
    <w:nsid w:val="70C04D52"/>
    <w:multiLevelType w:val="hybridMultilevel"/>
    <w:tmpl w:val="15F8404E"/>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12E444B"/>
    <w:multiLevelType w:val="hybridMultilevel"/>
    <w:tmpl w:val="8B64ED5C"/>
    <w:lvl w:ilvl="0" w:tplc="FC68C010">
      <w:start w:val="1"/>
      <w:numFmt w:val="lowerLetter"/>
      <w:lvlText w:val="(%1)"/>
      <w:lvlJc w:val="left"/>
      <w:pPr>
        <w:ind w:left="833" w:hanging="360"/>
      </w:pPr>
      <w:rPr>
        <w:rFonts w:hint="default"/>
      </w:rPr>
    </w:lvl>
    <w:lvl w:ilvl="1" w:tplc="08180019" w:tentative="1">
      <w:start w:val="1"/>
      <w:numFmt w:val="lowerLetter"/>
      <w:lvlText w:val="%2."/>
      <w:lvlJc w:val="left"/>
      <w:pPr>
        <w:ind w:left="1553" w:hanging="360"/>
      </w:pPr>
    </w:lvl>
    <w:lvl w:ilvl="2" w:tplc="0818001B" w:tentative="1">
      <w:start w:val="1"/>
      <w:numFmt w:val="lowerRoman"/>
      <w:lvlText w:val="%3."/>
      <w:lvlJc w:val="right"/>
      <w:pPr>
        <w:ind w:left="2273" w:hanging="180"/>
      </w:pPr>
    </w:lvl>
    <w:lvl w:ilvl="3" w:tplc="0818000F" w:tentative="1">
      <w:start w:val="1"/>
      <w:numFmt w:val="decimal"/>
      <w:lvlText w:val="%4."/>
      <w:lvlJc w:val="left"/>
      <w:pPr>
        <w:ind w:left="2993" w:hanging="360"/>
      </w:pPr>
    </w:lvl>
    <w:lvl w:ilvl="4" w:tplc="08180019" w:tentative="1">
      <w:start w:val="1"/>
      <w:numFmt w:val="lowerLetter"/>
      <w:lvlText w:val="%5."/>
      <w:lvlJc w:val="left"/>
      <w:pPr>
        <w:ind w:left="3713" w:hanging="360"/>
      </w:pPr>
    </w:lvl>
    <w:lvl w:ilvl="5" w:tplc="0818001B" w:tentative="1">
      <w:start w:val="1"/>
      <w:numFmt w:val="lowerRoman"/>
      <w:lvlText w:val="%6."/>
      <w:lvlJc w:val="right"/>
      <w:pPr>
        <w:ind w:left="4433" w:hanging="180"/>
      </w:pPr>
    </w:lvl>
    <w:lvl w:ilvl="6" w:tplc="0818000F" w:tentative="1">
      <w:start w:val="1"/>
      <w:numFmt w:val="decimal"/>
      <w:lvlText w:val="%7."/>
      <w:lvlJc w:val="left"/>
      <w:pPr>
        <w:ind w:left="5153" w:hanging="360"/>
      </w:pPr>
    </w:lvl>
    <w:lvl w:ilvl="7" w:tplc="08180019" w:tentative="1">
      <w:start w:val="1"/>
      <w:numFmt w:val="lowerLetter"/>
      <w:lvlText w:val="%8."/>
      <w:lvlJc w:val="left"/>
      <w:pPr>
        <w:ind w:left="5873" w:hanging="360"/>
      </w:pPr>
    </w:lvl>
    <w:lvl w:ilvl="8" w:tplc="0818001B" w:tentative="1">
      <w:start w:val="1"/>
      <w:numFmt w:val="lowerRoman"/>
      <w:lvlText w:val="%9."/>
      <w:lvlJc w:val="right"/>
      <w:pPr>
        <w:ind w:left="6593" w:hanging="180"/>
      </w:pPr>
    </w:lvl>
  </w:abstractNum>
  <w:abstractNum w:abstractNumId="287" w15:restartNumberingAfterBreak="0">
    <w:nsid w:val="713301B3"/>
    <w:multiLevelType w:val="hybridMultilevel"/>
    <w:tmpl w:val="A02056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13A7F57"/>
    <w:multiLevelType w:val="multilevel"/>
    <w:tmpl w:val="EDF69DD2"/>
    <w:lvl w:ilvl="0">
      <w:start w:val="1"/>
      <w:numFmt w:val="decimal"/>
      <w:lvlText w:val="Articolul %1."/>
      <w:lvlJc w:val="left"/>
      <w:pPr>
        <w:ind w:left="4471" w:hanging="360"/>
      </w:pPr>
      <w:rPr>
        <w:rFonts w:cs="Times New Roman" w:hint="default"/>
        <w:b/>
        <w:i w:val="0"/>
        <w:strike w:val="0"/>
        <w:color w:val="000000"/>
        <w:sz w:val="20"/>
        <w:szCs w:val="20"/>
      </w:rPr>
    </w:lvl>
    <w:lvl w:ilvl="1">
      <w:start w:val="1"/>
      <w:numFmt w:val="decimal"/>
      <w:lvlText w:val="%2)"/>
      <w:lvlJc w:val="left"/>
      <w:pPr>
        <w:ind w:left="1582" w:hanging="360"/>
      </w:pPr>
      <w:rPr>
        <w:rFonts w:cs="Times New Roman" w:hint="default"/>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89" w15:restartNumberingAfterBreak="0">
    <w:nsid w:val="71495947"/>
    <w:multiLevelType w:val="hybridMultilevel"/>
    <w:tmpl w:val="B85AFCE2"/>
    <w:lvl w:ilvl="0" w:tplc="2E5E41F0">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0" w15:restartNumberingAfterBreak="0">
    <w:nsid w:val="71C6098B"/>
    <w:multiLevelType w:val="hybridMultilevel"/>
    <w:tmpl w:val="91A877EA"/>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291" w15:restartNumberingAfterBreak="0">
    <w:nsid w:val="71EE0222"/>
    <w:multiLevelType w:val="hybridMultilevel"/>
    <w:tmpl w:val="01EAE730"/>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2" w15:restartNumberingAfterBreak="0">
    <w:nsid w:val="72CD62E2"/>
    <w:multiLevelType w:val="hybridMultilevel"/>
    <w:tmpl w:val="8636380C"/>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3" w15:restartNumberingAfterBreak="0">
    <w:nsid w:val="732C1E25"/>
    <w:multiLevelType w:val="hybridMultilevel"/>
    <w:tmpl w:val="8C42501C"/>
    <w:lvl w:ilvl="0" w:tplc="C7686C04">
      <w:start w:val="1"/>
      <w:numFmt w:val="lowerRoman"/>
      <w:lvlText w:val="(%1)"/>
      <w:lvlJc w:val="left"/>
      <w:pPr>
        <w:ind w:left="2520" w:hanging="360"/>
      </w:pPr>
      <w:rPr>
        <w:rFonts w:ascii="Times New Roman" w:eastAsiaTheme="minorEastAsia" w:hAnsi="Times New Roman" w:cs="Times New Roman"/>
        <w:b w:val="0"/>
        <w:bCs/>
        <w:color w:val="auto"/>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4" w15:restartNumberingAfterBreak="0">
    <w:nsid w:val="75CE2719"/>
    <w:multiLevelType w:val="hybridMultilevel"/>
    <w:tmpl w:val="2A2656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76501A3B"/>
    <w:multiLevelType w:val="hybridMultilevel"/>
    <w:tmpl w:val="FAB22CFC"/>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6" w15:restartNumberingAfterBreak="0">
    <w:nsid w:val="76707B4B"/>
    <w:multiLevelType w:val="hybridMultilevel"/>
    <w:tmpl w:val="52201830"/>
    <w:lvl w:ilvl="0" w:tplc="2CBEC7DC">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7" w15:restartNumberingAfterBreak="0">
    <w:nsid w:val="76852C2C"/>
    <w:multiLevelType w:val="hybridMultilevel"/>
    <w:tmpl w:val="C2EC4A4E"/>
    <w:lvl w:ilvl="0" w:tplc="04180011">
      <w:start w:val="1"/>
      <w:numFmt w:val="decimal"/>
      <w:lvlText w:val="%1)"/>
      <w:lvlJc w:val="left"/>
      <w:pPr>
        <w:ind w:left="1190" w:hanging="360"/>
      </w:pPr>
    </w:lvl>
    <w:lvl w:ilvl="1" w:tplc="08180019" w:tentative="1">
      <w:start w:val="1"/>
      <w:numFmt w:val="lowerLetter"/>
      <w:lvlText w:val="%2."/>
      <w:lvlJc w:val="left"/>
      <w:pPr>
        <w:ind w:left="1910" w:hanging="360"/>
      </w:pPr>
    </w:lvl>
    <w:lvl w:ilvl="2" w:tplc="0818001B" w:tentative="1">
      <w:start w:val="1"/>
      <w:numFmt w:val="lowerRoman"/>
      <w:lvlText w:val="%3."/>
      <w:lvlJc w:val="right"/>
      <w:pPr>
        <w:ind w:left="2630" w:hanging="180"/>
      </w:pPr>
    </w:lvl>
    <w:lvl w:ilvl="3" w:tplc="0818000F" w:tentative="1">
      <w:start w:val="1"/>
      <w:numFmt w:val="decimal"/>
      <w:lvlText w:val="%4."/>
      <w:lvlJc w:val="left"/>
      <w:pPr>
        <w:ind w:left="3350" w:hanging="360"/>
      </w:pPr>
    </w:lvl>
    <w:lvl w:ilvl="4" w:tplc="08180019" w:tentative="1">
      <w:start w:val="1"/>
      <w:numFmt w:val="lowerLetter"/>
      <w:lvlText w:val="%5."/>
      <w:lvlJc w:val="left"/>
      <w:pPr>
        <w:ind w:left="4070" w:hanging="360"/>
      </w:pPr>
    </w:lvl>
    <w:lvl w:ilvl="5" w:tplc="0818001B" w:tentative="1">
      <w:start w:val="1"/>
      <w:numFmt w:val="lowerRoman"/>
      <w:lvlText w:val="%6."/>
      <w:lvlJc w:val="right"/>
      <w:pPr>
        <w:ind w:left="4790" w:hanging="180"/>
      </w:pPr>
    </w:lvl>
    <w:lvl w:ilvl="6" w:tplc="0818000F" w:tentative="1">
      <w:start w:val="1"/>
      <w:numFmt w:val="decimal"/>
      <w:lvlText w:val="%7."/>
      <w:lvlJc w:val="left"/>
      <w:pPr>
        <w:ind w:left="5510" w:hanging="360"/>
      </w:pPr>
    </w:lvl>
    <w:lvl w:ilvl="7" w:tplc="08180019" w:tentative="1">
      <w:start w:val="1"/>
      <w:numFmt w:val="lowerLetter"/>
      <w:lvlText w:val="%8."/>
      <w:lvlJc w:val="left"/>
      <w:pPr>
        <w:ind w:left="6230" w:hanging="360"/>
      </w:pPr>
    </w:lvl>
    <w:lvl w:ilvl="8" w:tplc="0818001B" w:tentative="1">
      <w:start w:val="1"/>
      <w:numFmt w:val="lowerRoman"/>
      <w:lvlText w:val="%9."/>
      <w:lvlJc w:val="right"/>
      <w:pPr>
        <w:ind w:left="6950" w:hanging="180"/>
      </w:pPr>
    </w:lvl>
  </w:abstractNum>
  <w:abstractNum w:abstractNumId="298" w15:restartNumberingAfterBreak="0">
    <w:nsid w:val="76EA3718"/>
    <w:multiLevelType w:val="hybridMultilevel"/>
    <w:tmpl w:val="CA06EB6A"/>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9" w15:restartNumberingAfterBreak="0">
    <w:nsid w:val="77053FDA"/>
    <w:multiLevelType w:val="hybridMultilevel"/>
    <w:tmpl w:val="95569902"/>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7AA7A4E"/>
    <w:multiLevelType w:val="hybridMultilevel"/>
    <w:tmpl w:val="A29E0DF4"/>
    <w:lvl w:ilvl="0" w:tplc="0418001B">
      <w:start w:val="1"/>
      <w:numFmt w:val="lowerRoman"/>
      <w:lvlText w:val="%1."/>
      <w:lvlJc w:val="right"/>
      <w:pPr>
        <w:ind w:left="2630" w:hanging="360"/>
      </w:pPr>
    </w:lvl>
    <w:lvl w:ilvl="1" w:tplc="08180019" w:tentative="1">
      <w:start w:val="1"/>
      <w:numFmt w:val="lowerLetter"/>
      <w:lvlText w:val="%2."/>
      <w:lvlJc w:val="left"/>
      <w:pPr>
        <w:ind w:left="3350" w:hanging="360"/>
      </w:pPr>
    </w:lvl>
    <w:lvl w:ilvl="2" w:tplc="0818001B" w:tentative="1">
      <w:start w:val="1"/>
      <w:numFmt w:val="lowerRoman"/>
      <w:lvlText w:val="%3."/>
      <w:lvlJc w:val="right"/>
      <w:pPr>
        <w:ind w:left="4070" w:hanging="180"/>
      </w:pPr>
    </w:lvl>
    <w:lvl w:ilvl="3" w:tplc="0818000F" w:tentative="1">
      <w:start w:val="1"/>
      <w:numFmt w:val="decimal"/>
      <w:lvlText w:val="%4."/>
      <w:lvlJc w:val="left"/>
      <w:pPr>
        <w:ind w:left="4790" w:hanging="360"/>
      </w:pPr>
    </w:lvl>
    <w:lvl w:ilvl="4" w:tplc="08180019" w:tentative="1">
      <w:start w:val="1"/>
      <w:numFmt w:val="lowerLetter"/>
      <w:lvlText w:val="%5."/>
      <w:lvlJc w:val="left"/>
      <w:pPr>
        <w:ind w:left="5510" w:hanging="360"/>
      </w:pPr>
    </w:lvl>
    <w:lvl w:ilvl="5" w:tplc="0818001B" w:tentative="1">
      <w:start w:val="1"/>
      <w:numFmt w:val="lowerRoman"/>
      <w:lvlText w:val="%6."/>
      <w:lvlJc w:val="right"/>
      <w:pPr>
        <w:ind w:left="6230" w:hanging="180"/>
      </w:pPr>
    </w:lvl>
    <w:lvl w:ilvl="6" w:tplc="0818000F" w:tentative="1">
      <w:start w:val="1"/>
      <w:numFmt w:val="decimal"/>
      <w:lvlText w:val="%7."/>
      <w:lvlJc w:val="left"/>
      <w:pPr>
        <w:ind w:left="6950" w:hanging="360"/>
      </w:pPr>
    </w:lvl>
    <w:lvl w:ilvl="7" w:tplc="08180019" w:tentative="1">
      <w:start w:val="1"/>
      <w:numFmt w:val="lowerLetter"/>
      <w:lvlText w:val="%8."/>
      <w:lvlJc w:val="left"/>
      <w:pPr>
        <w:ind w:left="7670" w:hanging="360"/>
      </w:pPr>
    </w:lvl>
    <w:lvl w:ilvl="8" w:tplc="0818001B" w:tentative="1">
      <w:start w:val="1"/>
      <w:numFmt w:val="lowerRoman"/>
      <w:lvlText w:val="%9."/>
      <w:lvlJc w:val="right"/>
      <w:pPr>
        <w:ind w:left="8390" w:hanging="180"/>
      </w:pPr>
    </w:lvl>
  </w:abstractNum>
  <w:abstractNum w:abstractNumId="301" w15:restartNumberingAfterBreak="0">
    <w:nsid w:val="77C64B74"/>
    <w:multiLevelType w:val="hybridMultilevel"/>
    <w:tmpl w:val="CF521590"/>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2" w15:restartNumberingAfterBreak="0">
    <w:nsid w:val="77ED20E2"/>
    <w:multiLevelType w:val="hybridMultilevel"/>
    <w:tmpl w:val="F9749E0E"/>
    <w:lvl w:ilvl="0" w:tplc="1C4618AE">
      <w:start w:val="29"/>
      <w:numFmt w:val="decimal"/>
      <w:lvlText w:val="%1."/>
      <w:lvlJc w:val="left"/>
      <w:pPr>
        <w:ind w:left="720" w:hanging="360"/>
      </w:pPr>
      <w:rPr>
        <w:rFonts w:eastAsia="Calibri"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7809552E"/>
    <w:multiLevelType w:val="hybridMultilevel"/>
    <w:tmpl w:val="B00A26FC"/>
    <w:lvl w:ilvl="0" w:tplc="0418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93D5B9D"/>
    <w:multiLevelType w:val="hybridMultilevel"/>
    <w:tmpl w:val="E2428028"/>
    <w:lvl w:ilvl="0" w:tplc="0418001B">
      <w:start w:val="1"/>
      <w:numFmt w:val="lowerRoman"/>
      <w:lvlText w:val="%1."/>
      <w:lvlJc w:val="right"/>
      <w:pPr>
        <w:ind w:left="2520" w:hanging="360"/>
      </w:pPr>
    </w:lvl>
    <w:lvl w:ilvl="1" w:tplc="08180019" w:tentative="1">
      <w:start w:val="1"/>
      <w:numFmt w:val="lowerLetter"/>
      <w:lvlText w:val="%2."/>
      <w:lvlJc w:val="left"/>
      <w:pPr>
        <w:ind w:left="3240" w:hanging="360"/>
      </w:pPr>
    </w:lvl>
    <w:lvl w:ilvl="2" w:tplc="0818001B" w:tentative="1">
      <w:start w:val="1"/>
      <w:numFmt w:val="lowerRoman"/>
      <w:lvlText w:val="%3."/>
      <w:lvlJc w:val="right"/>
      <w:pPr>
        <w:ind w:left="3960" w:hanging="180"/>
      </w:pPr>
    </w:lvl>
    <w:lvl w:ilvl="3" w:tplc="0818000F" w:tentative="1">
      <w:start w:val="1"/>
      <w:numFmt w:val="decimal"/>
      <w:lvlText w:val="%4."/>
      <w:lvlJc w:val="left"/>
      <w:pPr>
        <w:ind w:left="4680" w:hanging="360"/>
      </w:pPr>
    </w:lvl>
    <w:lvl w:ilvl="4" w:tplc="08180019" w:tentative="1">
      <w:start w:val="1"/>
      <w:numFmt w:val="lowerLetter"/>
      <w:lvlText w:val="%5."/>
      <w:lvlJc w:val="left"/>
      <w:pPr>
        <w:ind w:left="5400" w:hanging="360"/>
      </w:pPr>
    </w:lvl>
    <w:lvl w:ilvl="5" w:tplc="0818001B" w:tentative="1">
      <w:start w:val="1"/>
      <w:numFmt w:val="lowerRoman"/>
      <w:lvlText w:val="%6."/>
      <w:lvlJc w:val="right"/>
      <w:pPr>
        <w:ind w:left="6120" w:hanging="180"/>
      </w:pPr>
    </w:lvl>
    <w:lvl w:ilvl="6" w:tplc="0818000F" w:tentative="1">
      <w:start w:val="1"/>
      <w:numFmt w:val="decimal"/>
      <w:lvlText w:val="%7."/>
      <w:lvlJc w:val="left"/>
      <w:pPr>
        <w:ind w:left="6840" w:hanging="360"/>
      </w:pPr>
    </w:lvl>
    <w:lvl w:ilvl="7" w:tplc="08180019" w:tentative="1">
      <w:start w:val="1"/>
      <w:numFmt w:val="lowerLetter"/>
      <w:lvlText w:val="%8."/>
      <w:lvlJc w:val="left"/>
      <w:pPr>
        <w:ind w:left="7560" w:hanging="360"/>
      </w:pPr>
    </w:lvl>
    <w:lvl w:ilvl="8" w:tplc="0818001B" w:tentative="1">
      <w:start w:val="1"/>
      <w:numFmt w:val="lowerRoman"/>
      <w:lvlText w:val="%9."/>
      <w:lvlJc w:val="right"/>
      <w:pPr>
        <w:ind w:left="8280" w:hanging="180"/>
      </w:pPr>
    </w:lvl>
  </w:abstractNum>
  <w:abstractNum w:abstractNumId="305" w15:restartNumberingAfterBreak="0">
    <w:nsid w:val="799051E1"/>
    <w:multiLevelType w:val="hybridMultilevel"/>
    <w:tmpl w:val="CF3CB56E"/>
    <w:lvl w:ilvl="0" w:tplc="0418001B">
      <w:start w:val="1"/>
      <w:numFmt w:val="lowerRoman"/>
      <w:lvlText w:val="%1."/>
      <w:lvlJc w:val="righ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06" w15:restartNumberingAfterBreak="0">
    <w:nsid w:val="7A5F65FD"/>
    <w:multiLevelType w:val="hybridMultilevel"/>
    <w:tmpl w:val="13B2F774"/>
    <w:lvl w:ilvl="0" w:tplc="BF907E62">
      <w:start w:val="1"/>
      <w:numFmt w:val="lowerLetter"/>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7" w15:restartNumberingAfterBreak="0">
    <w:nsid w:val="7A7522F9"/>
    <w:multiLevelType w:val="hybridMultilevel"/>
    <w:tmpl w:val="ED22E676"/>
    <w:lvl w:ilvl="0" w:tplc="041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7BFA0A37"/>
    <w:multiLevelType w:val="hybridMultilevel"/>
    <w:tmpl w:val="145C8890"/>
    <w:lvl w:ilvl="0" w:tplc="A7F6211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9" w15:restartNumberingAfterBreak="0">
    <w:nsid w:val="7C330A90"/>
    <w:multiLevelType w:val="hybridMultilevel"/>
    <w:tmpl w:val="2398ED8E"/>
    <w:lvl w:ilvl="0" w:tplc="064291D2">
      <w:start w:val="1"/>
      <w:numFmt w:val="lowerRoman"/>
      <w:lvlText w:val="%1."/>
      <w:lvlJc w:val="righ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0" w15:restartNumberingAfterBreak="0">
    <w:nsid w:val="7C4A6346"/>
    <w:multiLevelType w:val="hybridMultilevel"/>
    <w:tmpl w:val="53B4B0F2"/>
    <w:lvl w:ilvl="0" w:tplc="FE0A78BC">
      <w:start w:val="1"/>
      <w:numFmt w:val="lowerLetter"/>
      <w:lvlText w:val="(%1)"/>
      <w:lvlJc w:val="left"/>
      <w:pPr>
        <w:ind w:left="2270" w:hanging="360"/>
      </w:pPr>
      <w:rPr>
        <w:rFonts w:hint="default"/>
      </w:rPr>
    </w:lvl>
    <w:lvl w:ilvl="1" w:tplc="04190019" w:tentative="1">
      <w:start w:val="1"/>
      <w:numFmt w:val="lowerLetter"/>
      <w:lvlText w:val="%2."/>
      <w:lvlJc w:val="left"/>
      <w:pPr>
        <w:ind w:left="2990" w:hanging="360"/>
      </w:pPr>
    </w:lvl>
    <w:lvl w:ilvl="2" w:tplc="0419001B" w:tentative="1">
      <w:start w:val="1"/>
      <w:numFmt w:val="lowerRoman"/>
      <w:lvlText w:val="%3."/>
      <w:lvlJc w:val="right"/>
      <w:pPr>
        <w:ind w:left="3710" w:hanging="180"/>
      </w:pPr>
    </w:lvl>
    <w:lvl w:ilvl="3" w:tplc="0419000F" w:tentative="1">
      <w:start w:val="1"/>
      <w:numFmt w:val="decimal"/>
      <w:lvlText w:val="%4."/>
      <w:lvlJc w:val="left"/>
      <w:pPr>
        <w:ind w:left="4430" w:hanging="360"/>
      </w:pPr>
    </w:lvl>
    <w:lvl w:ilvl="4" w:tplc="04190019" w:tentative="1">
      <w:start w:val="1"/>
      <w:numFmt w:val="lowerLetter"/>
      <w:lvlText w:val="%5."/>
      <w:lvlJc w:val="left"/>
      <w:pPr>
        <w:ind w:left="5150" w:hanging="360"/>
      </w:pPr>
    </w:lvl>
    <w:lvl w:ilvl="5" w:tplc="0419001B" w:tentative="1">
      <w:start w:val="1"/>
      <w:numFmt w:val="lowerRoman"/>
      <w:lvlText w:val="%6."/>
      <w:lvlJc w:val="right"/>
      <w:pPr>
        <w:ind w:left="5870" w:hanging="180"/>
      </w:pPr>
    </w:lvl>
    <w:lvl w:ilvl="6" w:tplc="0419000F" w:tentative="1">
      <w:start w:val="1"/>
      <w:numFmt w:val="decimal"/>
      <w:lvlText w:val="%7."/>
      <w:lvlJc w:val="left"/>
      <w:pPr>
        <w:ind w:left="6590" w:hanging="360"/>
      </w:pPr>
    </w:lvl>
    <w:lvl w:ilvl="7" w:tplc="04190019" w:tentative="1">
      <w:start w:val="1"/>
      <w:numFmt w:val="lowerLetter"/>
      <w:lvlText w:val="%8."/>
      <w:lvlJc w:val="left"/>
      <w:pPr>
        <w:ind w:left="7310" w:hanging="360"/>
      </w:pPr>
    </w:lvl>
    <w:lvl w:ilvl="8" w:tplc="0419001B" w:tentative="1">
      <w:start w:val="1"/>
      <w:numFmt w:val="lowerRoman"/>
      <w:lvlText w:val="%9."/>
      <w:lvlJc w:val="right"/>
      <w:pPr>
        <w:ind w:left="8030" w:hanging="180"/>
      </w:pPr>
    </w:lvl>
  </w:abstractNum>
  <w:abstractNum w:abstractNumId="311" w15:restartNumberingAfterBreak="0">
    <w:nsid w:val="7CE1228B"/>
    <w:multiLevelType w:val="hybridMultilevel"/>
    <w:tmpl w:val="67549BBA"/>
    <w:lvl w:ilvl="0" w:tplc="FC68C01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2" w15:restartNumberingAfterBreak="0">
    <w:nsid w:val="7E0D173C"/>
    <w:multiLevelType w:val="hybridMultilevel"/>
    <w:tmpl w:val="B21C557C"/>
    <w:lvl w:ilvl="0" w:tplc="9C969D22">
      <w:start w:val="1"/>
      <w:numFmt w:val="lowerLetter"/>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3"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E4F6B85"/>
    <w:multiLevelType w:val="hybridMultilevel"/>
    <w:tmpl w:val="1096CF86"/>
    <w:lvl w:ilvl="0" w:tplc="0418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7F1523EA"/>
    <w:multiLevelType w:val="hybridMultilevel"/>
    <w:tmpl w:val="1452F0E8"/>
    <w:lvl w:ilvl="0" w:tplc="0418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16" w15:restartNumberingAfterBreak="0">
    <w:nsid w:val="7F2C10E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7FA06A05"/>
    <w:multiLevelType w:val="hybridMultilevel"/>
    <w:tmpl w:val="3ECEF1EE"/>
    <w:lvl w:ilvl="0" w:tplc="0418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320616761">
    <w:abstractNumId w:val="316"/>
  </w:num>
  <w:num w:numId="2" w16cid:durableId="745494348">
    <w:abstractNumId w:val="170"/>
  </w:num>
  <w:num w:numId="3" w16cid:durableId="1579633440">
    <w:abstractNumId w:val="45"/>
  </w:num>
  <w:num w:numId="4" w16cid:durableId="1111705651">
    <w:abstractNumId w:val="309"/>
  </w:num>
  <w:num w:numId="5" w16cid:durableId="172376837">
    <w:abstractNumId w:val="47"/>
  </w:num>
  <w:num w:numId="6" w16cid:durableId="2091392416">
    <w:abstractNumId w:val="83"/>
  </w:num>
  <w:num w:numId="7" w16cid:durableId="527910729">
    <w:abstractNumId w:val="150"/>
  </w:num>
  <w:num w:numId="8" w16cid:durableId="745373676">
    <w:abstractNumId w:val="39"/>
  </w:num>
  <w:num w:numId="9" w16cid:durableId="667051909">
    <w:abstractNumId w:val="210"/>
  </w:num>
  <w:num w:numId="10" w16cid:durableId="1174996958">
    <w:abstractNumId w:val="23"/>
  </w:num>
  <w:num w:numId="11" w16cid:durableId="1611080964">
    <w:abstractNumId w:val="53"/>
  </w:num>
  <w:num w:numId="12" w16cid:durableId="1793670770">
    <w:abstractNumId w:val="214"/>
  </w:num>
  <w:num w:numId="13" w16cid:durableId="1853909609">
    <w:abstractNumId w:val="7"/>
  </w:num>
  <w:num w:numId="14" w16cid:durableId="1134367455">
    <w:abstractNumId w:val="135"/>
  </w:num>
  <w:num w:numId="15" w16cid:durableId="1234437654">
    <w:abstractNumId w:val="114"/>
  </w:num>
  <w:num w:numId="16" w16cid:durableId="2043706247">
    <w:abstractNumId w:val="28"/>
  </w:num>
  <w:num w:numId="17" w16cid:durableId="393048134">
    <w:abstractNumId w:val="236"/>
  </w:num>
  <w:num w:numId="18" w16cid:durableId="1012145614">
    <w:abstractNumId w:val="234"/>
  </w:num>
  <w:num w:numId="19" w16cid:durableId="1791044437">
    <w:abstractNumId w:val="143"/>
  </w:num>
  <w:num w:numId="20" w16cid:durableId="1315378992">
    <w:abstractNumId w:val="178"/>
  </w:num>
  <w:num w:numId="21" w16cid:durableId="200286533">
    <w:abstractNumId w:val="276"/>
  </w:num>
  <w:num w:numId="22" w16cid:durableId="1470977421">
    <w:abstractNumId w:val="17"/>
  </w:num>
  <w:num w:numId="23" w16cid:durableId="609509819">
    <w:abstractNumId w:val="93"/>
  </w:num>
  <w:num w:numId="24" w16cid:durableId="1238976722">
    <w:abstractNumId w:val="215"/>
  </w:num>
  <w:num w:numId="25" w16cid:durableId="2057926734">
    <w:abstractNumId w:val="3"/>
  </w:num>
  <w:num w:numId="26" w16cid:durableId="1300114423">
    <w:abstractNumId w:val="42"/>
  </w:num>
  <w:num w:numId="27" w16cid:durableId="1515999806">
    <w:abstractNumId w:val="254"/>
  </w:num>
  <w:num w:numId="28" w16cid:durableId="2040348884">
    <w:abstractNumId w:val="104"/>
  </w:num>
  <w:num w:numId="29" w16cid:durableId="1708751606">
    <w:abstractNumId w:val="97"/>
  </w:num>
  <w:num w:numId="30" w16cid:durableId="1384258695">
    <w:abstractNumId w:val="65"/>
  </w:num>
  <w:num w:numId="31" w16cid:durableId="2048722597">
    <w:abstractNumId w:val="159"/>
  </w:num>
  <w:num w:numId="32" w16cid:durableId="1318803956">
    <w:abstractNumId w:val="36"/>
  </w:num>
  <w:num w:numId="33" w16cid:durableId="673000248">
    <w:abstractNumId w:val="137"/>
  </w:num>
  <w:num w:numId="34" w16cid:durableId="608925538">
    <w:abstractNumId w:val="127"/>
  </w:num>
  <w:num w:numId="35" w16cid:durableId="736628722">
    <w:abstractNumId w:val="48"/>
  </w:num>
  <w:num w:numId="36" w16cid:durableId="295185424">
    <w:abstractNumId w:val="265"/>
  </w:num>
  <w:num w:numId="37" w16cid:durableId="488405159">
    <w:abstractNumId w:val="59"/>
  </w:num>
  <w:num w:numId="38" w16cid:durableId="779951395">
    <w:abstractNumId w:val="296"/>
  </w:num>
  <w:num w:numId="39" w16cid:durableId="964848859">
    <w:abstractNumId w:val="242"/>
  </w:num>
  <w:num w:numId="40" w16cid:durableId="683089504">
    <w:abstractNumId w:val="267"/>
  </w:num>
  <w:num w:numId="41" w16cid:durableId="156270360">
    <w:abstractNumId w:val="253"/>
  </w:num>
  <w:num w:numId="42" w16cid:durableId="1569143611">
    <w:abstractNumId w:val="203"/>
  </w:num>
  <w:num w:numId="43" w16cid:durableId="713847545">
    <w:abstractNumId w:val="123"/>
  </w:num>
  <w:num w:numId="44" w16cid:durableId="291329706">
    <w:abstractNumId w:val="21"/>
  </w:num>
  <w:num w:numId="45" w16cid:durableId="1853258332">
    <w:abstractNumId w:val="282"/>
  </w:num>
  <w:num w:numId="46" w16cid:durableId="676613441">
    <w:abstractNumId w:val="122"/>
  </w:num>
  <w:num w:numId="47" w16cid:durableId="1244685690">
    <w:abstractNumId w:val="81"/>
  </w:num>
  <w:num w:numId="48" w16cid:durableId="692341978">
    <w:abstractNumId w:val="1"/>
  </w:num>
  <w:num w:numId="49" w16cid:durableId="1289511401">
    <w:abstractNumId w:val="209"/>
  </w:num>
  <w:num w:numId="50" w16cid:durableId="319962364">
    <w:abstractNumId w:val="221"/>
  </w:num>
  <w:num w:numId="51" w16cid:durableId="1387871052">
    <w:abstractNumId w:val="272"/>
  </w:num>
  <w:num w:numId="52" w16cid:durableId="504979891">
    <w:abstractNumId w:val="202"/>
  </w:num>
  <w:num w:numId="53" w16cid:durableId="1963539665">
    <w:abstractNumId w:val="149"/>
  </w:num>
  <w:num w:numId="54" w16cid:durableId="306129686">
    <w:abstractNumId w:val="228"/>
  </w:num>
  <w:num w:numId="55" w16cid:durableId="1431051138">
    <w:abstractNumId w:val="223"/>
  </w:num>
  <w:num w:numId="56" w16cid:durableId="1912039061">
    <w:abstractNumId w:val="118"/>
  </w:num>
  <w:num w:numId="57" w16cid:durableId="1228148569">
    <w:abstractNumId w:val="305"/>
  </w:num>
  <w:num w:numId="58" w16cid:durableId="689258349">
    <w:abstractNumId w:val="140"/>
  </w:num>
  <w:num w:numId="59" w16cid:durableId="37631218">
    <w:abstractNumId w:val="60"/>
  </w:num>
  <w:num w:numId="60" w16cid:durableId="1985966165">
    <w:abstractNumId w:val="269"/>
  </w:num>
  <w:num w:numId="61" w16cid:durableId="1606621453">
    <w:abstractNumId w:val="264"/>
  </w:num>
  <w:num w:numId="62" w16cid:durableId="745028469">
    <w:abstractNumId w:val="138"/>
  </w:num>
  <w:num w:numId="63" w16cid:durableId="828054870">
    <w:abstractNumId w:val="194"/>
  </w:num>
  <w:num w:numId="64" w16cid:durableId="1972516780">
    <w:abstractNumId w:val="56"/>
  </w:num>
  <w:num w:numId="65" w16cid:durableId="1806849954">
    <w:abstractNumId w:val="246"/>
  </w:num>
  <w:num w:numId="66" w16cid:durableId="2073234457">
    <w:abstractNumId w:val="192"/>
  </w:num>
  <w:num w:numId="67" w16cid:durableId="1429690173">
    <w:abstractNumId w:val="169"/>
  </w:num>
  <w:num w:numId="68" w16cid:durableId="177544887">
    <w:abstractNumId w:val="38"/>
  </w:num>
  <w:num w:numId="69" w16cid:durableId="840856831">
    <w:abstractNumId w:val="58"/>
  </w:num>
  <w:num w:numId="70" w16cid:durableId="326052988">
    <w:abstractNumId w:val="72"/>
  </w:num>
  <w:num w:numId="71" w16cid:durableId="245847911">
    <w:abstractNumId w:val="115"/>
  </w:num>
  <w:num w:numId="72" w16cid:durableId="488329693">
    <w:abstractNumId w:val="153"/>
  </w:num>
  <w:num w:numId="73" w16cid:durableId="785126966">
    <w:abstractNumId w:val="213"/>
  </w:num>
  <w:num w:numId="74" w16cid:durableId="942080198">
    <w:abstractNumId w:val="195"/>
  </w:num>
  <w:num w:numId="75" w16cid:durableId="1899318023">
    <w:abstractNumId w:val="290"/>
  </w:num>
  <w:num w:numId="76" w16cid:durableId="54596858">
    <w:abstractNumId w:val="300"/>
  </w:num>
  <w:num w:numId="77" w16cid:durableId="380906354">
    <w:abstractNumId w:val="24"/>
  </w:num>
  <w:num w:numId="78" w16cid:durableId="24991072">
    <w:abstractNumId w:val="13"/>
  </w:num>
  <w:num w:numId="79" w16cid:durableId="1492795469">
    <w:abstractNumId w:val="297"/>
  </w:num>
  <w:num w:numId="80" w16cid:durableId="1256789544">
    <w:abstractNumId w:val="144"/>
  </w:num>
  <w:num w:numId="81" w16cid:durableId="1228105687">
    <w:abstractNumId w:val="66"/>
  </w:num>
  <w:num w:numId="82" w16cid:durableId="683748695">
    <w:abstractNumId w:val="274"/>
  </w:num>
  <w:num w:numId="83" w16cid:durableId="1917742239">
    <w:abstractNumId w:val="133"/>
  </w:num>
  <w:num w:numId="84" w16cid:durableId="1399090205">
    <w:abstractNumId w:val="156"/>
  </w:num>
  <w:num w:numId="85" w16cid:durableId="1561745233">
    <w:abstractNumId w:val="131"/>
  </w:num>
  <w:num w:numId="86" w16cid:durableId="772750322">
    <w:abstractNumId w:val="79"/>
  </w:num>
  <w:num w:numId="87" w16cid:durableId="1338118986">
    <w:abstractNumId w:val="84"/>
  </w:num>
  <w:num w:numId="88" w16cid:durableId="195700053">
    <w:abstractNumId w:val="160"/>
  </w:num>
  <w:num w:numId="89" w16cid:durableId="1837957623">
    <w:abstractNumId w:val="229"/>
  </w:num>
  <w:num w:numId="90" w16cid:durableId="605191740">
    <w:abstractNumId w:val="233"/>
  </w:num>
  <w:num w:numId="91" w16cid:durableId="2119249428">
    <w:abstractNumId w:val="277"/>
  </w:num>
  <w:num w:numId="92" w16cid:durableId="739250213">
    <w:abstractNumId w:val="132"/>
  </w:num>
  <w:num w:numId="93" w16cid:durableId="1442648878">
    <w:abstractNumId w:val="26"/>
  </w:num>
  <w:num w:numId="94" w16cid:durableId="1076587507">
    <w:abstractNumId w:val="225"/>
  </w:num>
  <w:num w:numId="95" w16cid:durableId="58942755">
    <w:abstractNumId w:val="2"/>
  </w:num>
  <w:num w:numId="96" w16cid:durableId="834103840">
    <w:abstractNumId w:val="239"/>
  </w:num>
  <w:num w:numId="97" w16cid:durableId="1914310287">
    <w:abstractNumId w:val="95"/>
  </w:num>
  <w:num w:numId="98" w16cid:durableId="1315718577">
    <w:abstractNumId w:val="46"/>
  </w:num>
  <w:num w:numId="99" w16cid:durableId="427585556">
    <w:abstractNumId w:val="258"/>
  </w:num>
  <w:num w:numId="100" w16cid:durableId="2120834207">
    <w:abstractNumId w:val="176"/>
  </w:num>
  <w:num w:numId="101" w16cid:durableId="339695625">
    <w:abstractNumId w:val="62"/>
  </w:num>
  <w:num w:numId="102" w16cid:durableId="181820985">
    <w:abstractNumId w:val="107"/>
  </w:num>
  <w:num w:numId="103" w16cid:durableId="154152404">
    <w:abstractNumId w:val="295"/>
  </w:num>
  <w:num w:numId="104" w16cid:durableId="1351182946">
    <w:abstractNumId w:val="308"/>
  </w:num>
  <w:num w:numId="105" w16cid:durableId="1019354048">
    <w:abstractNumId w:val="271"/>
  </w:num>
  <w:num w:numId="106" w16cid:durableId="1604456863">
    <w:abstractNumId w:val="248"/>
  </w:num>
  <w:num w:numId="107" w16cid:durableId="1836460285">
    <w:abstractNumId w:val="6"/>
  </w:num>
  <w:num w:numId="108" w16cid:durableId="1559440804">
    <w:abstractNumId w:val="91"/>
  </w:num>
  <w:num w:numId="109" w16cid:durableId="976952014">
    <w:abstractNumId w:val="105"/>
  </w:num>
  <w:num w:numId="110" w16cid:durableId="852459444">
    <w:abstractNumId w:val="136"/>
  </w:num>
  <w:num w:numId="111" w16cid:durableId="1134176757">
    <w:abstractNumId w:val="311"/>
  </w:num>
  <w:num w:numId="112" w16cid:durableId="68504284">
    <w:abstractNumId w:val="130"/>
  </w:num>
  <w:num w:numId="113" w16cid:durableId="1618557550">
    <w:abstractNumId w:val="98"/>
  </w:num>
  <w:num w:numId="114" w16cid:durableId="1535919783">
    <w:abstractNumId w:val="158"/>
  </w:num>
  <w:num w:numId="115" w16cid:durableId="912856151">
    <w:abstractNumId w:val="16"/>
  </w:num>
  <w:num w:numId="116" w16cid:durableId="848062211">
    <w:abstractNumId w:val="112"/>
  </w:num>
  <w:num w:numId="117" w16cid:durableId="586185239">
    <w:abstractNumId w:val="186"/>
  </w:num>
  <w:num w:numId="118" w16cid:durableId="109131494">
    <w:abstractNumId w:val="250"/>
  </w:num>
  <w:num w:numId="119" w16cid:durableId="992870898">
    <w:abstractNumId w:val="205"/>
  </w:num>
  <w:num w:numId="120" w16cid:durableId="362293654">
    <w:abstractNumId w:val="287"/>
  </w:num>
  <w:num w:numId="121" w16cid:durableId="1595747029">
    <w:abstractNumId w:val="76"/>
  </w:num>
  <w:num w:numId="122" w16cid:durableId="1323507544">
    <w:abstractNumId w:val="92"/>
  </w:num>
  <w:num w:numId="123" w16cid:durableId="818694611">
    <w:abstractNumId w:val="86"/>
  </w:num>
  <w:num w:numId="124" w16cid:durableId="240914618">
    <w:abstractNumId w:val="211"/>
  </w:num>
  <w:num w:numId="125" w16cid:durableId="912349287">
    <w:abstractNumId w:val="286"/>
  </w:num>
  <w:num w:numId="126" w16cid:durableId="199754801">
    <w:abstractNumId w:val="101"/>
  </w:num>
  <w:num w:numId="127" w16cid:durableId="1417508323">
    <w:abstractNumId w:val="67"/>
  </w:num>
  <w:num w:numId="128" w16cid:durableId="1273246558">
    <w:abstractNumId w:val="166"/>
  </w:num>
  <w:num w:numId="129" w16cid:durableId="1945335336">
    <w:abstractNumId w:val="89"/>
  </w:num>
  <w:num w:numId="130" w16cid:durableId="1215897256">
    <w:abstractNumId w:val="30"/>
  </w:num>
  <w:num w:numId="131" w16cid:durableId="1292588217">
    <w:abstractNumId w:val="238"/>
  </w:num>
  <w:num w:numId="132" w16cid:durableId="932740218">
    <w:abstractNumId w:val="19"/>
  </w:num>
  <w:num w:numId="133" w16cid:durableId="1789619196">
    <w:abstractNumId w:val="189"/>
  </w:num>
  <w:num w:numId="134" w16cid:durableId="1803619032">
    <w:abstractNumId w:val="241"/>
  </w:num>
  <w:num w:numId="135" w16cid:durableId="1469470007">
    <w:abstractNumId w:val="11"/>
  </w:num>
  <w:num w:numId="136" w16cid:durableId="1738940333">
    <w:abstractNumId w:val="190"/>
  </w:num>
  <w:num w:numId="137" w16cid:durableId="1389497436">
    <w:abstractNumId w:val="161"/>
  </w:num>
  <w:num w:numId="138" w16cid:durableId="1586769260">
    <w:abstractNumId w:val="49"/>
  </w:num>
  <w:num w:numId="139" w16cid:durableId="475152213">
    <w:abstractNumId w:val="68"/>
  </w:num>
  <w:num w:numId="140" w16cid:durableId="656805361">
    <w:abstractNumId w:val="270"/>
  </w:num>
  <w:num w:numId="141" w16cid:durableId="295993135">
    <w:abstractNumId w:val="283"/>
  </w:num>
  <w:num w:numId="142" w16cid:durableId="996810358">
    <w:abstractNumId w:val="87"/>
  </w:num>
  <w:num w:numId="143" w16cid:durableId="1388067890">
    <w:abstractNumId w:val="179"/>
  </w:num>
  <w:num w:numId="144" w16cid:durableId="43676367">
    <w:abstractNumId w:val="197"/>
  </w:num>
  <w:num w:numId="145" w16cid:durableId="662464823">
    <w:abstractNumId w:val="61"/>
  </w:num>
  <w:num w:numId="146" w16cid:durableId="1885558014">
    <w:abstractNumId w:val="29"/>
  </w:num>
  <w:num w:numId="147" w16cid:durableId="55474081">
    <w:abstractNumId w:val="69"/>
  </w:num>
  <w:num w:numId="148" w16cid:durableId="1359235961">
    <w:abstractNumId w:val="226"/>
  </w:num>
  <w:num w:numId="149" w16cid:durableId="240870409">
    <w:abstractNumId w:val="171"/>
  </w:num>
  <w:num w:numId="150" w16cid:durableId="1613590048">
    <w:abstractNumId w:val="9"/>
  </w:num>
  <w:num w:numId="151" w16cid:durableId="488405974">
    <w:abstractNumId w:val="175"/>
  </w:num>
  <w:num w:numId="152" w16cid:durableId="682126584">
    <w:abstractNumId w:val="188"/>
  </w:num>
  <w:num w:numId="153" w16cid:durableId="1060910302">
    <w:abstractNumId w:val="126"/>
  </w:num>
  <w:num w:numId="154" w16cid:durableId="2042244661">
    <w:abstractNumId w:val="304"/>
  </w:num>
  <w:num w:numId="155" w16cid:durableId="1163935046">
    <w:abstractNumId w:val="281"/>
  </w:num>
  <w:num w:numId="156" w16cid:durableId="1061099391">
    <w:abstractNumId w:val="217"/>
  </w:num>
  <w:num w:numId="157" w16cid:durableId="965696363">
    <w:abstractNumId w:val="167"/>
  </w:num>
  <w:num w:numId="158" w16cid:durableId="375087587">
    <w:abstractNumId w:val="235"/>
  </w:num>
  <w:num w:numId="159" w16cid:durableId="521893563">
    <w:abstractNumId w:val="20"/>
  </w:num>
  <w:num w:numId="160" w16cid:durableId="1782530952">
    <w:abstractNumId w:val="289"/>
  </w:num>
  <w:num w:numId="161" w16cid:durableId="2030644986">
    <w:abstractNumId w:val="43"/>
  </w:num>
  <w:num w:numId="162" w16cid:durableId="1181697949">
    <w:abstractNumId w:val="249"/>
  </w:num>
  <w:num w:numId="163" w16cid:durableId="541796320">
    <w:abstractNumId w:val="278"/>
  </w:num>
  <w:num w:numId="164" w16cid:durableId="1315255048">
    <w:abstractNumId w:val="96"/>
  </w:num>
  <w:num w:numId="165" w16cid:durableId="1998922279">
    <w:abstractNumId w:val="34"/>
  </w:num>
  <w:num w:numId="166" w16cid:durableId="991105723">
    <w:abstractNumId w:val="231"/>
  </w:num>
  <w:num w:numId="167" w16cid:durableId="1184242161">
    <w:abstractNumId w:val="184"/>
  </w:num>
  <w:num w:numId="168" w16cid:durableId="383143587">
    <w:abstractNumId w:val="172"/>
  </w:num>
  <w:num w:numId="169" w16cid:durableId="338316728">
    <w:abstractNumId w:val="298"/>
  </w:num>
  <w:num w:numId="170" w16cid:durableId="25449242">
    <w:abstractNumId w:val="100"/>
  </w:num>
  <w:num w:numId="171" w16cid:durableId="781723904">
    <w:abstractNumId w:val="63"/>
  </w:num>
  <w:num w:numId="172" w16cid:durableId="1979605449">
    <w:abstractNumId w:val="291"/>
  </w:num>
  <w:num w:numId="173" w16cid:durableId="30421910">
    <w:abstractNumId w:val="268"/>
  </w:num>
  <w:num w:numId="174" w16cid:durableId="1006056664">
    <w:abstractNumId w:val="18"/>
  </w:num>
  <w:num w:numId="175" w16cid:durableId="623386311">
    <w:abstractNumId w:val="227"/>
  </w:num>
  <w:num w:numId="176" w16cid:durableId="812481350">
    <w:abstractNumId w:val="219"/>
  </w:num>
  <w:num w:numId="177" w16cid:durableId="640236065">
    <w:abstractNumId w:val="313"/>
  </w:num>
  <w:num w:numId="178" w16cid:durableId="2123763587">
    <w:abstractNumId w:val="240"/>
  </w:num>
  <w:num w:numId="179" w16cid:durableId="1599171151">
    <w:abstractNumId w:val="165"/>
  </w:num>
  <w:num w:numId="180" w16cid:durableId="1476095794">
    <w:abstractNumId w:val="237"/>
  </w:num>
  <w:num w:numId="181" w16cid:durableId="396972174">
    <w:abstractNumId w:val="302"/>
  </w:num>
  <w:num w:numId="182" w16cid:durableId="687095805">
    <w:abstractNumId w:val="244"/>
  </w:num>
  <w:num w:numId="183" w16cid:durableId="867137854">
    <w:abstractNumId w:val="206"/>
  </w:num>
  <w:num w:numId="184" w16cid:durableId="1062561771">
    <w:abstractNumId w:val="266"/>
  </w:num>
  <w:num w:numId="185" w16cid:durableId="796141285">
    <w:abstractNumId w:val="12"/>
  </w:num>
  <w:num w:numId="186" w16cid:durableId="1266378193">
    <w:abstractNumId w:val="15"/>
  </w:num>
  <w:num w:numId="187" w16cid:durableId="989552555">
    <w:abstractNumId w:val="51"/>
  </w:num>
  <w:num w:numId="188" w16cid:durableId="1381174504">
    <w:abstractNumId w:val="151"/>
  </w:num>
  <w:num w:numId="189" w16cid:durableId="961348413">
    <w:abstractNumId w:val="90"/>
  </w:num>
  <w:num w:numId="190" w16cid:durableId="877664806">
    <w:abstractNumId w:val="109"/>
  </w:num>
  <w:num w:numId="191" w16cid:durableId="119302744">
    <w:abstractNumId w:val="230"/>
  </w:num>
  <w:num w:numId="192" w16cid:durableId="286592004">
    <w:abstractNumId w:val="124"/>
  </w:num>
  <w:num w:numId="193" w16cid:durableId="710617299">
    <w:abstractNumId w:val="191"/>
  </w:num>
  <w:num w:numId="194" w16cid:durableId="1682124559">
    <w:abstractNumId w:val="204"/>
  </w:num>
  <w:num w:numId="195" w16cid:durableId="610746138">
    <w:abstractNumId w:val="310"/>
  </w:num>
  <w:num w:numId="196" w16cid:durableId="442770861">
    <w:abstractNumId w:val="128"/>
  </w:num>
  <w:num w:numId="197" w16cid:durableId="465321927">
    <w:abstractNumId w:val="64"/>
  </w:num>
  <w:num w:numId="198" w16cid:durableId="921529496">
    <w:abstractNumId w:val="222"/>
  </w:num>
  <w:num w:numId="199" w16cid:durableId="1299066712">
    <w:abstractNumId w:val="4"/>
  </w:num>
  <w:num w:numId="200" w16cid:durableId="1630890609">
    <w:abstractNumId w:val="141"/>
  </w:num>
  <w:num w:numId="201" w16cid:durableId="627787023">
    <w:abstractNumId w:val="139"/>
  </w:num>
  <w:num w:numId="202" w16cid:durableId="334646988">
    <w:abstractNumId w:val="306"/>
  </w:num>
  <w:num w:numId="203" w16cid:durableId="1516115322">
    <w:abstractNumId w:val="119"/>
  </w:num>
  <w:num w:numId="204" w16cid:durableId="222454257">
    <w:abstractNumId w:val="142"/>
  </w:num>
  <w:num w:numId="205" w16cid:durableId="1623342543">
    <w:abstractNumId w:val="303"/>
  </w:num>
  <w:num w:numId="206" w16cid:durableId="1107114897">
    <w:abstractNumId w:val="57"/>
  </w:num>
  <w:num w:numId="207" w16cid:durableId="1896889822">
    <w:abstractNumId w:val="199"/>
  </w:num>
  <w:num w:numId="208" w16cid:durableId="1925256470">
    <w:abstractNumId w:val="285"/>
  </w:num>
  <w:num w:numId="209" w16cid:durableId="47341287">
    <w:abstractNumId w:val="243"/>
  </w:num>
  <w:num w:numId="210" w16cid:durableId="1535118127">
    <w:abstractNumId w:val="111"/>
  </w:num>
  <w:num w:numId="211" w16cid:durableId="1211697507">
    <w:abstractNumId w:val="85"/>
  </w:num>
  <w:num w:numId="212" w16cid:durableId="1050957949">
    <w:abstractNumId w:val="22"/>
  </w:num>
  <w:num w:numId="213" w16cid:durableId="1694072815">
    <w:abstractNumId w:val="307"/>
  </w:num>
  <w:num w:numId="214" w16cid:durableId="1998265855">
    <w:abstractNumId w:val="299"/>
  </w:num>
  <w:num w:numId="215" w16cid:durableId="803238401">
    <w:abstractNumId w:val="120"/>
  </w:num>
  <w:num w:numId="216" w16cid:durableId="2080589501">
    <w:abstractNumId w:val="70"/>
  </w:num>
  <w:num w:numId="217" w16cid:durableId="1865095549">
    <w:abstractNumId w:val="154"/>
  </w:num>
  <w:num w:numId="218" w16cid:durableId="1485052028">
    <w:abstractNumId w:val="201"/>
  </w:num>
  <w:num w:numId="219" w16cid:durableId="1988902183">
    <w:abstractNumId w:val="224"/>
  </w:num>
  <w:num w:numId="220" w16cid:durableId="2098282850">
    <w:abstractNumId w:val="279"/>
  </w:num>
  <w:num w:numId="221" w16cid:durableId="2135639869">
    <w:abstractNumId w:val="10"/>
  </w:num>
  <w:num w:numId="222" w16cid:durableId="294261111">
    <w:abstractNumId w:val="41"/>
  </w:num>
  <w:num w:numId="223" w16cid:durableId="1362323125">
    <w:abstractNumId w:val="82"/>
  </w:num>
  <w:num w:numId="224" w16cid:durableId="2026054304">
    <w:abstractNumId w:val="218"/>
  </w:num>
  <w:num w:numId="225" w16cid:durableId="1460611728">
    <w:abstractNumId w:val="317"/>
  </w:num>
  <w:num w:numId="226" w16cid:durableId="2104185711">
    <w:abstractNumId w:val="77"/>
  </w:num>
  <w:num w:numId="227" w16cid:durableId="1123231864">
    <w:abstractNumId w:val="54"/>
  </w:num>
  <w:num w:numId="228" w16cid:durableId="2085638988">
    <w:abstractNumId w:val="157"/>
  </w:num>
  <w:num w:numId="229" w16cid:durableId="871958233">
    <w:abstractNumId w:val="125"/>
  </w:num>
  <w:num w:numId="230" w16cid:durableId="363747781">
    <w:abstractNumId w:val="145"/>
  </w:num>
  <w:num w:numId="231" w16cid:durableId="1591697751">
    <w:abstractNumId w:val="208"/>
  </w:num>
  <w:num w:numId="232" w16cid:durableId="1196042282">
    <w:abstractNumId w:val="103"/>
  </w:num>
  <w:num w:numId="233" w16cid:durableId="654451794">
    <w:abstractNumId w:val="71"/>
  </w:num>
  <w:num w:numId="234" w16cid:durableId="686638723">
    <w:abstractNumId w:val="102"/>
  </w:num>
  <w:num w:numId="235" w16cid:durableId="319430538">
    <w:abstractNumId w:val="129"/>
  </w:num>
  <w:num w:numId="236" w16cid:durableId="1670326574">
    <w:abstractNumId w:val="117"/>
  </w:num>
  <w:num w:numId="237" w16cid:durableId="386804757">
    <w:abstractNumId w:val="168"/>
  </w:num>
  <w:num w:numId="238" w16cid:durableId="1606617203">
    <w:abstractNumId w:val="198"/>
  </w:num>
  <w:num w:numId="239" w16cid:durableId="1942253629">
    <w:abstractNumId w:val="173"/>
  </w:num>
  <w:num w:numId="240" w16cid:durableId="1258828919">
    <w:abstractNumId w:val="80"/>
  </w:num>
  <w:num w:numId="241" w16cid:durableId="266666593">
    <w:abstractNumId w:val="88"/>
  </w:num>
  <w:num w:numId="242" w16cid:durableId="1085951979">
    <w:abstractNumId w:val="292"/>
  </w:num>
  <w:num w:numId="243" w16cid:durableId="179591674">
    <w:abstractNumId w:val="185"/>
  </w:num>
  <w:num w:numId="244" w16cid:durableId="1835683365">
    <w:abstractNumId w:val="315"/>
  </w:num>
  <w:num w:numId="245" w16cid:durableId="404185772">
    <w:abstractNumId w:val="262"/>
  </w:num>
  <w:num w:numId="246" w16cid:durableId="1749384566">
    <w:abstractNumId w:val="35"/>
  </w:num>
  <w:num w:numId="247" w16cid:durableId="1926452567">
    <w:abstractNumId w:val="110"/>
  </w:num>
  <w:num w:numId="248" w16cid:durableId="1599950452">
    <w:abstractNumId w:val="255"/>
  </w:num>
  <w:num w:numId="249" w16cid:durableId="938869924">
    <w:abstractNumId w:val="108"/>
  </w:num>
  <w:num w:numId="250" w16cid:durableId="299266671">
    <w:abstractNumId w:val="196"/>
  </w:num>
  <w:num w:numId="251" w16cid:durableId="1074820646">
    <w:abstractNumId w:val="312"/>
  </w:num>
  <w:num w:numId="252" w16cid:durableId="227811995">
    <w:abstractNumId w:val="152"/>
  </w:num>
  <w:num w:numId="253" w16cid:durableId="1911958910">
    <w:abstractNumId w:val="301"/>
  </w:num>
  <w:num w:numId="254" w16cid:durableId="599025743">
    <w:abstractNumId w:val="78"/>
  </w:num>
  <w:num w:numId="255" w16cid:durableId="200871940">
    <w:abstractNumId w:val="31"/>
  </w:num>
  <w:num w:numId="256" w16cid:durableId="251663985">
    <w:abstractNumId w:val="252"/>
  </w:num>
  <w:num w:numId="257" w16cid:durableId="1333724498">
    <w:abstractNumId w:val="44"/>
  </w:num>
  <w:num w:numId="258" w16cid:durableId="703166381">
    <w:abstractNumId w:val="155"/>
  </w:num>
  <w:num w:numId="259" w16cid:durableId="1834642772">
    <w:abstractNumId w:val="32"/>
  </w:num>
  <w:num w:numId="260" w16cid:durableId="652415994">
    <w:abstractNumId w:val="200"/>
  </w:num>
  <w:num w:numId="261" w16cid:durableId="851794857">
    <w:abstractNumId w:val="5"/>
  </w:num>
  <w:num w:numId="262" w16cid:durableId="904729772">
    <w:abstractNumId w:val="260"/>
  </w:num>
  <w:num w:numId="263" w16cid:durableId="1418750474">
    <w:abstractNumId w:val="216"/>
  </w:num>
  <w:num w:numId="264" w16cid:durableId="1799184241">
    <w:abstractNumId w:val="106"/>
  </w:num>
  <w:num w:numId="265" w16cid:durableId="915435192">
    <w:abstractNumId w:val="293"/>
  </w:num>
  <w:num w:numId="266" w16cid:durableId="1669482684">
    <w:abstractNumId w:val="146"/>
  </w:num>
  <w:num w:numId="267" w16cid:durableId="660892185">
    <w:abstractNumId w:val="263"/>
  </w:num>
  <w:num w:numId="268" w16cid:durableId="211231114">
    <w:abstractNumId w:val="73"/>
  </w:num>
  <w:num w:numId="269" w16cid:durableId="1561482279">
    <w:abstractNumId w:val="284"/>
  </w:num>
  <w:num w:numId="270" w16cid:durableId="154608772">
    <w:abstractNumId w:val="181"/>
  </w:num>
  <w:num w:numId="271" w16cid:durableId="160242303">
    <w:abstractNumId w:val="25"/>
  </w:num>
  <w:num w:numId="272" w16cid:durableId="607856645">
    <w:abstractNumId w:val="50"/>
  </w:num>
  <w:num w:numId="273" w16cid:durableId="609581793">
    <w:abstractNumId w:val="232"/>
  </w:num>
  <w:num w:numId="274" w16cid:durableId="1378965093">
    <w:abstractNumId w:val="134"/>
  </w:num>
  <w:num w:numId="275" w16cid:durableId="453062137">
    <w:abstractNumId w:val="180"/>
  </w:num>
  <w:num w:numId="276" w16cid:durableId="1664701901">
    <w:abstractNumId w:val="148"/>
  </w:num>
  <w:num w:numId="277" w16cid:durableId="1797865286">
    <w:abstractNumId w:val="40"/>
  </w:num>
  <w:num w:numId="278" w16cid:durableId="2068407613">
    <w:abstractNumId w:val="162"/>
  </w:num>
  <w:num w:numId="279" w16cid:durableId="1122114789">
    <w:abstractNumId w:val="75"/>
  </w:num>
  <w:num w:numId="280" w16cid:durableId="104662333">
    <w:abstractNumId w:val="164"/>
  </w:num>
  <w:num w:numId="281" w16cid:durableId="1632855818">
    <w:abstractNumId w:val="163"/>
  </w:num>
  <w:num w:numId="282" w16cid:durableId="1271864330">
    <w:abstractNumId w:val="121"/>
  </w:num>
  <w:num w:numId="283" w16cid:durableId="1621064865">
    <w:abstractNumId w:val="174"/>
  </w:num>
  <w:num w:numId="284" w16cid:durableId="1957255890">
    <w:abstractNumId w:val="8"/>
  </w:num>
  <w:num w:numId="285" w16cid:durableId="386145238">
    <w:abstractNumId w:val="147"/>
  </w:num>
  <w:num w:numId="286" w16cid:durableId="118495271">
    <w:abstractNumId w:val="94"/>
  </w:num>
  <w:num w:numId="287" w16cid:durableId="214439783">
    <w:abstractNumId w:val="245"/>
  </w:num>
  <w:num w:numId="288" w16cid:durableId="1445533747">
    <w:abstractNumId w:val="52"/>
  </w:num>
  <w:num w:numId="289" w16cid:durableId="711266745">
    <w:abstractNumId w:val="99"/>
  </w:num>
  <w:num w:numId="290" w16cid:durableId="509175342">
    <w:abstractNumId w:val="212"/>
  </w:num>
  <w:num w:numId="291" w16cid:durableId="1177379488">
    <w:abstractNumId w:val="247"/>
  </w:num>
  <w:num w:numId="292" w16cid:durableId="1763838777">
    <w:abstractNumId w:val="33"/>
  </w:num>
  <w:num w:numId="293" w16cid:durableId="220530333">
    <w:abstractNumId w:val="182"/>
  </w:num>
  <w:num w:numId="294" w16cid:durableId="570963908">
    <w:abstractNumId w:val="27"/>
  </w:num>
  <w:num w:numId="295" w16cid:durableId="635836154">
    <w:abstractNumId w:val="193"/>
  </w:num>
  <w:num w:numId="296" w16cid:durableId="341781096">
    <w:abstractNumId w:val="74"/>
  </w:num>
  <w:num w:numId="297" w16cid:durableId="681854019">
    <w:abstractNumId w:val="314"/>
  </w:num>
  <w:num w:numId="298" w16cid:durableId="494958003">
    <w:abstractNumId w:val="207"/>
  </w:num>
  <w:num w:numId="299" w16cid:durableId="412825120">
    <w:abstractNumId w:val="280"/>
  </w:num>
  <w:num w:numId="300" w16cid:durableId="1320385268">
    <w:abstractNumId w:val="0"/>
  </w:num>
  <w:num w:numId="301" w16cid:durableId="956134888">
    <w:abstractNumId w:val="257"/>
  </w:num>
  <w:num w:numId="302" w16cid:durableId="1456824127">
    <w:abstractNumId w:val="187"/>
  </w:num>
  <w:num w:numId="303" w16cid:durableId="1301229165">
    <w:abstractNumId w:val="275"/>
  </w:num>
  <w:num w:numId="304" w16cid:durableId="2012097526">
    <w:abstractNumId w:val="259"/>
  </w:num>
  <w:num w:numId="305" w16cid:durableId="1311979590">
    <w:abstractNumId w:val="220"/>
  </w:num>
  <w:num w:numId="306" w16cid:durableId="2047021209">
    <w:abstractNumId w:val="14"/>
  </w:num>
  <w:num w:numId="307" w16cid:durableId="616713996">
    <w:abstractNumId w:val="256"/>
  </w:num>
  <w:num w:numId="308" w16cid:durableId="136842470">
    <w:abstractNumId w:val="177"/>
  </w:num>
  <w:num w:numId="309" w16cid:durableId="2092892913">
    <w:abstractNumId w:val="37"/>
  </w:num>
  <w:num w:numId="310" w16cid:durableId="1113016311">
    <w:abstractNumId w:val="55"/>
  </w:num>
  <w:num w:numId="311" w16cid:durableId="2145468612">
    <w:abstractNumId w:val="273"/>
  </w:num>
  <w:num w:numId="312" w16cid:durableId="1851485610">
    <w:abstractNumId w:val="261"/>
  </w:num>
  <w:num w:numId="313" w16cid:durableId="247932739">
    <w:abstractNumId w:val="294"/>
  </w:num>
  <w:num w:numId="314" w16cid:durableId="528568569">
    <w:abstractNumId w:val="113"/>
  </w:num>
  <w:num w:numId="315" w16cid:durableId="954410336">
    <w:abstractNumId w:val="116"/>
  </w:num>
  <w:num w:numId="316" w16cid:durableId="1488594245">
    <w:abstractNumId w:val="288"/>
  </w:num>
  <w:num w:numId="317" w16cid:durableId="1107771664">
    <w:abstractNumId w:val="183"/>
  </w:num>
  <w:num w:numId="318" w16cid:durableId="399914267">
    <w:abstractNumId w:val="251"/>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60"/>
    <w:rsid w:val="0000182C"/>
    <w:rsid w:val="0000208C"/>
    <w:rsid w:val="000021EC"/>
    <w:rsid w:val="0000240F"/>
    <w:rsid w:val="000024EA"/>
    <w:rsid w:val="00002B0D"/>
    <w:rsid w:val="00003486"/>
    <w:rsid w:val="000034FA"/>
    <w:rsid w:val="00004F37"/>
    <w:rsid w:val="000058CD"/>
    <w:rsid w:val="000066F7"/>
    <w:rsid w:val="000102DA"/>
    <w:rsid w:val="0001035A"/>
    <w:rsid w:val="00010C9F"/>
    <w:rsid w:val="0001137E"/>
    <w:rsid w:val="00011C0F"/>
    <w:rsid w:val="00011E5A"/>
    <w:rsid w:val="0001233F"/>
    <w:rsid w:val="000128F2"/>
    <w:rsid w:val="00013859"/>
    <w:rsid w:val="00013D5E"/>
    <w:rsid w:val="00013E9F"/>
    <w:rsid w:val="00014522"/>
    <w:rsid w:val="00014649"/>
    <w:rsid w:val="00014FD5"/>
    <w:rsid w:val="000161B9"/>
    <w:rsid w:val="00017542"/>
    <w:rsid w:val="00017B96"/>
    <w:rsid w:val="00020752"/>
    <w:rsid w:val="00020A14"/>
    <w:rsid w:val="00020CA9"/>
    <w:rsid w:val="00020DF6"/>
    <w:rsid w:val="000211DE"/>
    <w:rsid w:val="00021234"/>
    <w:rsid w:val="00022236"/>
    <w:rsid w:val="00022A29"/>
    <w:rsid w:val="000236EC"/>
    <w:rsid w:val="000237C2"/>
    <w:rsid w:val="000243E2"/>
    <w:rsid w:val="00024652"/>
    <w:rsid w:val="00024D26"/>
    <w:rsid w:val="00024FDA"/>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531"/>
    <w:rsid w:val="0005272B"/>
    <w:rsid w:val="000528A5"/>
    <w:rsid w:val="00053134"/>
    <w:rsid w:val="00053342"/>
    <w:rsid w:val="00053AB0"/>
    <w:rsid w:val="00054724"/>
    <w:rsid w:val="0005497C"/>
    <w:rsid w:val="00054EBD"/>
    <w:rsid w:val="00055E04"/>
    <w:rsid w:val="000566DB"/>
    <w:rsid w:val="0006078F"/>
    <w:rsid w:val="00061115"/>
    <w:rsid w:val="00061628"/>
    <w:rsid w:val="000625A8"/>
    <w:rsid w:val="00063FA3"/>
    <w:rsid w:val="000641AF"/>
    <w:rsid w:val="000643DF"/>
    <w:rsid w:val="00064A03"/>
    <w:rsid w:val="000665FC"/>
    <w:rsid w:val="00066C6E"/>
    <w:rsid w:val="00067309"/>
    <w:rsid w:val="00070197"/>
    <w:rsid w:val="00070745"/>
    <w:rsid w:val="00070820"/>
    <w:rsid w:val="00072145"/>
    <w:rsid w:val="00072D0E"/>
    <w:rsid w:val="0007374D"/>
    <w:rsid w:val="0007383B"/>
    <w:rsid w:val="00073C22"/>
    <w:rsid w:val="00073CD7"/>
    <w:rsid w:val="00074769"/>
    <w:rsid w:val="0007488B"/>
    <w:rsid w:val="00075C58"/>
    <w:rsid w:val="0007603E"/>
    <w:rsid w:val="0007614A"/>
    <w:rsid w:val="000773A4"/>
    <w:rsid w:val="0007787C"/>
    <w:rsid w:val="00077DF7"/>
    <w:rsid w:val="000810B4"/>
    <w:rsid w:val="000813A0"/>
    <w:rsid w:val="00081E0F"/>
    <w:rsid w:val="00081EFD"/>
    <w:rsid w:val="0008222E"/>
    <w:rsid w:val="0008277B"/>
    <w:rsid w:val="00082A97"/>
    <w:rsid w:val="0008364A"/>
    <w:rsid w:val="00083E2B"/>
    <w:rsid w:val="00084309"/>
    <w:rsid w:val="0008570D"/>
    <w:rsid w:val="000859BD"/>
    <w:rsid w:val="00087B84"/>
    <w:rsid w:val="000916B5"/>
    <w:rsid w:val="000921E9"/>
    <w:rsid w:val="000925E1"/>
    <w:rsid w:val="00092C2A"/>
    <w:rsid w:val="00094318"/>
    <w:rsid w:val="0009483F"/>
    <w:rsid w:val="0009492F"/>
    <w:rsid w:val="000951BC"/>
    <w:rsid w:val="00095C17"/>
    <w:rsid w:val="00095CB7"/>
    <w:rsid w:val="0009639C"/>
    <w:rsid w:val="000A01BB"/>
    <w:rsid w:val="000A1AC2"/>
    <w:rsid w:val="000A2770"/>
    <w:rsid w:val="000A2FA6"/>
    <w:rsid w:val="000A316A"/>
    <w:rsid w:val="000A39F7"/>
    <w:rsid w:val="000A3C73"/>
    <w:rsid w:val="000A3D13"/>
    <w:rsid w:val="000A4262"/>
    <w:rsid w:val="000A5185"/>
    <w:rsid w:val="000A5AED"/>
    <w:rsid w:val="000A66F6"/>
    <w:rsid w:val="000B039B"/>
    <w:rsid w:val="000B0475"/>
    <w:rsid w:val="000B07D1"/>
    <w:rsid w:val="000B102B"/>
    <w:rsid w:val="000B1FFE"/>
    <w:rsid w:val="000B2510"/>
    <w:rsid w:val="000B295D"/>
    <w:rsid w:val="000B36EB"/>
    <w:rsid w:val="000B379B"/>
    <w:rsid w:val="000B4D13"/>
    <w:rsid w:val="000B4F46"/>
    <w:rsid w:val="000B5B0D"/>
    <w:rsid w:val="000C0225"/>
    <w:rsid w:val="000C081D"/>
    <w:rsid w:val="000C147E"/>
    <w:rsid w:val="000C1B1F"/>
    <w:rsid w:val="000C2457"/>
    <w:rsid w:val="000C2F25"/>
    <w:rsid w:val="000C3140"/>
    <w:rsid w:val="000C3363"/>
    <w:rsid w:val="000C4A06"/>
    <w:rsid w:val="000C5461"/>
    <w:rsid w:val="000C5815"/>
    <w:rsid w:val="000C5A3B"/>
    <w:rsid w:val="000C6C4F"/>
    <w:rsid w:val="000C764C"/>
    <w:rsid w:val="000D03E8"/>
    <w:rsid w:val="000D0C7C"/>
    <w:rsid w:val="000D0D8F"/>
    <w:rsid w:val="000D1A89"/>
    <w:rsid w:val="000D2C31"/>
    <w:rsid w:val="000D3813"/>
    <w:rsid w:val="000D3A3C"/>
    <w:rsid w:val="000D45F5"/>
    <w:rsid w:val="000D4606"/>
    <w:rsid w:val="000D57DA"/>
    <w:rsid w:val="000D6417"/>
    <w:rsid w:val="000D6884"/>
    <w:rsid w:val="000D68C7"/>
    <w:rsid w:val="000D6A4A"/>
    <w:rsid w:val="000D71D4"/>
    <w:rsid w:val="000D754C"/>
    <w:rsid w:val="000E02EC"/>
    <w:rsid w:val="000E051A"/>
    <w:rsid w:val="000E2793"/>
    <w:rsid w:val="000E314A"/>
    <w:rsid w:val="000E51F2"/>
    <w:rsid w:val="000E53A6"/>
    <w:rsid w:val="000E5743"/>
    <w:rsid w:val="000E6648"/>
    <w:rsid w:val="000E6708"/>
    <w:rsid w:val="000E6C67"/>
    <w:rsid w:val="000E7318"/>
    <w:rsid w:val="000F01E9"/>
    <w:rsid w:val="000F02FD"/>
    <w:rsid w:val="000F0974"/>
    <w:rsid w:val="000F0B26"/>
    <w:rsid w:val="000F176F"/>
    <w:rsid w:val="000F222C"/>
    <w:rsid w:val="000F2A07"/>
    <w:rsid w:val="000F3ECD"/>
    <w:rsid w:val="000F4D71"/>
    <w:rsid w:val="000F5A29"/>
    <w:rsid w:val="000F5CF9"/>
    <w:rsid w:val="000F6108"/>
    <w:rsid w:val="000F6110"/>
    <w:rsid w:val="000F6A15"/>
    <w:rsid w:val="000F7353"/>
    <w:rsid w:val="000F745C"/>
    <w:rsid w:val="000F7976"/>
    <w:rsid w:val="001003C7"/>
    <w:rsid w:val="001010D7"/>
    <w:rsid w:val="00101727"/>
    <w:rsid w:val="0010191E"/>
    <w:rsid w:val="00101954"/>
    <w:rsid w:val="001025CF"/>
    <w:rsid w:val="00102C86"/>
    <w:rsid w:val="001030C2"/>
    <w:rsid w:val="00103AD8"/>
    <w:rsid w:val="00104ED2"/>
    <w:rsid w:val="0010566E"/>
    <w:rsid w:val="001071D6"/>
    <w:rsid w:val="00107338"/>
    <w:rsid w:val="00107A64"/>
    <w:rsid w:val="001102BE"/>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2411"/>
    <w:rsid w:val="001231B3"/>
    <w:rsid w:val="00123955"/>
    <w:rsid w:val="00125308"/>
    <w:rsid w:val="001257F6"/>
    <w:rsid w:val="00125DC9"/>
    <w:rsid w:val="00126629"/>
    <w:rsid w:val="0012754A"/>
    <w:rsid w:val="00130566"/>
    <w:rsid w:val="00130845"/>
    <w:rsid w:val="00131453"/>
    <w:rsid w:val="001316A4"/>
    <w:rsid w:val="00131D1A"/>
    <w:rsid w:val="001356CB"/>
    <w:rsid w:val="00135A3C"/>
    <w:rsid w:val="0013628B"/>
    <w:rsid w:val="00137037"/>
    <w:rsid w:val="001374E0"/>
    <w:rsid w:val="0014034D"/>
    <w:rsid w:val="00140966"/>
    <w:rsid w:val="001416B4"/>
    <w:rsid w:val="00141988"/>
    <w:rsid w:val="00141A7D"/>
    <w:rsid w:val="00141A95"/>
    <w:rsid w:val="00141B98"/>
    <w:rsid w:val="00141D6C"/>
    <w:rsid w:val="0014254C"/>
    <w:rsid w:val="0014344A"/>
    <w:rsid w:val="0014367F"/>
    <w:rsid w:val="00143D49"/>
    <w:rsid w:val="0014661D"/>
    <w:rsid w:val="001473EB"/>
    <w:rsid w:val="00147564"/>
    <w:rsid w:val="00150528"/>
    <w:rsid w:val="00150868"/>
    <w:rsid w:val="001515B6"/>
    <w:rsid w:val="00151BA3"/>
    <w:rsid w:val="00151DEF"/>
    <w:rsid w:val="0015419B"/>
    <w:rsid w:val="001542D6"/>
    <w:rsid w:val="00154895"/>
    <w:rsid w:val="001548B3"/>
    <w:rsid w:val="001551E3"/>
    <w:rsid w:val="00155941"/>
    <w:rsid w:val="00157815"/>
    <w:rsid w:val="0016184C"/>
    <w:rsid w:val="0016202E"/>
    <w:rsid w:val="00162090"/>
    <w:rsid w:val="00162147"/>
    <w:rsid w:val="0016264C"/>
    <w:rsid w:val="00163276"/>
    <w:rsid w:val="00163D2F"/>
    <w:rsid w:val="00164F7A"/>
    <w:rsid w:val="00165137"/>
    <w:rsid w:val="00165502"/>
    <w:rsid w:val="00165B9F"/>
    <w:rsid w:val="00167342"/>
    <w:rsid w:val="00167704"/>
    <w:rsid w:val="0016783F"/>
    <w:rsid w:val="001679CD"/>
    <w:rsid w:val="00170693"/>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A73"/>
    <w:rsid w:val="00181E98"/>
    <w:rsid w:val="001822EC"/>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2B85"/>
    <w:rsid w:val="0019303F"/>
    <w:rsid w:val="00193BEB"/>
    <w:rsid w:val="001940F5"/>
    <w:rsid w:val="001942D3"/>
    <w:rsid w:val="001944AD"/>
    <w:rsid w:val="001946CC"/>
    <w:rsid w:val="00194EE1"/>
    <w:rsid w:val="00195A5D"/>
    <w:rsid w:val="00195ED7"/>
    <w:rsid w:val="00196522"/>
    <w:rsid w:val="001A00D5"/>
    <w:rsid w:val="001A0366"/>
    <w:rsid w:val="001A1783"/>
    <w:rsid w:val="001A1E50"/>
    <w:rsid w:val="001A1EAE"/>
    <w:rsid w:val="001A1F91"/>
    <w:rsid w:val="001A35B4"/>
    <w:rsid w:val="001A3FC6"/>
    <w:rsid w:val="001A463D"/>
    <w:rsid w:val="001A4FD5"/>
    <w:rsid w:val="001A5027"/>
    <w:rsid w:val="001A522D"/>
    <w:rsid w:val="001A5EC6"/>
    <w:rsid w:val="001A6350"/>
    <w:rsid w:val="001A671A"/>
    <w:rsid w:val="001A689F"/>
    <w:rsid w:val="001B170B"/>
    <w:rsid w:val="001B185D"/>
    <w:rsid w:val="001B1B7C"/>
    <w:rsid w:val="001B1CA0"/>
    <w:rsid w:val="001B2273"/>
    <w:rsid w:val="001B3475"/>
    <w:rsid w:val="001B3814"/>
    <w:rsid w:val="001B385C"/>
    <w:rsid w:val="001B45DC"/>
    <w:rsid w:val="001B4671"/>
    <w:rsid w:val="001B49B8"/>
    <w:rsid w:val="001B71DA"/>
    <w:rsid w:val="001C0DF6"/>
    <w:rsid w:val="001C1227"/>
    <w:rsid w:val="001C1E74"/>
    <w:rsid w:val="001C1F0B"/>
    <w:rsid w:val="001C3216"/>
    <w:rsid w:val="001C32D7"/>
    <w:rsid w:val="001C39D5"/>
    <w:rsid w:val="001C421C"/>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6208"/>
    <w:rsid w:val="001D73C6"/>
    <w:rsid w:val="001E0222"/>
    <w:rsid w:val="001E024F"/>
    <w:rsid w:val="001E0A65"/>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32FB"/>
    <w:rsid w:val="001F34EA"/>
    <w:rsid w:val="001F3BB0"/>
    <w:rsid w:val="001F3DA1"/>
    <w:rsid w:val="001F450D"/>
    <w:rsid w:val="001F4BE0"/>
    <w:rsid w:val="001F67F4"/>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1147"/>
    <w:rsid w:val="00211DA0"/>
    <w:rsid w:val="0021221F"/>
    <w:rsid w:val="002127A5"/>
    <w:rsid w:val="00212A7B"/>
    <w:rsid w:val="00213827"/>
    <w:rsid w:val="002144F7"/>
    <w:rsid w:val="00215620"/>
    <w:rsid w:val="00216E17"/>
    <w:rsid w:val="00217448"/>
    <w:rsid w:val="00217485"/>
    <w:rsid w:val="002200BF"/>
    <w:rsid w:val="00220603"/>
    <w:rsid w:val="00220CAB"/>
    <w:rsid w:val="00220EBA"/>
    <w:rsid w:val="00221108"/>
    <w:rsid w:val="00221945"/>
    <w:rsid w:val="00221D81"/>
    <w:rsid w:val="002225AF"/>
    <w:rsid w:val="00222BD7"/>
    <w:rsid w:val="00223116"/>
    <w:rsid w:val="002239ED"/>
    <w:rsid w:val="00223D11"/>
    <w:rsid w:val="002243BC"/>
    <w:rsid w:val="002244E9"/>
    <w:rsid w:val="002246A4"/>
    <w:rsid w:val="00224764"/>
    <w:rsid w:val="00225066"/>
    <w:rsid w:val="002257C2"/>
    <w:rsid w:val="00225FF1"/>
    <w:rsid w:val="00227374"/>
    <w:rsid w:val="002278A6"/>
    <w:rsid w:val="00227D10"/>
    <w:rsid w:val="00227FE1"/>
    <w:rsid w:val="0023080E"/>
    <w:rsid w:val="00230D41"/>
    <w:rsid w:val="00230D6E"/>
    <w:rsid w:val="00230DDC"/>
    <w:rsid w:val="00231115"/>
    <w:rsid w:val="00231457"/>
    <w:rsid w:val="00231819"/>
    <w:rsid w:val="00232A77"/>
    <w:rsid w:val="002330E8"/>
    <w:rsid w:val="002331A3"/>
    <w:rsid w:val="00233DFB"/>
    <w:rsid w:val="00234764"/>
    <w:rsid w:val="002349E7"/>
    <w:rsid w:val="00237382"/>
    <w:rsid w:val="00237F95"/>
    <w:rsid w:val="0024097A"/>
    <w:rsid w:val="002436B9"/>
    <w:rsid w:val="0024375E"/>
    <w:rsid w:val="0024457E"/>
    <w:rsid w:val="002446C9"/>
    <w:rsid w:val="002449C5"/>
    <w:rsid w:val="002452A5"/>
    <w:rsid w:val="0024549B"/>
    <w:rsid w:val="00245BCB"/>
    <w:rsid w:val="0024646C"/>
    <w:rsid w:val="00246A1E"/>
    <w:rsid w:val="00250A5F"/>
    <w:rsid w:val="00250AEA"/>
    <w:rsid w:val="002526D0"/>
    <w:rsid w:val="00253F90"/>
    <w:rsid w:val="00255CA8"/>
    <w:rsid w:val="002566AF"/>
    <w:rsid w:val="00256938"/>
    <w:rsid w:val="00256958"/>
    <w:rsid w:val="00257292"/>
    <w:rsid w:val="00257A42"/>
    <w:rsid w:val="00257F24"/>
    <w:rsid w:val="00260C29"/>
    <w:rsid w:val="00261298"/>
    <w:rsid w:val="0026175F"/>
    <w:rsid w:val="00263A32"/>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7412"/>
    <w:rsid w:val="00280E24"/>
    <w:rsid w:val="0028102A"/>
    <w:rsid w:val="002812B7"/>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3C8B"/>
    <w:rsid w:val="00294B20"/>
    <w:rsid w:val="00294CC0"/>
    <w:rsid w:val="00294D0C"/>
    <w:rsid w:val="002955DE"/>
    <w:rsid w:val="0029575C"/>
    <w:rsid w:val="00295A9F"/>
    <w:rsid w:val="002962E5"/>
    <w:rsid w:val="00296F7B"/>
    <w:rsid w:val="00297B22"/>
    <w:rsid w:val="00297DC9"/>
    <w:rsid w:val="002A0640"/>
    <w:rsid w:val="002A0884"/>
    <w:rsid w:val="002A1613"/>
    <w:rsid w:val="002A1BC8"/>
    <w:rsid w:val="002A224F"/>
    <w:rsid w:val="002A26EA"/>
    <w:rsid w:val="002A2D05"/>
    <w:rsid w:val="002A3943"/>
    <w:rsid w:val="002A3A86"/>
    <w:rsid w:val="002A4349"/>
    <w:rsid w:val="002A5347"/>
    <w:rsid w:val="002A535A"/>
    <w:rsid w:val="002A6B4F"/>
    <w:rsid w:val="002A7212"/>
    <w:rsid w:val="002A73B5"/>
    <w:rsid w:val="002A7ADB"/>
    <w:rsid w:val="002A7B1D"/>
    <w:rsid w:val="002B044D"/>
    <w:rsid w:val="002B1508"/>
    <w:rsid w:val="002B1ABB"/>
    <w:rsid w:val="002B2004"/>
    <w:rsid w:val="002B2432"/>
    <w:rsid w:val="002B2991"/>
    <w:rsid w:val="002B2A7A"/>
    <w:rsid w:val="002B2B2E"/>
    <w:rsid w:val="002B2C9D"/>
    <w:rsid w:val="002B511E"/>
    <w:rsid w:val="002B5475"/>
    <w:rsid w:val="002B5FF3"/>
    <w:rsid w:val="002B66A2"/>
    <w:rsid w:val="002B67B5"/>
    <w:rsid w:val="002B7ABB"/>
    <w:rsid w:val="002B7DF6"/>
    <w:rsid w:val="002C01F4"/>
    <w:rsid w:val="002C0696"/>
    <w:rsid w:val="002C0B00"/>
    <w:rsid w:val="002C174C"/>
    <w:rsid w:val="002C20FC"/>
    <w:rsid w:val="002C3C3D"/>
    <w:rsid w:val="002C413A"/>
    <w:rsid w:val="002C477E"/>
    <w:rsid w:val="002C4B69"/>
    <w:rsid w:val="002C4F39"/>
    <w:rsid w:val="002C5AD0"/>
    <w:rsid w:val="002C6FF3"/>
    <w:rsid w:val="002C7016"/>
    <w:rsid w:val="002C7A16"/>
    <w:rsid w:val="002C7CBC"/>
    <w:rsid w:val="002D0476"/>
    <w:rsid w:val="002D0669"/>
    <w:rsid w:val="002D0BC1"/>
    <w:rsid w:val="002D1463"/>
    <w:rsid w:val="002D2296"/>
    <w:rsid w:val="002D3270"/>
    <w:rsid w:val="002D3446"/>
    <w:rsid w:val="002D3592"/>
    <w:rsid w:val="002D3CCB"/>
    <w:rsid w:val="002D46D6"/>
    <w:rsid w:val="002D670C"/>
    <w:rsid w:val="002D6F32"/>
    <w:rsid w:val="002D7019"/>
    <w:rsid w:val="002D706B"/>
    <w:rsid w:val="002D7451"/>
    <w:rsid w:val="002D793B"/>
    <w:rsid w:val="002D79CF"/>
    <w:rsid w:val="002D7B17"/>
    <w:rsid w:val="002E0791"/>
    <w:rsid w:val="002E0E51"/>
    <w:rsid w:val="002E134F"/>
    <w:rsid w:val="002E1887"/>
    <w:rsid w:val="002E1DF4"/>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510C"/>
    <w:rsid w:val="002F550F"/>
    <w:rsid w:val="002F5D83"/>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3CFE"/>
    <w:rsid w:val="00314011"/>
    <w:rsid w:val="00314A5E"/>
    <w:rsid w:val="00315105"/>
    <w:rsid w:val="00315340"/>
    <w:rsid w:val="00315545"/>
    <w:rsid w:val="003155D0"/>
    <w:rsid w:val="003169D1"/>
    <w:rsid w:val="00316BB4"/>
    <w:rsid w:val="00316DA0"/>
    <w:rsid w:val="003174D8"/>
    <w:rsid w:val="00317840"/>
    <w:rsid w:val="003179D5"/>
    <w:rsid w:val="0032069F"/>
    <w:rsid w:val="00320975"/>
    <w:rsid w:val="00321ABC"/>
    <w:rsid w:val="00322F0C"/>
    <w:rsid w:val="003233A8"/>
    <w:rsid w:val="0032383A"/>
    <w:rsid w:val="003238D2"/>
    <w:rsid w:val="00324698"/>
    <w:rsid w:val="00326478"/>
    <w:rsid w:val="00326BD6"/>
    <w:rsid w:val="00326BF0"/>
    <w:rsid w:val="00326D02"/>
    <w:rsid w:val="0032729E"/>
    <w:rsid w:val="003274E5"/>
    <w:rsid w:val="00327986"/>
    <w:rsid w:val="00327E0A"/>
    <w:rsid w:val="003307F5"/>
    <w:rsid w:val="00331034"/>
    <w:rsid w:val="003312D9"/>
    <w:rsid w:val="00331AB8"/>
    <w:rsid w:val="00332306"/>
    <w:rsid w:val="00332BCD"/>
    <w:rsid w:val="0033375C"/>
    <w:rsid w:val="00333796"/>
    <w:rsid w:val="00333F25"/>
    <w:rsid w:val="00334535"/>
    <w:rsid w:val="00334599"/>
    <w:rsid w:val="0033474F"/>
    <w:rsid w:val="00334821"/>
    <w:rsid w:val="003357AA"/>
    <w:rsid w:val="00336095"/>
    <w:rsid w:val="003364AF"/>
    <w:rsid w:val="00337FEF"/>
    <w:rsid w:val="0034020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1285"/>
    <w:rsid w:val="00351D13"/>
    <w:rsid w:val="00351D6D"/>
    <w:rsid w:val="0035272A"/>
    <w:rsid w:val="00353193"/>
    <w:rsid w:val="0035336A"/>
    <w:rsid w:val="00353C81"/>
    <w:rsid w:val="00354BCF"/>
    <w:rsid w:val="00355607"/>
    <w:rsid w:val="00355EAE"/>
    <w:rsid w:val="0035637E"/>
    <w:rsid w:val="003579F0"/>
    <w:rsid w:val="00357F88"/>
    <w:rsid w:val="00361109"/>
    <w:rsid w:val="003616F2"/>
    <w:rsid w:val="00362B60"/>
    <w:rsid w:val="00362BBB"/>
    <w:rsid w:val="00362D2A"/>
    <w:rsid w:val="00362D3D"/>
    <w:rsid w:val="00362DF4"/>
    <w:rsid w:val="00364062"/>
    <w:rsid w:val="00364222"/>
    <w:rsid w:val="00364666"/>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25DB"/>
    <w:rsid w:val="0038295B"/>
    <w:rsid w:val="0038373C"/>
    <w:rsid w:val="003840FD"/>
    <w:rsid w:val="00385800"/>
    <w:rsid w:val="003858F8"/>
    <w:rsid w:val="00386E2D"/>
    <w:rsid w:val="00390ED4"/>
    <w:rsid w:val="00392AA9"/>
    <w:rsid w:val="00392AED"/>
    <w:rsid w:val="00392D8D"/>
    <w:rsid w:val="003935C3"/>
    <w:rsid w:val="00393B18"/>
    <w:rsid w:val="00393B96"/>
    <w:rsid w:val="003949B6"/>
    <w:rsid w:val="0039511F"/>
    <w:rsid w:val="003951EE"/>
    <w:rsid w:val="003956A2"/>
    <w:rsid w:val="00395B62"/>
    <w:rsid w:val="003961E8"/>
    <w:rsid w:val="003967EF"/>
    <w:rsid w:val="003968CC"/>
    <w:rsid w:val="003968F9"/>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B64"/>
    <w:rsid w:val="003C6D5E"/>
    <w:rsid w:val="003C74D7"/>
    <w:rsid w:val="003C753E"/>
    <w:rsid w:val="003D0044"/>
    <w:rsid w:val="003D0181"/>
    <w:rsid w:val="003D037F"/>
    <w:rsid w:val="003D0849"/>
    <w:rsid w:val="003D09DF"/>
    <w:rsid w:val="003D1276"/>
    <w:rsid w:val="003D146D"/>
    <w:rsid w:val="003D20CB"/>
    <w:rsid w:val="003D24F3"/>
    <w:rsid w:val="003D2711"/>
    <w:rsid w:val="003D32DF"/>
    <w:rsid w:val="003D365B"/>
    <w:rsid w:val="003D439F"/>
    <w:rsid w:val="003D4BCE"/>
    <w:rsid w:val="003D4E09"/>
    <w:rsid w:val="003D5E39"/>
    <w:rsid w:val="003D60A2"/>
    <w:rsid w:val="003D63C5"/>
    <w:rsid w:val="003D6B04"/>
    <w:rsid w:val="003D706F"/>
    <w:rsid w:val="003D78EE"/>
    <w:rsid w:val="003D7AF1"/>
    <w:rsid w:val="003E039C"/>
    <w:rsid w:val="003E0EA1"/>
    <w:rsid w:val="003E1406"/>
    <w:rsid w:val="003E1F42"/>
    <w:rsid w:val="003E2441"/>
    <w:rsid w:val="003E2A31"/>
    <w:rsid w:val="003E3A5F"/>
    <w:rsid w:val="003E3FA3"/>
    <w:rsid w:val="003E50B4"/>
    <w:rsid w:val="003E53DB"/>
    <w:rsid w:val="003E5CD0"/>
    <w:rsid w:val="003E6870"/>
    <w:rsid w:val="003E7302"/>
    <w:rsid w:val="003E783E"/>
    <w:rsid w:val="003E7DF2"/>
    <w:rsid w:val="003F010A"/>
    <w:rsid w:val="003F0852"/>
    <w:rsid w:val="003F0BAF"/>
    <w:rsid w:val="003F1236"/>
    <w:rsid w:val="003F131B"/>
    <w:rsid w:val="003F1FC5"/>
    <w:rsid w:val="003F264C"/>
    <w:rsid w:val="003F2A21"/>
    <w:rsid w:val="003F2E09"/>
    <w:rsid w:val="003F34A5"/>
    <w:rsid w:val="003F497E"/>
    <w:rsid w:val="003F4EDC"/>
    <w:rsid w:val="003F63CF"/>
    <w:rsid w:val="003F64D4"/>
    <w:rsid w:val="003F755D"/>
    <w:rsid w:val="004002FB"/>
    <w:rsid w:val="0040122B"/>
    <w:rsid w:val="004027E6"/>
    <w:rsid w:val="00403033"/>
    <w:rsid w:val="004036E7"/>
    <w:rsid w:val="00404548"/>
    <w:rsid w:val="0040522D"/>
    <w:rsid w:val="00405E62"/>
    <w:rsid w:val="0040739A"/>
    <w:rsid w:val="00407914"/>
    <w:rsid w:val="00407D4D"/>
    <w:rsid w:val="00407E58"/>
    <w:rsid w:val="00410254"/>
    <w:rsid w:val="0041115F"/>
    <w:rsid w:val="00411A45"/>
    <w:rsid w:val="00411CD6"/>
    <w:rsid w:val="004122DD"/>
    <w:rsid w:val="004134A6"/>
    <w:rsid w:val="00413B76"/>
    <w:rsid w:val="004149F0"/>
    <w:rsid w:val="00414A82"/>
    <w:rsid w:val="00416208"/>
    <w:rsid w:val="0041635A"/>
    <w:rsid w:val="004167F2"/>
    <w:rsid w:val="00416B37"/>
    <w:rsid w:val="00416B8D"/>
    <w:rsid w:val="00416E59"/>
    <w:rsid w:val="00417166"/>
    <w:rsid w:val="00421915"/>
    <w:rsid w:val="00422D2C"/>
    <w:rsid w:val="00422FF7"/>
    <w:rsid w:val="004238E6"/>
    <w:rsid w:val="00424AD0"/>
    <w:rsid w:val="00425175"/>
    <w:rsid w:val="0042584D"/>
    <w:rsid w:val="00427FEA"/>
    <w:rsid w:val="0043109A"/>
    <w:rsid w:val="004311ED"/>
    <w:rsid w:val="004311F0"/>
    <w:rsid w:val="004313A6"/>
    <w:rsid w:val="004322C2"/>
    <w:rsid w:val="004323E3"/>
    <w:rsid w:val="00432504"/>
    <w:rsid w:val="00432CFA"/>
    <w:rsid w:val="00433317"/>
    <w:rsid w:val="0043393E"/>
    <w:rsid w:val="0043436A"/>
    <w:rsid w:val="00434B78"/>
    <w:rsid w:val="00435116"/>
    <w:rsid w:val="00436709"/>
    <w:rsid w:val="00436A94"/>
    <w:rsid w:val="00436D72"/>
    <w:rsid w:val="00437A01"/>
    <w:rsid w:val="00440802"/>
    <w:rsid w:val="00441D0A"/>
    <w:rsid w:val="00441D74"/>
    <w:rsid w:val="00441E8D"/>
    <w:rsid w:val="00442AE4"/>
    <w:rsid w:val="00443B04"/>
    <w:rsid w:val="004449E2"/>
    <w:rsid w:val="0044577D"/>
    <w:rsid w:val="00445DF5"/>
    <w:rsid w:val="00445E28"/>
    <w:rsid w:val="004479D4"/>
    <w:rsid w:val="00447AA7"/>
    <w:rsid w:val="00447D03"/>
    <w:rsid w:val="00447F74"/>
    <w:rsid w:val="00450572"/>
    <w:rsid w:val="004507AE"/>
    <w:rsid w:val="00450DCE"/>
    <w:rsid w:val="004514B8"/>
    <w:rsid w:val="004515F8"/>
    <w:rsid w:val="004519A0"/>
    <w:rsid w:val="00451C54"/>
    <w:rsid w:val="00453863"/>
    <w:rsid w:val="00453E87"/>
    <w:rsid w:val="00454E67"/>
    <w:rsid w:val="004556A3"/>
    <w:rsid w:val="00455B8E"/>
    <w:rsid w:val="00455BE7"/>
    <w:rsid w:val="0045603D"/>
    <w:rsid w:val="00456492"/>
    <w:rsid w:val="004569FB"/>
    <w:rsid w:val="00456AD4"/>
    <w:rsid w:val="00460786"/>
    <w:rsid w:val="0046087A"/>
    <w:rsid w:val="0046139C"/>
    <w:rsid w:val="00462AE8"/>
    <w:rsid w:val="00463B3C"/>
    <w:rsid w:val="00463CD5"/>
    <w:rsid w:val="00464129"/>
    <w:rsid w:val="0046416C"/>
    <w:rsid w:val="004649A2"/>
    <w:rsid w:val="00465123"/>
    <w:rsid w:val="004654A8"/>
    <w:rsid w:val="0046571E"/>
    <w:rsid w:val="00466131"/>
    <w:rsid w:val="004664F4"/>
    <w:rsid w:val="00466813"/>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39A1"/>
    <w:rsid w:val="00483E58"/>
    <w:rsid w:val="004844C1"/>
    <w:rsid w:val="00485DA5"/>
    <w:rsid w:val="004865ED"/>
    <w:rsid w:val="004868A2"/>
    <w:rsid w:val="00486AA3"/>
    <w:rsid w:val="00486CF5"/>
    <w:rsid w:val="004879D9"/>
    <w:rsid w:val="004901D7"/>
    <w:rsid w:val="004911B7"/>
    <w:rsid w:val="004914BE"/>
    <w:rsid w:val="00491D9B"/>
    <w:rsid w:val="0049234B"/>
    <w:rsid w:val="0049243D"/>
    <w:rsid w:val="00492631"/>
    <w:rsid w:val="00493076"/>
    <w:rsid w:val="004954C3"/>
    <w:rsid w:val="004955AF"/>
    <w:rsid w:val="00495B0A"/>
    <w:rsid w:val="00496A9A"/>
    <w:rsid w:val="00497519"/>
    <w:rsid w:val="00497B5A"/>
    <w:rsid w:val="004A098A"/>
    <w:rsid w:val="004A0B57"/>
    <w:rsid w:val="004A0F6F"/>
    <w:rsid w:val="004A14E2"/>
    <w:rsid w:val="004A1556"/>
    <w:rsid w:val="004A2039"/>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01A1"/>
    <w:rsid w:val="004C10D3"/>
    <w:rsid w:val="004C132F"/>
    <w:rsid w:val="004C2302"/>
    <w:rsid w:val="004C3102"/>
    <w:rsid w:val="004C366C"/>
    <w:rsid w:val="004C3765"/>
    <w:rsid w:val="004C383C"/>
    <w:rsid w:val="004C38AC"/>
    <w:rsid w:val="004C5550"/>
    <w:rsid w:val="004C58D6"/>
    <w:rsid w:val="004C5F9A"/>
    <w:rsid w:val="004C65CB"/>
    <w:rsid w:val="004C70C1"/>
    <w:rsid w:val="004C7E71"/>
    <w:rsid w:val="004D013E"/>
    <w:rsid w:val="004D0284"/>
    <w:rsid w:val="004D083D"/>
    <w:rsid w:val="004D12FE"/>
    <w:rsid w:val="004D1689"/>
    <w:rsid w:val="004D1B6F"/>
    <w:rsid w:val="004D3C83"/>
    <w:rsid w:val="004D42C7"/>
    <w:rsid w:val="004D43BE"/>
    <w:rsid w:val="004D4474"/>
    <w:rsid w:val="004D4DC8"/>
    <w:rsid w:val="004D5D8F"/>
    <w:rsid w:val="004D6266"/>
    <w:rsid w:val="004D6588"/>
    <w:rsid w:val="004D6EA7"/>
    <w:rsid w:val="004D6EDA"/>
    <w:rsid w:val="004D7BB4"/>
    <w:rsid w:val="004D7C12"/>
    <w:rsid w:val="004E0397"/>
    <w:rsid w:val="004E04E1"/>
    <w:rsid w:val="004E0B0C"/>
    <w:rsid w:val="004E2834"/>
    <w:rsid w:val="004E28E1"/>
    <w:rsid w:val="004E2FB8"/>
    <w:rsid w:val="004E33C3"/>
    <w:rsid w:val="004E3A7D"/>
    <w:rsid w:val="004E3F6C"/>
    <w:rsid w:val="004E4CC3"/>
    <w:rsid w:val="004E4D1F"/>
    <w:rsid w:val="004E5B79"/>
    <w:rsid w:val="004E62D9"/>
    <w:rsid w:val="004E6437"/>
    <w:rsid w:val="004E6456"/>
    <w:rsid w:val="004E676A"/>
    <w:rsid w:val="004E70EE"/>
    <w:rsid w:val="004E7AD5"/>
    <w:rsid w:val="004E7FA2"/>
    <w:rsid w:val="004F00D2"/>
    <w:rsid w:val="004F0843"/>
    <w:rsid w:val="004F0F31"/>
    <w:rsid w:val="004F1F6B"/>
    <w:rsid w:val="004F2678"/>
    <w:rsid w:val="004F27E6"/>
    <w:rsid w:val="004F2DDF"/>
    <w:rsid w:val="004F2EFE"/>
    <w:rsid w:val="004F2FF4"/>
    <w:rsid w:val="004F3A27"/>
    <w:rsid w:val="004F542A"/>
    <w:rsid w:val="004F5C81"/>
    <w:rsid w:val="004F6273"/>
    <w:rsid w:val="004F7028"/>
    <w:rsid w:val="004F7952"/>
    <w:rsid w:val="004F7A2F"/>
    <w:rsid w:val="004F7DAB"/>
    <w:rsid w:val="004F7F71"/>
    <w:rsid w:val="0050297C"/>
    <w:rsid w:val="00503AF4"/>
    <w:rsid w:val="00504350"/>
    <w:rsid w:val="005049FA"/>
    <w:rsid w:val="00505387"/>
    <w:rsid w:val="00506327"/>
    <w:rsid w:val="0050728A"/>
    <w:rsid w:val="0051036E"/>
    <w:rsid w:val="0051108B"/>
    <w:rsid w:val="00512347"/>
    <w:rsid w:val="00512902"/>
    <w:rsid w:val="0051372D"/>
    <w:rsid w:val="00514008"/>
    <w:rsid w:val="00514326"/>
    <w:rsid w:val="00514345"/>
    <w:rsid w:val="00514A66"/>
    <w:rsid w:val="00514E4C"/>
    <w:rsid w:val="00514FAA"/>
    <w:rsid w:val="00515861"/>
    <w:rsid w:val="00515AD7"/>
    <w:rsid w:val="0051764F"/>
    <w:rsid w:val="00517764"/>
    <w:rsid w:val="0051795C"/>
    <w:rsid w:val="00517C78"/>
    <w:rsid w:val="0052034B"/>
    <w:rsid w:val="005203CC"/>
    <w:rsid w:val="00520942"/>
    <w:rsid w:val="00520AD2"/>
    <w:rsid w:val="005220F9"/>
    <w:rsid w:val="00522148"/>
    <w:rsid w:val="00522BD6"/>
    <w:rsid w:val="00522EB7"/>
    <w:rsid w:val="00523045"/>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655"/>
    <w:rsid w:val="00530AB5"/>
    <w:rsid w:val="00530E32"/>
    <w:rsid w:val="00531443"/>
    <w:rsid w:val="005319F7"/>
    <w:rsid w:val="00533391"/>
    <w:rsid w:val="005335CE"/>
    <w:rsid w:val="00534B7C"/>
    <w:rsid w:val="00535DB3"/>
    <w:rsid w:val="00535E74"/>
    <w:rsid w:val="00535FB1"/>
    <w:rsid w:val="00536872"/>
    <w:rsid w:val="00537369"/>
    <w:rsid w:val="005378D8"/>
    <w:rsid w:val="005404FB"/>
    <w:rsid w:val="00540B37"/>
    <w:rsid w:val="00540BEC"/>
    <w:rsid w:val="00541015"/>
    <w:rsid w:val="00541ACF"/>
    <w:rsid w:val="00543A71"/>
    <w:rsid w:val="0054607D"/>
    <w:rsid w:val="0054786E"/>
    <w:rsid w:val="00547976"/>
    <w:rsid w:val="00547B8D"/>
    <w:rsid w:val="0055061A"/>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E89"/>
    <w:rsid w:val="00561AA6"/>
    <w:rsid w:val="0056264B"/>
    <w:rsid w:val="00562C4C"/>
    <w:rsid w:val="00562C59"/>
    <w:rsid w:val="00562E4D"/>
    <w:rsid w:val="005632B0"/>
    <w:rsid w:val="005637D1"/>
    <w:rsid w:val="00563ACB"/>
    <w:rsid w:val="00564935"/>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749E"/>
    <w:rsid w:val="0059162A"/>
    <w:rsid w:val="00591850"/>
    <w:rsid w:val="005924B7"/>
    <w:rsid w:val="00592965"/>
    <w:rsid w:val="00593AE2"/>
    <w:rsid w:val="00595103"/>
    <w:rsid w:val="0059543F"/>
    <w:rsid w:val="00596F90"/>
    <w:rsid w:val="005975FE"/>
    <w:rsid w:val="00597C4E"/>
    <w:rsid w:val="00597FF6"/>
    <w:rsid w:val="005A07F5"/>
    <w:rsid w:val="005A07F7"/>
    <w:rsid w:val="005A0F8E"/>
    <w:rsid w:val="005A0FDF"/>
    <w:rsid w:val="005A1135"/>
    <w:rsid w:val="005A13CF"/>
    <w:rsid w:val="005A2B18"/>
    <w:rsid w:val="005A4159"/>
    <w:rsid w:val="005A416B"/>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870"/>
    <w:rsid w:val="005B2C8E"/>
    <w:rsid w:val="005B3961"/>
    <w:rsid w:val="005B4AED"/>
    <w:rsid w:val="005B4C47"/>
    <w:rsid w:val="005B4DEA"/>
    <w:rsid w:val="005B559B"/>
    <w:rsid w:val="005B5A47"/>
    <w:rsid w:val="005B5CB9"/>
    <w:rsid w:val="005B5DA1"/>
    <w:rsid w:val="005B5F8A"/>
    <w:rsid w:val="005B73AB"/>
    <w:rsid w:val="005B7768"/>
    <w:rsid w:val="005C06A0"/>
    <w:rsid w:val="005C0DD2"/>
    <w:rsid w:val="005C1928"/>
    <w:rsid w:val="005C1971"/>
    <w:rsid w:val="005C1E9B"/>
    <w:rsid w:val="005C2E2D"/>
    <w:rsid w:val="005C2F6B"/>
    <w:rsid w:val="005C301A"/>
    <w:rsid w:val="005C41A9"/>
    <w:rsid w:val="005C46C9"/>
    <w:rsid w:val="005C53B9"/>
    <w:rsid w:val="005C5841"/>
    <w:rsid w:val="005C6002"/>
    <w:rsid w:val="005D00AA"/>
    <w:rsid w:val="005D0347"/>
    <w:rsid w:val="005D0B4B"/>
    <w:rsid w:val="005D124F"/>
    <w:rsid w:val="005D2850"/>
    <w:rsid w:val="005D398C"/>
    <w:rsid w:val="005D48C0"/>
    <w:rsid w:val="005D4B0E"/>
    <w:rsid w:val="005D5B0E"/>
    <w:rsid w:val="005D5E6A"/>
    <w:rsid w:val="005D60E9"/>
    <w:rsid w:val="005D61AB"/>
    <w:rsid w:val="005D64D3"/>
    <w:rsid w:val="005D67AE"/>
    <w:rsid w:val="005E1010"/>
    <w:rsid w:val="005E1706"/>
    <w:rsid w:val="005E18E5"/>
    <w:rsid w:val="005E23B4"/>
    <w:rsid w:val="005E2432"/>
    <w:rsid w:val="005E29CD"/>
    <w:rsid w:val="005E2BC9"/>
    <w:rsid w:val="005E2D87"/>
    <w:rsid w:val="005E30C7"/>
    <w:rsid w:val="005E3EEB"/>
    <w:rsid w:val="005E52CF"/>
    <w:rsid w:val="005E6199"/>
    <w:rsid w:val="005E7827"/>
    <w:rsid w:val="005E7BC7"/>
    <w:rsid w:val="005E7D27"/>
    <w:rsid w:val="005F0EA2"/>
    <w:rsid w:val="005F15A2"/>
    <w:rsid w:val="005F1731"/>
    <w:rsid w:val="005F29C7"/>
    <w:rsid w:val="005F29D5"/>
    <w:rsid w:val="005F3698"/>
    <w:rsid w:val="005F5181"/>
    <w:rsid w:val="005F579B"/>
    <w:rsid w:val="005F67BD"/>
    <w:rsid w:val="005F6D36"/>
    <w:rsid w:val="00600848"/>
    <w:rsid w:val="00600ABC"/>
    <w:rsid w:val="00601BB2"/>
    <w:rsid w:val="00602186"/>
    <w:rsid w:val="00602B2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0138"/>
    <w:rsid w:val="006207AC"/>
    <w:rsid w:val="00620D63"/>
    <w:rsid w:val="0062168A"/>
    <w:rsid w:val="00621D13"/>
    <w:rsid w:val="0062268A"/>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98D"/>
    <w:rsid w:val="00631A3B"/>
    <w:rsid w:val="00632886"/>
    <w:rsid w:val="0063333A"/>
    <w:rsid w:val="00633FD3"/>
    <w:rsid w:val="0063523B"/>
    <w:rsid w:val="006363E2"/>
    <w:rsid w:val="0063691C"/>
    <w:rsid w:val="0063713E"/>
    <w:rsid w:val="00637711"/>
    <w:rsid w:val="00640519"/>
    <w:rsid w:val="00640E40"/>
    <w:rsid w:val="00641270"/>
    <w:rsid w:val="0064131D"/>
    <w:rsid w:val="006419F2"/>
    <w:rsid w:val="00642CC6"/>
    <w:rsid w:val="00643E51"/>
    <w:rsid w:val="00644100"/>
    <w:rsid w:val="00645F9C"/>
    <w:rsid w:val="0064623B"/>
    <w:rsid w:val="00646AFF"/>
    <w:rsid w:val="00646BF9"/>
    <w:rsid w:val="00646EE5"/>
    <w:rsid w:val="00647103"/>
    <w:rsid w:val="00647E03"/>
    <w:rsid w:val="006500F5"/>
    <w:rsid w:val="0065140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65CD"/>
    <w:rsid w:val="00676D1D"/>
    <w:rsid w:val="00677093"/>
    <w:rsid w:val="006804F9"/>
    <w:rsid w:val="006806AE"/>
    <w:rsid w:val="006815D7"/>
    <w:rsid w:val="00682829"/>
    <w:rsid w:val="00682F3E"/>
    <w:rsid w:val="006835E2"/>
    <w:rsid w:val="00683980"/>
    <w:rsid w:val="0068436C"/>
    <w:rsid w:val="00686D49"/>
    <w:rsid w:val="00690648"/>
    <w:rsid w:val="00690865"/>
    <w:rsid w:val="00690C44"/>
    <w:rsid w:val="00691C4B"/>
    <w:rsid w:val="00691E0C"/>
    <w:rsid w:val="0069310B"/>
    <w:rsid w:val="006934B4"/>
    <w:rsid w:val="00693926"/>
    <w:rsid w:val="00693A18"/>
    <w:rsid w:val="0069433C"/>
    <w:rsid w:val="00694A18"/>
    <w:rsid w:val="00695876"/>
    <w:rsid w:val="00695EC2"/>
    <w:rsid w:val="0069617F"/>
    <w:rsid w:val="006A005A"/>
    <w:rsid w:val="006A009E"/>
    <w:rsid w:val="006A0329"/>
    <w:rsid w:val="006A2C55"/>
    <w:rsid w:val="006A2E0E"/>
    <w:rsid w:val="006A2F31"/>
    <w:rsid w:val="006A3234"/>
    <w:rsid w:val="006A32A3"/>
    <w:rsid w:val="006A3B91"/>
    <w:rsid w:val="006A3D33"/>
    <w:rsid w:val="006A41B5"/>
    <w:rsid w:val="006A560E"/>
    <w:rsid w:val="006A60D1"/>
    <w:rsid w:val="006A6261"/>
    <w:rsid w:val="006A67D7"/>
    <w:rsid w:val="006A6E17"/>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43FB"/>
    <w:rsid w:val="006C4BD6"/>
    <w:rsid w:val="006C4F6B"/>
    <w:rsid w:val="006C5510"/>
    <w:rsid w:val="006C59DA"/>
    <w:rsid w:val="006C5D40"/>
    <w:rsid w:val="006C5F92"/>
    <w:rsid w:val="006C64C7"/>
    <w:rsid w:val="006C6BF5"/>
    <w:rsid w:val="006C7DFB"/>
    <w:rsid w:val="006D026A"/>
    <w:rsid w:val="006D16F5"/>
    <w:rsid w:val="006D22F1"/>
    <w:rsid w:val="006D2B9D"/>
    <w:rsid w:val="006D2D40"/>
    <w:rsid w:val="006D32C4"/>
    <w:rsid w:val="006D3C83"/>
    <w:rsid w:val="006D4F0F"/>
    <w:rsid w:val="006D57F9"/>
    <w:rsid w:val="006D5922"/>
    <w:rsid w:val="006D59A3"/>
    <w:rsid w:val="006D614C"/>
    <w:rsid w:val="006D6A37"/>
    <w:rsid w:val="006D75CA"/>
    <w:rsid w:val="006E060D"/>
    <w:rsid w:val="006E0B62"/>
    <w:rsid w:val="006E0C31"/>
    <w:rsid w:val="006E0C5C"/>
    <w:rsid w:val="006E0FE2"/>
    <w:rsid w:val="006E14F8"/>
    <w:rsid w:val="006E174D"/>
    <w:rsid w:val="006E23E4"/>
    <w:rsid w:val="006E2D6A"/>
    <w:rsid w:val="006E2DE6"/>
    <w:rsid w:val="006E2FCA"/>
    <w:rsid w:val="006E39E5"/>
    <w:rsid w:val="006E3C8D"/>
    <w:rsid w:val="006E50A9"/>
    <w:rsid w:val="006E66EB"/>
    <w:rsid w:val="006E6A01"/>
    <w:rsid w:val="006E6CA3"/>
    <w:rsid w:val="006E729F"/>
    <w:rsid w:val="006E7AD3"/>
    <w:rsid w:val="006F03F3"/>
    <w:rsid w:val="006F1881"/>
    <w:rsid w:val="006F1D02"/>
    <w:rsid w:val="006F282E"/>
    <w:rsid w:val="006F2D0C"/>
    <w:rsid w:val="006F3001"/>
    <w:rsid w:val="006F31AC"/>
    <w:rsid w:val="006F3E6E"/>
    <w:rsid w:val="006F482C"/>
    <w:rsid w:val="006F544C"/>
    <w:rsid w:val="006F61B6"/>
    <w:rsid w:val="006F64D8"/>
    <w:rsid w:val="006F677E"/>
    <w:rsid w:val="006F6E7E"/>
    <w:rsid w:val="006F7DF4"/>
    <w:rsid w:val="007003C4"/>
    <w:rsid w:val="007029E5"/>
    <w:rsid w:val="0070371E"/>
    <w:rsid w:val="00704056"/>
    <w:rsid w:val="007041B0"/>
    <w:rsid w:val="00705876"/>
    <w:rsid w:val="00705D28"/>
    <w:rsid w:val="0070603D"/>
    <w:rsid w:val="00706358"/>
    <w:rsid w:val="007068DD"/>
    <w:rsid w:val="00707002"/>
    <w:rsid w:val="0070737A"/>
    <w:rsid w:val="00707904"/>
    <w:rsid w:val="007109D1"/>
    <w:rsid w:val="00711413"/>
    <w:rsid w:val="00711D3D"/>
    <w:rsid w:val="0071224F"/>
    <w:rsid w:val="0071248E"/>
    <w:rsid w:val="0071424C"/>
    <w:rsid w:val="00715755"/>
    <w:rsid w:val="007160F9"/>
    <w:rsid w:val="00716279"/>
    <w:rsid w:val="00716D87"/>
    <w:rsid w:val="00716F25"/>
    <w:rsid w:val="00721312"/>
    <w:rsid w:val="00721F27"/>
    <w:rsid w:val="00722457"/>
    <w:rsid w:val="007225CA"/>
    <w:rsid w:val="00722D4C"/>
    <w:rsid w:val="007231A5"/>
    <w:rsid w:val="00723723"/>
    <w:rsid w:val="00723D80"/>
    <w:rsid w:val="007248C1"/>
    <w:rsid w:val="00724A2D"/>
    <w:rsid w:val="0072543D"/>
    <w:rsid w:val="00726A01"/>
    <w:rsid w:val="007278B3"/>
    <w:rsid w:val="00727D9A"/>
    <w:rsid w:val="00727FFC"/>
    <w:rsid w:val="00733D73"/>
    <w:rsid w:val="0073414D"/>
    <w:rsid w:val="007348E0"/>
    <w:rsid w:val="00734A15"/>
    <w:rsid w:val="007363A1"/>
    <w:rsid w:val="0073655C"/>
    <w:rsid w:val="00736DAC"/>
    <w:rsid w:val="007375F9"/>
    <w:rsid w:val="00740239"/>
    <w:rsid w:val="0074054B"/>
    <w:rsid w:val="0074077A"/>
    <w:rsid w:val="007410AA"/>
    <w:rsid w:val="00742331"/>
    <w:rsid w:val="00742525"/>
    <w:rsid w:val="00742FD9"/>
    <w:rsid w:val="007436E9"/>
    <w:rsid w:val="00743735"/>
    <w:rsid w:val="0074504A"/>
    <w:rsid w:val="0074525D"/>
    <w:rsid w:val="00745499"/>
    <w:rsid w:val="00745D9A"/>
    <w:rsid w:val="00745E90"/>
    <w:rsid w:val="00746001"/>
    <w:rsid w:val="0074619A"/>
    <w:rsid w:val="0074658B"/>
    <w:rsid w:val="00746A9D"/>
    <w:rsid w:val="007476B2"/>
    <w:rsid w:val="00750640"/>
    <w:rsid w:val="0075099C"/>
    <w:rsid w:val="00751470"/>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3B0"/>
    <w:rsid w:val="007675A5"/>
    <w:rsid w:val="00770196"/>
    <w:rsid w:val="00770AB7"/>
    <w:rsid w:val="00771E83"/>
    <w:rsid w:val="00772F62"/>
    <w:rsid w:val="0077315F"/>
    <w:rsid w:val="00774576"/>
    <w:rsid w:val="00775B4E"/>
    <w:rsid w:val="00776032"/>
    <w:rsid w:val="00776D30"/>
    <w:rsid w:val="00777B53"/>
    <w:rsid w:val="00777F1C"/>
    <w:rsid w:val="00777F89"/>
    <w:rsid w:val="007820EC"/>
    <w:rsid w:val="007841EC"/>
    <w:rsid w:val="00784701"/>
    <w:rsid w:val="00784FE0"/>
    <w:rsid w:val="0078535D"/>
    <w:rsid w:val="00785396"/>
    <w:rsid w:val="0078646B"/>
    <w:rsid w:val="00786AB4"/>
    <w:rsid w:val="00786B87"/>
    <w:rsid w:val="007876D5"/>
    <w:rsid w:val="007909FC"/>
    <w:rsid w:val="00790C24"/>
    <w:rsid w:val="007910D9"/>
    <w:rsid w:val="00791712"/>
    <w:rsid w:val="00791C4A"/>
    <w:rsid w:val="00791CF1"/>
    <w:rsid w:val="00792394"/>
    <w:rsid w:val="007927BB"/>
    <w:rsid w:val="00792D96"/>
    <w:rsid w:val="00793DD0"/>
    <w:rsid w:val="007943FC"/>
    <w:rsid w:val="00795FB9"/>
    <w:rsid w:val="0079647F"/>
    <w:rsid w:val="007966EA"/>
    <w:rsid w:val="007967C6"/>
    <w:rsid w:val="007971E5"/>
    <w:rsid w:val="007A094E"/>
    <w:rsid w:val="007A112A"/>
    <w:rsid w:val="007A19E8"/>
    <w:rsid w:val="007A1F6C"/>
    <w:rsid w:val="007A23ED"/>
    <w:rsid w:val="007A2B9D"/>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38D"/>
    <w:rsid w:val="007B433F"/>
    <w:rsid w:val="007B450C"/>
    <w:rsid w:val="007B4ED6"/>
    <w:rsid w:val="007B5BEB"/>
    <w:rsid w:val="007B5BFB"/>
    <w:rsid w:val="007B6AF7"/>
    <w:rsid w:val="007B72C7"/>
    <w:rsid w:val="007B75A3"/>
    <w:rsid w:val="007B7750"/>
    <w:rsid w:val="007C0F34"/>
    <w:rsid w:val="007C1988"/>
    <w:rsid w:val="007C2112"/>
    <w:rsid w:val="007C248A"/>
    <w:rsid w:val="007C258F"/>
    <w:rsid w:val="007C30E4"/>
    <w:rsid w:val="007C33E5"/>
    <w:rsid w:val="007C3539"/>
    <w:rsid w:val="007C36D9"/>
    <w:rsid w:val="007C37A5"/>
    <w:rsid w:val="007C41D2"/>
    <w:rsid w:val="007C45E5"/>
    <w:rsid w:val="007C46D1"/>
    <w:rsid w:val="007C54B2"/>
    <w:rsid w:val="007C562B"/>
    <w:rsid w:val="007C5BA5"/>
    <w:rsid w:val="007C7CE9"/>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A02"/>
    <w:rsid w:val="007E4A2E"/>
    <w:rsid w:val="007E64AF"/>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D87"/>
    <w:rsid w:val="00800903"/>
    <w:rsid w:val="00800BC5"/>
    <w:rsid w:val="00800D82"/>
    <w:rsid w:val="00801006"/>
    <w:rsid w:val="008011CD"/>
    <w:rsid w:val="0080150D"/>
    <w:rsid w:val="00801662"/>
    <w:rsid w:val="00801D71"/>
    <w:rsid w:val="008020B4"/>
    <w:rsid w:val="008027A8"/>
    <w:rsid w:val="0080380D"/>
    <w:rsid w:val="00803AEC"/>
    <w:rsid w:val="00803EBA"/>
    <w:rsid w:val="0080409F"/>
    <w:rsid w:val="008046CE"/>
    <w:rsid w:val="00804E1C"/>
    <w:rsid w:val="00805224"/>
    <w:rsid w:val="00805597"/>
    <w:rsid w:val="0080576D"/>
    <w:rsid w:val="008072D8"/>
    <w:rsid w:val="00810712"/>
    <w:rsid w:val="0081101B"/>
    <w:rsid w:val="008121BD"/>
    <w:rsid w:val="00812403"/>
    <w:rsid w:val="00812A26"/>
    <w:rsid w:val="00812D69"/>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5730"/>
    <w:rsid w:val="008268CC"/>
    <w:rsid w:val="00827FB7"/>
    <w:rsid w:val="00831CE4"/>
    <w:rsid w:val="00832B20"/>
    <w:rsid w:val="00832E0A"/>
    <w:rsid w:val="00833097"/>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2392"/>
    <w:rsid w:val="008427C8"/>
    <w:rsid w:val="00844C44"/>
    <w:rsid w:val="008458D4"/>
    <w:rsid w:val="0084644C"/>
    <w:rsid w:val="00847153"/>
    <w:rsid w:val="008473BC"/>
    <w:rsid w:val="00850F80"/>
    <w:rsid w:val="008512C2"/>
    <w:rsid w:val="00851A3F"/>
    <w:rsid w:val="00851F19"/>
    <w:rsid w:val="008529A1"/>
    <w:rsid w:val="00852C53"/>
    <w:rsid w:val="00852EBA"/>
    <w:rsid w:val="008537F4"/>
    <w:rsid w:val="00853ABB"/>
    <w:rsid w:val="00854676"/>
    <w:rsid w:val="00855575"/>
    <w:rsid w:val="00855CE6"/>
    <w:rsid w:val="008563EA"/>
    <w:rsid w:val="00856EC6"/>
    <w:rsid w:val="0086036A"/>
    <w:rsid w:val="0086063A"/>
    <w:rsid w:val="00860AC9"/>
    <w:rsid w:val="00860B9C"/>
    <w:rsid w:val="0086131D"/>
    <w:rsid w:val="008619F5"/>
    <w:rsid w:val="00861D24"/>
    <w:rsid w:val="00862467"/>
    <w:rsid w:val="00862C40"/>
    <w:rsid w:val="00862EE2"/>
    <w:rsid w:val="00865F13"/>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1C1B"/>
    <w:rsid w:val="00884737"/>
    <w:rsid w:val="00884878"/>
    <w:rsid w:val="00884F9A"/>
    <w:rsid w:val="00885364"/>
    <w:rsid w:val="008853FB"/>
    <w:rsid w:val="00885B96"/>
    <w:rsid w:val="00885C05"/>
    <w:rsid w:val="0088760A"/>
    <w:rsid w:val="00890CC0"/>
    <w:rsid w:val="00890D4F"/>
    <w:rsid w:val="0089201F"/>
    <w:rsid w:val="0089254A"/>
    <w:rsid w:val="00892D28"/>
    <w:rsid w:val="00892E1B"/>
    <w:rsid w:val="0089303E"/>
    <w:rsid w:val="00893476"/>
    <w:rsid w:val="00893CE7"/>
    <w:rsid w:val="00893DF4"/>
    <w:rsid w:val="008943D9"/>
    <w:rsid w:val="008944FD"/>
    <w:rsid w:val="00895173"/>
    <w:rsid w:val="00895512"/>
    <w:rsid w:val="00895E61"/>
    <w:rsid w:val="00896E55"/>
    <w:rsid w:val="00896FF0"/>
    <w:rsid w:val="008974F4"/>
    <w:rsid w:val="00897A0E"/>
    <w:rsid w:val="00897A86"/>
    <w:rsid w:val="00897CEF"/>
    <w:rsid w:val="00897FBC"/>
    <w:rsid w:val="008A0887"/>
    <w:rsid w:val="008A09C2"/>
    <w:rsid w:val="008A106F"/>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72D6"/>
    <w:rsid w:val="008A74FD"/>
    <w:rsid w:val="008A7BE0"/>
    <w:rsid w:val="008B0867"/>
    <w:rsid w:val="008B0D5E"/>
    <w:rsid w:val="008B1374"/>
    <w:rsid w:val="008B14CD"/>
    <w:rsid w:val="008B2372"/>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60A"/>
    <w:rsid w:val="008C49E3"/>
    <w:rsid w:val="008C51DE"/>
    <w:rsid w:val="008C54C1"/>
    <w:rsid w:val="008C5AE2"/>
    <w:rsid w:val="008C66BE"/>
    <w:rsid w:val="008C67E6"/>
    <w:rsid w:val="008C7B8F"/>
    <w:rsid w:val="008C7E95"/>
    <w:rsid w:val="008D04D6"/>
    <w:rsid w:val="008D17FA"/>
    <w:rsid w:val="008D2B14"/>
    <w:rsid w:val="008D2E7D"/>
    <w:rsid w:val="008D3697"/>
    <w:rsid w:val="008D421B"/>
    <w:rsid w:val="008D431B"/>
    <w:rsid w:val="008D5BBC"/>
    <w:rsid w:val="008D5D17"/>
    <w:rsid w:val="008D733B"/>
    <w:rsid w:val="008E00D7"/>
    <w:rsid w:val="008E0F79"/>
    <w:rsid w:val="008E10C0"/>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12CE"/>
    <w:rsid w:val="009028DC"/>
    <w:rsid w:val="0090400F"/>
    <w:rsid w:val="00904AF4"/>
    <w:rsid w:val="00905298"/>
    <w:rsid w:val="00907528"/>
    <w:rsid w:val="00907E20"/>
    <w:rsid w:val="009104FE"/>
    <w:rsid w:val="00910600"/>
    <w:rsid w:val="00911F66"/>
    <w:rsid w:val="00911FAE"/>
    <w:rsid w:val="00912266"/>
    <w:rsid w:val="0091277B"/>
    <w:rsid w:val="00912845"/>
    <w:rsid w:val="00913B5D"/>
    <w:rsid w:val="00913CD3"/>
    <w:rsid w:val="009146DF"/>
    <w:rsid w:val="00914AD7"/>
    <w:rsid w:val="00915473"/>
    <w:rsid w:val="009159F7"/>
    <w:rsid w:val="00915F4E"/>
    <w:rsid w:val="00916012"/>
    <w:rsid w:val="00916139"/>
    <w:rsid w:val="0091634F"/>
    <w:rsid w:val="00916B6E"/>
    <w:rsid w:val="00916BB4"/>
    <w:rsid w:val="00916BD4"/>
    <w:rsid w:val="00916E8A"/>
    <w:rsid w:val="0091731A"/>
    <w:rsid w:val="00917329"/>
    <w:rsid w:val="00917A3C"/>
    <w:rsid w:val="00917C8B"/>
    <w:rsid w:val="00917EC7"/>
    <w:rsid w:val="00920167"/>
    <w:rsid w:val="009209A2"/>
    <w:rsid w:val="00921F06"/>
    <w:rsid w:val="009221AB"/>
    <w:rsid w:val="00922812"/>
    <w:rsid w:val="009231D7"/>
    <w:rsid w:val="009235ED"/>
    <w:rsid w:val="00923DCE"/>
    <w:rsid w:val="00923E31"/>
    <w:rsid w:val="00924C02"/>
    <w:rsid w:val="00924C86"/>
    <w:rsid w:val="00924D0C"/>
    <w:rsid w:val="00925A21"/>
    <w:rsid w:val="00925B1F"/>
    <w:rsid w:val="009304E2"/>
    <w:rsid w:val="0093126B"/>
    <w:rsid w:val="00931481"/>
    <w:rsid w:val="00931B4F"/>
    <w:rsid w:val="00932554"/>
    <w:rsid w:val="009325EE"/>
    <w:rsid w:val="00934219"/>
    <w:rsid w:val="0093535F"/>
    <w:rsid w:val="009354F0"/>
    <w:rsid w:val="00935B57"/>
    <w:rsid w:val="00936887"/>
    <w:rsid w:val="00936F63"/>
    <w:rsid w:val="00937241"/>
    <w:rsid w:val="0093741B"/>
    <w:rsid w:val="00937A0D"/>
    <w:rsid w:val="00937F39"/>
    <w:rsid w:val="00941A59"/>
    <w:rsid w:val="0094254C"/>
    <w:rsid w:val="009447D5"/>
    <w:rsid w:val="00944C99"/>
    <w:rsid w:val="00944DA4"/>
    <w:rsid w:val="00945DCD"/>
    <w:rsid w:val="00945E47"/>
    <w:rsid w:val="00946D4C"/>
    <w:rsid w:val="00947586"/>
    <w:rsid w:val="00947A4B"/>
    <w:rsid w:val="00947A66"/>
    <w:rsid w:val="00947B5A"/>
    <w:rsid w:val="00947CBD"/>
    <w:rsid w:val="00947F39"/>
    <w:rsid w:val="0095036D"/>
    <w:rsid w:val="009508EA"/>
    <w:rsid w:val="009513A6"/>
    <w:rsid w:val="009513B8"/>
    <w:rsid w:val="00953026"/>
    <w:rsid w:val="009535BA"/>
    <w:rsid w:val="00953C03"/>
    <w:rsid w:val="00953EB0"/>
    <w:rsid w:val="0095411A"/>
    <w:rsid w:val="00954A28"/>
    <w:rsid w:val="00954C36"/>
    <w:rsid w:val="00955699"/>
    <w:rsid w:val="00955CDE"/>
    <w:rsid w:val="00956D76"/>
    <w:rsid w:val="009579AE"/>
    <w:rsid w:val="00957E35"/>
    <w:rsid w:val="00960481"/>
    <w:rsid w:val="0096094C"/>
    <w:rsid w:val="00961593"/>
    <w:rsid w:val="00962160"/>
    <w:rsid w:val="0096262B"/>
    <w:rsid w:val="00962EA8"/>
    <w:rsid w:val="00964904"/>
    <w:rsid w:val="00964C85"/>
    <w:rsid w:val="00967546"/>
    <w:rsid w:val="00967560"/>
    <w:rsid w:val="00970628"/>
    <w:rsid w:val="00970B45"/>
    <w:rsid w:val="00971014"/>
    <w:rsid w:val="0097172A"/>
    <w:rsid w:val="00971737"/>
    <w:rsid w:val="009723EB"/>
    <w:rsid w:val="009727B9"/>
    <w:rsid w:val="00980046"/>
    <w:rsid w:val="00980DD9"/>
    <w:rsid w:val="00980F03"/>
    <w:rsid w:val="0098207A"/>
    <w:rsid w:val="009831E8"/>
    <w:rsid w:val="00983266"/>
    <w:rsid w:val="00983E1A"/>
    <w:rsid w:val="00983F2D"/>
    <w:rsid w:val="009844DE"/>
    <w:rsid w:val="00984E6E"/>
    <w:rsid w:val="00986184"/>
    <w:rsid w:val="009869E8"/>
    <w:rsid w:val="0098746F"/>
    <w:rsid w:val="009877A4"/>
    <w:rsid w:val="0099040C"/>
    <w:rsid w:val="0099049F"/>
    <w:rsid w:val="00990621"/>
    <w:rsid w:val="00991D03"/>
    <w:rsid w:val="0099234F"/>
    <w:rsid w:val="00992667"/>
    <w:rsid w:val="00993150"/>
    <w:rsid w:val="0099347C"/>
    <w:rsid w:val="00994BF8"/>
    <w:rsid w:val="00994DB9"/>
    <w:rsid w:val="009953D2"/>
    <w:rsid w:val="00995CF2"/>
    <w:rsid w:val="00996734"/>
    <w:rsid w:val="00996EA4"/>
    <w:rsid w:val="009A017E"/>
    <w:rsid w:val="009A07FD"/>
    <w:rsid w:val="009A0A63"/>
    <w:rsid w:val="009A1303"/>
    <w:rsid w:val="009A1E0A"/>
    <w:rsid w:val="009A24E7"/>
    <w:rsid w:val="009A3CE2"/>
    <w:rsid w:val="009A46D8"/>
    <w:rsid w:val="009A5975"/>
    <w:rsid w:val="009A5C6C"/>
    <w:rsid w:val="009A6BF9"/>
    <w:rsid w:val="009A6CBA"/>
    <w:rsid w:val="009A71A8"/>
    <w:rsid w:val="009B09DD"/>
    <w:rsid w:val="009B123D"/>
    <w:rsid w:val="009B1447"/>
    <w:rsid w:val="009B1F4C"/>
    <w:rsid w:val="009B28CA"/>
    <w:rsid w:val="009B2936"/>
    <w:rsid w:val="009B29CA"/>
    <w:rsid w:val="009B34B4"/>
    <w:rsid w:val="009B4A7D"/>
    <w:rsid w:val="009B4CF5"/>
    <w:rsid w:val="009B6B9C"/>
    <w:rsid w:val="009B76F8"/>
    <w:rsid w:val="009C0161"/>
    <w:rsid w:val="009C1488"/>
    <w:rsid w:val="009C150C"/>
    <w:rsid w:val="009C1B54"/>
    <w:rsid w:val="009C1DA6"/>
    <w:rsid w:val="009C2B5D"/>
    <w:rsid w:val="009C2C54"/>
    <w:rsid w:val="009C2F1B"/>
    <w:rsid w:val="009C35C3"/>
    <w:rsid w:val="009C4C46"/>
    <w:rsid w:val="009C6853"/>
    <w:rsid w:val="009C68E6"/>
    <w:rsid w:val="009C6A96"/>
    <w:rsid w:val="009C6E8C"/>
    <w:rsid w:val="009D07F2"/>
    <w:rsid w:val="009D0A9F"/>
    <w:rsid w:val="009D0BB4"/>
    <w:rsid w:val="009D0D25"/>
    <w:rsid w:val="009D0D3B"/>
    <w:rsid w:val="009D0E2C"/>
    <w:rsid w:val="009D1B2E"/>
    <w:rsid w:val="009D39F5"/>
    <w:rsid w:val="009D4198"/>
    <w:rsid w:val="009D4AF2"/>
    <w:rsid w:val="009D665C"/>
    <w:rsid w:val="009E1433"/>
    <w:rsid w:val="009E217C"/>
    <w:rsid w:val="009E27ED"/>
    <w:rsid w:val="009E27FB"/>
    <w:rsid w:val="009E2BAF"/>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EC7"/>
    <w:rsid w:val="00A00015"/>
    <w:rsid w:val="00A001C6"/>
    <w:rsid w:val="00A00AA6"/>
    <w:rsid w:val="00A0285D"/>
    <w:rsid w:val="00A0369D"/>
    <w:rsid w:val="00A03DD1"/>
    <w:rsid w:val="00A06AE5"/>
    <w:rsid w:val="00A0751A"/>
    <w:rsid w:val="00A07FF4"/>
    <w:rsid w:val="00A1041E"/>
    <w:rsid w:val="00A108B7"/>
    <w:rsid w:val="00A123FB"/>
    <w:rsid w:val="00A125AE"/>
    <w:rsid w:val="00A12B22"/>
    <w:rsid w:val="00A12C2E"/>
    <w:rsid w:val="00A13EB8"/>
    <w:rsid w:val="00A152CC"/>
    <w:rsid w:val="00A15D99"/>
    <w:rsid w:val="00A16ABC"/>
    <w:rsid w:val="00A16C02"/>
    <w:rsid w:val="00A16E0B"/>
    <w:rsid w:val="00A16EFF"/>
    <w:rsid w:val="00A17B98"/>
    <w:rsid w:val="00A17DB9"/>
    <w:rsid w:val="00A20097"/>
    <w:rsid w:val="00A2063C"/>
    <w:rsid w:val="00A2065F"/>
    <w:rsid w:val="00A2127E"/>
    <w:rsid w:val="00A21B0D"/>
    <w:rsid w:val="00A22252"/>
    <w:rsid w:val="00A22561"/>
    <w:rsid w:val="00A23036"/>
    <w:rsid w:val="00A24CA5"/>
    <w:rsid w:val="00A26573"/>
    <w:rsid w:val="00A26B48"/>
    <w:rsid w:val="00A2789C"/>
    <w:rsid w:val="00A27D2F"/>
    <w:rsid w:val="00A3070D"/>
    <w:rsid w:val="00A31372"/>
    <w:rsid w:val="00A31CF8"/>
    <w:rsid w:val="00A31FCC"/>
    <w:rsid w:val="00A3273C"/>
    <w:rsid w:val="00A3277A"/>
    <w:rsid w:val="00A32B30"/>
    <w:rsid w:val="00A3394F"/>
    <w:rsid w:val="00A353C2"/>
    <w:rsid w:val="00A357D7"/>
    <w:rsid w:val="00A36121"/>
    <w:rsid w:val="00A36C83"/>
    <w:rsid w:val="00A401F9"/>
    <w:rsid w:val="00A402B8"/>
    <w:rsid w:val="00A403D5"/>
    <w:rsid w:val="00A41DEB"/>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9D"/>
    <w:rsid w:val="00A47FEF"/>
    <w:rsid w:val="00A500D9"/>
    <w:rsid w:val="00A505EA"/>
    <w:rsid w:val="00A507F7"/>
    <w:rsid w:val="00A50EBB"/>
    <w:rsid w:val="00A52207"/>
    <w:rsid w:val="00A52F74"/>
    <w:rsid w:val="00A53A8F"/>
    <w:rsid w:val="00A53FA1"/>
    <w:rsid w:val="00A5568E"/>
    <w:rsid w:val="00A55A2D"/>
    <w:rsid w:val="00A55D42"/>
    <w:rsid w:val="00A576E1"/>
    <w:rsid w:val="00A57CC5"/>
    <w:rsid w:val="00A601DF"/>
    <w:rsid w:val="00A607C7"/>
    <w:rsid w:val="00A60B08"/>
    <w:rsid w:val="00A61044"/>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356C"/>
    <w:rsid w:val="00A73BB5"/>
    <w:rsid w:val="00A74A13"/>
    <w:rsid w:val="00A7551F"/>
    <w:rsid w:val="00A75AA1"/>
    <w:rsid w:val="00A7668E"/>
    <w:rsid w:val="00A76A2E"/>
    <w:rsid w:val="00A77C67"/>
    <w:rsid w:val="00A809C0"/>
    <w:rsid w:val="00A81801"/>
    <w:rsid w:val="00A82850"/>
    <w:rsid w:val="00A829A7"/>
    <w:rsid w:val="00A82C92"/>
    <w:rsid w:val="00A83170"/>
    <w:rsid w:val="00A8396A"/>
    <w:rsid w:val="00A840D7"/>
    <w:rsid w:val="00A84AE4"/>
    <w:rsid w:val="00A854BA"/>
    <w:rsid w:val="00A85A26"/>
    <w:rsid w:val="00A85B21"/>
    <w:rsid w:val="00A86476"/>
    <w:rsid w:val="00A87D6B"/>
    <w:rsid w:val="00A90105"/>
    <w:rsid w:val="00A903F8"/>
    <w:rsid w:val="00A924D3"/>
    <w:rsid w:val="00A92692"/>
    <w:rsid w:val="00A92742"/>
    <w:rsid w:val="00A92950"/>
    <w:rsid w:val="00A92C2E"/>
    <w:rsid w:val="00A92C70"/>
    <w:rsid w:val="00A9430A"/>
    <w:rsid w:val="00A94D76"/>
    <w:rsid w:val="00A950A1"/>
    <w:rsid w:val="00A95827"/>
    <w:rsid w:val="00A958EA"/>
    <w:rsid w:val="00A959E8"/>
    <w:rsid w:val="00A961E2"/>
    <w:rsid w:val="00A965BD"/>
    <w:rsid w:val="00A96AB2"/>
    <w:rsid w:val="00A97FEF"/>
    <w:rsid w:val="00AA063E"/>
    <w:rsid w:val="00AA07C4"/>
    <w:rsid w:val="00AA1357"/>
    <w:rsid w:val="00AA1917"/>
    <w:rsid w:val="00AA1A5C"/>
    <w:rsid w:val="00AA2383"/>
    <w:rsid w:val="00AA29E3"/>
    <w:rsid w:val="00AA4195"/>
    <w:rsid w:val="00AA42FA"/>
    <w:rsid w:val="00AA5BB2"/>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5599"/>
    <w:rsid w:val="00AC739F"/>
    <w:rsid w:val="00AC7ED4"/>
    <w:rsid w:val="00AD117E"/>
    <w:rsid w:val="00AD1303"/>
    <w:rsid w:val="00AD1888"/>
    <w:rsid w:val="00AD256B"/>
    <w:rsid w:val="00AD40C1"/>
    <w:rsid w:val="00AD4A1C"/>
    <w:rsid w:val="00AD4AEB"/>
    <w:rsid w:val="00AD56E5"/>
    <w:rsid w:val="00AD605C"/>
    <w:rsid w:val="00AD62C6"/>
    <w:rsid w:val="00AD693A"/>
    <w:rsid w:val="00AD6E1F"/>
    <w:rsid w:val="00AD733D"/>
    <w:rsid w:val="00AD73EE"/>
    <w:rsid w:val="00AD7A40"/>
    <w:rsid w:val="00AD7CB2"/>
    <w:rsid w:val="00AE0129"/>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21BA"/>
    <w:rsid w:val="00AF36B5"/>
    <w:rsid w:val="00AF4116"/>
    <w:rsid w:val="00AF5200"/>
    <w:rsid w:val="00AF5526"/>
    <w:rsid w:val="00AF5EB3"/>
    <w:rsid w:val="00AF670F"/>
    <w:rsid w:val="00AF71BD"/>
    <w:rsid w:val="00AF75E8"/>
    <w:rsid w:val="00B007D0"/>
    <w:rsid w:val="00B00BB5"/>
    <w:rsid w:val="00B022DC"/>
    <w:rsid w:val="00B02501"/>
    <w:rsid w:val="00B02B4E"/>
    <w:rsid w:val="00B032AF"/>
    <w:rsid w:val="00B04186"/>
    <w:rsid w:val="00B04E90"/>
    <w:rsid w:val="00B05AF6"/>
    <w:rsid w:val="00B06269"/>
    <w:rsid w:val="00B078B6"/>
    <w:rsid w:val="00B07BEB"/>
    <w:rsid w:val="00B07CE1"/>
    <w:rsid w:val="00B1033C"/>
    <w:rsid w:val="00B110F5"/>
    <w:rsid w:val="00B11494"/>
    <w:rsid w:val="00B1180B"/>
    <w:rsid w:val="00B11C20"/>
    <w:rsid w:val="00B1238E"/>
    <w:rsid w:val="00B12484"/>
    <w:rsid w:val="00B12B73"/>
    <w:rsid w:val="00B13916"/>
    <w:rsid w:val="00B13DCB"/>
    <w:rsid w:val="00B1411B"/>
    <w:rsid w:val="00B15FE4"/>
    <w:rsid w:val="00B1629F"/>
    <w:rsid w:val="00B171F2"/>
    <w:rsid w:val="00B172F6"/>
    <w:rsid w:val="00B17480"/>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F02"/>
    <w:rsid w:val="00B303A2"/>
    <w:rsid w:val="00B3199C"/>
    <w:rsid w:val="00B31F62"/>
    <w:rsid w:val="00B33669"/>
    <w:rsid w:val="00B34105"/>
    <w:rsid w:val="00B34335"/>
    <w:rsid w:val="00B3451D"/>
    <w:rsid w:val="00B34FB0"/>
    <w:rsid w:val="00B364BA"/>
    <w:rsid w:val="00B365C6"/>
    <w:rsid w:val="00B36D11"/>
    <w:rsid w:val="00B37749"/>
    <w:rsid w:val="00B37A6E"/>
    <w:rsid w:val="00B37D8B"/>
    <w:rsid w:val="00B40113"/>
    <w:rsid w:val="00B410BC"/>
    <w:rsid w:val="00B41C17"/>
    <w:rsid w:val="00B42635"/>
    <w:rsid w:val="00B42DD5"/>
    <w:rsid w:val="00B432DE"/>
    <w:rsid w:val="00B440EE"/>
    <w:rsid w:val="00B448DD"/>
    <w:rsid w:val="00B449C7"/>
    <w:rsid w:val="00B44D27"/>
    <w:rsid w:val="00B452B6"/>
    <w:rsid w:val="00B45C2C"/>
    <w:rsid w:val="00B4618B"/>
    <w:rsid w:val="00B46395"/>
    <w:rsid w:val="00B46776"/>
    <w:rsid w:val="00B46F0E"/>
    <w:rsid w:val="00B50139"/>
    <w:rsid w:val="00B50521"/>
    <w:rsid w:val="00B5093C"/>
    <w:rsid w:val="00B50AB3"/>
    <w:rsid w:val="00B51219"/>
    <w:rsid w:val="00B512A5"/>
    <w:rsid w:val="00B51A62"/>
    <w:rsid w:val="00B5224F"/>
    <w:rsid w:val="00B524D3"/>
    <w:rsid w:val="00B52D40"/>
    <w:rsid w:val="00B53613"/>
    <w:rsid w:val="00B53DFC"/>
    <w:rsid w:val="00B540E0"/>
    <w:rsid w:val="00B54FB9"/>
    <w:rsid w:val="00B5520E"/>
    <w:rsid w:val="00B5528B"/>
    <w:rsid w:val="00B55B80"/>
    <w:rsid w:val="00B55CF2"/>
    <w:rsid w:val="00B55D43"/>
    <w:rsid w:val="00B55EE4"/>
    <w:rsid w:val="00B56B14"/>
    <w:rsid w:val="00B57242"/>
    <w:rsid w:val="00B6010E"/>
    <w:rsid w:val="00B60CFD"/>
    <w:rsid w:val="00B61549"/>
    <w:rsid w:val="00B61B9C"/>
    <w:rsid w:val="00B6335A"/>
    <w:rsid w:val="00B63383"/>
    <w:rsid w:val="00B63589"/>
    <w:rsid w:val="00B63907"/>
    <w:rsid w:val="00B63E92"/>
    <w:rsid w:val="00B64111"/>
    <w:rsid w:val="00B642E6"/>
    <w:rsid w:val="00B64665"/>
    <w:rsid w:val="00B6472A"/>
    <w:rsid w:val="00B6505A"/>
    <w:rsid w:val="00B65610"/>
    <w:rsid w:val="00B65727"/>
    <w:rsid w:val="00B66332"/>
    <w:rsid w:val="00B664A1"/>
    <w:rsid w:val="00B664A4"/>
    <w:rsid w:val="00B6665E"/>
    <w:rsid w:val="00B6776E"/>
    <w:rsid w:val="00B67A53"/>
    <w:rsid w:val="00B67C86"/>
    <w:rsid w:val="00B702B2"/>
    <w:rsid w:val="00B70F17"/>
    <w:rsid w:val="00B7226D"/>
    <w:rsid w:val="00B7233F"/>
    <w:rsid w:val="00B7252A"/>
    <w:rsid w:val="00B73610"/>
    <w:rsid w:val="00B745EC"/>
    <w:rsid w:val="00B75287"/>
    <w:rsid w:val="00B757FD"/>
    <w:rsid w:val="00B75981"/>
    <w:rsid w:val="00B76228"/>
    <w:rsid w:val="00B766AD"/>
    <w:rsid w:val="00B776F2"/>
    <w:rsid w:val="00B777F2"/>
    <w:rsid w:val="00B7794B"/>
    <w:rsid w:val="00B77F47"/>
    <w:rsid w:val="00B80253"/>
    <w:rsid w:val="00B81944"/>
    <w:rsid w:val="00B81AA9"/>
    <w:rsid w:val="00B821B3"/>
    <w:rsid w:val="00B83668"/>
    <w:rsid w:val="00B84399"/>
    <w:rsid w:val="00B8482B"/>
    <w:rsid w:val="00B85146"/>
    <w:rsid w:val="00B852AD"/>
    <w:rsid w:val="00B85711"/>
    <w:rsid w:val="00B872A2"/>
    <w:rsid w:val="00B8775E"/>
    <w:rsid w:val="00B877F1"/>
    <w:rsid w:val="00B90200"/>
    <w:rsid w:val="00B916D3"/>
    <w:rsid w:val="00B9271C"/>
    <w:rsid w:val="00B92BFA"/>
    <w:rsid w:val="00B92EF8"/>
    <w:rsid w:val="00B92F12"/>
    <w:rsid w:val="00B92F65"/>
    <w:rsid w:val="00B93900"/>
    <w:rsid w:val="00B940F9"/>
    <w:rsid w:val="00B94136"/>
    <w:rsid w:val="00B94433"/>
    <w:rsid w:val="00B952E4"/>
    <w:rsid w:val="00B9569B"/>
    <w:rsid w:val="00B96388"/>
    <w:rsid w:val="00B96E7E"/>
    <w:rsid w:val="00BA01E4"/>
    <w:rsid w:val="00BA066A"/>
    <w:rsid w:val="00BA06DD"/>
    <w:rsid w:val="00BA1A24"/>
    <w:rsid w:val="00BA1F81"/>
    <w:rsid w:val="00BA268E"/>
    <w:rsid w:val="00BA2A8E"/>
    <w:rsid w:val="00BA3452"/>
    <w:rsid w:val="00BA3EF3"/>
    <w:rsid w:val="00BA46F4"/>
    <w:rsid w:val="00BA616E"/>
    <w:rsid w:val="00BA6B48"/>
    <w:rsid w:val="00BA796F"/>
    <w:rsid w:val="00BA79F6"/>
    <w:rsid w:val="00BB066D"/>
    <w:rsid w:val="00BB1AF5"/>
    <w:rsid w:val="00BB2195"/>
    <w:rsid w:val="00BB3719"/>
    <w:rsid w:val="00BB416A"/>
    <w:rsid w:val="00BB4924"/>
    <w:rsid w:val="00BB4D3F"/>
    <w:rsid w:val="00BB5595"/>
    <w:rsid w:val="00BB5846"/>
    <w:rsid w:val="00BB5D89"/>
    <w:rsid w:val="00BB5E02"/>
    <w:rsid w:val="00BB6E0B"/>
    <w:rsid w:val="00BB7640"/>
    <w:rsid w:val="00BB79B9"/>
    <w:rsid w:val="00BB7E35"/>
    <w:rsid w:val="00BC10A6"/>
    <w:rsid w:val="00BC11A5"/>
    <w:rsid w:val="00BC1258"/>
    <w:rsid w:val="00BC12AE"/>
    <w:rsid w:val="00BC1639"/>
    <w:rsid w:val="00BC1735"/>
    <w:rsid w:val="00BC187B"/>
    <w:rsid w:val="00BC1AC8"/>
    <w:rsid w:val="00BC2703"/>
    <w:rsid w:val="00BC2E90"/>
    <w:rsid w:val="00BC3361"/>
    <w:rsid w:val="00BC346B"/>
    <w:rsid w:val="00BC35B9"/>
    <w:rsid w:val="00BC4FF3"/>
    <w:rsid w:val="00BC567B"/>
    <w:rsid w:val="00BC57B2"/>
    <w:rsid w:val="00BC5AA4"/>
    <w:rsid w:val="00BC5BEB"/>
    <w:rsid w:val="00BC5CD0"/>
    <w:rsid w:val="00BC5E3B"/>
    <w:rsid w:val="00BC6D5F"/>
    <w:rsid w:val="00BC72A6"/>
    <w:rsid w:val="00BC7E7B"/>
    <w:rsid w:val="00BD04D7"/>
    <w:rsid w:val="00BD192F"/>
    <w:rsid w:val="00BD1D8A"/>
    <w:rsid w:val="00BD27A6"/>
    <w:rsid w:val="00BD3374"/>
    <w:rsid w:val="00BD3EF3"/>
    <w:rsid w:val="00BD3F44"/>
    <w:rsid w:val="00BD442A"/>
    <w:rsid w:val="00BD4471"/>
    <w:rsid w:val="00BD4BFE"/>
    <w:rsid w:val="00BD4F2B"/>
    <w:rsid w:val="00BD4FA4"/>
    <w:rsid w:val="00BD62B6"/>
    <w:rsid w:val="00BD72B4"/>
    <w:rsid w:val="00BE134A"/>
    <w:rsid w:val="00BE1361"/>
    <w:rsid w:val="00BE2F93"/>
    <w:rsid w:val="00BE39A7"/>
    <w:rsid w:val="00BE3A55"/>
    <w:rsid w:val="00BE3AAF"/>
    <w:rsid w:val="00BE4F97"/>
    <w:rsid w:val="00BE5F4F"/>
    <w:rsid w:val="00BE62E3"/>
    <w:rsid w:val="00BE74CA"/>
    <w:rsid w:val="00BE7B63"/>
    <w:rsid w:val="00BF0AB7"/>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1483"/>
    <w:rsid w:val="00C0297E"/>
    <w:rsid w:val="00C031F7"/>
    <w:rsid w:val="00C035D7"/>
    <w:rsid w:val="00C03603"/>
    <w:rsid w:val="00C0412F"/>
    <w:rsid w:val="00C041E7"/>
    <w:rsid w:val="00C0424D"/>
    <w:rsid w:val="00C04461"/>
    <w:rsid w:val="00C0508E"/>
    <w:rsid w:val="00C06336"/>
    <w:rsid w:val="00C06AB8"/>
    <w:rsid w:val="00C06BE4"/>
    <w:rsid w:val="00C06FDE"/>
    <w:rsid w:val="00C0711C"/>
    <w:rsid w:val="00C117AA"/>
    <w:rsid w:val="00C117E4"/>
    <w:rsid w:val="00C11959"/>
    <w:rsid w:val="00C11F2F"/>
    <w:rsid w:val="00C12BB0"/>
    <w:rsid w:val="00C154DA"/>
    <w:rsid w:val="00C167AA"/>
    <w:rsid w:val="00C16AA2"/>
    <w:rsid w:val="00C16BD8"/>
    <w:rsid w:val="00C16BFB"/>
    <w:rsid w:val="00C17212"/>
    <w:rsid w:val="00C175DA"/>
    <w:rsid w:val="00C21283"/>
    <w:rsid w:val="00C21309"/>
    <w:rsid w:val="00C214D0"/>
    <w:rsid w:val="00C21550"/>
    <w:rsid w:val="00C21F61"/>
    <w:rsid w:val="00C2246D"/>
    <w:rsid w:val="00C224C6"/>
    <w:rsid w:val="00C229BC"/>
    <w:rsid w:val="00C22EE0"/>
    <w:rsid w:val="00C2530C"/>
    <w:rsid w:val="00C25405"/>
    <w:rsid w:val="00C259CC"/>
    <w:rsid w:val="00C26BAC"/>
    <w:rsid w:val="00C30069"/>
    <w:rsid w:val="00C31525"/>
    <w:rsid w:val="00C321C2"/>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43EB"/>
    <w:rsid w:val="00C4593D"/>
    <w:rsid w:val="00C45A60"/>
    <w:rsid w:val="00C45F79"/>
    <w:rsid w:val="00C470DD"/>
    <w:rsid w:val="00C47203"/>
    <w:rsid w:val="00C47C84"/>
    <w:rsid w:val="00C47D14"/>
    <w:rsid w:val="00C50E21"/>
    <w:rsid w:val="00C518FD"/>
    <w:rsid w:val="00C53030"/>
    <w:rsid w:val="00C53960"/>
    <w:rsid w:val="00C53BB8"/>
    <w:rsid w:val="00C54597"/>
    <w:rsid w:val="00C54F43"/>
    <w:rsid w:val="00C550D8"/>
    <w:rsid w:val="00C55E91"/>
    <w:rsid w:val="00C5682C"/>
    <w:rsid w:val="00C56D57"/>
    <w:rsid w:val="00C57D96"/>
    <w:rsid w:val="00C607D5"/>
    <w:rsid w:val="00C61687"/>
    <w:rsid w:val="00C618B5"/>
    <w:rsid w:val="00C61915"/>
    <w:rsid w:val="00C61D78"/>
    <w:rsid w:val="00C61FE2"/>
    <w:rsid w:val="00C625A1"/>
    <w:rsid w:val="00C62A28"/>
    <w:rsid w:val="00C63216"/>
    <w:rsid w:val="00C63309"/>
    <w:rsid w:val="00C6487B"/>
    <w:rsid w:val="00C648C6"/>
    <w:rsid w:val="00C65D27"/>
    <w:rsid w:val="00C66237"/>
    <w:rsid w:val="00C663C3"/>
    <w:rsid w:val="00C66434"/>
    <w:rsid w:val="00C668D4"/>
    <w:rsid w:val="00C676BE"/>
    <w:rsid w:val="00C67C50"/>
    <w:rsid w:val="00C70811"/>
    <w:rsid w:val="00C717C5"/>
    <w:rsid w:val="00C72313"/>
    <w:rsid w:val="00C738A6"/>
    <w:rsid w:val="00C74EDA"/>
    <w:rsid w:val="00C75BA5"/>
    <w:rsid w:val="00C7607C"/>
    <w:rsid w:val="00C77572"/>
    <w:rsid w:val="00C77EF4"/>
    <w:rsid w:val="00C804AA"/>
    <w:rsid w:val="00C80D3D"/>
    <w:rsid w:val="00C80DB4"/>
    <w:rsid w:val="00C820CD"/>
    <w:rsid w:val="00C824F6"/>
    <w:rsid w:val="00C82AE8"/>
    <w:rsid w:val="00C82C75"/>
    <w:rsid w:val="00C83010"/>
    <w:rsid w:val="00C83E6E"/>
    <w:rsid w:val="00C83FAD"/>
    <w:rsid w:val="00C84073"/>
    <w:rsid w:val="00C84630"/>
    <w:rsid w:val="00C85CEF"/>
    <w:rsid w:val="00C85F45"/>
    <w:rsid w:val="00C8652A"/>
    <w:rsid w:val="00C8661B"/>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6215"/>
    <w:rsid w:val="00CA7354"/>
    <w:rsid w:val="00CB0CC4"/>
    <w:rsid w:val="00CB0D3B"/>
    <w:rsid w:val="00CB126B"/>
    <w:rsid w:val="00CB20C7"/>
    <w:rsid w:val="00CB2E2B"/>
    <w:rsid w:val="00CB3A82"/>
    <w:rsid w:val="00CB3AE4"/>
    <w:rsid w:val="00CB3EF9"/>
    <w:rsid w:val="00CB519C"/>
    <w:rsid w:val="00CB550C"/>
    <w:rsid w:val="00CB5FB5"/>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610"/>
    <w:rsid w:val="00CD4F00"/>
    <w:rsid w:val="00CD4F84"/>
    <w:rsid w:val="00CD504C"/>
    <w:rsid w:val="00CD520C"/>
    <w:rsid w:val="00CD5E0B"/>
    <w:rsid w:val="00CD6105"/>
    <w:rsid w:val="00CD650C"/>
    <w:rsid w:val="00CD70FA"/>
    <w:rsid w:val="00CE02D4"/>
    <w:rsid w:val="00CE0EEB"/>
    <w:rsid w:val="00CE1960"/>
    <w:rsid w:val="00CE1BC9"/>
    <w:rsid w:val="00CE2029"/>
    <w:rsid w:val="00CE3391"/>
    <w:rsid w:val="00CE3E22"/>
    <w:rsid w:val="00CE403E"/>
    <w:rsid w:val="00CE569E"/>
    <w:rsid w:val="00CE5A5B"/>
    <w:rsid w:val="00CE5D6A"/>
    <w:rsid w:val="00CE632D"/>
    <w:rsid w:val="00CE688E"/>
    <w:rsid w:val="00CE7281"/>
    <w:rsid w:val="00CE7B32"/>
    <w:rsid w:val="00CE7C58"/>
    <w:rsid w:val="00CE7E37"/>
    <w:rsid w:val="00CF0357"/>
    <w:rsid w:val="00CF09D4"/>
    <w:rsid w:val="00CF0A5A"/>
    <w:rsid w:val="00CF0A8A"/>
    <w:rsid w:val="00CF11B8"/>
    <w:rsid w:val="00CF1889"/>
    <w:rsid w:val="00CF2F74"/>
    <w:rsid w:val="00CF38A6"/>
    <w:rsid w:val="00CF3C4B"/>
    <w:rsid w:val="00CF4198"/>
    <w:rsid w:val="00CF511C"/>
    <w:rsid w:val="00CF5B74"/>
    <w:rsid w:val="00CF5BDF"/>
    <w:rsid w:val="00CF5BF2"/>
    <w:rsid w:val="00CF6C37"/>
    <w:rsid w:val="00CF6C4F"/>
    <w:rsid w:val="00CF6FF2"/>
    <w:rsid w:val="00CF7350"/>
    <w:rsid w:val="00CF7C94"/>
    <w:rsid w:val="00D00437"/>
    <w:rsid w:val="00D00BAD"/>
    <w:rsid w:val="00D01610"/>
    <w:rsid w:val="00D01957"/>
    <w:rsid w:val="00D02071"/>
    <w:rsid w:val="00D02414"/>
    <w:rsid w:val="00D03DA5"/>
    <w:rsid w:val="00D04602"/>
    <w:rsid w:val="00D049BD"/>
    <w:rsid w:val="00D0503D"/>
    <w:rsid w:val="00D05723"/>
    <w:rsid w:val="00D0655C"/>
    <w:rsid w:val="00D06BF8"/>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679C"/>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AB7"/>
    <w:rsid w:val="00D37E16"/>
    <w:rsid w:val="00D37E1E"/>
    <w:rsid w:val="00D37F70"/>
    <w:rsid w:val="00D40854"/>
    <w:rsid w:val="00D411FC"/>
    <w:rsid w:val="00D41F36"/>
    <w:rsid w:val="00D424F9"/>
    <w:rsid w:val="00D433B0"/>
    <w:rsid w:val="00D435FC"/>
    <w:rsid w:val="00D43891"/>
    <w:rsid w:val="00D4545C"/>
    <w:rsid w:val="00D455FF"/>
    <w:rsid w:val="00D45D12"/>
    <w:rsid w:val="00D46316"/>
    <w:rsid w:val="00D468D8"/>
    <w:rsid w:val="00D46D0B"/>
    <w:rsid w:val="00D470D1"/>
    <w:rsid w:val="00D47557"/>
    <w:rsid w:val="00D47674"/>
    <w:rsid w:val="00D4799D"/>
    <w:rsid w:val="00D47BBF"/>
    <w:rsid w:val="00D50591"/>
    <w:rsid w:val="00D50F36"/>
    <w:rsid w:val="00D5131C"/>
    <w:rsid w:val="00D51C11"/>
    <w:rsid w:val="00D51CA6"/>
    <w:rsid w:val="00D528BB"/>
    <w:rsid w:val="00D52AB5"/>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3014"/>
    <w:rsid w:val="00D6366F"/>
    <w:rsid w:val="00D63A12"/>
    <w:rsid w:val="00D63ACC"/>
    <w:rsid w:val="00D64933"/>
    <w:rsid w:val="00D65968"/>
    <w:rsid w:val="00D67389"/>
    <w:rsid w:val="00D67BE8"/>
    <w:rsid w:val="00D70240"/>
    <w:rsid w:val="00D7059A"/>
    <w:rsid w:val="00D70655"/>
    <w:rsid w:val="00D706D6"/>
    <w:rsid w:val="00D71A4B"/>
    <w:rsid w:val="00D71AA7"/>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40F8"/>
    <w:rsid w:val="00D9489E"/>
    <w:rsid w:val="00D94AD1"/>
    <w:rsid w:val="00D950B8"/>
    <w:rsid w:val="00D955F5"/>
    <w:rsid w:val="00D95BAD"/>
    <w:rsid w:val="00D97D98"/>
    <w:rsid w:val="00DA0F37"/>
    <w:rsid w:val="00DA1BCF"/>
    <w:rsid w:val="00DA25A8"/>
    <w:rsid w:val="00DA3743"/>
    <w:rsid w:val="00DA3BA0"/>
    <w:rsid w:val="00DA3EE0"/>
    <w:rsid w:val="00DA4040"/>
    <w:rsid w:val="00DA405E"/>
    <w:rsid w:val="00DA4781"/>
    <w:rsid w:val="00DA5625"/>
    <w:rsid w:val="00DA5A25"/>
    <w:rsid w:val="00DA5CDC"/>
    <w:rsid w:val="00DA5D26"/>
    <w:rsid w:val="00DA67CB"/>
    <w:rsid w:val="00DA6B27"/>
    <w:rsid w:val="00DB094C"/>
    <w:rsid w:val="00DB0E9B"/>
    <w:rsid w:val="00DB0F0C"/>
    <w:rsid w:val="00DB1564"/>
    <w:rsid w:val="00DB15E5"/>
    <w:rsid w:val="00DB1B79"/>
    <w:rsid w:val="00DB202B"/>
    <w:rsid w:val="00DB228D"/>
    <w:rsid w:val="00DB3D1D"/>
    <w:rsid w:val="00DB3DA7"/>
    <w:rsid w:val="00DB42FF"/>
    <w:rsid w:val="00DB4EF9"/>
    <w:rsid w:val="00DB52FF"/>
    <w:rsid w:val="00DB5546"/>
    <w:rsid w:val="00DB6617"/>
    <w:rsid w:val="00DB6658"/>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74D"/>
    <w:rsid w:val="00DD4BF9"/>
    <w:rsid w:val="00DD517E"/>
    <w:rsid w:val="00DD6AB0"/>
    <w:rsid w:val="00DD7235"/>
    <w:rsid w:val="00DD798B"/>
    <w:rsid w:val="00DE0542"/>
    <w:rsid w:val="00DE112B"/>
    <w:rsid w:val="00DE184A"/>
    <w:rsid w:val="00DE2AD5"/>
    <w:rsid w:val="00DE3792"/>
    <w:rsid w:val="00DE4E0F"/>
    <w:rsid w:val="00DE5414"/>
    <w:rsid w:val="00DE5805"/>
    <w:rsid w:val="00DE584E"/>
    <w:rsid w:val="00DE5A2E"/>
    <w:rsid w:val="00DE5E5C"/>
    <w:rsid w:val="00DE6AA3"/>
    <w:rsid w:val="00DF00C4"/>
    <w:rsid w:val="00DF0236"/>
    <w:rsid w:val="00DF05EB"/>
    <w:rsid w:val="00DF0925"/>
    <w:rsid w:val="00DF0D22"/>
    <w:rsid w:val="00DF1994"/>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2485"/>
    <w:rsid w:val="00E024CA"/>
    <w:rsid w:val="00E03706"/>
    <w:rsid w:val="00E040C1"/>
    <w:rsid w:val="00E04226"/>
    <w:rsid w:val="00E072BC"/>
    <w:rsid w:val="00E07ACA"/>
    <w:rsid w:val="00E07D77"/>
    <w:rsid w:val="00E100FD"/>
    <w:rsid w:val="00E10279"/>
    <w:rsid w:val="00E10E0F"/>
    <w:rsid w:val="00E11093"/>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7B6B"/>
    <w:rsid w:val="00E17C12"/>
    <w:rsid w:val="00E20E3B"/>
    <w:rsid w:val="00E216DB"/>
    <w:rsid w:val="00E22B21"/>
    <w:rsid w:val="00E22E23"/>
    <w:rsid w:val="00E23CBB"/>
    <w:rsid w:val="00E241AD"/>
    <w:rsid w:val="00E247F6"/>
    <w:rsid w:val="00E25013"/>
    <w:rsid w:val="00E25A59"/>
    <w:rsid w:val="00E2644E"/>
    <w:rsid w:val="00E272C1"/>
    <w:rsid w:val="00E31067"/>
    <w:rsid w:val="00E31223"/>
    <w:rsid w:val="00E31801"/>
    <w:rsid w:val="00E31E30"/>
    <w:rsid w:val="00E326A5"/>
    <w:rsid w:val="00E3489F"/>
    <w:rsid w:val="00E352C4"/>
    <w:rsid w:val="00E35C39"/>
    <w:rsid w:val="00E36751"/>
    <w:rsid w:val="00E368E9"/>
    <w:rsid w:val="00E37476"/>
    <w:rsid w:val="00E37F87"/>
    <w:rsid w:val="00E405F7"/>
    <w:rsid w:val="00E406BC"/>
    <w:rsid w:val="00E410C5"/>
    <w:rsid w:val="00E41AE2"/>
    <w:rsid w:val="00E41D66"/>
    <w:rsid w:val="00E42000"/>
    <w:rsid w:val="00E4279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50071"/>
    <w:rsid w:val="00E50663"/>
    <w:rsid w:val="00E509E0"/>
    <w:rsid w:val="00E50D46"/>
    <w:rsid w:val="00E512DD"/>
    <w:rsid w:val="00E51E09"/>
    <w:rsid w:val="00E527CE"/>
    <w:rsid w:val="00E534F8"/>
    <w:rsid w:val="00E543A8"/>
    <w:rsid w:val="00E54C6F"/>
    <w:rsid w:val="00E558A5"/>
    <w:rsid w:val="00E569AC"/>
    <w:rsid w:val="00E602AD"/>
    <w:rsid w:val="00E602CB"/>
    <w:rsid w:val="00E60F76"/>
    <w:rsid w:val="00E61DDE"/>
    <w:rsid w:val="00E63A65"/>
    <w:rsid w:val="00E63EEA"/>
    <w:rsid w:val="00E64B99"/>
    <w:rsid w:val="00E655F9"/>
    <w:rsid w:val="00E66015"/>
    <w:rsid w:val="00E66410"/>
    <w:rsid w:val="00E66697"/>
    <w:rsid w:val="00E66B7E"/>
    <w:rsid w:val="00E66E1F"/>
    <w:rsid w:val="00E67527"/>
    <w:rsid w:val="00E679EC"/>
    <w:rsid w:val="00E67C7E"/>
    <w:rsid w:val="00E67E9D"/>
    <w:rsid w:val="00E70246"/>
    <w:rsid w:val="00E702CB"/>
    <w:rsid w:val="00E70E5C"/>
    <w:rsid w:val="00E70FBD"/>
    <w:rsid w:val="00E72B12"/>
    <w:rsid w:val="00E74DF3"/>
    <w:rsid w:val="00E74F99"/>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A21"/>
    <w:rsid w:val="00E95B6D"/>
    <w:rsid w:val="00E95CE6"/>
    <w:rsid w:val="00E9618D"/>
    <w:rsid w:val="00E96466"/>
    <w:rsid w:val="00E96903"/>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3E33"/>
    <w:rsid w:val="00EB54DC"/>
    <w:rsid w:val="00EB594F"/>
    <w:rsid w:val="00EB64C0"/>
    <w:rsid w:val="00EC064F"/>
    <w:rsid w:val="00EC0D6B"/>
    <w:rsid w:val="00EC1BE4"/>
    <w:rsid w:val="00EC5592"/>
    <w:rsid w:val="00EC599D"/>
    <w:rsid w:val="00EC5FB7"/>
    <w:rsid w:val="00EC61BC"/>
    <w:rsid w:val="00EC6226"/>
    <w:rsid w:val="00EC62E2"/>
    <w:rsid w:val="00EC67F4"/>
    <w:rsid w:val="00EC6869"/>
    <w:rsid w:val="00EC7231"/>
    <w:rsid w:val="00ED0B16"/>
    <w:rsid w:val="00ED1020"/>
    <w:rsid w:val="00ED33A4"/>
    <w:rsid w:val="00ED3A3F"/>
    <w:rsid w:val="00ED4345"/>
    <w:rsid w:val="00ED6026"/>
    <w:rsid w:val="00ED680B"/>
    <w:rsid w:val="00ED6FBF"/>
    <w:rsid w:val="00ED7FF9"/>
    <w:rsid w:val="00EE0A75"/>
    <w:rsid w:val="00EE0DD4"/>
    <w:rsid w:val="00EE1000"/>
    <w:rsid w:val="00EE149B"/>
    <w:rsid w:val="00EE2EF5"/>
    <w:rsid w:val="00EE3771"/>
    <w:rsid w:val="00EE3BB3"/>
    <w:rsid w:val="00EE434D"/>
    <w:rsid w:val="00EE4A9A"/>
    <w:rsid w:val="00EE6E72"/>
    <w:rsid w:val="00EE6EA4"/>
    <w:rsid w:val="00EF0DA2"/>
    <w:rsid w:val="00EF1429"/>
    <w:rsid w:val="00EF24B8"/>
    <w:rsid w:val="00EF2C2A"/>
    <w:rsid w:val="00EF3071"/>
    <w:rsid w:val="00EF328E"/>
    <w:rsid w:val="00EF3778"/>
    <w:rsid w:val="00EF3E46"/>
    <w:rsid w:val="00EF451D"/>
    <w:rsid w:val="00EF4A42"/>
    <w:rsid w:val="00EF4DE2"/>
    <w:rsid w:val="00EF552F"/>
    <w:rsid w:val="00EF5A62"/>
    <w:rsid w:val="00EF5CC6"/>
    <w:rsid w:val="00EF5E16"/>
    <w:rsid w:val="00EF6448"/>
    <w:rsid w:val="00EF6816"/>
    <w:rsid w:val="00EF78BE"/>
    <w:rsid w:val="00F002AD"/>
    <w:rsid w:val="00F014A4"/>
    <w:rsid w:val="00F014B6"/>
    <w:rsid w:val="00F01736"/>
    <w:rsid w:val="00F025F7"/>
    <w:rsid w:val="00F0329C"/>
    <w:rsid w:val="00F03D7A"/>
    <w:rsid w:val="00F03FCC"/>
    <w:rsid w:val="00F03FF7"/>
    <w:rsid w:val="00F04670"/>
    <w:rsid w:val="00F0488F"/>
    <w:rsid w:val="00F04916"/>
    <w:rsid w:val="00F04B87"/>
    <w:rsid w:val="00F04BF8"/>
    <w:rsid w:val="00F05727"/>
    <w:rsid w:val="00F076D2"/>
    <w:rsid w:val="00F106CB"/>
    <w:rsid w:val="00F10EF8"/>
    <w:rsid w:val="00F1155F"/>
    <w:rsid w:val="00F11F59"/>
    <w:rsid w:val="00F1273E"/>
    <w:rsid w:val="00F1308E"/>
    <w:rsid w:val="00F131C4"/>
    <w:rsid w:val="00F13819"/>
    <w:rsid w:val="00F1385F"/>
    <w:rsid w:val="00F14B9A"/>
    <w:rsid w:val="00F151CA"/>
    <w:rsid w:val="00F15556"/>
    <w:rsid w:val="00F156F1"/>
    <w:rsid w:val="00F205CB"/>
    <w:rsid w:val="00F20ED1"/>
    <w:rsid w:val="00F2126D"/>
    <w:rsid w:val="00F22003"/>
    <w:rsid w:val="00F22753"/>
    <w:rsid w:val="00F230A9"/>
    <w:rsid w:val="00F23505"/>
    <w:rsid w:val="00F244DE"/>
    <w:rsid w:val="00F24ADF"/>
    <w:rsid w:val="00F25AE8"/>
    <w:rsid w:val="00F263E1"/>
    <w:rsid w:val="00F26928"/>
    <w:rsid w:val="00F26988"/>
    <w:rsid w:val="00F26F24"/>
    <w:rsid w:val="00F27867"/>
    <w:rsid w:val="00F27B8A"/>
    <w:rsid w:val="00F300CA"/>
    <w:rsid w:val="00F307E7"/>
    <w:rsid w:val="00F31477"/>
    <w:rsid w:val="00F3170B"/>
    <w:rsid w:val="00F319E7"/>
    <w:rsid w:val="00F32B16"/>
    <w:rsid w:val="00F34863"/>
    <w:rsid w:val="00F348FA"/>
    <w:rsid w:val="00F34A84"/>
    <w:rsid w:val="00F357F6"/>
    <w:rsid w:val="00F412E1"/>
    <w:rsid w:val="00F416FA"/>
    <w:rsid w:val="00F419DA"/>
    <w:rsid w:val="00F41E9E"/>
    <w:rsid w:val="00F428E0"/>
    <w:rsid w:val="00F4307B"/>
    <w:rsid w:val="00F43881"/>
    <w:rsid w:val="00F43BC4"/>
    <w:rsid w:val="00F4517A"/>
    <w:rsid w:val="00F45BA5"/>
    <w:rsid w:val="00F46865"/>
    <w:rsid w:val="00F4743A"/>
    <w:rsid w:val="00F47E24"/>
    <w:rsid w:val="00F50BC2"/>
    <w:rsid w:val="00F51DA5"/>
    <w:rsid w:val="00F51DD5"/>
    <w:rsid w:val="00F52BCC"/>
    <w:rsid w:val="00F5326B"/>
    <w:rsid w:val="00F532D5"/>
    <w:rsid w:val="00F540EE"/>
    <w:rsid w:val="00F541A8"/>
    <w:rsid w:val="00F55D51"/>
    <w:rsid w:val="00F55E68"/>
    <w:rsid w:val="00F5601B"/>
    <w:rsid w:val="00F56DA3"/>
    <w:rsid w:val="00F5747E"/>
    <w:rsid w:val="00F57F9A"/>
    <w:rsid w:val="00F57FF6"/>
    <w:rsid w:val="00F60210"/>
    <w:rsid w:val="00F60510"/>
    <w:rsid w:val="00F60F85"/>
    <w:rsid w:val="00F61309"/>
    <w:rsid w:val="00F6150F"/>
    <w:rsid w:val="00F61B5F"/>
    <w:rsid w:val="00F61C21"/>
    <w:rsid w:val="00F62366"/>
    <w:rsid w:val="00F63461"/>
    <w:rsid w:val="00F63E4B"/>
    <w:rsid w:val="00F641C2"/>
    <w:rsid w:val="00F65851"/>
    <w:rsid w:val="00F66970"/>
    <w:rsid w:val="00F66D43"/>
    <w:rsid w:val="00F67565"/>
    <w:rsid w:val="00F676F0"/>
    <w:rsid w:val="00F700EF"/>
    <w:rsid w:val="00F70B51"/>
    <w:rsid w:val="00F71261"/>
    <w:rsid w:val="00F72103"/>
    <w:rsid w:val="00F722CE"/>
    <w:rsid w:val="00F73484"/>
    <w:rsid w:val="00F73C0B"/>
    <w:rsid w:val="00F73E88"/>
    <w:rsid w:val="00F74A86"/>
    <w:rsid w:val="00F75D0A"/>
    <w:rsid w:val="00F76F25"/>
    <w:rsid w:val="00F77A10"/>
    <w:rsid w:val="00F77BEC"/>
    <w:rsid w:val="00F801AD"/>
    <w:rsid w:val="00F80500"/>
    <w:rsid w:val="00F81582"/>
    <w:rsid w:val="00F8164B"/>
    <w:rsid w:val="00F81B62"/>
    <w:rsid w:val="00F81FE8"/>
    <w:rsid w:val="00F83C0B"/>
    <w:rsid w:val="00F83D82"/>
    <w:rsid w:val="00F860AA"/>
    <w:rsid w:val="00F86743"/>
    <w:rsid w:val="00F86DE2"/>
    <w:rsid w:val="00F87B57"/>
    <w:rsid w:val="00F909F6"/>
    <w:rsid w:val="00F90AC6"/>
    <w:rsid w:val="00F90C5C"/>
    <w:rsid w:val="00F9101C"/>
    <w:rsid w:val="00F913A9"/>
    <w:rsid w:val="00F93DE1"/>
    <w:rsid w:val="00F957AC"/>
    <w:rsid w:val="00F960E6"/>
    <w:rsid w:val="00F96352"/>
    <w:rsid w:val="00F968B8"/>
    <w:rsid w:val="00F975E6"/>
    <w:rsid w:val="00F97F9C"/>
    <w:rsid w:val="00FA0A50"/>
    <w:rsid w:val="00FA1619"/>
    <w:rsid w:val="00FA2857"/>
    <w:rsid w:val="00FA30C3"/>
    <w:rsid w:val="00FA3304"/>
    <w:rsid w:val="00FA3CD8"/>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7580"/>
    <w:rsid w:val="00FC20BD"/>
    <w:rsid w:val="00FC27A5"/>
    <w:rsid w:val="00FC288A"/>
    <w:rsid w:val="00FC328A"/>
    <w:rsid w:val="00FC3C48"/>
    <w:rsid w:val="00FC4324"/>
    <w:rsid w:val="00FC5864"/>
    <w:rsid w:val="00FC6038"/>
    <w:rsid w:val="00FC6E26"/>
    <w:rsid w:val="00FC7352"/>
    <w:rsid w:val="00FD011B"/>
    <w:rsid w:val="00FD021B"/>
    <w:rsid w:val="00FD04BE"/>
    <w:rsid w:val="00FD0934"/>
    <w:rsid w:val="00FD0D2C"/>
    <w:rsid w:val="00FD0D5E"/>
    <w:rsid w:val="00FD0DD6"/>
    <w:rsid w:val="00FD0F86"/>
    <w:rsid w:val="00FD1528"/>
    <w:rsid w:val="00FD1686"/>
    <w:rsid w:val="00FD1D36"/>
    <w:rsid w:val="00FD20AF"/>
    <w:rsid w:val="00FD261A"/>
    <w:rsid w:val="00FD2FD2"/>
    <w:rsid w:val="00FD324B"/>
    <w:rsid w:val="00FD419A"/>
    <w:rsid w:val="00FD41E9"/>
    <w:rsid w:val="00FD5202"/>
    <w:rsid w:val="00FD550B"/>
    <w:rsid w:val="00FD5FDD"/>
    <w:rsid w:val="00FD60FF"/>
    <w:rsid w:val="00FD628C"/>
    <w:rsid w:val="00FD6B71"/>
    <w:rsid w:val="00FD727F"/>
    <w:rsid w:val="00FD760D"/>
    <w:rsid w:val="00FD7AF2"/>
    <w:rsid w:val="00FD7CCE"/>
    <w:rsid w:val="00FE0C07"/>
    <w:rsid w:val="00FE0D7F"/>
    <w:rsid w:val="00FE148E"/>
    <w:rsid w:val="00FE1AEA"/>
    <w:rsid w:val="00FE2399"/>
    <w:rsid w:val="00FE3568"/>
    <w:rsid w:val="00FE3F1F"/>
    <w:rsid w:val="00FE46EB"/>
    <w:rsid w:val="00FE4921"/>
    <w:rsid w:val="00FE55DA"/>
    <w:rsid w:val="00FE605B"/>
    <w:rsid w:val="00FE64A1"/>
    <w:rsid w:val="00FF04AF"/>
    <w:rsid w:val="00FF0FC6"/>
    <w:rsid w:val="00FF1029"/>
    <w:rsid w:val="00FF1665"/>
    <w:rsid w:val="00FF2219"/>
    <w:rsid w:val="00FF2354"/>
    <w:rsid w:val="00FF25E3"/>
    <w:rsid w:val="00FF2F98"/>
    <w:rsid w:val="00FF30E9"/>
    <w:rsid w:val="00FF367F"/>
    <w:rsid w:val="00FF385C"/>
    <w:rsid w:val="00FF3BE3"/>
    <w:rsid w:val="00FF65B2"/>
    <w:rsid w:val="00FF681F"/>
    <w:rsid w:val="00FF68F3"/>
    <w:rsid w:val="00FF7A60"/>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0452"/>
  <w15:docId w15:val="{4ABE63D1-DCFA-4370-A3F5-8EB0ED7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176"/>
    <w:pPr>
      <w:suppressAutoHyphens/>
      <w:autoSpaceDN w:val="0"/>
      <w:spacing w:after="160" w:line="254" w:lineRule="auto"/>
      <w:textAlignment w:val="baseline"/>
    </w:pPr>
    <w:rPr>
      <w:sz w:val="22"/>
      <w:szCs w:val="22"/>
      <w:lang w:val="en-GB"/>
    </w:rPr>
  </w:style>
  <w:style w:type="paragraph" w:styleId="1">
    <w:name w:val="heading 1"/>
    <w:basedOn w:val="a"/>
    <w:next w:val="a"/>
    <w:link w:val="10"/>
    <w:uiPriority w:val="9"/>
    <w:qFormat/>
    <w:rsid w:val="000921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3357AA"/>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style>
  <w:style w:type="paragraph" w:customStyle="1" w:styleId="CM4">
    <w:name w:val="CM4"/>
    <w:basedOn w:val="a"/>
    <w:next w:val="a"/>
    <w:uiPriority w:val="99"/>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pPr>
      <w:autoSpaceDE w:val="0"/>
      <w:spacing w:after="0" w:line="240" w:lineRule="auto"/>
    </w:pPr>
    <w:rPr>
      <w:rFonts w:ascii="Times New Roman" w:hAnsi="Times New Roman"/>
      <w:sz w:val="24"/>
      <w:szCs w:val="24"/>
      <w:lang w:val="en-US"/>
    </w:rPr>
  </w:style>
  <w:style w:type="table" w:styleId="a3">
    <w:name w:val="Table Grid"/>
    <w:basedOn w:val="a1"/>
    <w:rsid w:val="009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a4">
    <w:name w:val="Body Text"/>
    <w:basedOn w:val="a"/>
    <w:link w:val="a5"/>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a5">
    <w:name w:val="Основной текст Знак"/>
    <w:link w:val="a4"/>
    <w:rsid w:val="00A32B30"/>
    <w:rPr>
      <w:rFonts w:ascii="Times New Roman" w:hAnsi="Times New Roman"/>
      <w:lang w:val="ro-RO"/>
    </w:rPr>
  </w:style>
  <w:style w:type="character" w:customStyle="1" w:styleId="docred">
    <w:name w:val="doc_red"/>
    <w:basedOn w:val="a0"/>
    <w:rsid w:val="001C32D7"/>
  </w:style>
  <w:style w:type="character" w:customStyle="1" w:styleId="tpa1">
    <w:name w:val="tpa1"/>
    <w:rsid w:val="00791C4A"/>
  </w:style>
  <w:style w:type="character" w:styleId="a6">
    <w:name w:val="annotation reference"/>
    <w:uiPriority w:val="99"/>
    <w:unhideWhenUsed/>
    <w:qFormat/>
    <w:rsid w:val="00640519"/>
    <w:rPr>
      <w:sz w:val="16"/>
      <w:szCs w:val="16"/>
    </w:rPr>
  </w:style>
  <w:style w:type="paragraph" w:styleId="a7">
    <w:name w:val="annotation text"/>
    <w:basedOn w:val="a"/>
    <w:link w:val="a8"/>
    <w:uiPriority w:val="99"/>
    <w:unhideWhenUsed/>
    <w:qFormat/>
    <w:rsid w:val="00640519"/>
    <w:rPr>
      <w:sz w:val="20"/>
      <w:szCs w:val="20"/>
    </w:rPr>
  </w:style>
  <w:style w:type="character" w:customStyle="1" w:styleId="a8">
    <w:name w:val="Текст примечания Знак"/>
    <w:link w:val="a7"/>
    <w:uiPriority w:val="99"/>
    <w:qFormat/>
    <w:rsid w:val="00640519"/>
    <w:rPr>
      <w:lang w:val="en-GB" w:eastAsia="en-US"/>
    </w:rPr>
  </w:style>
  <w:style w:type="paragraph" w:styleId="a9">
    <w:name w:val="annotation subject"/>
    <w:basedOn w:val="a7"/>
    <w:next w:val="a7"/>
    <w:link w:val="aa"/>
    <w:uiPriority w:val="99"/>
    <w:semiHidden/>
    <w:unhideWhenUsed/>
    <w:rsid w:val="00640519"/>
    <w:rPr>
      <w:b/>
      <w:bCs/>
    </w:rPr>
  </w:style>
  <w:style w:type="character" w:customStyle="1" w:styleId="aa">
    <w:name w:val="Тема примечания Знак"/>
    <w:link w:val="a9"/>
    <w:uiPriority w:val="99"/>
    <w:semiHidden/>
    <w:rsid w:val="00640519"/>
    <w:rPr>
      <w:b/>
      <w:bCs/>
      <w:lang w:val="en-GB" w:eastAsia="en-US"/>
    </w:rPr>
  </w:style>
  <w:style w:type="paragraph" w:styleId="ab">
    <w:name w:val="Balloon Text"/>
    <w:basedOn w:val="a"/>
    <w:link w:val="ac"/>
    <w:uiPriority w:val="99"/>
    <w:semiHidden/>
    <w:unhideWhenUsed/>
    <w:rsid w:val="0064051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ad">
    <w:name w:val="footnote text"/>
    <w:basedOn w:val="a"/>
    <w:link w:val="ae"/>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ae">
    <w:name w:val="Текст сноски Знак"/>
    <w:link w:val="ad"/>
    <w:uiPriority w:val="99"/>
    <w:semiHidden/>
    <w:rsid w:val="00D548E2"/>
    <w:rPr>
      <w:rFonts w:cs="Calibri"/>
      <w:lang w:val="en-US" w:eastAsia="en-US"/>
    </w:rPr>
  </w:style>
  <w:style w:type="character" w:styleId="af">
    <w:name w:val="footnote reference"/>
    <w:uiPriority w:val="99"/>
    <w:semiHidden/>
    <w:rsid w:val="00D548E2"/>
    <w:rPr>
      <w:vertAlign w:val="superscript"/>
    </w:rPr>
  </w:style>
  <w:style w:type="paragraph" w:customStyle="1" w:styleId="tbl-hdr">
    <w:name w:val="tbl-hdr"/>
    <w:basedOn w:val="a"/>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af0">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a"/>
    <w:link w:val="af1"/>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af1">
    <w:name w:val="Обычный (Интернет) Знак"/>
    <w:aliases w:val="Знак Знак2, Знак Знак1,webb Знак1,webb Знак Знак Знак1, Знак Знак Знак1,Знак Знак Знак1,Знак Знак Знак Знак Знак, Знак Знак Знак Знак,Знак Знак1 Знак,webb Знак Знак Знак Char Char Знак,Обычный (веб) Знак Знак,webb Знак Знак1"/>
    <w:link w:val="af0"/>
    <w:uiPriority w:val="99"/>
    <w:locked/>
    <w:rsid w:val="00D71A4B"/>
    <w:rPr>
      <w:rFonts w:ascii="Times New Roman" w:eastAsia="Times New Roman" w:hAnsi="Times New Roman"/>
      <w:sz w:val="24"/>
      <w:szCs w:val="24"/>
      <w:lang w:val="ro-RO" w:eastAsia="zh-CN"/>
    </w:rPr>
  </w:style>
  <w:style w:type="character" w:styleId="af2">
    <w:name w:val="Strong"/>
    <w:uiPriority w:val="22"/>
    <w:qFormat/>
    <w:rsid w:val="00195ED7"/>
    <w:rPr>
      <w:b/>
      <w:bCs/>
    </w:rPr>
  </w:style>
  <w:style w:type="paragraph" w:styleId="af3">
    <w:name w:val="List Paragraph"/>
    <w:aliases w:val="Bullet Points,Liste Paragraf,Normal bullet 2,body 2,List Paragraph2,Scriptoria bullet points,Ha,References,Indent Paragraph,strikethrough,List Paragraph 1"/>
    <w:basedOn w:val="a"/>
    <w:link w:val="af4"/>
    <w:uiPriority w:val="34"/>
    <w:qFormat/>
    <w:rsid w:val="003C6B64"/>
    <w:pPr>
      <w:ind w:left="720"/>
      <w:contextualSpacing/>
    </w:pPr>
  </w:style>
  <w:style w:type="paragraph" w:styleId="af5">
    <w:name w:val="No Spacing"/>
    <w:uiPriority w:val="99"/>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a"/>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a"/>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rsid w:val="002A1613"/>
    <w:rPr>
      <w:rFonts w:ascii="Times New Roman" w:hAnsi="Times New Roman" w:cs="Times New Roman"/>
      <w:sz w:val="24"/>
      <w:szCs w:val="24"/>
    </w:rPr>
  </w:style>
  <w:style w:type="paragraph" w:customStyle="1" w:styleId="doc-ti">
    <w:name w:val="doc-ti"/>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rsid w:val="000263E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6">
    <w:name w:val="Hyperlink"/>
    <w:basedOn w:val="a0"/>
    <w:uiPriority w:val="99"/>
    <w:unhideWhenUsed/>
    <w:qFormat/>
    <w:rsid w:val="003D439F"/>
    <w:rPr>
      <w:color w:val="0000FF"/>
      <w:u w:val="single"/>
    </w:rPr>
  </w:style>
  <w:style w:type="character" w:customStyle="1" w:styleId="italic">
    <w:name w:val="italic"/>
    <w:basedOn w:val="a0"/>
    <w:rsid w:val="009E1433"/>
  </w:style>
  <w:style w:type="paragraph" w:styleId="3">
    <w:name w:val="toc 3"/>
    <w:basedOn w:val="a"/>
    <w:next w:val="a"/>
    <w:autoRedefine/>
    <w:uiPriority w:val="39"/>
    <w:unhideWhenUsed/>
    <w:qFormat/>
    <w:rsid w:val="003C29F7"/>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ti-section-1">
    <w:name w:val="ti-section-1"/>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rsid w:val="00017542"/>
  </w:style>
  <w:style w:type="paragraph" w:customStyle="1" w:styleId="ti-art">
    <w:name w:val="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uiPriority w:val="99"/>
    <w:rsid w:val="0001754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styleId="af7">
    <w:name w:val="Emphasis"/>
    <w:basedOn w:val="a0"/>
    <w:uiPriority w:val="20"/>
    <w:qFormat/>
    <w:rsid w:val="00844C44"/>
    <w:rPr>
      <w:i/>
      <w:iCs/>
    </w:rPr>
  </w:style>
  <w:style w:type="paragraph" w:customStyle="1" w:styleId="2">
    <w:name w:val="Обычный2"/>
    <w:basedOn w:val="a"/>
    <w:rsid w:val="00925A2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rsid w:val="001857B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rsid w:val="00EA0A1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rsid w:val="008B2EC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rsid w:val="00CD290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rsid w:val="0007074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rsid w:val="0090400F"/>
  </w:style>
  <w:style w:type="paragraph" w:customStyle="1" w:styleId="tbl-txt">
    <w:name w:val="tbl-txt"/>
    <w:basedOn w:val="a"/>
    <w:rsid w:val="002566A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rsid w:val="007D51A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4">
    <w:name w:val="Абзац списка Знак"/>
    <w:aliases w:val="Bullet Points Знак,Liste Paragraf Знак,Normal bullet 2 Знак,body 2 Знак,List Paragraph2 Знак,Scriptoria bullet points Знак,Ha Знак,References Знак,Indent Paragraph Знак,strikethrough Знак,List Paragraph 1 Знак"/>
    <w:link w:val="af3"/>
    <w:uiPriority w:val="34"/>
    <w:qFormat/>
    <w:locked/>
    <w:rsid w:val="00F90C5C"/>
    <w:rPr>
      <w:sz w:val="22"/>
      <w:szCs w:val="22"/>
      <w:lang w:val="en-GB"/>
    </w:rPr>
  </w:style>
  <w:style w:type="paragraph" w:customStyle="1" w:styleId="5">
    <w:name w:val="Обычный5"/>
    <w:basedOn w:val="a"/>
    <w:rsid w:val="0037409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rsid w:val="000836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rsid w:val="00FA67B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rsid w:val="00E16582"/>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
    <w:name w:val="Обычный8"/>
    <w:basedOn w:val="a"/>
    <w:rsid w:val="00F72103"/>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a"/>
    <w:rsid w:val="00D65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a"/>
    <w:rsid w:val="002144F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40">
    <w:name w:val="Заголовок 4 Знак"/>
    <w:basedOn w:val="a0"/>
    <w:link w:val="4"/>
    <w:uiPriority w:val="9"/>
    <w:rsid w:val="003357AA"/>
    <w:rPr>
      <w:rFonts w:ascii="Times New Roman" w:eastAsia="Times New Roman" w:hAnsi="Times New Roman"/>
      <w:b/>
      <w:bCs/>
      <w:sz w:val="24"/>
      <w:szCs w:val="24"/>
      <w:lang w:val="ro-MD" w:eastAsia="ro-MD"/>
    </w:rPr>
  </w:style>
  <w:style w:type="paragraph" w:styleId="af8">
    <w:name w:val="Revision"/>
    <w:hidden/>
    <w:uiPriority w:val="99"/>
    <w:semiHidden/>
    <w:rsid w:val="00835E44"/>
    <w:rPr>
      <w:rFonts w:eastAsiaTheme="minorHAnsi" w:cs="Calibri"/>
      <w:sz w:val="22"/>
      <w:szCs w:val="22"/>
    </w:rPr>
  </w:style>
  <w:style w:type="character" w:customStyle="1" w:styleId="expanded">
    <w:name w:val="expanded"/>
    <w:basedOn w:val="a0"/>
    <w:rsid w:val="00C7607C"/>
  </w:style>
  <w:style w:type="paragraph" w:styleId="af9">
    <w:name w:val="header"/>
    <w:basedOn w:val="a"/>
    <w:link w:val="afa"/>
    <w:uiPriority w:val="99"/>
    <w:unhideWhenUsed/>
    <w:rsid w:val="000C764C"/>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customStyle="1" w:styleId="afa">
    <w:name w:val="Верхний колонтитул Знак"/>
    <w:basedOn w:val="a0"/>
    <w:link w:val="af9"/>
    <w:uiPriority w:val="99"/>
    <w:rsid w:val="000C764C"/>
    <w:rPr>
      <w:rFonts w:asciiTheme="minorHAnsi" w:eastAsiaTheme="minorHAnsi" w:hAnsiTheme="minorHAnsi" w:cstheme="minorBidi"/>
      <w:sz w:val="22"/>
      <w:szCs w:val="22"/>
      <w:lang w:val="ro-RO"/>
    </w:rPr>
  </w:style>
  <w:style w:type="character" w:customStyle="1" w:styleId="superscript">
    <w:name w:val="superscript"/>
    <w:basedOn w:val="a0"/>
    <w:rsid w:val="00F909F6"/>
  </w:style>
  <w:style w:type="character" w:customStyle="1" w:styleId="10">
    <w:name w:val="Заголовок 1 Знак"/>
    <w:basedOn w:val="a0"/>
    <w:link w:val="1"/>
    <w:uiPriority w:val="9"/>
    <w:rsid w:val="000921E9"/>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paragraph" w:customStyle="1" w:styleId="modref">
    <w:name w:val="modref"/>
    <w:basedOn w:val="a"/>
    <w:rsid w:val="006D5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MD" w:eastAsia="ro-MD"/>
    </w:rPr>
  </w:style>
  <w:style w:type="character" w:customStyle="1" w:styleId="boldface">
    <w:name w:val="boldface"/>
    <w:basedOn w:val="a0"/>
    <w:rsid w:val="00373D90"/>
  </w:style>
  <w:style w:type="character" w:customStyle="1" w:styleId="subscript">
    <w:name w:val="subscript"/>
    <w:basedOn w:val="a0"/>
    <w:rsid w:val="000D68C7"/>
  </w:style>
  <w:style w:type="character" w:customStyle="1" w:styleId="oj-bold">
    <w:name w:val="oj-bold"/>
    <w:basedOn w:val="a0"/>
    <w:rsid w:val="00070197"/>
  </w:style>
  <w:style w:type="character" w:styleId="afb">
    <w:name w:val="FollowedHyperlink"/>
    <w:basedOn w:val="a0"/>
    <w:uiPriority w:val="99"/>
    <w:semiHidden/>
    <w:unhideWhenUsed/>
    <w:rsid w:val="00B74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21">
      <w:bodyDiv w:val="1"/>
      <w:marLeft w:val="0"/>
      <w:marRight w:val="0"/>
      <w:marTop w:val="0"/>
      <w:marBottom w:val="0"/>
      <w:divBdr>
        <w:top w:val="none" w:sz="0" w:space="0" w:color="auto"/>
        <w:left w:val="none" w:sz="0" w:space="0" w:color="auto"/>
        <w:bottom w:val="none" w:sz="0" w:space="0" w:color="auto"/>
        <w:right w:val="none" w:sz="0" w:space="0" w:color="auto"/>
      </w:divBdr>
    </w:div>
    <w:div w:id="8531816">
      <w:bodyDiv w:val="1"/>
      <w:marLeft w:val="0"/>
      <w:marRight w:val="0"/>
      <w:marTop w:val="0"/>
      <w:marBottom w:val="0"/>
      <w:divBdr>
        <w:top w:val="none" w:sz="0" w:space="0" w:color="auto"/>
        <w:left w:val="none" w:sz="0" w:space="0" w:color="auto"/>
        <w:bottom w:val="none" w:sz="0" w:space="0" w:color="auto"/>
        <w:right w:val="none" w:sz="0" w:space="0" w:color="auto"/>
      </w:divBdr>
      <w:divsChild>
        <w:div w:id="881476399">
          <w:marLeft w:val="0"/>
          <w:marRight w:val="0"/>
          <w:marTop w:val="0"/>
          <w:marBottom w:val="0"/>
          <w:divBdr>
            <w:top w:val="none" w:sz="0" w:space="0" w:color="auto"/>
            <w:left w:val="none" w:sz="0" w:space="0" w:color="auto"/>
            <w:bottom w:val="none" w:sz="0" w:space="0" w:color="auto"/>
            <w:right w:val="none" w:sz="0" w:space="0" w:color="auto"/>
          </w:divBdr>
        </w:div>
      </w:divsChild>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13582764">
      <w:bodyDiv w:val="1"/>
      <w:marLeft w:val="0"/>
      <w:marRight w:val="0"/>
      <w:marTop w:val="0"/>
      <w:marBottom w:val="0"/>
      <w:divBdr>
        <w:top w:val="none" w:sz="0" w:space="0" w:color="auto"/>
        <w:left w:val="none" w:sz="0" w:space="0" w:color="auto"/>
        <w:bottom w:val="none" w:sz="0" w:space="0" w:color="auto"/>
        <w:right w:val="none" w:sz="0" w:space="0" w:color="auto"/>
      </w:divBdr>
    </w:div>
    <w:div w:id="19626883">
      <w:bodyDiv w:val="1"/>
      <w:marLeft w:val="0"/>
      <w:marRight w:val="0"/>
      <w:marTop w:val="0"/>
      <w:marBottom w:val="0"/>
      <w:divBdr>
        <w:top w:val="none" w:sz="0" w:space="0" w:color="auto"/>
        <w:left w:val="none" w:sz="0" w:space="0" w:color="auto"/>
        <w:bottom w:val="none" w:sz="0" w:space="0" w:color="auto"/>
        <w:right w:val="none" w:sz="0" w:space="0" w:color="auto"/>
      </w:divBdr>
    </w:div>
    <w:div w:id="20592001">
      <w:bodyDiv w:val="1"/>
      <w:marLeft w:val="0"/>
      <w:marRight w:val="0"/>
      <w:marTop w:val="0"/>
      <w:marBottom w:val="0"/>
      <w:divBdr>
        <w:top w:val="none" w:sz="0" w:space="0" w:color="auto"/>
        <w:left w:val="none" w:sz="0" w:space="0" w:color="auto"/>
        <w:bottom w:val="none" w:sz="0" w:space="0" w:color="auto"/>
        <w:right w:val="none" w:sz="0" w:space="0" w:color="auto"/>
      </w:divBdr>
      <w:divsChild>
        <w:div w:id="1012300638">
          <w:marLeft w:val="0"/>
          <w:marRight w:val="0"/>
          <w:marTop w:val="0"/>
          <w:marBottom w:val="0"/>
          <w:divBdr>
            <w:top w:val="none" w:sz="0" w:space="0" w:color="auto"/>
            <w:left w:val="none" w:sz="0" w:space="0" w:color="auto"/>
            <w:bottom w:val="none" w:sz="0" w:space="0" w:color="auto"/>
            <w:right w:val="none" w:sz="0" w:space="0" w:color="auto"/>
          </w:divBdr>
        </w:div>
      </w:divsChild>
    </w:div>
    <w:div w:id="43870430">
      <w:bodyDiv w:val="1"/>
      <w:marLeft w:val="0"/>
      <w:marRight w:val="0"/>
      <w:marTop w:val="0"/>
      <w:marBottom w:val="0"/>
      <w:divBdr>
        <w:top w:val="none" w:sz="0" w:space="0" w:color="auto"/>
        <w:left w:val="none" w:sz="0" w:space="0" w:color="auto"/>
        <w:bottom w:val="none" w:sz="0" w:space="0" w:color="auto"/>
        <w:right w:val="none" w:sz="0" w:space="0" w:color="auto"/>
      </w:divBdr>
    </w:div>
    <w:div w:id="44644251">
      <w:bodyDiv w:val="1"/>
      <w:marLeft w:val="0"/>
      <w:marRight w:val="0"/>
      <w:marTop w:val="0"/>
      <w:marBottom w:val="0"/>
      <w:divBdr>
        <w:top w:val="none" w:sz="0" w:space="0" w:color="auto"/>
        <w:left w:val="none" w:sz="0" w:space="0" w:color="auto"/>
        <w:bottom w:val="none" w:sz="0" w:space="0" w:color="auto"/>
        <w:right w:val="none" w:sz="0" w:space="0" w:color="auto"/>
      </w:divBdr>
      <w:divsChild>
        <w:div w:id="864171510">
          <w:marLeft w:val="0"/>
          <w:marRight w:val="0"/>
          <w:marTop w:val="0"/>
          <w:marBottom w:val="0"/>
          <w:divBdr>
            <w:top w:val="none" w:sz="0" w:space="0" w:color="auto"/>
            <w:left w:val="none" w:sz="0" w:space="0" w:color="auto"/>
            <w:bottom w:val="none" w:sz="0" w:space="0" w:color="auto"/>
            <w:right w:val="none" w:sz="0" w:space="0" w:color="auto"/>
          </w:divBdr>
        </w:div>
      </w:divsChild>
    </w:div>
    <w:div w:id="48841338">
      <w:bodyDiv w:val="1"/>
      <w:marLeft w:val="0"/>
      <w:marRight w:val="0"/>
      <w:marTop w:val="0"/>
      <w:marBottom w:val="0"/>
      <w:divBdr>
        <w:top w:val="none" w:sz="0" w:space="0" w:color="auto"/>
        <w:left w:val="none" w:sz="0" w:space="0" w:color="auto"/>
        <w:bottom w:val="none" w:sz="0" w:space="0" w:color="auto"/>
        <w:right w:val="none" w:sz="0" w:space="0" w:color="auto"/>
      </w:divBdr>
    </w:div>
    <w:div w:id="49042699">
      <w:bodyDiv w:val="1"/>
      <w:marLeft w:val="0"/>
      <w:marRight w:val="0"/>
      <w:marTop w:val="0"/>
      <w:marBottom w:val="0"/>
      <w:divBdr>
        <w:top w:val="none" w:sz="0" w:space="0" w:color="auto"/>
        <w:left w:val="none" w:sz="0" w:space="0" w:color="auto"/>
        <w:bottom w:val="none" w:sz="0" w:space="0" w:color="auto"/>
        <w:right w:val="none" w:sz="0" w:space="0" w:color="auto"/>
      </w:divBdr>
    </w:div>
    <w:div w:id="53509116">
      <w:bodyDiv w:val="1"/>
      <w:marLeft w:val="0"/>
      <w:marRight w:val="0"/>
      <w:marTop w:val="0"/>
      <w:marBottom w:val="0"/>
      <w:divBdr>
        <w:top w:val="none" w:sz="0" w:space="0" w:color="auto"/>
        <w:left w:val="none" w:sz="0" w:space="0" w:color="auto"/>
        <w:bottom w:val="none" w:sz="0" w:space="0" w:color="auto"/>
        <w:right w:val="none" w:sz="0" w:space="0" w:color="auto"/>
      </w:divBdr>
    </w:div>
    <w:div w:id="53819086">
      <w:bodyDiv w:val="1"/>
      <w:marLeft w:val="0"/>
      <w:marRight w:val="0"/>
      <w:marTop w:val="0"/>
      <w:marBottom w:val="0"/>
      <w:divBdr>
        <w:top w:val="none" w:sz="0" w:space="0" w:color="auto"/>
        <w:left w:val="none" w:sz="0" w:space="0" w:color="auto"/>
        <w:bottom w:val="none" w:sz="0" w:space="0" w:color="auto"/>
        <w:right w:val="none" w:sz="0" w:space="0" w:color="auto"/>
      </w:divBdr>
    </w:div>
    <w:div w:id="56052154">
      <w:bodyDiv w:val="1"/>
      <w:marLeft w:val="0"/>
      <w:marRight w:val="0"/>
      <w:marTop w:val="0"/>
      <w:marBottom w:val="0"/>
      <w:divBdr>
        <w:top w:val="none" w:sz="0" w:space="0" w:color="auto"/>
        <w:left w:val="none" w:sz="0" w:space="0" w:color="auto"/>
        <w:bottom w:val="none" w:sz="0" w:space="0" w:color="auto"/>
        <w:right w:val="none" w:sz="0" w:space="0" w:color="auto"/>
      </w:divBdr>
    </w:div>
    <w:div w:id="56630766">
      <w:bodyDiv w:val="1"/>
      <w:marLeft w:val="0"/>
      <w:marRight w:val="0"/>
      <w:marTop w:val="0"/>
      <w:marBottom w:val="0"/>
      <w:divBdr>
        <w:top w:val="none" w:sz="0" w:space="0" w:color="auto"/>
        <w:left w:val="none" w:sz="0" w:space="0" w:color="auto"/>
        <w:bottom w:val="none" w:sz="0" w:space="0" w:color="auto"/>
        <w:right w:val="none" w:sz="0" w:space="0" w:color="auto"/>
      </w:divBdr>
    </w:div>
    <w:div w:id="58790375">
      <w:bodyDiv w:val="1"/>
      <w:marLeft w:val="0"/>
      <w:marRight w:val="0"/>
      <w:marTop w:val="0"/>
      <w:marBottom w:val="0"/>
      <w:divBdr>
        <w:top w:val="none" w:sz="0" w:space="0" w:color="auto"/>
        <w:left w:val="none" w:sz="0" w:space="0" w:color="auto"/>
        <w:bottom w:val="none" w:sz="0" w:space="0" w:color="auto"/>
        <w:right w:val="none" w:sz="0" w:space="0" w:color="auto"/>
      </w:divBdr>
      <w:divsChild>
        <w:div w:id="295569098">
          <w:marLeft w:val="0"/>
          <w:marRight w:val="0"/>
          <w:marTop w:val="0"/>
          <w:marBottom w:val="0"/>
          <w:divBdr>
            <w:top w:val="none" w:sz="0" w:space="0" w:color="auto"/>
            <w:left w:val="none" w:sz="0" w:space="0" w:color="auto"/>
            <w:bottom w:val="none" w:sz="0" w:space="0" w:color="auto"/>
            <w:right w:val="none" w:sz="0" w:space="0" w:color="auto"/>
          </w:divBdr>
        </w:div>
      </w:divsChild>
    </w:div>
    <w:div w:id="69010323">
      <w:bodyDiv w:val="1"/>
      <w:marLeft w:val="0"/>
      <w:marRight w:val="0"/>
      <w:marTop w:val="0"/>
      <w:marBottom w:val="0"/>
      <w:divBdr>
        <w:top w:val="none" w:sz="0" w:space="0" w:color="auto"/>
        <w:left w:val="none" w:sz="0" w:space="0" w:color="auto"/>
        <w:bottom w:val="none" w:sz="0" w:space="0" w:color="auto"/>
        <w:right w:val="none" w:sz="0" w:space="0" w:color="auto"/>
      </w:divBdr>
      <w:divsChild>
        <w:div w:id="395515929">
          <w:marLeft w:val="0"/>
          <w:marRight w:val="0"/>
          <w:marTop w:val="0"/>
          <w:marBottom w:val="0"/>
          <w:divBdr>
            <w:top w:val="none" w:sz="0" w:space="0" w:color="auto"/>
            <w:left w:val="none" w:sz="0" w:space="0" w:color="auto"/>
            <w:bottom w:val="none" w:sz="0" w:space="0" w:color="auto"/>
            <w:right w:val="none" w:sz="0" w:space="0" w:color="auto"/>
          </w:divBdr>
        </w:div>
      </w:divsChild>
    </w:div>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87621799">
      <w:bodyDiv w:val="1"/>
      <w:marLeft w:val="0"/>
      <w:marRight w:val="0"/>
      <w:marTop w:val="0"/>
      <w:marBottom w:val="0"/>
      <w:divBdr>
        <w:top w:val="none" w:sz="0" w:space="0" w:color="auto"/>
        <w:left w:val="none" w:sz="0" w:space="0" w:color="auto"/>
        <w:bottom w:val="none" w:sz="0" w:space="0" w:color="auto"/>
        <w:right w:val="none" w:sz="0" w:space="0" w:color="auto"/>
      </w:divBdr>
    </w:div>
    <w:div w:id="99303237">
      <w:bodyDiv w:val="1"/>
      <w:marLeft w:val="0"/>
      <w:marRight w:val="0"/>
      <w:marTop w:val="0"/>
      <w:marBottom w:val="0"/>
      <w:divBdr>
        <w:top w:val="none" w:sz="0" w:space="0" w:color="auto"/>
        <w:left w:val="none" w:sz="0" w:space="0" w:color="auto"/>
        <w:bottom w:val="none" w:sz="0" w:space="0" w:color="auto"/>
        <w:right w:val="none" w:sz="0" w:space="0" w:color="auto"/>
      </w:divBdr>
    </w:div>
    <w:div w:id="110633561">
      <w:bodyDiv w:val="1"/>
      <w:marLeft w:val="0"/>
      <w:marRight w:val="0"/>
      <w:marTop w:val="0"/>
      <w:marBottom w:val="0"/>
      <w:divBdr>
        <w:top w:val="none" w:sz="0" w:space="0" w:color="auto"/>
        <w:left w:val="none" w:sz="0" w:space="0" w:color="auto"/>
        <w:bottom w:val="none" w:sz="0" w:space="0" w:color="auto"/>
        <w:right w:val="none" w:sz="0" w:space="0" w:color="auto"/>
      </w:divBdr>
    </w:div>
    <w:div w:id="115678634">
      <w:bodyDiv w:val="1"/>
      <w:marLeft w:val="0"/>
      <w:marRight w:val="0"/>
      <w:marTop w:val="0"/>
      <w:marBottom w:val="0"/>
      <w:divBdr>
        <w:top w:val="none" w:sz="0" w:space="0" w:color="auto"/>
        <w:left w:val="none" w:sz="0" w:space="0" w:color="auto"/>
        <w:bottom w:val="none" w:sz="0" w:space="0" w:color="auto"/>
        <w:right w:val="none" w:sz="0" w:space="0" w:color="auto"/>
      </w:divBdr>
    </w:div>
    <w:div w:id="123238007">
      <w:bodyDiv w:val="1"/>
      <w:marLeft w:val="0"/>
      <w:marRight w:val="0"/>
      <w:marTop w:val="0"/>
      <w:marBottom w:val="0"/>
      <w:divBdr>
        <w:top w:val="none" w:sz="0" w:space="0" w:color="auto"/>
        <w:left w:val="none" w:sz="0" w:space="0" w:color="auto"/>
        <w:bottom w:val="none" w:sz="0" w:space="0" w:color="auto"/>
        <w:right w:val="none" w:sz="0" w:space="0" w:color="auto"/>
      </w:divBdr>
    </w:div>
    <w:div w:id="126633530">
      <w:bodyDiv w:val="1"/>
      <w:marLeft w:val="0"/>
      <w:marRight w:val="0"/>
      <w:marTop w:val="0"/>
      <w:marBottom w:val="0"/>
      <w:divBdr>
        <w:top w:val="none" w:sz="0" w:space="0" w:color="auto"/>
        <w:left w:val="none" w:sz="0" w:space="0" w:color="auto"/>
        <w:bottom w:val="none" w:sz="0" w:space="0" w:color="auto"/>
        <w:right w:val="none" w:sz="0" w:space="0" w:color="auto"/>
      </w:divBdr>
      <w:divsChild>
        <w:div w:id="1759213725">
          <w:marLeft w:val="0"/>
          <w:marRight w:val="0"/>
          <w:marTop w:val="0"/>
          <w:marBottom w:val="0"/>
          <w:divBdr>
            <w:top w:val="none" w:sz="0" w:space="0" w:color="auto"/>
            <w:left w:val="none" w:sz="0" w:space="0" w:color="auto"/>
            <w:bottom w:val="none" w:sz="0" w:space="0" w:color="auto"/>
            <w:right w:val="none" w:sz="0" w:space="0" w:color="auto"/>
          </w:divBdr>
        </w:div>
        <w:div w:id="986011698">
          <w:marLeft w:val="0"/>
          <w:marRight w:val="0"/>
          <w:marTop w:val="0"/>
          <w:marBottom w:val="0"/>
          <w:divBdr>
            <w:top w:val="none" w:sz="0" w:space="0" w:color="auto"/>
            <w:left w:val="none" w:sz="0" w:space="0" w:color="auto"/>
            <w:bottom w:val="none" w:sz="0" w:space="0" w:color="auto"/>
            <w:right w:val="none" w:sz="0" w:space="0" w:color="auto"/>
          </w:divBdr>
        </w:div>
      </w:divsChild>
    </w:div>
    <w:div w:id="134876046">
      <w:bodyDiv w:val="1"/>
      <w:marLeft w:val="0"/>
      <w:marRight w:val="0"/>
      <w:marTop w:val="0"/>
      <w:marBottom w:val="0"/>
      <w:divBdr>
        <w:top w:val="none" w:sz="0" w:space="0" w:color="auto"/>
        <w:left w:val="none" w:sz="0" w:space="0" w:color="auto"/>
        <w:bottom w:val="none" w:sz="0" w:space="0" w:color="auto"/>
        <w:right w:val="none" w:sz="0" w:space="0" w:color="auto"/>
      </w:divBdr>
      <w:divsChild>
        <w:div w:id="2053462409">
          <w:marLeft w:val="0"/>
          <w:marRight w:val="0"/>
          <w:marTop w:val="0"/>
          <w:marBottom w:val="0"/>
          <w:divBdr>
            <w:top w:val="none" w:sz="0" w:space="0" w:color="auto"/>
            <w:left w:val="none" w:sz="0" w:space="0" w:color="auto"/>
            <w:bottom w:val="none" w:sz="0" w:space="0" w:color="auto"/>
            <w:right w:val="none" w:sz="0" w:space="0" w:color="auto"/>
          </w:divBdr>
        </w:div>
      </w:divsChild>
    </w:div>
    <w:div w:id="136916394">
      <w:bodyDiv w:val="1"/>
      <w:marLeft w:val="0"/>
      <w:marRight w:val="0"/>
      <w:marTop w:val="0"/>
      <w:marBottom w:val="0"/>
      <w:divBdr>
        <w:top w:val="none" w:sz="0" w:space="0" w:color="auto"/>
        <w:left w:val="none" w:sz="0" w:space="0" w:color="auto"/>
        <w:bottom w:val="none" w:sz="0" w:space="0" w:color="auto"/>
        <w:right w:val="none" w:sz="0" w:space="0" w:color="auto"/>
      </w:divBdr>
    </w:div>
    <w:div w:id="144978841">
      <w:bodyDiv w:val="1"/>
      <w:marLeft w:val="0"/>
      <w:marRight w:val="0"/>
      <w:marTop w:val="0"/>
      <w:marBottom w:val="0"/>
      <w:divBdr>
        <w:top w:val="none" w:sz="0" w:space="0" w:color="auto"/>
        <w:left w:val="none" w:sz="0" w:space="0" w:color="auto"/>
        <w:bottom w:val="none" w:sz="0" w:space="0" w:color="auto"/>
        <w:right w:val="none" w:sz="0" w:space="0" w:color="auto"/>
      </w:divBdr>
      <w:divsChild>
        <w:div w:id="838157333">
          <w:marLeft w:val="0"/>
          <w:marRight w:val="0"/>
          <w:marTop w:val="0"/>
          <w:marBottom w:val="0"/>
          <w:divBdr>
            <w:top w:val="none" w:sz="0" w:space="0" w:color="auto"/>
            <w:left w:val="none" w:sz="0" w:space="0" w:color="auto"/>
            <w:bottom w:val="none" w:sz="0" w:space="0" w:color="auto"/>
            <w:right w:val="none" w:sz="0" w:space="0" w:color="auto"/>
          </w:divBdr>
        </w:div>
      </w:divsChild>
    </w:div>
    <w:div w:id="146559452">
      <w:bodyDiv w:val="1"/>
      <w:marLeft w:val="0"/>
      <w:marRight w:val="0"/>
      <w:marTop w:val="0"/>
      <w:marBottom w:val="0"/>
      <w:divBdr>
        <w:top w:val="none" w:sz="0" w:space="0" w:color="auto"/>
        <w:left w:val="none" w:sz="0" w:space="0" w:color="auto"/>
        <w:bottom w:val="none" w:sz="0" w:space="0" w:color="auto"/>
        <w:right w:val="none" w:sz="0" w:space="0" w:color="auto"/>
      </w:divBdr>
    </w:div>
    <w:div w:id="152914668">
      <w:bodyDiv w:val="1"/>
      <w:marLeft w:val="0"/>
      <w:marRight w:val="0"/>
      <w:marTop w:val="0"/>
      <w:marBottom w:val="0"/>
      <w:divBdr>
        <w:top w:val="none" w:sz="0" w:space="0" w:color="auto"/>
        <w:left w:val="none" w:sz="0" w:space="0" w:color="auto"/>
        <w:bottom w:val="none" w:sz="0" w:space="0" w:color="auto"/>
        <w:right w:val="none" w:sz="0" w:space="0" w:color="auto"/>
      </w:divBdr>
    </w:div>
    <w:div w:id="156844040">
      <w:bodyDiv w:val="1"/>
      <w:marLeft w:val="0"/>
      <w:marRight w:val="0"/>
      <w:marTop w:val="0"/>
      <w:marBottom w:val="0"/>
      <w:divBdr>
        <w:top w:val="none" w:sz="0" w:space="0" w:color="auto"/>
        <w:left w:val="none" w:sz="0" w:space="0" w:color="auto"/>
        <w:bottom w:val="none" w:sz="0" w:space="0" w:color="auto"/>
        <w:right w:val="none" w:sz="0" w:space="0" w:color="auto"/>
      </w:divBdr>
      <w:divsChild>
        <w:div w:id="765268780">
          <w:marLeft w:val="0"/>
          <w:marRight w:val="0"/>
          <w:marTop w:val="0"/>
          <w:marBottom w:val="0"/>
          <w:divBdr>
            <w:top w:val="none" w:sz="0" w:space="0" w:color="auto"/>
            <w:left w:val="none" w:sz="0" w:space="0" w:color="auto"/>
            <w:bottom w:val="none" w:sz="0" w:space="0" w:color="auto"/>
            <w:right w:val="none" w:sz="0" w:space="0" w:color="auto"/>
          </w:divBdr>
        </w:div>
      </w:divsChild>
    </w:div>
    <w:div w:id="157965757">
      <w:bodyDiv w:val="1"/>
      <w:marLeft w:val="0"/>
      <w:marRight w:val="0"/>
      <w:marTop w:val="0"/>
      <w:marBottom w:val="0"/>
      <w:divBdr>
        <w:top w:val="none" w:sz="0" w:space="0" w:color="auto"/>
        <w:left w:val="none" w:sz="0" w:space="0" w:color="auto"/>
        <w:bottom w:val="none" w:sz="0" w:space="0" w:color="auto"/>
        <w:right w:val="none" w:sz="0" w:space="0" w:color="auto"/>
      </w:divBdr>
    </w:div>
    <w:div w:id="158735126">
      <w:bodyDiv w:val="1"/>
      <w:marLeft w:val="0"/>
      <w:marRight w:val="0"/>
      <w:marTop w:val="0"/>
      <w:marBottom w:val="0"/>
      <w:divBdr>
        <w:top w:val="none" w:sz="0" w:space="0" w:color="auto"/>
        <w:left w:val="none" w:sz="0" w:space="0" w:color="auto"/>
        <w:bottom w:val="none" w:sz="0" w:space="0" w:color="auto"/>
        <w:right w:val="none" w:sz="0" w:space="0" w:color="auto"/>
      </w:divBdr>
    </w:div>
    <w:div w:id="174729267">
      <w:bodyDiv w:val="1"/>
      <w:marLeft w:val="0"/>
      <w:marRight w:val="0"/>
      <w:marTop w:val="0"/>
      <w:marBottom w:val="0"/>
      <w:divBdr>
        <w:top w:val="none" w:sz="0" w:space="0" w:color="auto"/>
        <w:left w:val="none" w:sz="0" w:space="0" w:color="auto"/>
        <w:bottom w:val="none" w:sz="0" w:space="0" w:color="auto"/>
        <w:right w:val="none" w:sz="0" w:space="0" w:color="auto"/>
      </w:divBdr>
    </w:div>
    <w:div w:id="175536664">
      <w:bodyDiv w:val="1"/>
      <w:marLeft w:val="0"/>
      <w:marRight w:val="0"/>
      <w:marTop w:val="0"/>
      <w:marBottom w:val="0"/>
      <w:divBdr>
        <w:top w:val="none" w:sz="0" w:space="0" w:color="auto"/>
        <w:left w:val="none" w:sz="0" w:space="0" w:color="auto"/>
        <w:bottom w:val="none" w:sz="0" w:space="0" w:color="auto"/>
        <w:right w:val="none" w:sz="0" w:space="0" w:color="auto"/>
      </w:divBdr>
    </w:div>
    <w:div w:id="178159361">
      <w:bodyDiv w:val="1"/>
      <w:marLeft w:val="0"/>
      <w:marRight w:val="0"/>
      <w:marTop w:val="0"/>
      <w:marBottom w:val="0"/>
      <w:divBdr>
        <w:top w:val="none" w:sz="0" w:space="0" w:color="auto"/>
        <w:left w:val="none" w:sz="0" w:space="0" w:color="auto"/>
        <w:bottom w:val="none" w:sz="0" w:space="0" w:color="auto"/>
        <w:right w:val="none" w:sz="0" w:space="0" w:color="auto"/>
      </w:divBdr>
    </w:div>
    <w:div w:id="179438699">
      <w:bodyDiv w:val="1"/>
      <w:marLeft w:val="0"/>
      <w:marRight w:val="0"/>
      <w:marTop w:val="0"/>
      <w:marBottom w:val="0"/>
      <w:divBdr>
        <w:top w:val="none" w:sz="0" w:space="0" w:color="auto"/>
        <w:left w:val="none" w:sz="0" w:space="0" w:color="auto"/>
        <w:bottom w:val="none" w:sz="0" w:space="0" w:color="auto"/>
        <w:right w:val="none" w:sz="0" w:space="0" w:color="auto"/>
      </w:divBdr>
    </w:div>
    <w:div w:id="183792866">
      <w:bodyDiv w:val="1"/>
      <w:marLeft w:val="0"/>
      <w:marRight w:val="0"/>
      <w:marTop w:val="0"/>
      <w:marBottom w:val="0"/>
      <w:divBdr>
        <w:top w:val="none" w:sz="0" w:space="0" w:color="auto"/>
        <w:left w:val="none" w:sz="0" w:space="0" w:color="auto"/>
        <w:bottom w:val="none" w:sz="0" w:space="0" w:color="auto"/>
        <w:right w:val="none" w:sz="0" w:space="0" w:color="auto"/>
      </w:divBdr>
    </w:div>
    <w:div w:id="183909754">
      <w:bodyDiv w:val="1"/>
      <w:marLeft w:val="0"/>
      <w:marRight w:val="0"/>
      <w:marTop w:val="0"/>
      <w:marBottom w:val="0"/>
      <w:divBdr>
        <w:top w:val="none" w:sz="0" w:space="0" w:color="auto"/>
        <w:left w:val="none" w:sz="0" w:space="0" w:color="auto"/>
        <w:bottom w:val="none" w:sz="0" w:space="0" w:color="auto"/>
        <w:right w:val="none" w:sz="0" w:space="0" w:color="auto"/>
      </w:divBdr>
    </w:div>
    <w:div w:id="190921153">
      <w:bodyDiv w:val="1"/>
      <w:marLeft w:val="0"/>
      <w:marRight w:val="0"/>
      <w:marTop w:val="0"/>
      <w:marBottom w:val="0"/>
      <w:divBdr>
        <w:top w:val="none" w:sz="0" w:space="0" w:color="auto"/>
        <w:left w:val="none" w:sz="0" w:space="0" w:color="auto"/>
        <w:bottom w:val="none" w:sz="0" w:space="0" w:color="auto"/>
        <w:right w:val="none" w:sz="0" w:space="0" w:color="auto"/>
      </w:divBdr>
    </w:div>
    <w:div w:id="191457597">
      <w:bodyDiv w:val="1"/>
      <w:marLeft w:val="0"/>
      <w:marRight w:val="0"/>
      <w:marTop w:val="0"/>
      <w:marBottom w:val="0"/>
      <w:divBdr>
        <w:top w:val="none" w:sz="0" w:space="0" w:color="auto"/>
        <w:left w:val="none" w:sz="0" w:space="0" w:color="auto"/>
        <w:bottom w:val="none" w:sz="0" w:space="0" w:color="auto"/>
        <w:right w:val="none" w:sz="0" w:space="0" w:color="auto"/>
      </w:divBdr>
    </w:div>
    <w:div w:id="196702767">
      <w:bodyDiv w:val="1"/>
      <w:marLeft w:val="0"/>
      <w:marRight w:val="0"/>
      <w:marTop w:val="0"/>
      <w:marBottom w:val="0"/>
      <w:divBdr>
        <w:top w:val="none" w:sz="0" w:space="0" w:color="auto"/>
        <w:left w:val="none" w:sz="0" w:space="0" w:color="auto"/>
        <w:bottom w:val="none" w:sz="0" w:space="0" w:color="auto"/>
        <w:right w:val="none" w:sz="0" w:space="0" w:color="auto"/>
      </w:divBdr>
    </w:div>
    <w:div w:id="202527286">
      <w:bodyDiv w:val="1"/>
      <w:marLeft w:val="0"/>
      <w:marRight w:val="0"/>
      <w:marTop w:val="0"/>
      <w:marBottom w:val="0"/>
      <w:divBdr>
        <w:top w:val="none" w:sz="0" w:space="0" w:color="auto"/>
        <w:left w:val="none" w:sz="0" w:space="0" w:color="auto"/>
        <w:bottom w:val="none" w:sz="0" w:space="0" w:color="auto"/>
        <w:right w:val="none" w:sz="0" w:space="0" w:color="auto"/>
      </w:divBdr>
    </w:div>
    <w:div w:id="207574902">
      <w:bodyDiv w:val="1"/>
      <w:marLeft w:val="0"/>
      <w:marRight w:val="0"/>
      <w:marTop w:val="0"/>
      <w:marBottom w:val="0"/>
      <w:divBdr>
        <w:top w:val="none" w:sz="0" w:space="0" w:color="auto"/>
        <w:left w:val="none" w:sz="0" w:space="0" w:color="auto"/>
        <w:bottom w:val="none" w:sz="0" w:space="0" w:color="auto"/>
        <w:right w:val="none" w:sz="0" w:space="0" w:color="auto"/>
      </w:divBdr>
    </w:div>
    <w:div w:id="211969356">
      <w:bodyDiv w:val="1"/>
      <w:marLeft w:val="0"/>
      <w:marRight w:val="0"/>
      <w:marTop w:val="0"/>
      <w:marBottom w:val="0"/>
      <w:divBdr>
        <w:top w:val="none" w:sz="0" w:space="0" w:color="auto"/>
        <w:left w:val="none" w:sz="0" w:space="0" w:color="auto"/>
        <w:bottom w:val="none" w:sz="0" w:space="0" w:color="auto"/>
        <w:right w:val="none" w:sz="0" w:space="0" w:color="auto"/>
      </w:divBdr>
      <w:divsChild>
        <w:div w:id="954600149">
          <w:marLeft w:val="0"/>
          <w:marRight w:val="0"/>
          <w:marTop w:val="0"/>
          <w:marBottom w:val="0"/>
          <w:divBdr>
            <w:top w:val="none" w:sz="0" w:space="0" w:color="auto"/>
            <w:left w:val="none" w:sz="0" w:space="0" w:color="auto"/>
            <w:bottom w:val="none" w:sz="0" w:space="0" w:color="auto"/>
            <w:right w:val="none" w:sz="0" w:space="0" w:color="auto"/>
          </w:divBdr>
          <w:divsChild>
            <w:div w:id="1977031029">
              <w:marLeft w:val="0"/>
              <w:marRight w:val="0"/>
              <w:marTop w:val="0"/>
              <w:marBottom w:val="0"/>
              <w:divBdr>
                <w:top w:val="none" w:sz="0" w:space="0" w:color="auto"/>
                <w:left w:val="none" w:sz="0" w:space="0" w:color="auto"/>
                <w:bottom w:val="none" w:sz="0" w:space="0" w:color="auto"/>
                <w:right w:val="none" w:sz="0" w:space="0" w:color="auto"/>
              </w:divBdr>
              <w:divsChild>
                <w:div w:id="511647736">
                  <w:marLeft w:val="0"/>
                  <w:marRight w:val="0"/>
                  <w:marTop w:val="0"/>
                  <w:marBottom w:val="0"/>
                  <w:divBdr>
                    <w:top w:val="none" w:sz="0" w:space="0" w:color="auto"/>
                    <w:left w:val="none" w:sz="0" w:space="0" w:color="auto"/>
                    <w:bottom w:val="none" w:sz="0" w:space="0" w:color="auto"/>
                    <w:right w:val="none" w:sz="0" w:space="0" w:color="auto"/>
                  </w:divBdr>
                  <w:divsChild>
                    <w:div w:id="1593705893">
                      <w:marLeft w:val="0"/>
                      <w:marRight w:val="0"/>
                      <w:marTop w:val="0"/>
                      <w:marBottom w:val="0"/>
                      <w:divBdr>
                        <w:top w:val="none" w:sz="0" w:space="0" w:color="auto"/>
                        <w:left w:val="none" w:sz="0" w:space="0" w:color="auto"/>
                        <w:bottom w:val="none" w:sz="0" w:space="0" w:color="auto"/>
                        <w:right w:val="none" w:sz="0" w:space="0" w:color="auto"/>
                      </w:divBdr>
                      <w:divsChild>
                        <w:div w:id="1875774294">
                          <w:marLeft w:val="0"/>
                          <w:marRight w:val="0"/>
                          <w:marTop w:val="0"/>
                          <w:marBottom w:val="0"/>
                          <w:divBdr>
                            <w:top w:val="none" w:sz="0" w:space="0" w:color="auto"/>
                            <w:left w:val="none" w:sz="0" w:space="0" w:color="auto"/>
                            <w:bottom w:val="none" w:sz="0" w:space="0" w:color="auto"/>
                            <w:right w:val="none" w:sz="0" w:space="0" w:color="auto"/>
                          </w:divBdr>
                          <w:divsChild>
                            <w:div w:id="582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949">
      <w:bodyDiv w:val="1"/>
      <w:marLeft w:val="0"/>
      <w:marRight w:val="0"/>
      <w:marTop w:val="0"/>
      <w:marBottom w:val="0"/>
      <w:divBdr>
        <w:top w:val="none" w:sz="0" w:space="0" w:color="auto"/>
        <w:left w:val="none" w:sz="0" w:space="0" w:color="auto"/>
        <w:bottom w:val="none" w:sz="0" w:space="0" w:color="auto"/>
        <w:right w:val="none" w:sz="0" w:space="0" w:color="auto"/>
      </w:divBdr>
    </w:div>
    <w:div w:id="218980683">
      <w:bodyDiv w:val="1"/>
      <w:marLeft w:val="0"/>
      <w:marRight w:val="0"/>
      <w:marTop w:val="0"/>
      <w:marBottom w:val="0"/>
      <w:divBdr>
        <w:top w:val="none" w:sz="0" w:space="0" w:color="auto"/>
        <w:left w:val="none" w:sz="0" w:space="0" w:color="auto"/>
        <w:bottom w:val="none" w:sz="0" w:space="0" w:color="auto"/>
        <w:right w:val="none" w:sz="0" w:space="0" w:color="auto"/>
      </w:divBdr>
    </w:div>
    <w:div w:id="224264490">
      <w:bodyDiv w:val="1"/>
      <w:marLeft w:val="0"/>
      <w:marRight w:val="0"/>
      <w:marTop w:val="0"/>
      <w:marBottom w:val="0"/>
      <w:divBdr>
        <w:top w:val="none" w:sz="0" w:space="0" w:color="auto"/>
        <w:left w:val="none" w:sz="0" w:space="0" w:color="auto"/>
        <w:bottom w:val="none" w:sz="0" w:space="0" w:color="auto"/>
        <w:right w:val="none" w:sz="0" w:space="0" w:color="auto"/>
      </w:divBdr>
    </w:div>
    <w:div w:id="226842338">
      <w:bodyDiv w:val="1"/>
      <w:marLeft w:val="0"/>
      <w:marRight w:val="0"/>
      <w:marTop w:val="0"/>
      <w:marBottom w:val="0"/>
      <w:divBdr>
        <w:top w:val="none" w:sz="0" w:space="0" w:color="auto"/>
        <w:left w:val="none" w:sz="0" w:space="0" w:color="auto"/>
        <w:bottom w:val="none" w:sz="0" w:space="0" w:color="auto"/>
        <w:right w:val="none" w:sz="0" w:space="0" w:color="auto"/>
      </w:divBdr>
      <w:divsChild>
        <w:div w:id="1018314687">
          <w:marLeft w:val="0"/>
          <w:marRight w:val="0"/>
          <w:marTop w:val="0"/>
          <w:marBottom w:val="0"/>
          <w:divBdr>
            <w:top w:val="none" w:sz="0" w:space="0" w:color="auto"/>
            <w:left w:val="none" w:sz="0" w:space="0" w:color="auto"/>
            <w:bottom w:val="none" w:sz="0" w:space="0" w:color="auto"/>
            <w:right w:val="none" w:sz="0" w:space="0" w:color="auto"/>
          </w:divBdr>
        </w:div>
      </w:divsChild>
    </w:div>
    <w:div w:id="228927634">
      <w:bodyDiv w:val="1"/>
      <w:marLeft w:val="0"/>
      <w:marRight w:val="0"/>
      <w:marTop w:val="0"/>
      <w:marBottom w:val="0"/>
      <w:divBdr>
        <w:top w:val="none" w:sz="0" w:space="0" w:color="auto"/>
        <w:left w:val="none" w:sz="0" w:space="0" w:color="auto"/>
        <w:bottom w:val="none" w:sz="0" w:space="0" w:color="auto"/>
        <w:right w:val="none" w:sz="0" w:space="0" w:color="auto"/>
      </w:divBdr>
      <w:divsChild>
        <w:div w:id="1530795744">
          <w:marLeft w:val="0"/>
          <w:marRight w:val="0"/>
          <w:marTop w:val="0"/>
          <w:marBottom w:val="0"/>
          <w:divBdr>
            <w:top w:val="none" w:sz="0" w:space="0" w:color="auto"/>
            <w:left w:val="none" w:sz="0" w:space="0" w:color="auto"/>
            <w:bottom w:val="none" w:sz="0" w:space="0" w:color="auto"/>
            <w:right w:val="none" w:sz="0" w:space="0" w:color="auto"/>
          </w:divBdr>
        </w:div>
      </w:divsChild>
    </w:div>
    <w:div w:id="244656465">
      <w:bodyDiv w:val="1"/>
      <w:marLeft w:val="0"/>
      <w:marRight w:val="0"/>
      <w:marTop w:val="0"/>
      <w:marBottom w:val="0"/>
      <w:divBdr>
        <w:top w:val="none" w:sz="0" w:space="0" w:color="auto"/>
        <w:left w:val="none" w:sz="0" w:space="0" w:color="auto"/>
        <w:bottom w:val="none" w:sz="0" w:space="0" w:color="auto"/>
        <w:right w:val="none" w:sz="0" w:space="0" w:color="auto"/>
      </w:divBdr>
    </w:div>
    <w:div w:id="262956679">
      <w:bodyDiv w:val="1"/>
      <w:marLeft w:val="0"/>
      <w:marRight w:val="0"/>
      <w:marTop w:val="0"/>
      <w:marBottom w:val="0"/>
      <w:divBdr>
        <w:top w:val="none" w:sz="0" w:space="0" w:color="auto"/>
        <w:left w:val="none" w:sz="0" w:space="0" w:color="auto"/>
        <w:bottom w:val="none" w:sz="0" w:space="0" w:color="auto"/>
        <w:right w:val="none" w:sz="0" w:space="0" w:color="auto"/>
      </w:divBdr>
    </w:div>
    <w:div w:id="263733336">
      <w:bodyDiv w:val="1"/>
      <w:marLeft w:val="0"/>
      <w:marRight w:val="0"/>
      <w:marTop w:val="0"/>
      <w:marBottom w:val="0"/>
      <w:divBdr>
        <w:top w:val="none" w:sz="0" w:space="0" w:color="auto"/>
        <w:left w:val="none" w:sz="0" w:space="0" w:color="auto"/>
        <w:bottom w:val="none" w:sz="0" w:space="0" w:color="auto"/>
        <w:right w:val="none" w:sz="0" w:space="0" w:color="auto"/>
      </w:divBdr>
    </w:div>
    <w:div w:id="266424764">
      <w:bodyDiv w:val="1"/>
      <w:marLeft w:val="0"/>
      <w:marRight w:val="0"/>
      <w:marTop w:val="0"/>
      <w:marBottom w:val="0"/>
      <w:divBdr>
        <w:top w:val="none" w:sz="0" w:space="0" w:color="auto"/>
        <w:left w:val="none" w:sz="0" w:space="0" w:color="auto"/>
        <w:bottom w:val="none" w:sz="0" w:space="0" w:color="auto"/>
        <w:right w:val="none" w:sz="0" w:space="0" w:color="auto"/>
      </w:divBdr>
    </w:div>
    <w:div w:id="266546481">
      <w:bodyDiv w:val="1"/>
      <w:marLeft w:val="0"/>
      <w:marRight w:val="0"/>
      <w:marTop w:val="0"/>
      <w:marBottom w:val="0"/>
      <w:divBdr>
        <w:top w:val="none" w:sz="0" w:space="0" w:color="auto"/>
        <w:left w:val="none" w:sz="0" w:space="0" w:color="auto"/>
        <w:bottom w:val="none" w:sz="0" w:space="0" w:color="auto"/>
        <w:right w:val="none" w:sz="0" w:space="0" w:color="auto"/>
      </w:divBdr>
    </w:div>
    <w:div w:id="267666533">
      <w:bodyDiv w:val="1"/>
      <w:marLeft w:val="0"/>
      <w:marRight w:val="0"/>
      <w:marTop w:val="0"/>
      <w:marBottom w:val="0"/>
      <w:divBdr>
        <w:top w:val="none" w:sz="0" w:space="0" w:color="auto"/>
        <w:left w:val="none" w:sz="0" w:space="0" w:color="auto"/>
        <w:bottom w:val="none" w:sz="0" w:space="0" w:color="auto"/>
        <w:right w:val="none" w:sz="0" w:space="0" w:color="auto"/>
      </w:divBdr>
    </w:div>
    <w:div w:id="283394116">
      <w:bodyDiv w:val="1"/>
      <w:marLeft w:val="0"/>
      <w:marRight w:val="0"/>
      <w:marTop w:val="0"/>
      <w:marBottom w:val="0"/>
      <w:divBdr>
        <w:top w:val="none" w:sz="0" w:space="0" w:color="auto"/>
        <w:left w:val="none" w:sz="0" w:space="0" w:color="auto"/>
        <w:bottom w:val="none" w:sz="0" w:space="0" w:color="auto"/>
        <w:right w:val="none" w:sz="0" w:space="0" w:color="auto"/>
      </w:divBdr>
    </w:div>
    <w:div w:id="283926141">
      <w:bodyDiv w:val="1"/>
      <w:marLeft w:val="0"/>
      <w:marRight w:val="0"/>
      <w:marTop w:val="0"/>
      <w:marBottom w:val="0"/>
      <w:divBdr>
        <w:top w:val="none" w:sz="0" w:space="0" w:color="auto"/>
        <w:left w:val="none" w:sz="0" w:space="0" w:color="auto"/>
        <w:bottom w:val="none" w:sz="0" w:space="0" w:color="auto"/>
        <w:right w:val="none" w:sz="0" w:space="0" w:color="auto"/>
      </w:divBdr>
    </w:div>
    <w:div w:id="289289325">
      <w:bodyDiv w:val="1"/>
      <w:marLeft w:val="0"/>
      <w:marRight w:val="0"/>
      <w:marTop w:val="0"/>
      <w:marBottom w:val="0"/>
      <w:divBdr>
        <w:top w:val="none" w:sz="0" w:space="0" w:color="auto"/>
        <w:left w:val="none" w:sz="0" w:space="0" w:color="auto"/>
        <w:bottom w:val="none" w:sz="0" w:space="0" w:color="auto"/>
        <w:right w:val="none" w:sz="0" w:space="0" w:color="auto"/>
      </w:divBdr>
      <w:divsChild>
        <w:div w:id="1008171954">
          <w:marLeft w:val="0"/>
          <w:marRight w:val="0"/>
          <w:marTop w:val="0"/>
          <w:marBottom w:val="0"/>
          <w:divBdr>
            <w:top w:val="none" w:sz="0" w:space="0" w:color="auto"/>
            <w:left w:val="none" w:sz="0" w:space="0" w:color="auto"/>
            <w:bottom w:val="none" w:sz="0" w:space="0" w:color="auto"/>
            <w:right w:val="none" w:sz="0" w:space="0" w:color="auto"/>
          </w:divBdr>
          <w:divsChild>
            <w:div w:id="1555845698">
              <w:marLeft w:val="0"/>
              <w:marRight w:val="0"/>
              <w:marTop w:val="0"/>
              <w:marBottom w:val="0"/>
              <w:divBdr>
                <w:top w:val="none" w:sz="0" w:space="0" w:color="auto"/>
                <w:left w:val="none" w:sz="0" w:space="0" w:color="auto"/>
                <w:bottom w:val="none" w:sz="0" w:space="0" w:color="auto"/>
                <w:right w:val="none" w:sz="0" w:space="0" w:color="auto"/>
              </w:divBdr>
              <w:divsChild>
                <w:div w:id="1205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6011">
      <w:bodyDiv w:val="1"/>
      <w:marLeft w:val="0"/>
      <w:marRight w:val="0"/>
      <w:marTop w:val="0"/>
      <w:marBottom w:val="0"/>
      <w:divBdr>
        <w:top w:val="none" w:sz="0" w:space="0" w:color="auto"/>
        <w:left w:val="none" w:sz="0" w:space="0" w:color="auto"/>
        <w:bottom w:val="none" w:sz="0" w:space="0" w:color="auto"/>
        <w:right w:val="none" w:sz="0" w:space="0" w:color="auto"/>
      </w:divBdr>
    </w:div>
    <w:div w:id="290284144">
      <w:bodyDiv w:val="1"/>
      <w:marLeft w:val="0"/>
      <w:marRight w:val="0"/>
      <w:marTop w:val="0"/>
      <w:marBottom w:val="0"/>
      <w:divBdr>
        <w:top w:val="none" w:sz="0" w:space="0" w:color="auto"/>
        <w:left w:val="none" w:sz="0" w:space="0" w:color="auto"/>
        <w:bottom w:val="none" w:sz="0" w:space="0" w:color="auto"/>
        <w:right w:val="none" w:sz="0" w:space="0" w:color="auto"/>
      </w:divBdr>
    </w:div>
    <w:div w:id="291636707">
      <w:bodyDiv w:val="1"/>
      <w:marLeft w:val="0"/>
      <w:marRight w:val="0"/>
      <w:marTop w:val="0"/>
      <w:marBottom w:val="0"/>
      <w:divBdr>
        <w:top w:val="none" w:sz="0" w:space="0" w:color="auto"/>
        <w:left w:val="none" w:sz="0" w:space="0" w:color="auto"/>
        <w:bottom w:val="none" w:sz="0" w:space="0" w:color="auto"/>
        <w:right w:val="none" w:sz="0" w:space="0" w:color="auto"/>
      </w:divBdr>
      <w:divsChild>
        <w:div w:id="929462928">
          <w:marLeft w:val="0"/>
          <w:marRight w:val="0"/>
          <w:marTop w:val="0"/>
          <w:marBottom w:val="0"/>
          <w:divBdr>
            <w:top w:val="none" w:sz="0" w:space="0" w:color="auto"/>
            <w:left w:val="none" w:sz="0" w:space="0" w:color="auto"/>
            <w:bottom w:val="none" w:sz="0" w:space="0" w:color="auto"/>
            <w:right w:val="none" w:sz="0" w:space="0" w:color="auto"/>
          </w:divBdr>
        </w:div>
      </w:divsChild>
    </w:div>
    <w:div w:id="291903792">
      <w:bodyDiv w:val="1"/>
      <w:marLeft w:val="0"/>
      <w:marRight w:val="0"/>
      <w:marTop w:val="0"/>
      <w:marBottom w:val="0"/>
      <w:divBdr>
        <w:top w:val="none" w:sz="0" w:space="0" w:color="auto"/>
        <w:left w:val="none" w:sz="0" w:space="0" w:color="auto"/>
        <w:bottom w:val="none" w:sz="0" w:space="0" w:color="auto"/>
        <w:right w:val="none" w:sz="0" w:space="0" w:color="auto"/>
      </w:divBdr>
    </w:div>
    <w:div w:id="296644616">
      <w:bodyDiv w:val="1"/>
      <w:marLeft w:val="0"/>
      <w:marRight w:val="0"/>
      <w:marTop w:val="0"/>
      <w:marBottom w:val="0"/>
      <w:divBdr>
        <w:top w:val="none" w:sz="0" w:space="0" w:color="auto"/>
        <w:left w:val="none" w:sz="0" w:space="0" w:color="auto"/>
        <w:bottom w:val="none" w:sz="0" w:space="0" w:color="auto"/>
        <w:right w:val="none" w:sz="0" w:space="0" w:color="auto"/>
      </w:divBdr>
    </w:div>
    <w:div w:id="298069262">
      <w:bodyDiv w:val="1"/>
      <w:marLeft w:val="0"/>
      <w:marRight w:val="0"/>
      <w:marTop w:val="0"/>
      <w:marBottom w:val="0"/>
      <w:divBdr>
        <w:top w:val="none" w:sz="0" w:space="0" w:color="auto"/>
        <w:left w:val="none" w:sz="0" w:space="0" w:color="auto"/>
        <w:bottom w:val="none" w:sz="0" w:space="0" w:color="auto"/>
        <w:right w:val="none" w:sz="0" w:space="0" w:color="auto"/>
      </w:divBdr>
    </w:div>
    <w:div w:id="305861785">
      <w:bodyDiv w:val="1"/>
      <w:marLeft w:val="0"/>
      <w:marRight w:val="0"/>
      <w:marTop w:val="0"/>
      <w:marBottom w:val="0"/>
      <w:divBdr>
        <w:top w:val="none" w:sz="0" w:space="0" w:color="auto"/>
        <w:left w:val="none" w:sz="0" w:space="0" w:color="auto"/>
        <w:bottom w:val="none" w:sz="0" w:space="0" w:color="auto"/>
        <w:right w:val="none" w:sz="0" w:space="0" w:color="auto"/>
      </w:divBdr>
    </w:div>
    <w:div w:id="310792668">
      <w:bodyDiv w:val="1"/>
      <w:marLeft w:val="0"/>
      <w:marRight w:val="0"/>
      <w:marTop w:val="0"/>
      <w:marBottom w:val="0"/>
      <w:divBdr>
        <w:top w:val="none" w:sz="0" w:space="0" w:color="auto"/>
        <w:left w:val="none" w:sz="0" w:space="0" w:color="auto"/>
        <w:bottom w:val="none" w:sz="0" w:space="0" w:color="auto"/>
        <w:right w:val="none" w:sz="0" w:space="0" w:color="auto"/>
      </w:divBdr>
    </w:div>
    <w:div w:id="322852706">
      <w:bodyDiv w:val="1"/>
      <w:marLeft w:val="0"/>
      <w:marRight w:val="0"/>
      <w:marTop w:val="0"/>
      <w:marBottom w:val="0"/>
      <w:divBdr>
        <w:top w:val="none" w:sz="0" w:space="0" w:color="auto"/>
        <w:left w:val="none" w:sz="0" w:space="0" w:color="auto"/>
        <w:bottom w:val="none" w:sz="0" w:space="0" w:color="auto"/>
        <w:right w:val="none" w:sz="0" w:space="0" w:color="auto"/>
      </w:divBdr>
      <w:divsChild>
        <w:div w:id="67387277">
          <w:marLeft w:val="0"/>
          <w:marRight w:val="0"/>
          <w:marTop w:val="0"/>
          <w:marBottom w:val="0"/>
          <w:divBdr>
            <w:top w:val="none" w:sz="0" w:space="0" w:color="auto"/>
            <w:left w:val="none" w:sz="0" w:space="0" w:color="auto"/>
            <w:bottom w:val="none" w:sz="0" w:space="0" w:color="auto"/>
            <w:right w:val="none" w:sz="0" w:space="0" w:color="auto"/>
          </w:divBdr>
          <w:divsChild>
            <w:div w:id="1666322026">
              <w:marLeft w:val="0"/>
              <w:marRight w:val="0"/>
              <w:marTop w:val="0"/>
              <w:marBottom w:val="0"/>
              <w:divBdr>
                <w:top w:val="none" w:sz="0" w:space="0" w:color="auto"/>
                <w:left w:val="none" w:sz="0" w:space="0" w:color="auto"/>
                <w:bottom w:val="none" w:sz="0" w:space="0" w:color="auto"/>
                <w:right w:val="none" w:sz="0" w:space="0" w:color="auto"/>
              </w:divBdr>
              <w:divsChild>
                <w:div w:id="1334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3260">
      <w:bodyDiv w:val="1"/>
      <w:marLeft w:val="0"/>
      <w:marRight w:val="0"/>
      <w:marTop w:val="0"/>
      <w:marBottom w:val="0"/>
      <w:divBdr>
        <w:top w:val="none" w:sz="0" w:space="0" w:color="auto"/>
        <w:left w:val="none" w:sz="0" w:space="0" w:color="auto"/>
        <w:bottom w:val="none" w:sz="0" w:space="0" w:color="auto"/>
        <w:right w:val="none" w:sz="0" w:space="0" w:color="auto"/>
      </w:divBdr>
    </w:div>
    <w:div w:id="349570358">
      <w:bodyDiv w:val="1"/>
      <w:marLeft w:val="0"/>
      <w:marRight w:val="0"/>
      <w:marTop w:val="0"/>
      <w:marBottom w:val="0"/>
      <w:divBdr>
        <w:top w:val="none" w:sz="0" w:space="0" w:color="auto"/>
        <w:left w:val="none" w:sz="0" w:space="0" w:color="auto"/>
        <w:bottom w:val="none" w:sz="0" w:space="0" w:color="auto"/>
        <w:right w:val="none" w:sz="0" w:space="0" w:color="auto"/>
      </w:divBdr>
    </w:div>
    <w:div w:id="361443719">
      <w:bodyDiv w:val="1"/>
      <w:marLeft w:val="0"/>
      <w:marRight w:val="0"/>
      <w:marTop w:val="0"/>
      <w:marBottom w:val="0"/>
      <w:divBdr>
        <w:top w:val="none" w:sz="0" w:space="0" w:color="auto"/>
        <w:left w:val="none" w:sz="0" w:space="0" w:color="auto"/>
        <w:bottom w:val="none" w:sz="0" w:space="0" w:color="auto"/>
        <w:right w:val="none" w:sz="0" w:space="0" w:color="auto"/>
      </w:divBdr>
    </w:div>
    <w:div w:id="383065445">
      <w:bodyDiv w:val="1"/>
      <w:marLeft w:val="0"/>
      <w:marRight w:val="0"/>
      <w:marTop w:val="0"/>
      <w:marBottom w:val="0"/>
      <w:divBdr>
        <w:top w:val="none" w:sz="0" w:space="0" w:color="auto"/>
        <w:left w:val="none" w:sz="0" w:space="0" w:color="auto"/>
        <w:bottom w:val="none" w:sz="0" w:space="0" w:color="auto"/>
        <w:right w:val="none" w:sz="0" w:space="0" w:color="auto"/>
      </w:divBdr>
    </w:div>
    <w:div w:id="386224267">
      <w:bodyDiv w:val="1"/>
      <w:marLeft w:val="0"/>
      <w:marRight w:val="0"/>
      <w:marTop w:val="0"/>
      <w:marBottom w:val="0"/>
      <w:divBdr>
        <w:top w:val="none" w:sz="0" w:space="0" w:color="auto"/>
        <w:left w:val="none" w:sz="0" w:space="0" w:color="auto"/>
        <w:bottom w:val="none" w:sz="0" w:space="0" w:color="auto"/>
        <w:right w:val="none" w:sz="0" w:space="0" w:color="auto"/>
      </w:divBdr>
    </w:div>
    <w:div w:id="391737684">
      <w:bodyDiv w:val="1"/>
      <w:marLeft w:val="0"/>
      <w:marRight w:val="0"/>
      <w:marTop w:val="0"/>
      <w:marBottom w:val="0"/>
      <w:divBdr>
        <w:top w:val="none" w:sz="0" w:space="0" w:color="auto"/>
        <w:left w:val="none" w:sz="0" w:space="0" w:color="auto"/>
        <w:bottom w:val="none" w:sz="0" w:space="0" w:color="auto"/>
        <w:right w:val="none" w:sz="0" w:space="0" w:color="auto"/>
      </w:divBdr>
      <w:divsChild>
        <w:div w:id="1687100085">
          <w:marLeft w:val="0"/>
          <w:marRight w:val="0"/>
          <w:marTop w:val="0"/>
          <w:marBottom w:val="0"/>
          <w:divBdr>
            <w:top w:val="none" w:sz="0" w:space="0" w:color="auto"/>
            <w:left w:val="none" w:sz="0" w:space="0" w:color="auto"/>
            <w:bottom w:val="none" w:sz="0" w:space="0" w:color="auto"/>
            <w:right w:val="none" w:sz="0" w:space="0" w:color="auto"/>
          </w:divBdr>
          <w:divsChild>
            <w:div w:id="12036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646">
      <w:bodyDiv w:val="1"/>
      <w:marLeft w:val="0"/>
      <w:marRight w:val="0"/>
      <w:marTop w:val="0"/>
      <w:marBottom w:val="0"/>
      <w:divBdr>
        <w:top w:val="none" w:sz="0" w:space="0" w:color="auto"/>
        <w:left w:val="none" w:sz="0" w:space="0" w:color="auto"/>
        <w:bottom w:val="none" w:sz="0" w:space="0" w:color="auto"/>
        <w:right w:val="none" w:sz="0" w:space="0" w:color="auto"/>
      </w:divBdr>
    </w:div>
    <w:div w:id="407076083">
      <w:bodyDiv w:val="1"/>
      <w:marLeft w:val="0"/>
      <w:marRight w:val="0"/>
      <w:marTop w:val="0"/>
      <w:marBottom w:val="0"/>
      <w:divBdr>
        <w:top w:val="none" w:sz="0" w:space="0" w:color="auto"/>
        <w:left w:val="none" w:sz="0" w:space="0" w:color="auto"/>
        <w:bottom w:val="none" w:sz="0" w:space="0" w:color="auto"/>
        <w:right w:val="none" w:sz="0" w:space="0" w:color="auto"/>
      </w:divBdr>
    </w:div>
    <w:div w:id="419910004">
      <w:bodyDiv w:val="1"/>
      <w:marLeft w:val="0"/>
      <w:marRight w:val="0"/>
      <w:marTop w:val="0"/>
      <w:marBottom w:val="0"/>
      <w:divBdr>
        <w:top w:val="none" w:sz="0" w:space="0" w:color="auto"/>
        <w:left w:val="none" w:sz="0" w:space="0" w:color="auto"/>
        <w:bottom w:val="none" w:sz="0" w:space="0" w:color="auto"/>
        <w:right w:val="none" w:sz="0" w:space="0" w:color="auto"/>
      </w:divBdr>
    </w:div>
    <w:div w:id="444617383">
      <w:bodyDiv w:val="1"/>
      <w:marLeft w:val="0"/>
      <w:marRight w:val="0"/>
      <w:marTop w:val="0"/>
      <w:marBottom w:val="0"/>
      <w:divBdr>
        <w:top w:val="none" w:sz="0" w:space="0" w:color="auto"/>
        <w:left w:val="none" w:sz="0" w:space="0" w:color="auto"/>
        <w:bottom w:val="none" w:sz="0" w:space="0" w:color="auto"/>
        <w:right w:val="none" w:sz="0" w:space="0" w:color="auto"/>
      </w:divBdr>
    </w:div>
    <w:div w:id="445856741">
      <w:bodyDiv w:val="1"/>
      <w:marLeft w:val="0"/>
      <w:marRight w:val="0"/>
      <w:marTop w:val="0"/>
      <w:marBottom w:val="0"/>
      <w:divBdr>
        <w:top w:val="none" w:sz="0" w:space="0" w:color="auto"/>
        <w:left w:val="none" w:sz="0" w:space="0" w:color="auto"/>
        <w:bottom w:val="none" w:sz="0" w:space="0" w:color="auto"/>
        <w:right w:val="none" w:sz="0" w:space="0" w:color="auto"/>
      </w:divBdr>
    </w:div>
    <w:div w:id="446971037">
      <w:bodyDiv w:val="1"/>
      <w:marLeft w:val="0"/>
      <w:marRight w:val="0"/>
      <w:marTop w:val="0"/>
      <w:marBottom w:val="0"/>
      <w:divBdr>
        <w:top w:val="none" w:sz="0" w:space="0" w:color="auto"/>
        <w:left w:val="none" w:sz="0" w:space="0" w:color="auto"/>
        <w:bottom w:val="none" w:sz="0" w:space="0" w:color="auto"/>
        <w:right w:val="none" w:sz="0" w:space="0" w:color="auto"/>
      </w:divBdr>
    </w:div>
    <w:div w:id="458039499">
      <w:bodyDiv w:val="1"/>
      <w:marLeft w:val="0"/>
      <w:marRight w:val="0"/>
      <w:marTop w:val="0"/>
      <w:marBottom w:val="0"/>
      <w:divBdr>
        <w:top w:val="none" w:sz="0" w:space="0" w:color="auto"/>
        <w:left w:val="none" w:sz="0" w:space="0" w:color="auto"/>
        <w:bottom w:val="none" w:sz="0" w:space="0" w:color="auto"/>
        <w:right w:val="none" w:sz="0" w:space="0" w:color="auto"/>
      </w:divBdr>
    </w:div>
    <w:div w:id="458643758">
      <w:bodyDiv w:val="1"/>
      <w:marLeft w:val="0"/>
      <w:marRight w:val="0"/>
      <w:marTop w:val="0"/>
      <w:marBottom w:val="0"/>
      <w:divBdr>
        <w:top w:val="none" w:sz="0" w:space="0" w:color="auto"/>
        <w:left w:val="none" w:sz="0" w:space="0" w:color="auto"/>
        <w:bottom w:val="none" w:sz="0" w:space="0" w:color="auto"/>
        <w:right w:val="none" w:sz="0" w:space="0" w:color="auto"/>
      </w:divBdr>
    </w:div>
    <w:div w:id="464011026">
      <w:bodyDiv w:val="1"/>
      <w:marLeft w:val="0"/>
      <w:marRight w:val="0"/>
      <w:marTop w:val="0"/>
      <w:marBottom w:val="0"/>
      <w:divBdr>
        <w:top w:val="none" w:sz="0" w:space="0" w:color="auto"/>
        <w:left w:val="none" w:sz="0" w:space="0" w:color="auto"/>
        <w:bottom w:val="none" w:sz="0" w:space="0" w:color="auto"/>
        <w:right w:val="none" w:sz="0" w:space="0" w:color="auto"/>
      </w:divBdr>
      <w:divsChild>
        <w:div w:id="1613855109">
          <w:marLeft w:val="0"/>
          <w:marRight w:val="0"/>
          <w:marTop w:val="0"/>
          <w:marBottom w:val="0"/>
          <w:divBdr>
            <w:top w:val="none" w:sz="0" w:space="0" w:color="auto"/>
            <w:left w:val="none" w:sz="0" w:space="0" w:color="auto"/>
            <w:bottom w:val="none" w:sz="0" w:space="0" w:color="auto"/>
            <w:right w:val="none" w:sz="0" w:space="0" w:color="auto"/>
          </w:divBdr>
          <w:divsChild>
            <w:div w:id="674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236">
      <w:bodyDiv w:val="1"/>
      <w:marLeft w:val="0"/>
      <w:marRight w:val="0"/>
      <w:marTop w:val="0"/>
      <w:marBottom w:val="0"/>
      <w:divBdr>
        <w:top w:val="none" w:sz="0" w:space="0" w:color="auto"/>
        <w:left w:val="none" w:sz="0" w:space="0" w:color="auto"/>
        <w:bottom w:val="none" w:sz="0" w:space="0" w:color="auto"/>
        <w:right w:val="none" w:sz="0" w:space="0" w:color="auto"/>
      </w:divBdr>
    </w:div>
    <w:div w:id="474179415">
      <w:bodyDiv w:val="1"/>
      <w:marLeft w:val="0"/>
      <w:marRight w:val="0"/>
      <w:marTop w:val="0"/>
      <w:marBottom w:val="0"/>
      <w:divBdr>
        <w:top w:val="none" w:sz="0" w:space="0" w:color="auto"/>
        <w:left w:val="none" w:sz="0" w:space="0" w:color="auto"/>
        <w:bottom w:val="none" w:sz="0" w:space="0" w:color="auto"/>
        <w:right w:val="none" w:sz="0" w:space="0" w:color="auto"/>
      </w:divBdr>
    </w:div>
    <w:div w:id="476648109">
      <w:bodyDiv w:val="1"/>
      <w:marLeft w:val="0"/>
      <w:marRight w:val="0"/>
      <w:marTop w:val="0"/>
      <w:marBottom w:val="0"/>
      <w:divBdr>
        <w:top w:val="none" w:sz="0" w:space="0" w:color="auto"/>
        <w:left w:val="none" w:sz="0" w:space="0" w:color="auto"/>
        <w:bottom w:val="none" w:sz="0" w:space="0" w:color="auto"/>
        <w:right w:val="none" w:sz="0" w:space="0" w:color="auto"/>
      </w:divBdr>
    </w:div>
    <w:div w:id="487206139">
      <w:bodyDiv w:val="1"/>
      <w:marLeft w:val="0"/>
      <w:marRight w:val="0"/>
      <w:marTop w:val="0"/>
      <w:marBottom w:val="0"/>
      <w:divBdr>
        <w:top w:val="none" w:sz="0" w:space="0" w:color="auto"/>
        <w:left w:val="none" w:sz="0" w:space="0" w:color="auto"/>
        <w:bottom w:val="none" w:sz="0" w:space="0" w:color="auto"/>
        <w:right w:val="none" w:sz="0" w:space="0" w:color="auto"/>
      </w:divBdr>
    </w:div>
    <w:div w:id="489292595">
      <w:bodyDiv w:val="1"/>
      <w:marLeft w:val="0"/>
      <w:marRight w:val="0"/>
      <w:marTop w:val="0"/>
      <w:marBottom w:val="0"/>
      <w:divBdr>
        <w:top w:val="none" w:sz="0" w:space="0" w:color="auto"/>
        <w:left w:val="none" w:sz="0" w:space="0" w:color="auto"/>
        <w:bottom w:val="none" w:sz="0" w:space="0" w:color="auto"/>
        <w:right w:val="none" w:sz="0" w:space="0" w:color="auto"/>
      </w:divBdr>
    </w:div>
    <w:div w:id="493883848">
      <w:bodyDiv w:val="1"/>
      <w:marLeft w:val="0"/>
      <w:marRight w:val="0"/>
      <w:marTop w:val="0"/>
      <w:marBottom w:val="0"/>
      <w:divBdr>
        <w:top w:val="none" w:sz="0" w:space="0" w:color="auto"/>
        <w:left w:val="none" w:sz="0" w:space="0" w:color="auto"/>
        <w:bottom w:val="none" w:sz="0" w:space="0" w:color="auto"/>
        <w:right w:val="none" w:sz="0" w:space="0" w:color="auto"/>
      </w:divBdr>
    </w:div>
    <w:div w:id="511604674">
      <w:bodyDiv w:val="1"/>
      <w:marLeft w:val="0"/>
      <w:marRight w:val="0"/>
      <w:marTop w:val="0"/>
      <w:marBottom w:val="0"/>
      <w:divBdr>
        <w:top w:val="none" w:sz="0" w:space="0" w:color="auto"/>
        <w:left w:val="none" w:sz="0" w:space="0" w:color="auto"/>
        <w:bottom w:val="none" w:sz="0" w:space="0" w:color="auto"/>
        <w:right w:val="none" w:sz="0" w:space="0" w:color="auto"/>
      </w:divBdr>
    </w:div>
    <w:div w:id="515271851">
      <w:bodyDiv w:val="1"/>
      <w:marLeft w:val="0"/>
      <w:marRight w:val="0"/>
      <w:marTop w:val="0"/>
      <w:marBottom w:val="0"/>
      <w:divBdr>
        <w:top w:val="none" w:sz="0" w:space="0" w:color="auto"/>
        <w:left w:val="none" w:sz="0" w:space="0" w:color="auto"/>
        <w:bottom w:val="none" w:sz="0" w:space="0" w:color="auto"/>
        <w:right w:val="none" w:sz="0" w:space="0" w:color="auto"/>
      </w:divBdr>
    </w:div>
    <w:div w:id="527186507">
      <w:bodyDiv w:val="1"/>
      <w:marLeft w:val="0"/>
      <w:marRight w:val="0"/>
      <w:marTop w:val="0"/>
      <w:marBottom w:val="0"/>
      <w:divBdr>
        <w:top w:val="none" w:sz="0" w:space="0" w:color="auto"/>
        <w:left w:val="none" w:sz="0" w:space="0" w:color="auto"/>
        <w:bottom w:val="none" w:sz="0" w:space="0" w:color="auto"/>
        <w:right w:val="none" w:sz="0" w:space="0" w:color="auto"/>
      </w:divBdr>
    </w:div>
    <w:div w:id="529077260">
      <w:bodyDiv w:val="1"/>
      <w:marLeft w:val="0"/>
      <w:marRight w:val="0"/>
      <w:marTop w:val="0"/>
      <w:marBottom w:val="0"/>
      <w:divBdr>
        <w:top w:val="none" w:sz="0" w:space="0" w:color="auto"/>
        <w:left w:val="none" w:sz="0" w:space="0" w:color="auto"/>
        <w:bottom w:val="none" w:sz="0" w:space="0" w:color="auto"/>
        <w:right w:val="none" w:sz="0" w:space="0" w:color="auto"/>
      </w:divBdr>
      <w:divsChild>
        <w:div w:id="1410420889">
          <w:marLeft w:val="0"/>
          <w:marRight w:val="0"/>
          <w:marTop w:val="0"/>
          <w:marBottom w:val="0"/>
          <w:divBdr>
            <w:top w:val="none" w:sz="0" w:space="0" w:color="auto"/>
            <w:left w:val="none" w:sz="0" w:space="0" w:color="auto"/>
            <w:bottom w:val="none" w:sz="0" w:space="0" w:color="auto"/>
            <w:right w:val="none" w:sz="0" w:space="0" w:color="auto"/>
          </w:divBdr>
          <w:divsChild>
            <w:div w:id="561674801">
              <w:marLeft w:val="0"/>
              <w:marRight w:val="0"/>
              <w:marTop w:val="0"/>
              <w:marBottom w:val="0"/>
              <w:divBdr>
                <w:top w:val="none" w:sz="0" w:space="0" w:color="auto"/>
                <w:left w:val="none" w:sz="0" w:space="0" w:color="auto"/>
                <w:bottom w:val="none" w:sz="0" w:space="0" w:color="auto"/>
                <w:right w:val="none" w:sz="0" w:space="0" w:color="auto"/>
              </w:divBdr>
              <w:divsChild>
                <w:div w:id="6204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5294">
      <w:bodyDiv w:val="1"/>
      <w:marLeft w:val="0"/>
      <w:marRight w:val="0"/>
      <w:marTop w:val="0"/>
      <w:marBottom w:val="0"/>
      <w:divBdr>
        <w:top w:val="none" w:sz="0" w:space="0" w:color="auto"/>
        <w:left w:val="none" w:sz="0" w:space="0" w:color="auto"/>
        <w:bottom w:val="none" w:sz="0" w:space="0" w:color="auto"/>
        <w:right w:val="none" w:sz="0" w:space="0" w:color="auto"/>
      </w:divBdr>
    </w:div>
    <w:div w:id="536895551">
      <w:bodyDiv w:val="1"/>
      <w:marLeft w:val="0"/>
      <w:marRight w:val="0"/>
      <w:marTop w:val="0"/>
      <w:marBottom w:val="0"/>
      <w:divBdr>
        <w:top w:val="none" w:sz="0" w:space="0" w:color="auto"/>
        <w:left w:val="none" w:sz="0" w:space="0" w:color="auto"/>
        <w:bottom w:val="none" w:sz="0" w:space="0" w:color="auto"/>
        <w:right w:val="none" w:sz="0" w:space="0" w:color="auto"/>
      </w:divBdr>
      <w:divsChild>
        <w:div w:id="1304654847">
          <w:marLeft w:val="0"/>
          <w:marRight w:val="0"/>
          <w:marTop w:val="0"/>
          <w:marBottom w:val="0"/>
          <w:divBdr>
            <w:top w:val="none" w:sz="0" w:space="0" w:color="auto"/>
            <w:left w:val="none" w:sz="0" w:space="0" w:color="auto"/>
            <w:bottom w:val="none" w:sz="0" w:space="0" w:color="auto"/>
            <w:right w:val="none" w:sz="0" w:space="0" w:color="auto"/>
          </w:divBdr>
        </w:div>
      </w:divsChild>
    </w:div>
    <w:div w:id="540020185">
      <w:bodyDiv w:val="1"/>
      <w:marLeft w:val="0"/>
      <w:marRight w:val="0"/>
      <w:marTop w:val="0"/>
      <w:marBottom w:val="0"/>
      <w:divBdr>
        <w:top w:val="none" w:sz="0" w:space="0" w:color="auto"/>
        <w:left w:val="none" w:sz="0" w:space="0" w:color="auto"/>
        <w:bottom w:val="none" w:sz="0" w:space="0" w:color="auto"/>
        <w:right w:val="none" w:sz="0" w:space="0" w:color="auto"/>
      </w:divBdr>
    </w:div>
    <w:div w:id="542130970">
      <w:bodyDiv w:val="1"/>
      <w:marLeft w:val="0"/>
      <w:marRight w:val="0"/>
      <w:marTop w:val="0"/>
      <w:marBottom w:val="0"/>
      <w:divBdr>
        <w:top w:val="none" w:sz="0" w:space="0" w:color="auto"/>
        <w:left w:val="none" w:sz="0" w:space="0" w:color="auto"/>
        <w:bottom w:val="none" w:sz="0" w:space="0" w:color="auto"/>
        <w:right w:val="none" w:sz="0" w:space="0" w:color="auto"/>
      </w:divBdr>
    </w:div>
    <w:div w:id="552274698">
      <w:bodyDiv w:val="1"/>
      <w:marLeft w:val="0"/>
      <w:marRight w:val="0"/>
      <w:marTop w:val="0"/>
      <w:marBottom w:val="0"/>
      <w:divBdr>
        <w:top w:val="none" w:sz="0" w:space="0" w:color="auto"/>
        <w:left w:val="none" w:sz="0" w:space="0" w:color="auto"/>
        <w:bottom w:val="none" w:sz="0" w:space="0" w:color="auto"/>
        <w:right w:val="none" w:sz="0" w:space="0" w:color="auto"/>
      </w:divBdr>
    </w:div>
    <w:div w:id="568467925">
      <w:bodyDiv w:val="1"/>
      <w:marLeft w:val="0"/>
      <w:marRight w:val="0"/>
      <w:marTop w:val="0"/>
      <w:marBottom w:val="0"/>
      <w:divBdr>
        <w:top w:val="none" w:sz="0" w:space="0" w:color="auto"/>
        <w:left w:val="none" w:sz="0" w:space="0" w:color="auto"/>
        <w:bottom w:val="none" w:sz="0" w:space="0" w:color="auto"/>
        <w:right w:val="none" w:sz="0" w:space="0" w:color="auto"/>
      </w:divBdr>
    </w:div>
    <w:div w:id="575431945">
      <w:bodyDiv w:val="1"/>
      <w:marLeft w:val="0"/>
      <w:marRight w:val="0"/>
      <w:marTop w:val="0"/>
      <w:marBottom w:val="0"/>
      <w:divBdr>
        <w:top w:val="none" w:sz="0" w:space="0" w:color="auto"/>
        <w:left w:val="none" w:sz="0" w:space="0" w:color="auto"/>
        <w:bottom w:val="none" w:sz="0" w:space="0" w:color="auto"/>
        <w:right w:val="none" w:sz="0" w:space="0" w:color="auto"/>
      </w:divBdr>
    </w:div>
    <w:div w:id="577517026">
      <w:bodyDiv w:val="1"/>
      <w:marLeft w:val="0"/>
      <w:marRight w:val="0"/>
      <w:marTop w:val="0"/>
      <w:marBottom w:val="0"/>
      <w:divBdr>
        <w:top w:val="none" w:sz="0" w:space="0" w:color="auto"/>
        <w:left w:val="none" w:sz="0" w:space="0" w:color="auto"/>
        <w:bottom w:val="none" w:sz="0" w:space="0" w:color="auto"/>
        <w:right w:val="none" w:sz="0" w:space="0" w:color="auto"/>
      </w:divBdr>
      <w:divsChild>
        <w:div w:id="229658747">
          <w:marLeft w:val="0"/>
          <w:marRight w:val="0"/>
          <w:marTop w:val="0"/>
          <w:marBottom w:val="0"/>
          <w:divBdr>
            <w:top w:val="none" w:sz="0" w:space="0" w:color="auto"/>
            <w:left w:val="none" w:sz="0" w:space="0" w:color="auto"/>
            <w:bottom w:val="none" w:sz="0" w:space="0" w:color="auto"/>
            <w:right w:val="none" w:sz="0" w:space="0" w:color="auto"/>
          </w:divBdr>
        </w:div>
      </w:divsChild>
    </w:div>
    <w:div w:id="581764235">
      <w:bodyDiv w:val="1"/>
      <w:marLeft w:val="0"/>
      <w:marRight w:val="0"/>
      <w:marTop w:val="0"/>
      <w:marBottom w:val="0"/>
      <w:divBdr>
        <w:top w:val="none" w:sz="0" w:space="0" w:color="auto"/>
        <w:left w:val="none" w:sz="0" w:space="0" w:color="auto"/>
        <w:bottom w:val="none" w:sz="0" w:space="0" w:color="auto"/>
        <w:right w:val="none" w:sz="0" w:space="0" w:color="auto"/>
      </w:divBdr>
    </w:div>
    <w:div w:id="581842125">
      <w:bodyDiv w:val="1"/>
      <w:marLeft w:val="0"/>
      <w:marRight w:val="0"/>
      <w:marTop w:val="0"/>
      <w:marBottom w:val="0"/>
      <w:divBdr>
        <w:top w:val="none" w:sz="0" w:space="0" w:color="auto"/>
        <w:left w:val="none" w:sz="0" w:space="0" w:color="auto"/>
        <w:bottom w:val="none" w:sz="0" w:space="0" w:color="auto"/>
        <w:right w:val="none" w:sz="0" w:space="0" w:color="auto"/>
      </w:divBdr>
    </w:div>
    <w:div w:id="583075656">
      <w:bodyDiv w:val="1"/>
      <w:marLeft w:val="0"/>
      <w:marRight w:val="0"/>
      <w:marTop w:val="0"/>
      <w:marBottom w:val="0"/>
      <w:divBdr>
        <w:top w:val="none" w:sz="0" w:space="0" w:color="auto"/>
        <w:left w:val="none" w:sz="0" w:space="0" w:color="auto"/>
        <w:bottom w:val="none" w:sz="0" w:space="0" w:color="auto"/>
        <w:right w:val="none" w:sz="0" w:space="0" w:color="auto"/>
      </w:divBdr>
    </w:div>
    <w:div w:id="583690580">
      <w:bodyDiv w:val="1"/>
      <w:marLeft w:val="0"/>
      <w:marRight w:val="0"/>
      <w:marTop w:val="0"/>
      <w:marBottom w:val="0"/>
      <w:divBdr>
        <w:top w:val="none" w:sz="0" w:space="0" w:color="auto"/>
        <w:left w:val="none" w:sz="0" w:space="0" w:color="auto"/>
        <w:bottom w:val="none" w:sz="0" w:space="0" w:color="auto"/>
        <w:right w:val="none" w:sz="0" w:space="0" w:color="auto"/>
      </w:divBdr>
    </w:div>
    <w:div w:id="585922593">
      <w:bodyDiv w:val="1"/>
      <w:marLeft w:val="0"/>
      <w:marRight w:val="0"/>
      <w:marTop w:val="0"/>
      <w:marBottom w:val="0"/>
      <w:divBdr>
        <w:top w:val="none" w:sz="0" w:space="0" w:color="auto"/>
        <w:left w:val="none" w:sz="0" w:space="0" w:color="auto"/>
        <w:bottom w:val="none" w:sz="0" w:space="0" w:color="auto"/>
        <w:right w:val="none" w:sz="0" w:space="0" w:color="auto"/>
      </w:divBdr>
      <w:divsChild>
        <w:div w:id="439758642">
          <w:marLeft w:val="0"/>
          <w:marRight w:val="0"/>
          <w:marTop w:val="0"/>
          <w:marBottom w:val="0"/>
          <w:divBdr>
            <w:top w:val="none" w:sz="0" w:space="0" w:color="auto"/>
            <w:left w:val="none" w:sz="0" w:space="0" w:color="auto"/>
            <w:bottom w:val="none" w:sz="0" w:space="0" w:color="auto"/>
            <w:right w:val="none" w:sz="0" w:space="0" w:color="auto"/>
          </w:divBdr>
          <w:divsChild>
            <w:div w:id="7084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0828">
      <w:bodyDiv w:val="1"/>
      <w:marLeft w:val="0"/>
      <w:marRight w:val="0"/>
      <w:marTop w:val="0"/>
      <w:marBottom w:val="0"/>
      <w:divBdr>
        <w:top w:val="none" w:sz="0" w:space="0" w:color="auto"/>
        <w:left w:val="none" w:sz="0" w:space="0" w:color="auto"/>
        <w:bottom w:val="none" w:sz="0" w:space="0" w:color="auto"/>
        <w:right w:val="none" w:sz="0" w:space="0" w:color="auto"/>
      </w:divBdr>
    </w:div>
    <w:div w:id="590086982">
      <w:bodyDiv w:val="1"/>
      <w:marLeft w:val="0"/>
      <w:marRight w:val="0"/>
      <w:marTop w:val="0"/>
      <w:marBottom w:val="0"/>
      <w:divBdr>
        <w:top w:val="none" w:sz="0" w:space="0" w:color="auto"/>
        <w:left w:val="none" w:sz="0" w:space="0" w:color="auto"/>
        <w:bottom w:val="none" w:sz="0" w:space="0" w:color="auto"/>
        <w:right w:val="none" w:sz="0" w:space="0" w:color="auto"/>
      </w:divBdr>
    </w:div>
    <w:div w:id="592007806">
      <w:bodyDiv w:val="1"/>
      <w:marLeft w:val="0"/>
      <w:marRight w:val="0"/>
      <w:marTop w:val="0"/>
      <w:marBottom w:val="0"/>
      <w:divBdr>
        <w:top w:val="none" w:sz="0" w:space="0" w:color="auto"/>
        <w:left w:val="none" w:sz="0" w:space="0" w:color="auto"/>
        <w:bottom w:val="none" w:sz="0" w:space="0" w:color="auto"/>
        <w:right w:val="none" w:sz="0" w:space="0" w:color="auto"/>
      </w:divBdr>
    </w:div>
    <w:div w:id="592131876">
      <w:bodyDiv w:val="1"/>
      <w:marLeft w:val="0"/>
      <w:marRight w:val="0"/>
      <w:marTop w:val="0"/>
      <w:marBottom w:val="0"/>
      <w:divBdr>
        <w:top w:val="none" w:sz="0" w:space="0" w:color="auto"/>
        <w:left w:val="none" w:sz="0" w:space="0" w:color="auto"/>
        <w:bottom w:val="none" w:sz="0" w:space="0" w:color="auto"/>
        <w:right w:val="none" w:sz="0" w:space="0" w:color="auto"/>
      </w:divBdr>
    </w:div>
    <w:div w:id="598563735">
      <w:bodyDiv w:val="1"/>
      <w:marLeft w:val="0"/>
      <w:marRight w:val="0"/>
      <w:marTop w:val="0"/>
      <w:marBottom w:val="0"/>
      <w:divBdr>
        <w:top w:val="none" w:sz="0" w:space="0" w:color="auto"/>
        <w:left w:val="none" w:sz="0" w:space="0" w:color="auto"/>
        <w:bottom w:val="none" w:sz="0" w:space="0" w:color="auto"/>
        <w:right w:val="none" w:sz="0" w:space="0" w:color="auto"/>
      </w:divBdr>
    </w:div>
    <w:div w:id="599994753">
      <w:bodyDiv w:val="1"/>
      <w:marLeft w:val="0"/>
      <w:marRight w:val="0"/>
      <w:marTop w:val="0"/>
      <w:marBottom w:val="0"/>
      <w:divBdr>
        <w:top w:val="none" w:sz="0" w:space="0" w:color="auto"/>
        <w:left w:val="none" w:sz="0" w:space="0" w:color="auto"/>
        <w:bottom w:val="none" w:sz="0" w:space="0" w:color="auto"/>
        <w:right w:val="none" w:sz="0" w:space="0" w:color="auto"/>
      </w:divBdr>
    </w:div>
    <w:div w:id="600533626">
      <w:bodyDiv w:val="1"/>
      <w:marLeft w:val="0"/>
      <w:marRight w:val="0"/>
      <w:marTop w:val="0"/>
      <w:marBottom w:val="0"/>
      <w:divBdr>
        <w:top w:val="none" w:sz="0" w:space="0" w:color="auto"/>
        <w:left w:val="none" w:sz="0" w:space="0" w:color="auto"/>
        <w:bottom w:val="none" w:sz="0" w:space="0" w:color="auto"/>
        <w:right w:val="none" w:sz="0" w:space="0" w:color="auto"/>
      </w:divBdr>
      <w:divsChild>
        <w:div w:id="1029529740">
          <w:marLeft w:val="0"/>
          <w:marRight w:val="0"/>
          <w:marTop w:val="0"/>
          <w:marBottom w:val="0"/>
          <w:divBdr>
            <w:top w:val="none" w:sz="0" w:space="0" w:color="auto"/>
            <w:left w:val="none" w:sz="0" w:space="0" w:color="auto"/>
            <w:bottom w:val="none" w:sz="0" w:space="0" w:color="auto"/>
            <w:right w:val="none" w:sz="0" w:space="0" w:color="auto"/>
          </w:divBdr>
          <w:divsChild>
            <w:div w:id="227570479">
              <w:marLeft w:val="0"/>
              <w:marRight w:val="0"/>
              <w:marTop w:val="120"/>
              <w:marBottom w:val="0"/>
              <w:divBdr>
                <w:top w:val="none" w:sz="0" w:space="0" w:color="auto"/>
                <w:left w:val="none" w:sz="0" w:space="0" w:color="auto"/>
                <w:bottom w:val="none" w:sz="0" w:space="0" w:color="auto"/>
                <w:right w:val="none" w:sz="0" w:space="0" w:color="auto"/>
              </w:divBdr>
            </w:div>
            <w:div w:id="111218253">
              <w:marLeft w:val="0"/>
              <w:marRight w:val="0"/>
              <w:marTop w:val="0"/>
              <w:marBottom w:val="0"/>
              <w:divBdr>
                <w:top w:val="none" w:sz="0" w:space="0" w:color="auto"/>
                <w:left w:val="none" w:sz="0" w:space="0" w:color="auto"/>
                <w:bottom w:val="none" w:sz="0" w:space="0" w:color="auto"/>
                <w:right w:val="none" w:sz="0" w:space="0" w:color="auto"/>
              </w:divBdr>
            </w:div>
          </w:divsChild>
        </w:div>
        <w:div w:id="1424758997">
          <w:marLeft w:val="0"/>
          <w:marRight w:val="0"/>
          <w:marTop w:val="0"/>
          <w:marBottom w:val="0"/>
          <w:divBdr>
            <w:top w:val="none" w:sz="0" w:space="0" w:color="auto"/>
            <w:left w:val="none" w:sz="0" w:space="0" w:color="auto"/>
            <w:bottom w:val="none" w:sz="0" w:space="0" w:color="auto"/>
            <w:right w:val="none" w:sz="0" w:space="0" w:color="auto"/>
          </w:divBdr>
          <w:divsChild>
            <w:div w:id="59184065">
              <w:marLeft w:val="0"/>
              <w:marRight w:val="0"/>
              <w:marTop w:val="120"/>
              <w:marBottom w:val="0"/>
              <w:divBdr>
                <w:top w:val="none" w:sz="0" w:space="0" w:color="auto"/>
                <w:left w:val="none" w:sz="0" w:space="0" w:color="auto"/>
                <w:bottom w:val="none" w:sz="0" w:space="0" w:color="auto"/>
                <w:right w:val="none" w:sz="0" w:space="0" w:color="auto"/>
              </w:divBdr>
            </w:div>
            <w:div w:id="14806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7647">
      <w:bodyDiv w:val="1"/>
      <w:marLeft w:val="0"/>
      <w:marRight w:val="0"/>
      <w:marTop w:val="0"/>
      <w:marBottom w:val="0"/>
      <w:divBdr>
        <w:top w:val="none" w:sz="0" w:space="0" w:color="auto"/>
        <w:left w:val="none" w:sz="0" w:space="0" w:color="auto"/>
        <w:bottom w:val="none" w:sz="0" w:space="0" w:color="auto"/>
        <w:right w:val="none" w:sz="0" w:space="0" w:color="auto"/>
      </w:divBdr>
    </w:div>
    <w:div w:id="601839803">
      <w:bodyDiv w:val="1"/>
      <w:marLeft w:val="0"/>
      <w:marRight w:val="0"/>
      <w:marTop w:val="0"/>
      <w:marBottom w:val="0"/>
      <w:divBdr>
        <w:top w:val="none" w:sz="0" w:space="0" w:color="auto"/>
        <w:left w:val="none" w:sz="0" w:space="0" w:color="auto"/>
        <w:bottom w:val="none" w:sz="0" w:space="0" w:color="auto"/>
        <w:right w:val="none" w:sz="0" w:space="0" w:color="auto"/>
      </w:divBdr>
    </w:div>
    <w:div w:id="602420741">
      <w:bodyDiv w:val="1"/>
      <w:marLeft w:val="0"/>
      <w:marRight w:val="0"/>
      <w:marTop w:val="0"/>
      <w:marBottom w:val="0"/>
      <w:divBdr>
        <w:top w:val="none" w:sz="0" w:space="0" w:color="auto"/>
        <w:left w:val="none" w:sz="0" w:space="0" w:color="auto"/>
        <w:bottom w:val="none" w:sz="0" w:space="0" w:color="auto"/>
        <w:right w:val="none" w:sz="0" w:space="0" w:color="auto"/>
      </w:divBdr>
      <w:divsChild>
        <w:div w:id="1833837617">
          <w:marLeft w:val="0"/>
          <w:marRight w:val="0"/>
          <w:marTop w:val="0"/>
          <w:marBottom w:val="0"/>
          <w:divBdr>
            <w:top w:val="none" w:sz="0" w:space="0" w:color="auto"/>
            <w:left w:val="none" w:sz="0" w:space="0" w:color="auto"/>
            <w:bottom w:val="none" w:sz="0" w:space="0" w:color="auto"/>
            <w:right w:val="none" w:sz="0" w:space="0" w:color="auto"/>
          </w:divBdr>
        </w:div>
      </w:divsChild>
    </w:div>
    <w:div w:id="603078018">
      <w:bodyDiv w:val="1"/>
      <w:marLeft w:val="0"/>
      <w:marRight w:val="0"/>
      <w:marTop w:val="0"/>
      <w:marBottom w:val="0"/>
      <w:divBdr>
        <w:top w:val="none" w:sz="0" w:space="0" w:color="auto"/>
        <w:left w:val="none" w:sz="0" w:space="0" w:color="auto"/>
        <w:bottom w:val="none" w:sz="0" w:space="0" w:color="auto"/>
        <w:right w:val="none" w:sz="0" w:space="0" w:color="auto"/>
      </w:divBdr>
    </w:div>
    <w:div w:id="605043365">
      <w:bodyDiv w:val="1"/>
      <w:marLeft w:val="0"/>
      <w:marRight w:val="0"/>
      <w:marTop w:val="0"/>
      <w:marBottom w:val="0"/>
      <w:divBdr>
        <w:top w:val="none" w:sz="0" w:space="0" w:color="auto"/>
        <w:left w:val="none" w:sz="0" w:space="0" w:color="auto"/>
        <w:bottom w:val="none" w:sz="0" w:space="0" w:color="auto"/>
        <w:right w:val="none" w:sz="0" w:space="0" w:color="auto"/>
      </w:divBdr>
    </w:div>
    <w:div w:id="607584454">
      <w:bodyDiv w:val="1"/>
      <w:marLeft w:val="0"/>
      <w:marRight w:val="0"/>
      <w:marTop w:val="0"/>
      <w:marBottom w:val="0"/>
      <w:divBdr>
        <w:top w:val="none" w:sz="0" w:space="0" w:color="auto"/>
        <w:left w:val="none" w:sz="0" w:space="0" w:color="auto"/>
        <w:bottom w:val="none" w:sz="0" w:space="0" w:color="auto"/>
        <w:right w:val="none" w:sz="0" w:space="0" w:color="auto"/>
      </w:divBdr>
    </w:div>
    <w:div w:id="615017472">
      <w:bodyDiv w:val="1"/>
      <w:marLeft w:val="0"/>
      <w:marRight w:val="0"/>
      <w:marTop w:val="0"/>
      <w:marBottom w:val="0"/>
      <w:divBdr>
        <w:top w:val="none" w:sz="0" w:space="0" w:color="auto"/>
        <w:left w:val="none" w:sz="0" w:space="0" w:color="auto"/>
        <w:bottom w:val="none" w:sz="0" w:space="0" w:color="auto"/>
        <w:right w:val="none" w:sz="0" w:space="0" w:color="auto"/>
      </w:divBdr>
    </w:div>
    <w:div w:id="615524502">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0039638">
      <w:bodyDiv w:val="1"/>
      <w:marLeft w:val="0"/>
      <w:marRight w:val="0"/>
      <w:marTop w:val="0"/>
      <w:marBottom w:val="0"/>
      <w:divBdr>
        <w:top w:val="none" w:sz="0" w:space="0" w:color="auto"/>
        <w:left w:val="none" w:sz="0" w:space="0" w:color="auto"/>
        <w:bottom w:val="none" w:sz="0" w:space="0" w:color="auto"/>
        <w:right w:val="none" w:sz="0" w:space="0" w:color="auto"/>
      </w:divBdr>
    </w:div>
    <w:div w:id="640770013">
      <w:bodyDiv w:val="1"/>
      <w:marLeft w:val="0"/>
      <w:marRight w:val="0"/>
      <w:marTop w:val="0"/>
      <w:marBottom w:val="0"/>
      <w:divBdr>
        <w:top w:val="none" w:sz="0" w:space="0" w:color="auto"/>
        <w:left w:val="none" w:sz="0" w:space="0" w:color="auto"/>
        <w:bottom w:val="none" w:sz="0" w:space="0" w:color="auto"/>
        <w:right w:val="none" w:sz="0" w:space="0" w:color="auto"/>
      </w:divBdr>
    </w:div>
    <w:div w:id="642587184">
      <w:bodyDiv w:val="1"/>
      <w:marLeft w:val="0"/>
      <w:marRight w:val="0"/>
      <w:marTop w:val="0"/>
      <w:marBottom w:val="0"/>
      <w:divBdr>
        <w:top w:val="none" w:sz="0" w:space="0" w:color="auto"/>
        <w:left w:val="none" w:sz="0" w:space="0" w:color="auto"/>
        <w:bottom w:val="none" w:sz="0" w:space="0" w:color="auto"/>
        <w:right w:val="none" w:sz="0" w:space="0" w:color="auto"/>
      </w:divBdr>
    </w:div>
    <w:div w:id="654720418">
      <w:bodyDiv w:val="1"/>
      <w:marLeft w:val="0"/>
      <w:marRight w:val="0"/>
      <w:marTop w:val="0"/>
      <w:marBottom w:val="0"/>
      <w:divBdr>
        <w:top w:val="none" w:sz="0" w:space="0" w:color="auto"/>
        <w:left w:val="none" w:sz="0" w:space="0" w:color="auto"/>
        <w:bottom w:val="none" w:sz="0" w:space="0" w:color="auto"/>
        <w:right w:val="none" w:sz="0" w:space="0" w:color="auto"/>
      </w:divBdr>
    </w:div>
    <w:div w:id="656424487">
      <w:bodyDiv w:val="1"/>
      <w:marLeft w:val="0"/>
      <w:marRight w:val="0"/>
      <w:marTop w:val="0"/>
      <w:marBottom w:val="0"/>
      <w:divBdr>
        <w:top w:val="none" w:sz="0" w:space="0" w:color="auto"/>
        <w:left w:val="none" w:sz="0" w:space="0" w:color="auto"/>
        <w:bottom w:val="none" w:sz="0" w:space="0" w:color="auto"/>
        <w:right w:val="none" w:sz="0" w:space="0" w:color="auto"/>
      </w:divBdr>
    </w:div>
    <w:div w:id="658777296">
      <w:bodyDiv w:val="1"/>
      <w:marLeft w:val="0"/>
      <w:marRight w:val="0"/>
      <w:marTop w:val="0"/>
      <w:marBottom w:val="0"/>
      <w:divBdr>
        <w:top w:val="none" w:sz="0" w:space="0" w:color="auto"/>
        <w:left w:val="none" w:sz="0" w:space="0" w:color="auto"/>
        <w:bottom w:val="none" w:sz="0" w:space="0" w:color="auto"/>
        <w:right w:val="none" w:sz="0" w:space="0" w:color="auto"/>
      </w:divBdr>
    </w:div>
    <w:div w:id="660548290">
      <w:bodyDiv w:val="1"/>
      <w:marLeft w:val="0"/>
      <w:marRight w:val="0"/>
      <w:marTop w:val="0"/>
      <w:marBottom w:val="0"/>
      <w:divBdr>
        <w:top w:val="none" w:sz="0" w:space="0" w:color="auto"/>
        <w:left w:val="none" w:sz="0" w:space="0" w:color="auto"/>
        <w:bottom w:val="none" w:sz="0" w:space="0" w:color="auto"/>
        <w:right w:val="none" w:sz="0" w:space="0" w:color="auto"/>
      </w:divBdr>
    </w:div>
    <w:div w:id="668674919">
      <w:bodyDiv w:val="1"/>
      <w:marLeft w:val="0"/>
      <w:marRight w:val="0"/>
      <w:marTop w:val="0"/>
      <w:marBottom w:val="0"/>
      <w:divBdr>
        <w:top w:val="none" w:sz="0" w:space="0" w:color="auto"/>
        <w:left w:val="none" w:sz="0" w:space="0" w:color="auto"/>
        <w:bottom w:val="none" w:sz="0" w:space="0" w:color="auto"/>
        <w:right w:val="none" w:sz="0" w:space="0" w:color="auto"/>
      </w:divBdr>
    </w:div>
    <w:div w:id="678430302">
      <w:bodyDiv w:val="1"/>
      <w:marLeft w:val="0"/>
      <w:marRight w:val="0"/>
      <w:marTop w:val="0"/>
      <w:marBottom w:val="0"/>
      <w:divBdr>
        <w:top w:val="none" w:sz="0" w:space="0" w:color="auto"/>
        <w:left w:val="none" w:sz="0" w:space="0" w:color="auto"/>
        <w:bottom w:val="none" w:sz="0" w:space="0" w:color="auto"/>
        <w:right w:val="none" w:sz="0" w:space="0" w:color="auto"/>
      </w:divBdr>
    </w:div>
    <w:div w:id="690109700">
      <w:bodyDiv w:val="1"/>
      <w:marLeft w:val="0"/>
      <w:marRight w:val="0"/>
      <w:marTop w:val="0"/>
      <w:marBottom w:val="0"/>
      <w:divBdr>
        <w:top w:val="none" w:sz="0" w:space="0" w:color="auto"/>
        <w:left w:val="none" w:sz="0" w:space="0" w:color="auto"/>
        <w:bottom w:val="none" w:sz="0" w:space="0" w:color="auto"/>
        <w:right w:val="none" w:sz="0" w:space="0" w:color="auto"/>
      </w:divBdr>
    </w:div>
    <w:div w:id="692612600">
      <w:bodyDiv w:val="1"/>
      <w:marLeft w:val="0"/>
      <w:marRight w:val="0"/>
      <w:marTop w:val="0"/>
      <w:marBottom w:val="0"/>
      <w:divBdr>
        <w:top w:val="none" w:sz="0" w:space="0" w:color="auto"/>
        <w:left w:val="none" w:sz="0" w:space="0" w:color="auto"/>
        <w:bottom w:val="none" w:sz="0" w:space="0" w:color="auto"/>
        <w:right w:val="none" w:sz="0" w:space="0" w:color="auto"/>
      </w:divBdr>
    </w:div>
    <w:div w:id="692726612">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700666868">
      <w:bodyDiv w:val="1"/>
      <w:marLeft w:val="0"/>
      <w:marRight w:val="0"/>
      <w:marTop w:val="0"/>
      <w:marBottom w:val="0"/>
      <w:divBdr>
        <w:top w:val="none" w:sz="0" w:space="0" w:color="auto"/>
        <w:left w:val="none" w:sz="0" w:space="0" w:color="auto"/>
        <w:bottom w:val="none" w:sz="0" w:space="0" w:color="auto"/>
        <w:right w:val="none" w:sz="0" w:space="0" w:color="auto"/>
      </w:divBdr>
    </w:div>
    <w:div w:id="717171104">
      <w:bodyDiv w:val="1"/>
      <w:marLeft w:val="0"/>
      <w:marRight w:val="0"/>
      <w:marTop w:val="0"/>
      <w:marBottom w:val="0"/>
      <w:divBdr>
        <w:top w:val="none" w:sz="0" w:space="0" w:color="auto"/>
        <w:left w:val="none" w:sz="0" w:space="0" w:color="auto"/>
        <w:bottom w:val="none" w:sz="0" w:space="0" w:color="auto"/>
        <w:right w:val="none" w:sz="0" w:space="0" w:color="auto"/>
      </w:divBdr>
    </w:div>
    <w:div w:id="720835504">
      <w:bodyDiv w:val="1"/>
      <w:marLeft w:val="0"/>
      <w:marRight w:val="0"/>
      <w:marTop w:val="0"/>
      <w:marBottom w:val="0"/>
      <w:divBdr>
        <w:top w:val="none" w:sz="0" w:space="0" w:color="auto"/>
        <w:left w:val="none" w:sz="0" w:space="0" w:color="auto"/>
        <w:bottom w:val="none" w:sz="0" w:space="0" w:color="auto"/>
        <w:right w:val="none" w:sz="0" w:space="0" w:color="auto"/>
      </w:divBdr>
      <w:divsChild>
        <w:div w:id="1439563924">
          <w:marLeft w:val="0"/>
          <w:marRight w:val="0"/>
          <w:marTop w:val="0"/>
          <w:marBottom w:val="0"/>
          <w:divBdr>
            <w:top w:val="none" w:sz="0" w:space="0" w:color="auto"/>
            <w:left w:val="none" w:sz="0" w:space="0" w:color="auto"/>
            <w:bottom w:val="none" w:sz="0" w:space="0" w:color="auto"/>
            <w:right w:val="none" w:sz="0" w:space="0" w:color="auto"/>
          </w:divBdr>
          <w:divsChild>
            <w:div w:id="5981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160">
      <w:bodyDiv w:val="1"/>
      <w:marLeft w:val="0"/>
      <w:marRight w:val="0"/>
      <w:marTop w:val="0"/>
      <w:marBottom w:val="0"/>
      <w:divBdr>
        <w:top w:val="none" w:sz="0" w:space="0" w:color="auto"/>
        <w:left w:val="none" w:sz="0" w:space="0" w:color="auto"/>
        <w:bottom w:val="none" w:sz="0" w:space="0" w:color="auto"/>
        <w:right w:val="none" w:sz="0" w:space="0" w:color="auto"/>
      </w:divBdr>
    </w:div>
    <w:div w:id="759526151">
      <w:bodyDiv w:val="1"/>
      <w:marLeft w:val="0"/>
      <w:marRight w:val="0"/>
      <w:marTop w:val="0"/>
      <w:marBottom w:val="0"/>
      <w:divBdr>
        <w:top w:val="none" w:sz="0" w:space="0" w:color="auto"/>
        <w:left w:val="none" w:sz="0" w:space="0" w:color="auto"/>
        <w:bottom w:val="none" w:sz="0" w:space="0" w:color="auto"/>
        <w:right w:val="none" w:sz="0" w:space="0" w:color="auto"/>
      </w:divBdr>
    </w:div>
    <w:div w:id="762990117">
      <w:bodyDiv w:val="1"/>
      <w:marLeft w:val="0"/>
      <w:marRight w:val="0"/>
      <w:marTop w:val="0"/>
      <w:marBottom w:val="0"/>
      <w:divBdr>
        <w:top w:val="none" w:sz="0" w:space="0" w:color="auto"/>
        <w:left w:val="none" w:sz="0" w:space="0" w:color="auto"/>
        <w:bottom w:val="none" w:sz="0" w:space="0" w:color="auto"/>
        <w:right w:val="none" w:sz="0" w:space="0" w:color="auto"/>
      </w:divBdr>
    </w:div>
    <w:div w:id="763066429">
      <w:bodyDiv w:val="1"/>
      <w:marLeft w:val="0"/>
      <w:marRight w:val="0"/>
      <w:marTop w:val="0"/>
      <w:marBottom w:val="0"/>
      <w:divBdr>
        <w:top w:val="none" w:sz="0" w:space="0" w:color="auto"/>
        <w:left w:val="none" w:sz="0" w:space="0" w:color="auto"/>
        <w:bottom w:val="none" w:sz="0" w:space="0" w:color="auto"/>
        <w:right w:val="none" w:sz="0" w:space="0" w:color="auto"/>
      </w:divBdr>
    </w:div>
    <w:div w:id="764038394">
      <w:bodyDiv w:val="1"/>
      <w:marLeft w:val="0"/>
      <w:marRight w:val="0"/>
      <w:marTop w:val="0"/>
      <w:marBottom w:val="0"/>
      <w:divBdr>
        <w:top w:val="none" w:sz="0" w:space="0" w:color="auto"/>
        <w:left w:val="none" w:sz="0" w:space="0" w:color="auto"/>
        <w:bottom w:val="none" w:sz="0" w:space="0" w:color="auto"/>
        <w:right w:val="none" w:sz="0" w:space="0" w:color="auto"/>
      </w:divBdr>
    </w:div>
    <w:div w:id="768280962">
      <w:bodyDiv w:val="1"/>
      <w:marLeft w:val="0"/>
      <w:marRight w:val="0"/>
      <w:marTop w:val="0"/>
      <w:marBottom w:val="0"/>
      <w:divBdr>
        <w:top w:val="none" w:sz="0" w:space="0" w:color="auto"/>
        <w:left w:val="none" w:sz="0" w:space="0" w:color="auto"/>
        <w:bottom w:val="none" w:sz="0" w:space="0" w:color="auto"/>
        <w:right w:val="none" w:sz="0" w:space="0" w:color="auto"/>
      </w:divBdr>
    </w:div>
    <w:div w:id="768476194">
      <w:bodyDiv w:val="1"/>
      <w:marLeft w:val="0"/>
      <w:marRight w:val="0"/>
      <w:marTop w:val="0"/>
      <w:marBottom w:val="0"/>
      <w:divBdr>
        <w:top w:val="none" w:sz="0" w:space="0" w:color="auto"/>
        <w:left w:val="none" w:sz="0" w:space="0" w:color="auto"/>
        <w:bottom w:val="none" w:sz="0" w:space="0" w:color="auto"/>
        <w:right w:val="none" w:sz="0" w:space="0" w:color="auto"/>
      </w:divBdr>
    </w:div>
    <w:div w:id="776096920">
      <w:bodyDiv w:val="1"/>
      <w:marLeft w:val="0"/>
      <w:marRight w:val="0"/>
      <w:marTop w:val="0"/>
      <w:marBottom w:val="0"/>
      <w:divBdr>
        <w:top w:val="none" w:sz="0" w:space="0" w:color="auto"/>
        <w:left w:val="none" w:sz="0" w:space="0" w:color="auto"/>
        <w:bottom w:val="none" w:sz="0" w:space="0" w:color="auto"/>
        <w:right w:val="none" w:sz="0" w:space="0" w:color="auto"/>
      </w:divBdr>
    </w:div>
    <w:div w:id="786238634">
      <w:bodyDiv w:val="1"/>
      <w:marLeft w:val="0"/>
      <w:marRight w:val="0"/>
      <w:marTop w:val="0"/>
      <w:marBottom w:val="0"/>
      <w:divBdr>
        <w:top w:val="none" w:sz="0" w:space="0" w:color="auto"/>
        <w:left w:val="none" w:sz="0" w:space="0" w:color="auto"/>
        <w:bottom w:val="none" w:sz="0" w:space="0" w:color="auto"/>
        <w:right w:val="none" w:sz="0" w:space="0" w:color="auto"/>
      </w:divBdr>
    </w:div>
    <w:div w:id="786923027">
      <w:bodyDiv w:val="1"/>
      <w:marLeft w:val="0"/>
      <w:marRight w:val="0"/>
      <w:marTop w:val="0"/>
      <w:marBottom w:val="0"/>
      <w:divBdr>
        <w:top w:val="none" w:sz="0" w:space="0" w:color="auto"/>
        <w:left w:val="none" w:sz="0" w:space="0" w:color="auto"/>
        <w:bottom w:val="none" w:sz="0" w:space="0" w:color="auto"/>
        <w:right w:val="none" w:sz="0" w:space="0" w:color="auto"/>
      </w:divBdr>
    </w:div>
    <w:div w:id="789973093">
      <w:bodyDiv w:val="1"/>
      <w:marLeft w:val="0"/>
      <w:marRight w:val="0"/>
      <w:marTop w:val="0"/>
      <w:marBottom w:val="0"/>
      <w:divBdr>
        <w:top w:val="none" w:sz="0" w:space="0" w:color="auto"/>
        <w:left w:val="none" w:sz="0" w:space="0" w:color="auto"/>
        <w:bottom w:val="none" w:sz="0" w:space="0" w:color="auto"/>
        <w:right w:val="none" w:sz="0" w:space="0" w:color="auto"/>
      </w:divBdr>
    </w:div>
    <w:div w:id="792866227">
      <w:bodyDiv w:val="1"/>
      <w:marLeft w:val="0"/>
      <w:marRight w:val="0"/>
      <w:marTop w:val="0"/>
      <w:marBottom w:val="0"/>
      <w:divBdr>
        <w:top w:val="none" w:sz="0" w:space="0" w:color="auto"/>
        <w:left w:val="none" w:sz="0" w:space="0" w:color="auto"/>
        <w:bottom w:val="none" w:sz="0" w:space="0" w:color="auto"/>
        <w:right w:val="none" w:sz="0" w:space="0" w:color="auto"/>
      </w:divBdr>
      <w:divsChild>
        <w:div w:id="466975469">
          <w:marLeft w:val="0"/>
          <w:marRight w:val="0"/>
          <w:marTop w:val="0"/>
          <w:marBottom w:val="0"/>
          <w:divBdr>
            <w:top w:val="none" w:sz="0" w:space="0" w:color="auto"/>
            <w:left w:val="none" w:sz="0" w:space="0" w:color="auto"/>
            <w:bottom w:val="none" w:sz="0" w:space="0" w:color="auto"/>
            <w:right w:val="none" w:sz="0" w:space="0" w:color="auto"/>
          </w:divBdr>
          <w:divsChild>
            <w:div w:id="3350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0483">
      <w:bodyDiv w:val="1"/>
      <w:marLeft w:val="0"/>
      <w:marRight w:val="0"/>
      <w:marTop w:val="0"/>
      <w:marBottom w:val="0"/>
      <w:divBdr>
        <w:top w:val="none" w:sz="0" w:space="0" w:color="auto"/>
        <w:left w:val="none" w:sz="0" w:space="0" w:color="auto"/>
        <w:bottom w:val="none" w:sz="0" w:space="0" w:color="auto"/>
        <w:right w:val="none" w:sz="0" w:space="0" w:color="auto"/>
      </w:divBdr>
    </w:div>
    <w:div w:id="799297954">
      <w:bodyDiv w:val="1"/>
      <w:marLeft w:val="0"/>
      <w:marRight w:val="0"/>
      <w:marTop w:val="0"/>
      <w:marBottom w:val="0"/>
      <w:divBdr>
        <w:top w:val="none" w:sz="0" w:space="0" w:color="auto"/>
        <w:left w:val="none" w:sz="0" w:space="0" w:color="auto"/>
        <w:bottom w:val="none" w:sz="0" w:space="0" w:color="auto"/>
        <w:right w:val="none" w:sz="0" w:space="0" w:color="auto"/>
      </w:divBdr>
    </w:div>
    <w:div w:id="812136331">
      <w:bodyDiv w:val="1"/>
      <w:marLeft w:val="0"/>
      <w:marRight w:val="0"/>
      <w:marTop w:val="0"/>
      <w:marBottom w:val="0"/>
      <w:divBdr>
        <w:top w:val="none" w:sz="0" w:space="0" w:color="auto"/>
        <w:left w:val="none" w:sz="0" w:space="0" w:color="auto"/>
        <w:bottom w:val="none" w:sz="0" w:space="0" w:color="auto"/>
        <w:right w:val="none" w:sz="0" w:space="0" w:color="auto"/>
      </w:divBdr>
    </w:div>
    <w:div w:id="820846282">
      <w:bodyDiv w:val="1"/>
      <w:marLeft w:val="0"/>
      <w:marRight w:val="0"/>
      <w:marTop w:val="0"/>
      <w:marBottom w:val="0"/>
      <w:divBdr>
        <w:top w:val="none" w:sz="0" w:space="0" w:color="auto"/>
        <w:left w:val="none" w:sz="0" w:space="0" w:color="auto"/>
        <w:bottom w:val="none" w:sz="0" w:space="0" w:color="auto"/>
        <w:right w:val="none" w:sz="0" w:space="0" w:color="auto"/>
      </w:divBdr>
      <w:divsChild>
        <w:div w:id="244266509">
          <w:marLeft w:val="0"/>
          <w:marRight w:val="0"/>
          <w:marTop w:val="0"/>
          <w:marBottom w:val="0"/>
          <w:divBdr>
            <w:top w:val="none" w:sz="0" w:space="0" w:color="auto"/>
            <w:left w:val="none" w:sz="0" w:space="0" w:color="auto"/>
            <w:bottom w:val="none" w:sz="0" w:space="0" w:color="auto"/>
            <w:right w:val="none" w:sz="0" w:space="0" w:color="auto"/>
          </w:divBdr>
        </w:div>
      </w:divsChild>
    </w:div>
    <w:div w:id="828523197">
      <w:bodyDiv w:val="1"/>
      <w:marLeft w:val="0"/>
      <w:marRight w:val="0"/>
      <w:marTop w:val="0"/>
      <w:marBottom w:val="0"/>
      <w:divBdr>
        <w:top w:val="none" w:sz="0" w:space="0" w:color="auto"/>
        <w:left w:val="none" w:sz="0" w:space="0" w:color="auto"/>
        <w:bottom w:val="none" w:sz="0" w:space="0" w:color="auto"/>
        <w:right w:val="none" w:sz="0" w:space="0" w:color="auto"/>
      </w:divBdr>
    </w:div>
    <w:div w:id="836190406">
      <w:bodyDiv w:val="1"/>
      <w:marLeft w:val="0"/>
      <w:marRight w:val="0"/>
      <w:marTop w:val="0"/>
      <w:marBottom w:val="0"/>
      <w:divBdr>
        <w:top w:val="none" w:sz="0" w:space="0" w:color="auto"/>
        <w:left w:val="none" w:sz="0" w:space="0" w:color="auto"/>
        <w:bottom w:val="none" w:sz="0" w:space="0" w:color="auto"/>
        <w:right w:val="none" w:sz="0" w:space="0" w:color="auto"/>
      </w:divBdr>
    </w:div>
    <w:div w:id="841698932">
      <w:bodyDiv w:val="1"/>
      <w:marLeft w:val="0"/>
      <w:marRight w:val="0"/>
      <w:marTop w:val="0"/>
      <w:marBottom w:val="0"/>
      <w:divBdr>
        <w:top w:val="none" w:sz="0" w:space="0" w:color="auto"/>
        <w:left w:val="none" w:sz="0" w:space="0" w:color="auto"/>
        <w:bottom w:val="none" w:sz="0" w:space="0" w:color="auto"/>
        <w:right w:val="none" w:sz="0" w:space="0" w:color="auto"/>
      </w:divBdr>
    </w:div>
    <w:div w:id="841970964">
      <w:bodyDiv w:val="1"/>
      <w:marLeft w:val="0"/>
      <w:marRight w:val="0"/>
      <w:marTop w:val="0"/>
      <w:marBottom w:val="0"/>
      <w:divBdr>
        <w:top w:val="none" w:sz="0" w:space="0" w:color="auto"/>
        <w:left w:val="none" w:sz="0" w:space="0" w:color="auto"/>
        <w:bottom w:val="none" w:sz="0" w:space="0" w:color="auto"/>
        <w:right w:val="none" w:sz="0" w:space="0" w:color="auto"/>
      </w:divBdr>
    </w:div>
    <w:div w:id="848636285">
      <w:bodyDiv w:val="1"/>
      <w:marLeft w:val="0"/>
      <w:marRight w:val="0"/>
      <w:marTop w:val="0"/>
      <w:marBottom w:val="0"/>
      <w:divBdr>
        <w:top w:val="none" w:sz="0" w:space="0" w:color="auto"/>
        <w:left w:val="none" w:sz="0" w:space="0" w:color="auto"/>
        <w:bottom w:val="none" w:sz="0" w:space="0" w:color="auto"/>
        <w:right w:val="none" w:sz="0" w:space="0" w:color="auto"/>
      </w:divBdr>
    </w:div>
    <w:div w:id="851261011">
      <w:bodyDiv w:val="1"/>
      <w:marLeft w:val="0"/>
      <w:marRight w:val="0"/>
      <w:marTop w:val="0"/>
      <w:marBottom w:val="0"/>
      <w:divBdr>
        <w:top w:val="none" w:sz="0" w:space="0" w:color="auto"/>
        <w:left w:val="none" w:sz="0" w:space="0" w:color="auto"/>
        <w:bottom w:val="none" w:sz="0" w:space="0" w:color="auto"/>
        <w:right w:val="none" w:sz="0" w:space="0" w:color="auto"/>
      </w:divBdr>
    </w:div>
    <w:div w:id="855846702">
      <w:bodyDiv w:val="1"/>
      <w:marLeft w:val="0"/>
      <w:marRight w:val="0"/>
      <w:marTop w:val="0"/>
      <w:marBottom w:val="0"/>
      <w:divBdr>
        <w:top w:val="none" w:sz="0" w:space="0" w:color="auto"/>
        <w:left w:val="none" w:sz="0" w:space="0" w:color="auto"/>
        <w:bottom w:val="none" w:sz="0" w:space="0" w:color="auto"/>
        <w:right w:val="none" w:sz="0" w:space="0" w:color="auto"/>
      </w:divBdr>
    </w:div>
    <w:div w:id="864756707">
      <w:bodyDiv w:val="1"/>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1156267218">
              <w:marLeft w:val="0"/>
              <w:marRight w:val="0"/>
              <w:marTop w:val="0"/>
              <w:marBottom w:val="0"/>
              <w:divBdr>
                <w:top w:val="none" w:sz="0" w:space="0" w:color="auto"/>
                <w:left w:val="none" w:sz="0" w:space="0" w:color="auto"/>
                <w:bottom w:val="none" w:sz="0" w:space="0" w:color="auto"/>
                <w:right w:val="none" w:sz="0" w:space="0" w:color="auto"/>
              </w:divBdr>
              <w:divsChild>
                <w:div w:id="205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1359">
      <w:bodyDiv w:val="1"/>
      <w:marLeft w:val="0"/>
      <w:marRight w:val="0"/>
      <w:marTop w:val="0"/>
      <w:marBottom w:val="0"/>
      <w:divBdr>
        <w:top w:val="none" w:sz="0" w:space="0" w:color="auto"/>
        <w:left w:val="none" w:sz="0" w:space="0" w:color="auto"/>
        <w:bottom w:val="none" w:sz="0" w:space="0" w:color="auto"/>
        <w:right w:val="none" w:sz="0" w:space="0" w:color="auto"/>
      </w:divBdr>
      <w:divsChild>
        <w:div w:id="337080092">
          <w:marLeft w:val="0"/>
          <w:marRight w:val="0"/>
          <w:marTop w:val="0"/>
          <w:marBottom w:val="0"/>
          <w:divBdr>
            <w:top w:val="none" w:sz="0" w:space="0" w:color="auto"/>
            <w:left w:val="none" w:sz="0" w:space="0" w:color="auto"/>
            <w:bottom w:val="none" w:sz="0" w:space="0" w:color="auto"/>
            <w:right w:val="none" w:sz="0" w:space="0" w:color="auto"/>
          </w:divBdr>
          <w:divsChild>
            <w:div w:id="1639338376">
              <w:marLeft w:val="0"/>
              <w:marRight w:val="0"/>
              <w:marTop w:val="0"/>
              <w:marBottom w:val="0"/>
              <w:divBdr>
                <w:top w:val="none" w:sz="0" w:space="0" w:color="auto"/>
                <w:left w:val="none" w:sz="0" w:space="0" w:color="auto"/>
                <w:bottom w:val="none" w:sz="0" w:space="0" w:color="auto"/>
                <w:right w:val="none" w:sz="0" w:space="0" w:color="auto"/>
              </w:divBdr>
            </w:div>
            <w:div w:id="837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2538">
      <w:bodyDiv w:val="1"/>
      <w:marLeft w:val="0"/>
      <w:marRight w:val="0"/>
      <w:marTop w:val="0"/>
      <w:marBottom w:val="0"/>
      <w:divBdr>
        <w:top w:val="none" w:sz="0" w:space="0" w:color="auto"/>
        <w:left w:val="none" w:sz="0" w:space="0" w:color="auto"/>
        <w:bottom w:val="none" w:sz="0" w:space="0" w:color="auto"/>
        <w:right w:val="none" w:sz="0" w:space="0" w:color="auto"/>
      </w:divBdr>
    </w:div>
    <w:div w:id="876813846">
      <w:bodyDiv w:val="1"/>
      <w:marLeft w:val="0"/>
      <w:marRight w:val="0"/>
      <w:marTop w:val="0"/>
      <w:marBottom w:val="0"/>
      <w:divBdr>
        <w:top w:val="none" w:sz="0" w:space="0" w:color="auto"/>
        <w:left w:val="none" w:sz="0" w:space="0" w:color="auto"/>
        <w:bottom w:val="none" w:sz="0" w:space="0" w:color="auto"/>
        <w:right w:val="none" w:sz="0" w:space="0" w:color="auto"/>
      </w:divBdr>
    </w:div>
    <w:div w:id="878711008">
      <w:bodyDiv w:val="1"/>
      <w:marLeft w:val="0"/>
      <w:marRight w:val="0"/>
      <w:marTop w:val="0"/>
      <w:marBottom w:val="0"/>
      <w:divBdr>
        <w:top w:val="none" w:sz="0" w:space="0" w:color="auto"/>
        <w:left w:val="none" w:sz="0" w:space="0" w:color="auto"/>
        <w:bottom w:val="none" w:sz="0" w:space="0" w:color="auto"/>
        <w:right w:val="none" w:sz="0" w:space="0" w:color="auto"/>
      </w:divBdr>
    </w:div>
    <w:div w:id="886723767">
      <w:bodyDiv w:val="1"/>
      <w:marLeft w:val="0"/>
      <w:marRight w:val="0"/>
      <w:marTop w:val="0"/>
      <w:marBottom w:val="0"/>
      <w:divBdr>
        <w:top w:val="none" w:sz="0" w:space="0" w:color="auto"/>
        <w:left w:val="none" w:sz="0" w:space="0" w:color="auto"/>
        <w:bottom w:val="none" w:sz="0" w:space="0" w:color="auto"/>
        <w:right w:val="none" w:sz="0" w:space="0" w:color="auto"/>
      </w:divBdr>
    </w:div>
    <w:div w:id="888146831">
      <w:bodyDiv w:val="1"/>
      <w:marLeft w:val="0"/>
      <w:marRight w:val="0"/>
      <w:marTop w:val="0"/>
      <w:marBottom w:val="0"/>
      <w:divBdr>
        <w:top w:val="none" w:sz="0" w:space="0" w:color="auto"/>
        <w:left w:val="none" w:sz="0" w:space="0" w:color="auto"/>
        <w:bottom w:val="none" w:sz="0" w:space="0" w:color="auto"/>
        <w:right w:val="none" w:sz="0" w:space="0" w:color="auto"/>
      </w:divBdr>
    </w:div>
    <w:div w:id="888998855">
      <w:bodyDiv w:val="1"/>
      <w:marLeft w:val="0"/>
      <w:marRight w:val="0"/>
      <w:marTop w:val="0"/>
      <w:marBottom w:val="0"/>
      <w:divBdr>
        <w:top w:val="none" w:sz="0" w:space="0" w:color="auto"/>
        <w:left w:val="none" w:sz="0" w:space="0" w:color="auto"/>
        <w:bottom w:val="none" w:sz="0" w:space="0" w:color="auto"/>
        <w:right w:val="none" w:sz="0" w:space="0" w:color="auto"/>
      </w:divBdr>
      <w:divsChild>
        <w:div w:id="1642923777">
          <w:marLeft w:val="0"/>
          <w:marRight w:val="0"/>
          <w:marTop w:val="0"/>
          <w:marBottom w:val="0"/>
          <w:divBdr>
            <w:top w:val="none" w:sz="0" w:space="0" w:color="auto"/>
            <w:left w:val="none" w:sz="0" w:space="0" w:color="auto"/>
            <w:bottom w:val="none" w:sz="0" w:space="0" w:color="auto"/>
            <w:right w:val="none" w:sz="0" w:space="0" w:color="auto"/>
          </w:divBdr>
          <w:divsChild>
            <w:div w:id="1992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2470">
      <w:bodyDiv w:val="1"/>
      <w:marLeft w:val="0"/>
      <w:marRight w:val="0"/>
      <w:marTop w:val="0"/>
      <w:marBottom w:val="0"/>
      <w:divBdr>
        <w:top w:val="none" w:sz="0" w:space="0" w:color="auto"/>
        <w:left w:val="none" w:sz="0" w:space="0" w:color="auto"/>
        <w:bottom w:val="none" w:sz="0" w:space="0" w:color="auto"/>
        <w:right w:val="none" w:sz="0" w:space="0" w:color="auto"/>
      </w:divBdr>
    </w:div>
    <w:div w:id="899246804">
      <w:bodyDiv w:val="1"/>
      <w:marLeft w:val="0"/>
      <w:marRight w:val="0"/>
      <w:marTop w:val="0"/>
      <w:marBottom w:val="0"/>
      <w:divBdr>
        <w:top w:val="none" w:sz="0" w:space="0" w:color="auto"/>
        <w:left w:val="none" w:sz="0" w:space="0" w:color="auto"/>
        <w:bottom w:val="none" w:sz="0" w:space="0" w:color="auto"/>
        <w:right w:val="none" w:sz="0" w:space="0" w:color="auto"/>
      </w:divBdr>
    </w:div>
    <w:div w:id="904995695">
      <w:bodyDiv w:val="1"/>
      <w:marLeft w:val="0"/>
      <w:marRight w:val="0"/>
      <w:marTop w:val="0"/>
      <w:marBottom w:val="0"/>
      <w:divBdr>
        <w:top w:val="none" w:sz="0" w:space="0" w:color="auto"/>
        <w:left w:val="none" w:sz="0" w:space="0" w:color="auto"/>
        <w:bottom w:val="none" w:sz="0" w:space="0" w:color="auto"/>
        <w:right w:val="none" w:sz="0" w:space="0" w:color="auto"/>
      </w:divBdr>
    </w:div>
    <w:div w:id="912660549">
      <w:bodyDiv w:val="1"/>
      <w:marLeft w:val="0"/>
      <w:marRight w:val="0"/>
      <w:marTop w:val="0"/>
      <w:marBottom w:val="0"/>
      <w:divBdr>
        <w:top w:val="none" w:sz="0" w:space="0" w:color="auto"/>
        <w:left w:val="none" w:sz="0" w:space="0" w:color="auto"/>
        <w:bottom w:val="none" w:sz="0" w:space="0" w:color="auto"/>
        <w:right w:val="none" w:sz="0" w:space="0" w:color="auto"/>
      </w:divBdr>
    </w:div>
    <w:div w:id="918365682">
      <w:bodyDiv w:val="1"/>
      <w:marLeft w:val="0"/>
      <w:marRight w:val="0"/>
      <w:marTop w:val="0"/>
      <w:marBottom w:val="0"/>
      <w:divBdr>
        <w:top w:val="none" w:sz="0" w:space="0" w:color="auto"/>
        <w:left w:val="none" w:sz="0" w:space="0" w:color="auto"/>
        <w:bottom w:val="none" w:sz="0" w:space="0" w:color="auto"/>
        <w:right w:val="none" w:sz="0" w:space="0" w:color="auto"/>
      </w:divBdr>
    </w:div>
    <w:div w:id="933978000">
      <w:bodyDiv w:val="1"/>
      <w:marLeft w:val="0"/>
      <w:marRight w:val="0"/>
      <w:marTop w:val="0"/>
      <w:marBottom w:val="0"/>
      <w:divBdr>
        <w:top w:val="none" w:sz="0" w:space="0" w:color="auto"/>
        <w:left w:val="none" w:sz="0" w:space="0" w:color="auto"/>
        <w:bottom w:val="none" w:sz="0" w:space="0" w:color="auto"/>
        <w:right w:val="none" w:sz="0" w:space="0" w:color="auto"/>
      </w:divBdr>
    </w:div>
    <w:div w:id="945385008">
      <w:bodyDiv w:val="1"/>
      <w:marLeft w:val="0"/>
      <w:marRight w:val="0"/>
      <w:marTop w:val="0"/>
      <w:marBottom w:val="0"/>
      <w:divBdr>
        <w:top w:val="none" w:sz="0" w:space="0" w:color="auto"/>
        <w:left w:val="none" w:sz="0" w:space="0" w:color="auto"/>
        <w:bottom w:val="none" w:sz="0" w:space="0" w:color="auto"/>
        <w:right w:val="none" w:sz="0" w:space="0" w:color="auto"/>
      </w:divBdr>
    </w:div>
    <w:div w:id="946617427">
      <w:bodyDiv w:val="1"/>
      <w:marLeft w:val="0"/>
      <w:marRight w:val="0"/>
      <w:marTop w:val="0"/>
      <w:marBottom w:val="0"/>
      <w:divBdr>
        <w:top w:val="none" w:sz="0" w:space="0" w:color="auto"/>
        <w:left w:val="none" w:sz="0" w:space="0" w:color="auto"/>
        <w:bottom w:val="none" w:sz="0" w:space="0" w:color="auto"/>
        <w:right w:val="none" w:sz="0" w:space="0" w:color="auto"/>
      </w:divBdr>
    </w:div>
    <w:div w:id="948045667">
      <w:bodyDiv w:val="1"/>
      <w:marLeft w:val="0"/>
      <w:marRight w:val="0"/>
      <w:marTop w:val="0"/>
      <w:marBottom w:val="0"/>
      <w:divBdr>
        <w:top w:val="none" w:sz="0" w:space="0" w:color="auto"/>
        <w:left w:val="none" w:sz="0" w:space="0" w:color="auto"/>
        <w:bottom w:val="none" w:sz="0" w:space="0" w:color="auto"/>
        <w:right w:val="none" w:sz="0" w:space="0" w:color="auto"/>
      </w:divBdr>
    </w:div>
    <w:div w:id="949314794">
      <w:bodyDiv w:val="1"/>
      <w:marLeft w:val="0"/>
      <w:marRight w:val="0"/>
      <w:marTop w:val="0"/>
      <w:marBottom w:val="0"/>
      <w:divBdr>
        <w:top w:val="none" w:sz="0" w:space="0" w:color="auto"/>
        <w:left w:val="none" w:sz="0" w:space="0" w:color="auto"/>
        <w:bottom w:val="none" w:sz="0" w:space="0" w:color="auto"/>
        <w:right w:val="none" w:sz="0" w:space="0" w:color="auto"/>
      </w:divBdr>
    </w:div>
    <w:div w:id="949429924">
      <w:bodyDiv w:val="1"/>
      <w:marLeft w:val="0"/>
      <w:marRight w:val="0"/>
      <w:marTop w:val="0"/>
      <w:marBottom w:val="0"/>
      <w:divBdr>
        <w:top w:val="none" w:sz="0" w:space="0" w:color="auto"/>
        <w:left w:val="none" w:sz="0" w:space="0" w:color="auto"/>
        <w:bottom w:val="none" w:sz="0" w:space="0" w:color="auto"/>
        <w:right w:val="none" w:sz="0" w:space="0" w:color="auto"/>
      </w:divBdr>
      <w:divsChild>
        <w:div w:id="124199742">
          <w:marLeft w:val="0"/>
          <w:marRight w:val="0"/>
          <w:marTop w:val="0"/>
          <w:marBottom w:val="0"/>
          <w:divBdr>
            <w:top w:val="none" w:sz="0" w:space="0" w:color="auto"/>
            <w:left w:val="none" w:sz="0" w:space="0" w:color="auto"/>
            <w:bottom w:val="none" w:sz="0" w:space="0" w:color="auto"/>
            <w:right w:val="none" w:sz="0" w:space="0" w:color="auto"/>
          </w:divBdr>
        </w:div>
        <w:div w:id="920986051">
          <w:marLeft w:val="810"/>
          <w:marRight w:val="810"/>
          <w:marTop w:val="360"/>
          <w:marBottom w:val="0"/>
          <w:divBdr>
            <w:top w:val="none" w:sz="0" w:space="0" w:color="auto"/>
            <w:left w:val="none" w:sz="0" w:space="0" w:color="auto"/>
            <w:bottom w:val="none" w:sz="0" w:space="0" w:color="auto"/>
            <w:right w:val="none" w:sz="0" w:space="0" w:color="auto"/>
          </w:divBdr>
          <w:divsChild>
            <w:div w:id="189994221">
              <w:marLeft w:val="4005"/>
              <w:marRight w:val="810"/>
              <w:marTop w:val="0"/>
              <w:marBottom w:val="0"/>
              <w:divBdr>
                <w:top w:val="none" w:sz="0" w:space="0" w:color="auto"/>
                <w:left w:val="none" w:sz="0" w:space="0" w:color="auto"/>
                <w:bottom w:val="none" w:sz="0" w:space="0" w:color="auto"/>
                <w:right w:val="none" w:sz="0" w:space="0" w:color="auto"/>
              </w:divBdr>
            </w:div>
            <w:div w:id="134212391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52250903">
      <w:bodyDiv w:val="1"/>
      <w:marLeft w:val="0"/>
      <w:marRight w:val="0"/>
      <w:marTop w:val="0"/>
      <w:marBottom w:val="0"/>
      <w:divBdr>
        <w:top w:val="none" w:sz="0" w:space="0" w:color="auto"/>
        <w:left w:val="none" w:sz="0" w:space="0" w:color="auto"/>
        <w:bottom w:val="none" w:sz="0" w:space="0" w:color="auto"/>
        <w:right w:val="none" w:sz="0" w:space="0" w:color="auto"/>
      </w:divBdr>
    </w:div>
    <w:div w:id="954603077">
      <w:bodyDiv w:val="1"/>
      <w:marLeft w:val="0"/>
      <w:marRight w:val="0"/>
      <w:marTop w:val="0"/>
      <w:marBottom w:val="0"/>
      <w:divBdr>
        <w:top w:val="none" w:sz="0" w:space="0" w:color="auto"/>
        <w:left w:val="none" w:sz="0" w:space="0" w:color="auto"/>
        <w:bottom w:val="none" w:sz="0" w:space="0" w:color="auto"/>
        <w:right w:val="none" w:sz="0" w:space="0" w:color="auto"/>
      </w:divBdr>
    </w:div>
    <w:div w:id="955527692">
      <w:bodyDiv w:val="1"/>
      <w:marLeft w:val="0"/>
      <w:marRight w:val="0"/>
      <w:marTop w:val="0"/>
      <w:marBottom w:val="0"/>
      <w:divBdr>
        <w:top w:val="none" w:sz="0" w:space="0" w:color="auto"/>
        <w:left w:val="none" w:sz="0" w:space="0" w:color="auto"/>
        <w:bottom w:val="none" w:sz="0" w:space="0" w:color="auto"/>
        <w:right w:val="none" w:sz="0" w:space="0" w:color="auto"/>
      </w:divBdr>
    </w:div>
    <w:div w:id="969479746">
      <w:bodyDiv w:val="1"/>
      <w:marLeft w:val="0"/>
      <w:marRight w:val="0"/>
      <w:marTop w:val="0"/>
      <w:marBottom w:val="0"/>
      <w:divBdr>
        <w:top w:val="none" w:sz="0" w:space="0" w:color="auto"/>
        <w:left w:val="none" w:sz="0" w:space="0" w:color="auto"/>
        <w:bottom w:val="none" w:sz="0" w:space="0" w:color="auto"/>
        <w:right w:val="none" w:sz="0" w:space="0" w:color="auto"/>
      </w:divBdr>
    </w:div>
    <w:div w:id="970136787">
      <w:bodyDiv w:val="1"/>
      <w:marLeft w:val="0"/>
      <w:marRight w:val="0"/>
      <w:marTop w:val="0"/>
      <w:marBottom w:val="0"/>
      <w:divBdr>
        <w:top w:val="none" w:sz="0" w:space="0" w:color="auto"/>
        <w:left w:val="none" w:sz="0" w:space="0" w:color="auto"/>
        <w:bottom w:val="none" w:sz="0" w:space="0" w:color="auto"/>
        <w:right w:val="none" w:sz="0" w:space="0" w:color="auto"/>
      </w:divBdr>
    </w:div>
    <w:div w:id="975721774">
      <w:bodyDiv w:val="1"/>
      <w:marLeft w:val="0"/>
      <w:marRight w:val="0"/>
      <w:marTop w:val="0"/>
      <w:marBottom w:val="0"/>
      <w:divBdr>
        <w:top w:val="none" w:sz="0" w:space="0" w:color="auto"/>
        <w:left w:val="none" w:sz="0" w:space="0" w:color="auto"/>
        <w:bottom w:val="none" w:sz="0" w:space="0" w:color="auto"/>
        <w:right w:val="none" w:sz="0" w:space="0" w:color="auto"/>
      </w:divBdr>
    </w:div>
    <w:div w:id="976691445">
      <w:bodyDiv w:val="1"/>
      <w:marLeft w:val="0"/>
      <w:marRight w:val="0"/>
      <w:marTop w:val="0"/>
      <w:marBottom w:val="0"/>
      <w:divBdr>
        <w:top w:val="none" w:sz="0" w:space="0" w:color="auto"/>
        <w:left w:val="none" w:sz="0" w:space="0" w:color="auto"/>
        <w:bottom w:val="none" w:sz="0" w:space="0" w:color="auto"/>
        <w:right w:val="none" w:sz="0" w:space="0" w:color="auto"/>
      </w:divBdr>
    </w:div>
    <w:div w:id="979071518">
      <w:bodyDiv w:val="1"/>
      <w:marLeft w:val="0"/>
      <w:marRight w:val="0"/>
      <w:marTop w:val="0"/>
      <w:marBottom w:val="0"/>
      <w:divBdr>
        <w:top w:val="none" w:sz="0" w:space="0" w:color="auto"/>
        <w:left w:val="none" w:sz="0" w:space="0" w:color="auto"/>
        <w:bottom w:val="none" w:sz="0" w:space="0" w:color="auto"/>
        <w:right w:val="none" w:sz="0" w:space="0" w:color="auto"/>
      </w:divBdr>
    </w:div>
    <w:div w:id="980307490">
      <w:bodyDiv w:val="1"/>
      <w:marLeft w:val="0"/>
      <w:marRight w:val="0"/>
      <w:marTop w:val="0"/>
      <w:marBottom w:val="0"/>
      <w:divBdr>
        <w:top w:val="none" w:sz="0" w:space="0" w:color="auto"/>
        <w:left w:val="none" w:sz="0" w:space="0" w:color="auto"/>
        <w:bottom w:val="none" w:sz="0" w:space="0" w:color="auto"/>
        <w:right w:val="none" w:sz="0" w:space="0" w:color="auto"/>
      </w:divBdr>
    </w:div>
    <w:div w:id="981543230">
      <w:bodyDiv w:val="1"/>
      <w:marLeft w:val="0"/>
      <w:marRight w:val="0"/>
      <w:marTop w:val="0"/>
      <w:marBottom w:val="0"/>
      <w:divBdr>
        <w:top w:val="none" w:sz="0" w:space="0" w:color="auto"/>
        <w:left w:val="none" w:sz="0" w:space="0" w:color="auto"/>
        <w:bottom w:val="none" w:sz="0" w:space="0" w:color="auto"/>
        <w:right w:val="none" w:sz="0" w:space="0" w:color="auto"/>
      </w:divBdr>
      <w:divsChild>
        <w:div w:id="1940136500">
          <w:marLeft w:val="0"/>
          <w:marRight w:val="0"/>
          <w:marTop w:val="0"/>
          <w:marBottom w:val="0"/>
          <w:divBdr>
            <w:top w:val="none" w:sz="0" w:space="0" w:color="auto"/>
            <w:left w:val="none" w:sz="0" w:space="0" w:color="auto"/>
            <w:bottom w:val="none" w:sz="0" w:space="0" w:color="auto"/>
            <w:right w:val="none" w:sz="0" w:space="0" w:color="auto"/>
          </w:divBdr>
          <w:divsChild>
            <w:div w:id="401486838">
              <w:marLeft w:val="0"/>
              <w:marRight w:val="0"/>
              <w:marTop w:val="0"/>
              <w:marBottom w:val="0"/>
              <w:divBdr>
                <w:top w:val="none" w:sz="0" w:space="0" w:color="auto"/>
                <w:left w:val="none" w:sz="0" w:space="0" w:color="auto"/>
                <w:bottom w:val="none" w:sz="0" w:space="0" w:color="auto"/>
                <w:right w:val="none" w:sz="0" w:space="0" w:color="auto"/>
              </w:divBdr>
              <w:divsChild>
                <w:div w:id="161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5049">
      <w:bodyDiv w:val="1"/>
      <w:marLeft w:val="0"/>
      <w:marRight w:val="0"/>
      <w:marTop w:val="0"/>
      <w:marBottom w:val="0"/>
      <w:divBdr>
        <w:top w:val="none" w:sz="0" w:space="0" w:color="auto"/>
        <w:left w:val="none" w:sz="0" w:space="0" w:color="auto"/>
        <w:bottom w:val="none" w:sz="0" w:space="0" w:color="auto"/>
        <w:right w:val="none" w:sz="0" w:space="0" w:color="auto"/>
      </w:divBdr>
    </w:div>
    <w:div w:id="993336497">
      <w:bodyDiv w:val="1"/>
      <w:marLeft w:val="0"/>
      <w:marRight w:val="0"/>
      <w:marTop w:val="0"/>
      <w:marBottom w:val="0"/>
      <w:divBdr>
        <w:top w:val="none" w:sz="0" w:space="0" w:color="auto"/>
        <w:left w:val="none" w:sz="0" w:space="0" w:color="auto"/>
        <w:bottom w:val="none" w:sz="0" w:space="0" w:color="auto"/>
        <w:right w:val="none" w:sz="0" w:space="0" w:color="auto"/>
      </w:divBdr>
    </w:div>
    <w:div w:id="1000350319">
      <w:bodyDiv w:val="1"/>
      <w:marLeft w:val="0"/>
      <w:marRight w:val="0"/>
      <w:marTop w:val="0"/>
      <w:marBottom w:val="0"/>
      <w:divBdr>
        <w:top w:val="none" w:sz="0" w:space="0" w:color="auto"/>
        <w:left w:val="none" w:sz="0" w:space="0" w:color="auto"/>
        <w:bottom w:val="none" w:sz="0" w:space="0" w:color="auto"/>
        <w:right w:val="none" w:sz="0" w:space="0" w:color="auto"/>
      </w:divBdr>
    </w:div>
    <w:div w:id="1012996014">
      <w:bodyDiv w:val="1"/>
      <w:marLeft w:val="0"/>
      <w:marRight w:val="0"/>
      <w:marTop w:val="0"/>
      <w:marBottom w:val="0"/>
      <w:divBdr>
        <w:top w:val="none" w:sz="0" w:space="0" w:color="auto"/>
        <w:left w:val="none" w:sz="0" w:space="0" w:color="auto"/>
        <w:bottom w:val="none" w:sz="0" w:space="0" w:color="auto"/>
        <w:right w:val="none" w:sz="0" w:space="0" w:color="auto"/>
      </w:divBdr>
    </w:div>
    <w:div w:id="1019618741">
      <w:bodyDiv w:val="1"/>
      <w:marLeft w:val="0"/>
      <w:marRight w:val="0"/>
      <w:marTop w:val="0"/>
      <w:marBottom w:val="0"/>
      <w:divBdr>
        <w:top w:val="none" w:sz="0" w:space="0" w:color="auto"/>
        <w:left w:val="none" w:sz="0" w:space="0" w:color="auto"/>
        <w:bottom w:val="none" w:sz="0" w:space="0" w:color="auto"/>
        <w:right w:val="none" w:sz="0" w:space="0" w:color="auto"/>
      </w:divBdr>
    </w:div>
    <w:div w:id="1021204786">
      <w:bodyDiv w:val="1"/>
      <w:marLeft w:val="0"/>
      <w:marRight w:val="0"/>
      <w:marTop w:val="0"/>
      <w:marBottom w:val="0"/>
      <w:divBdr>
        <w:top w:val="none" w:sz="0" w:space="0" w:color="auto"/>
        <w:left w:val="none" w:sz="0" w:space="0" w:color="auto"/>
        <w:bottom w:val="none" w:sz="0" w:space="0" w:color="auto"/>
        <w:right w:val="none" w:sz="0" w:space="0" w:color="auto"/>
      </w:divBdr>
      <w:divsChild>
        <w:div w:id="473176784">
          <w:marLeft w:val="0"/>
          <w:marRight w:val="0"/>
          <w:marTop w:val="0"/>
          <w:marBottom w:val="0"/>
          <w:divBdr>
            <w:top w:val="none" w:sz="0" w:space="0" w:color="auto"/>
            <w:left w:val="none" w:sz="0" w:space="0" w:color="auto"/>
            <w:bottom w:val="none" w:sz="0" w:space="0" w:color="auto"/>
            <w:right w:val="none" w:sz="0" w:space="0" w:color="auto"/>
          </w:divBdr>
        </w:div>
      </w:divsChild>
    </w:div>
    <w:div w:id="1027831667">
      <w:bodyDiv w:val="1"/>
      <w:marLeft w:val="0"/>
      <w:marRight w:val="0"/>
      <w:marTop w:val="0"/>
      <w:marBottom w:val="0"/>
      <w:divBdr>
        <w:top w:val="none" w:sz="0" w:space="0" w:color="auto"/>
        <w:left w:val="none" w:sz="0" w:space="0" w:color="auto"/>
        <w:bottom w:val="none" w:sz="0" w:space="0" w:color="auto"/>
        <w:right w:val="none" w:sz="0" w:space="0" w:color="auto"/>
      </w:divBdr>
    </w:div>
    <w:div w:id="1031498276">
      <w:bodyDiv w:val="1"/>
      <w:marLeft w:val="0"/>
      <w:marRight w:val="0"/>
      <w:marTop w:val="0"/>
      <w:marBottom w:val="0"/>
      <w:divBdr>
        <w:top w:val="none" w:sz="0" w:space="0" w:color="auto"/>
        <w:left w:val="none" w:sz="0" w:space="0" w:color="auto"/>
        <w:bottom w:val="none" w:sz="0" w:space="0" w:color="auto"/>
        <w:right w:val="none" w:sz="0" w:space="0" w:color="auto"/>
      </w:divBdr>
    </w:div>
    <w:div w:id="1046106419">
      <w:bodyDiv w:val="1"/>
      <w:marLeft w:val="0"/>
      <w:marRight w:val="0"/>
      <w:marTop w:val="0"/>
      <w:marBottom w:val="0"/>
      <w:divBdr>
        <w:top w:val="none" w:sz="0" w:space="0" w:color="auto"/>
        <w:left w:val="none" w:sz="0" w:space="0" w:color="auto"/>
        <w:bottom w:val="none" w:sz="0" w:space="0" w:color="auto"/>
        <w:right w:val="none" w:sz="0" w:space="0" w:color="auto"/>
      </w:divBdr>
      <w:divsChild>
        <w:div w:id="1256934243">
          <w:marLeft w:val="0"/>
          <w:marRight w:val="0"/>
          <w:marTop w:val="0"/>
          <w:marBottom w:val="0"/>
          <w:divBdr>
            <w:top w:val="none" w:sz="0" w:space="0" w:color="auto"/>
            <w:left w:val="none" w:sz="0" w:space="0" w:color="auto"/>
            <w:bottom w:val="none" w:sz="0" w:space="0" w:color="auto"/>
            <w:right w:val="none" w:sz="0" w:space="0" w:color="auto"/>
          </w:divBdr>
          <w:divsChild>
            <w:div w:id="1927184215">
              <w:marLeft w:val="0"/>
              <w:marRight w:val="0"/>
              <w:marTop w:val="0"/>
              <w:marBottom w:val="0"/>
              <w:divBdr>
                <w:top w:val="none" w:sz="0" w:space="0" w:color="auto"/>
                <w:left w:val="none" w:sz="0" w:space="0" w:color="auto"/>
                <w:bottom w:val="none" w:sz="0" w:space="0" w:color="auto"/>
                <w:right w:val="none" w:sz="0" w:space="0" w:color="auto"/>
              </w:divBdr>
              <w:divsChild>
                <w:div w:id="1424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0108">
      <w:bodyDiv w:val="1"/>
      <w:marLeft w:val="0"/>
      <w:marRight w:val="0"/>
      <w:marTop w:val="0"/>
      <w:marBottom w:val="0"/>
      <w:divBdr>
        <w:top w:val="none" w:sz="0" w:space="0" w:color="auto"/>
        <w:left w:val="none" w:sz="0" w:space="0" w:color="auto"/>
        <w:bottom w:val="none" w:sz="0" w:space="0" w:color="auto"/>
        <w:right w:val="none" w:sz="0" w:space="0" w:color="auto"/>
      </w:divBdr>
    </w:div>
    <w:div w:id="105581012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060714810">
      <w:bodyDiv w:val="1"/>
      <w:marLeft w:val="0"/>
      <w:marRight w:val="0"/>
      <w:marTop w:val="0"/>
      <w:marBottom w:val="0"/>
      <w:divBdr>
        <w:top w:val="none" w:sz="0" w:space="0" w:color="auto"/>
        <w:left w:val="none" w:sz="0" w:space="0" w:color="auto"/>
        <w:bottom w:val="none" w:sz="0" w:space="0" w:color="auto"/>
        <w:right w:val="none" w:sz="0" w:space="0" w:color="auto"/>
      </w:divBdr>
    </w:div>
    <w:div w:id="1063792797">
      <w:bodyDiv w:val="1"/>
      <w:marLeft w:val="0"/>
      <w:marRight w:val="0"/>
      <w:marTop w:val="0"/>
      <w:marBottom w:val="0"/>
      <w:divBdr>
        <w:top w:val="none" w:sz="0" w:space="0" w:color="auto"/>
        <w:left w:val="none" w:sz="0" w:space="0" w:color="auto"/>
        <w:bottom w:val="none" w:sz="0" w:space="0" w:color="auto"/>
        <w:right w:val="none" w:sz="0" w:space="0" w:color="auto"/>
      </w:divBdr>
    </w:div>
    <w:div w:id="1065370828">
      <w:bodyDiv w:val="1"/>
      <w:marLeft w:val="0"/>
      <w:marRight w:val="0"/>
      <w:marTop w:val="0"/>
      <w:marBottom w:val="0"/>
      <w:divBdr>
        <w:top w:val="none" w:sz="0" w:space="0" w:color="auto"/>
        <w:left w:val="none" w:sz="0" w:space="0" w:color="auto"/>
        <w:bottom w:val="none" w:sz="0" w:space="0" w:color="auto"/>
        <w:right w:val="none" w:sz="0" w:space="0" w:color="auto"/>
      </w:divBdr>
    </w:div>
    <w:div w:id="1073237194">
      <w:bodyDiv w:val="1"/>
      <w:marLeft w:val="0"/>
      <w:marRight w:val="0"/>
      <w:marTop w:val="0"/>
      <w:marBottom w:val="0"/>
      <w:divBdr>
        <w:top w:val="none" w:sz="0" w:space="0" w:color="auto"/>
        <w:left w:val="none" w:sz="0" w:space="0" w:color="auto"/>
        <w:bottom w:val="none" w:sz="0" w:space="0" w:color="auto"/>
        <w:right w:val="none" w:sz="0" w:space="0" w:color="auto"/>
      </w:divBdr>
    </w:div>
    <w:div w:id="1076976033">
      <w:bodyDiv w:val="1"/>
      <w:marLeft w:val="0"/>
      <w:marRight w:val="0"/>
      <w:marTop w:val="0"/>
      <w:marBottom w:val="0"/>
      <w:divBdr>
        <w:top w:val="none" w:sz="0" w:space="0" w:color="auto"/>
        <w:left w:val="none" w:sz="0" w:space="0" w:color="auto"/>
        <w:bottom w:val="none" w:sz="0" w:space="0" w:color="auto"/>
        <w:right w:val="none" w:sz="0" w:space="0" w:color="auto"/>
      </w:divBdr>
    </w:div>
    <w:div w:id="1083062852">
      <w:bodyDiv w:val="1"/>
      <w:marLeft w:val="0"/>
      <w:marRight w:val="0"/>
      <w:marTop w:val="0"/>
      <w:marBottom w:val="0"/>
      <w:divBdr>
        <w:top w:val="none" w:sz="0" w:space="0" w:color="auto"/>
        <w:left w:val="none" w:sz="0" w:space="0" w:color="auto"/>
        <w:bottom w:val="none" w:sz="0" w:space="0" w:color="auto"/>
        <w:right w:val="none" w:sz="0" w:space="0" w:color="auto"/>
      </w:divBdr>
    </w:div>
    <w:div w:id="1084032574">
      <w:bodyDiv w:val="1"/>
      <w:marLeft w:val="0"/>
      <w:marRight w:val="0"/>
      <w:marTop w:val="0"/>
      <w:marBottom w:val="0"/>
      <w:divBdr>
        <w:top w:val="none" w:sz="0" w:space="0" w:color="auto"/>
        <w:left w:val="none" w:sz="0" w:space="0" w:color="auto"/>
        <w:bottom w:val="none" w:sz="0" w:space="0" w:color="auto"/>
        <w:right w:val="none" w:sz="0" w:space="0" w:color="auto"/>
      </w:divBdr>
    </w:div>
    <w:div w:id="1086918033">
      <w:bodyDiv w:val="1"/>
      <w:marLeft w:val="0"/>
      <w:marRight w:val="0"/>
      <w:marTop w:val="0"/>
      <w:marBottom w:val="0"/>
      <w:divBdr>
        <w:top w:val="none" w:sz="0" w:space="0" w:color="auto"/>
        <w:left w:val="none" w:sz="0" w:space="0" w:color="auto"/>
        <w:bottom w:val="none" w:sz="0" w:space="0" w:color="auto"/>
        <w:right w:val="none" w:sz="0" w:space="0" w:color="auto"/>
      </w:divBdr>
      <w:divsChild>
        <w:div w:id="1235431335">
          <w:marLeft w:val="0"/>
          <w:marRight w:val="0"/>
          <w:marTop w:val="0"/>
          <w:marBottom w:val="0"/>
          <w:divBdr>
            <w:top w:val="none" w:sz="0" w:space="0" w:color="auto"/>
            <w:left w:val="none" w:sz="0" w:space="0" w:color="auto"/>
            <w:bottom w:val="none" w:sz="0" w:space="0" w:color="auto"/>
            <w:right w:val="none" w:sz="0" w:space="0" w:color="auto"/>
          </w:divBdr>
        </w:div>
      </w:divsChild>
    </w:div>
    <w:div w:id="1089347212">
      <w:bodyDiv w:val="1"/>
      <w:marLeft w:val="0"/>
      <w:marRight w:val="0"/>
      <w:marTop w:val="0"/>
      <w:marBottom w:val="0"/>
      <w:divBdr>
        <w:top w:val="none" w:sz="0" w:space="0" w:color="auto"/>
        <w:left w:val="none" w:sz="0" w:space="0" w:color="auto"/>
        <w:bottom w:val="none" w:sz="0" w:space="0" w:color="auto"/>
        <w:right w:val="none" w:sz="0" w:space="0" w:color="auto"/>
      </w:divBdr>
    </w:div>
    <w:div w:id="1092815975">
      <w:bodyDiv w:val="1"/>
      <w:marLeft w:val="0"/>
      <w:marRight w:val="0"/>
      <w:marTop w:val="0"/>
      <w:marBottom w:val="0"/>
      <w:divBdr>
        <w:top w:val="none" w:sz="0" w:space="0" w:color="auto"/>
        <w:left w:val="none" w:sz="0" w:space="0" w:color="auto"/>
        <w:bottom w:val="none" w:sz="0" w:space="0" w:color="auto"/>
        <w:right w:val="none" w:sz="0" w:space="0" w:color="auto"/>
      </w:divBdr>
    </w:div>
    <w:div w:id="1093745759">
      <w:bodyDiv w:val="1"/>
      <w:marLeft w:val="0"/>
      <w:marRight w:val="0"/>
      <w:marTop w:val="0"/>
      <w:marBottom w:val="0"/>
      <w:divBdr>
        <w:top w:val="none" w:sz="0" w:space="0" w:color="auto"/>
        <w:left w:val="none" w:sz="0" w:space="0" w:color="auto"/>
        <w:bottom w:val="none" w:sz="0" w:space="0" w:color="auto"/>
        <w:right w:val="none" w:sz="0" w:space="0" w:color="auto"/>
      </w:divBdr>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sChild>
        <w:div w:id="1207986058">
          <w:marLeft w:val="0"/>
          <w:marRight w:val="0"/>
          <w:marTop w:val="0"/>
          <w:marBottom w:val="0"/>
          <w:divBdr>
            <w:top w:val="none" w:sz="0" w:space="0" w:color="auto"/>
            <w:left w:val="none" w:sz="0" w:space="0" w:color="auto"/>
            <w:bottom w:val="none" w:sz="0" w:space="0" w:color="auto"/>
            <w:right w:val="none" w:sz="0" w:space="0" w:color="auto"/>
          </w:divBdr>
        </w:div>
      </w:divsChild>
    </w:div>
    <w:div w:id="1098913723">
      <w:bodyDiv w:val="1"/>
      <w:marLeft w:val="0"/>
      <w:marRight w:val="0"/>
      <w:marTop w:val="0"/>
      <w:marBottom w:val="0"/>
      <w:divBdr>
        <w:top w:val="none" w:sz="0" w:space="0" w:color="auto"/>
        <w:left w:val="none" w:sz="0" w:space="0" w:color="auto"/>
        <w:bottom w:val="none" w:sz="0" w:space="0" w:color="auto"/>
        <w:right w:val="none" w:sz="0" w:space="0" w:color="auto"/>
      </w:divBdr>
    </w:div>
    <w:div w:id="1109736882">
      <w:bodyDiv w:val="1"/>
      <w:marLeft w:val="0"/>
      <w:marRight w:val="0"/>
      <w:marTop w:val="0"/>
      <w:marBottom w:val="0"/>
      <w:divBdr>
        <w:top w:val="none" w:sz="0" w:space="0" w:color="auto"/>
        <w:left w:val="none" w:sz="0" w:space="0" w:color="auto"/>
        <w:bottom w:val="none" w:sz="0" w:space="0" w:color="auto"/>
        <w:right w:val="none" w:sz="0" w:space="0" w:color="auto"/>
      </w:divBdr>
    </w:div>
    <w:div w:id="1111123854">
      <w:bodyDiv w:val="1"/>
      <w:marLeft w:val="0"/>
      <w:marRight w:val="0"/>
      <w:marTop w:val="0"/>
      <w:marBottom w:val="0"/>
      <w:divBdr>
        <w:top w:val="none" w:sz="0" w:space="0" w:color="auto"/>
        <w:left w:val="none" w:sz="0" w:space="0" w:color="auto"/>
        <w:bottom w:val="none" w:sz="0" w:space="0" w:color="auto"/>
        <w:right w:val="none" w:sz="0" w:space="0" w:color="auto"/>
      </w:divBdr>
      <w:divsChild>
        <w:div w:id="1325668689">
          <w:marLeft w:val="0"/>
          <w:marRight w:val="0"/>
          <w:marTop w:val="0"/>
          <w:marBottom w:val="0"/>
          <w:divBdr>
            <w:top w:val="none" w:sz="0" w:space="0" w:color="auto"/>
            <w:left w:val="none" w:sz="0" w:space="0" w:color="auto"/>
            <w:bottom w:val="none" w:sz="0" w:space="0" w:color="auto"/>
            <w:right w:val="none" w:sz="0" w:space="0" w:color="auto"/>
          </w:divBdr>
        </w:div>
      </w:divsChild>
    </w:div>
    <w:div w:id="1112087014">
      <w:bodyDiv w:val="1"/>
      <w:marLeft w:val="0"/>
      <w:marRight w:val="0"/>
      <w:marTop w:val="0"/>
      <w:marBottom w:val="0"/>
      <w:divBdr>
        <w:top w:val="none" w:sz="0" w:space="0" w:color="auto"/>
        <w:left w:val="none" w:sz="0" w:space="0" w:color="auto"/>
        <w:bottom w:val="none" w:sz="0" w:space="0" w:color="auto"/>
        <w:right w:val="none" w:sz="0" w:space="0" w:color="auto"/>
      </w:divBdr>
    </w:div>
    <w:div w:id="1114599191">
      <w:bodyDiv w:val="1"/>
      <w:marLeft w:val="0"/>
      <w:marRight w:val="0"/>
      <w:marTop w:val="0"/>
      <w:marBottom w:val="0"/>
      <w:divBdr>
        <w:top w:val="none" w:sz="0" w:space="0" w:color="auto"/>
        <w:left w:val="none" w:sz="0" w:space="0" w:color="auto"/>
        <w:bottom w:val="none" w:sz="0" w:space="0" w:color="auto"/>
        <w:right w:val="none" w:sz="0" w:space="0" w:color="auto"/>
      </w:divBdr>
    </w:div>
    <w:div w:id="1115641047">
      <w:bodyDiv w:val="1"/>
      <w:marLeft w:val="0"/>
      <w:marRight w:val="0"/>
      <w:marTop w:val="0"/>
      <w:marBottom w:val="0"/>
      <w:divBdr>
        <w:top w:val="none" w:sz="0" w:space="0" w:color="auto"/>
        <w:left w:val="none" w:sz="0" w:space="0" w:color="auto"/>
        <w:bottom w:val="none" w:sz="0" w:space="0" w:color="auto"/>
        <w:right w:val="none" w:sz="0" w:space="0" w:color="auto"/>
      </w:divBdr>
    </w:div>
    <w:div w:id="1123184754">
      <w:bodyDiv w:val="1"/>
      <w:marLeft w:val="0"/>
      <w:marRight w:val="0"/>
      <w:marTop w:val="0"/>
      <w:marBottom w:val="0"/>
      <w:divBdr>
        <w:top w:val="none" w:sz="0" w:space="0" w:color="auto"/>
        <w:left w:val="none" w:sz="0" w:space="0" w:color="auto"/>
        <w:bottom w:val="none" w:sz="0" w:space="0" w:color="auto"/>
        <w:right w:val="none" w:sz="0" w:space="0" w:color="auto"/>
      </w:divBdr>
    </w:div>
    <w:div w:id="1123770472">
      <w:bodyDiv w:val="1"/>
      <w:marLeft w:val="0"/>
      <w:marRight w:val="0"/>
      <w:marTop w:val="0"/>
      <w:marBottom w:val="0"/>
      <w:divBdr>
        <w:top w:val="none" w:sz="0" w:space="0" w:color="auto"/>
        <w:left w:val="none" w:sz="0" w:space="0" w:color="auto"/>
        <w:bottom w:val="none" w:sz="0" w:space="0" w:color="auto"/>
        <w:right w:val="none" w:sz="0" w:space="0" w:color="auto"/>
      </w:divBdr>
    </w:div>
    <w:div w:id="1137836254">
      <w:bodyDiv w:val="1"/>
      <w:marLeft w:val="0"/>
      <w:marRight w:val="0"/>
      <w:marTop w:val="0"/>
      <w:marBottom w:val="0"/>
      <w:divBdr>
        <w:top w:val="none" w:sz="0" w:space="0" w:color="auto"/>
        <w:left w:val="none" w:sz="0" w:space="0" w:color="auto"/>
        <w:bottom w:val="none" w:sz="0" w:space="0" w:color="auto"/>
        <w:right w:val="none" w:sz="0" w:space="0" w:color="auto"/>
      </w:divBdr>
    </w:div>
    <w:div w:id="1153638649">
      <w:bodyDiv w:val="1"/>
      <w:marLeft w:val="0"/>
      <w:marRight w:val="0"/>
      <w:marTop w:val="0"/>
      <w:marBottom w:val="0"/>
      <w:divBdr>
        <w:top w:val="none" w:sz="0" w:space="0" w:color="auto"/>
        <w:left w:val="none" w:sz="0" w:space="0" w:color="auto"/>
        <w:bottom w:val="none" w:sz="0" w:space="0" w:color="auto"/>
        <w:right w:val="none" w:sz="0" w:space="0" w:color="auto"/>
      </w:divBdr>
    </w:div>
    <w:div w:id="1163082185">
      <w:bodyDiv w:val="1"/>
      <w:marLeft w:val="0"/>
      <w:marRight w:val="0"/>
      <w:marTop w:val="0"/>
      <w:marBottom w:val="0"/>
      <w:divBdr>
        <w:top w:val="none" w:sz="0" w:space="0" w:color="auto"/>
        <w:left w:val="none" w:sz="0" w:space="0" w:color="auto"/>
        <w:bottom w:val="none" w:sz="0" w:space="0" w:color="auto"/>
        <w:right w:val="none" w:sz="0" w:space="0" w:color="auto"/>
      </w:divBdr>
    </w:div>
    <w:div w:id="1166479834">
      <w:bodyDiv w:val="1"/>
      <w:marLeft w:val="0"/>
      <w:marRight w:val="0"/>
      <w:marTop w:val="0"/>
      <w:marBottom w:val="0"/>
      <w:divBdr>
        <w:top w:val="none" w:sz="0" w:space="0" w:color="auto"/>
        <w:left w:val="none" w:sz="0" w:space="0" w:color="auto"/>
        <w:bottom w:val="none" w:sz="0" w:space="0" w:color="auto"/>
        <w:right w:val="none" w:sz="0" w:space="0" w:color="auto"/>
      </w:divBdr>
    </w:div>
    <w:div w:id="1170292544">
      <w:bodyDiv w:val="1"/>
      <w:marLeft w:val="0"/>
      <w:marRight w:val="0"/>
      <w:marTop w:val="0"/>
      <w:marBottom w:val="0"/>
      <w:divBdr>
        <w:top w:val="none" w:sz="0" w:space="0" w:color="auto"/>
        <w:left w:val="none" w:sz="0" w:space="0" w:color="auto"/>
        <w:bottom w:val="none" w:sz="0" w:space="0" w:color="auto"/>
        <w:right w:val="none" w:sz="0" w:space="0" w:color="auto"/>
      </w:divBdr>
    </w:div>
    <w:div w:id="1171722562">
      <w:bodyDiv w:val="1"/>
      <w:marLeft w:val="0"/>
      <w:marRight w:val="0"/>
      <w:marTop w:val="0"/>
      <w:marBottom w:val="0"/>
      <w:divBdr>
        <w:top w:val="none" w:sz="0" w:space="0" w:color="auto"/>
        <w:left w:val="none" w:sz="0" w:space="0" w:color="auto"/>
        <w:bottom w:val="none" w:sz="0" w:space="0" w:color="auto"/>
        <w:right w:val="none" w:sz="0" w:space="0" w:color="auto"/>
      </w:divBdr>
    </w:div>
    <w:div w:id="1173422773">
      <w:bodyDiv w:val="1"/>
      <w:marLeft w:val="0"/>
      <w:marRight w:val="0"/>
      <w:marTop w:val="0"/>
      <w:marBottom w:val="0"/>
      <w:divBdr>
        <w:top w:val="none" w:sz="0" w:space="0" w:color="auto"/>
        <w:left w:val="none" w:sz="0" w:space="0" w:color="auto"/>
        <w:bottom w:val="none" w:sz="0" w:space="0" w:color="auto"/>
        <w:right w:val="none" w:sz="0" w:space="0" w:color="auto"/>
      </w:divBdr>
    </w:div>
    <w:div w:id="1175612040">
      <w:bodyDiv w:val="1"/>
      <w:marLeft w:val="0"/>
      <w:marRight w:val="0"/>
      <w:marTop w:val="0"/>
      <w:marBottom w:val="0"/>
      <w:divBdr>
        <w:top w:val="none" w:sz="0" w:space="0" w:color="auto"/>
        <w:left w:val="none" w:sz="0" w:space="0" w:color="auto"/>
        <w:bottom w:val="none" w:sz="0" w:space="0" w:color="auto"/>
        <w:right w:val="none" w:sz="0" w:space="0" w:color="auto"/>
      </w:divBdr>
    </w:div>
    <w:div w:id="1181313138">
      <w:bodyDiv w:val="1"/>
      <w:marLeft w:val="0"/>
      <w:marRight w:val="0"/>
      <w:marTop w:val="0"/>
      <w:marBottom w:val="0"/>
      <w:divBdr>
        <w:top w:val="none" w:sz="0" w:space="0" w:color="auto"/>
        <w:left w:val="none" w:sz="0" w:space="0" w:color="auto"/>
        <w:bottom w:val="none" w:sz="0" w:space="0" w:color="auto"/>
        <w:right w:val="none" w:sz="0" w:space="0" w:color="auto"/>
      </w:divBdr>
    </w:div>
    <w:div w:id="1183085002">
      <w:bodyDiv w:val="1"/>
      <w:marLeft w:val="0"/>
      <w:marRight w:val="0"/>
      <w:marTop w:val="0"/>
      <w:marBottom w:val="0"/>
      <w:divBdr>
        <w:top w:val="none" w:sz="0" w:space="0" w:color="auto"/>
        <w:left w:val="none" w:sz="0" w:space="0" w:color="auto"/>
        <w:bottom w:val="none" w:sz="0" w:space="0" w:color="auto"/>
        <w:right w:val="none" w:sz="0" w:space="0" w:color="auto"/>
      </w:divBdr>
    </w:div>
    <w:div w:id="1183284731">
      <w:bodyDiv w:val="1"/>
      <w:marLeft w:val="0"/>
      <w:marRight w:val="0"/>
      <w:marTop w:val="0"/>
      <w:marBottom w:val="0"/>
      <w:divBdr>
        <w:top w:val="none" w:sz="0" w:space="0" w:color="auto"/>
        <w:left w:val="none" w:sz="0" w:space="0" w:color="auto"/>
        <w:bottom w:val="none" w:sz="0" w:space="0" w:color="auto"/>
        <w:right w:val="none" w:sz="0" w:space="0" w:color="auto"/>
      </w:divBdr>
    </w:div>
    <w:div w:id="1189678221">
      <w:bodyDiv w:val="1"/>
      <w:marLeft w:val="0"/>
      <w:marRight w:val="0"/>
      <w:marTop w:val="0"/>
      <w:marBottom w:val="0"/>
      <w:divBdr>
        <w:top w:val="none" w:sz="0" w:space="0" w:color="auto"/>
        <w:left w:val="none" w:sz="0" w:space="0" w:color="auto"/>
        <w:bottom w:val="none" w:sz="0" w:space="0" w:color="auto"/>
        <w:right w:val="none" w:sz="0" w:space="0" w:color="auto"/>
      </w:divBdr>
    </w:div>
    <w:div w:id="1193155591">
      <w:bodyDiv w:val="1"/>
      <w:marLeft w:val="0"/>
      <w:marRight w:val="0"/>
      <w:marTop w:val="0"/>
      <w:marBottom w:val="0"/>
      <w:divBdr>
        <w:top w:val="none" w:sz="0" w:space="0" w:color="auto"/>
        <w:left w:val="none" w:sz="0" w:space="0" w:color="auto"/>
        <w:bottom w:val="none" w:sz="0" w:space="0" w:color="auto"/>
        <w:right w:val="none" w:sz="0" w:space="0" w:color="auto"/>
      </w:divBdr>
    </w:div>
    <w:div w:id="1210721643">
      <w:bodyDiv w:val="1"/>
      <w:marLeft w:val="0"/>
      <w:marRight w:val="0"/>
      <w:marTop w:val="0"/>
      <w:marBottom w:val="0"/>
      <w:divBdr>
        <w:top w:val="none" w:sz="0" w:space="0" w:color="auto"/>
        <w:left w:val="none" w:sz="0" w:space="0" w:color="auto"/>
        <w:bottom w:val="none" w:sz="0" w:space="0" w:color="auto"/>
        <w:right w:val="none" w:sz="0" w:space="0" w:color="auto"/>
      </w:divBdr>
    </w:div>
    <w:div w:id="1215583139">
      <w:bodyDiv w:val="1"/>
      <w:marLeft w:val="0"/>
      <w:marRight w:val="0"/>
      <w:marTop w:val="0"/>
      <w:marBottom w:val="0"/>
      <w:divBdr>
        <w:top w:val="none" w:sz="0" w:space="0" w:color="auto"/>
        <w:left w:val="none" w:sz="0" w:space="0" w:color="auto"/>
        <w:bottom w:val="none" w:sz="0" w:space="0" w:color="auto"/>
        <w:right w:val="none" w:sz="0" w:space="0" w:color="auto"/>
      </w:divBdr>
    </w:div>
    <w:div w:id="1217081965">
      <w:bodyDiv w:val="1"/>
      <w:marLeft w:val="0"/>
      <w:marRight w:val="0"/>
      <w:marTop w:val="0"/>
      <w:marBottom w:val="0"/>
      <w:divBdr>
        <w:top w:val="none" w:sz="0" w:space="0" w:color="auto"/>
        <w:left w:val="none" w:sz="0" w:space="0" w:color="auto"/>
        <w:bottom w:val="none" w:sz="0" w:space="0" w:color="auto"/>
        <w:right w:val="none" w:sz="0" w:space="0" w:color="auto"/>
      </w:divBdr>
    </w:div>
    <w:div w:id="1223903559">
      <w:bodyDiv w:val="1"/>
      <w:marLeft w:val="0"/>
      <w:marRight w:val="0"/>
      <w:marTop w:val="0"/>
      <w:marBottom w:val="0"/>
      <w:divBdr>
        <w:top w:val="none" w:sz="0" w:space="0" w:color="auto"/>
        <w:left w:val="none" w:sz="0" w:space="0" w:color="auto"/>
        <w:bottom w:val="none" w:sz="0" w:space="0" w:color="auto"/>
        <w:right w:val="none" w:sz="0" w:space="0" w:color="auto"/>
      </w:divBdr>
    </w:div>
    <w:div w:id="1224176061">
      <w:bodyDiv w:val="1"/>
      <w:marLeft w:val="0"/>
      <w:marRight w:val="0"/>
      <w:marTop w:val="0"/>
      <w:marBottom w:val="0"/>
      <w:divBdr>
        <w:top w:val="none" w:sz="0" w:space="0" w:color="auto"/>
        <w:left w:val="none" w:sz="0" w:space="0" w:color="auto"/>
        <w:bottom w:val="none" w:sz="0" w:space="0" w:color="auto"/>
        <w:right w:val="none" w:sz="0" w:space="0" w:color="auto"/>
      </w:divBdr>
    </w:div>
    <w:div w:id="1225336663">
      <w:bodyDiv w:val="1"/>
      <w:marLeft w:val="0"/>
      <w:marRight w:val="0"/>
      <w:marTop w:val="0"/>
      <w:marBottom w:val="0"/>
      <w:divBdr>
        <w:top w:val="none" w:sz="0" w:space="0" w:color="auto"/>
        <w:left w:val="none" w:sz="0" w:space="0" w:color="auto"/>
        <w:bottom w:val="none" w:sz="0" w:space="0" w:color="auto"/>
        <w:right w:val="none" w:sz="0" w:space="0" w:color="auto"/>
      </w:divBdr>
    </w:div>
    <w:div w:id="1226336525">
      <w:bodyDiv w:val="1"/>
      <w:marLeft w:val="0"/>
      <w:marRight w:val="0"/>
      <w:marTop w:val="0"/>
      <w:marBottom w:val="0"/>
      <w:divBdr>
        <w:top w:val="none" w:sz="0" w:space="0" w:color="auto"/>
        <w:left w:val="none" w:sz="0" w:space="0" w:color="auto"/>
        <w:bottom w:val="none" w:sz="0" w:space="0" w:color="auto"/>
        <w:right w:val="none" w:sz="0" w:space="0" w:color="auto"/>
      </w:divBdr>
    </w:div>
    <w:div w:id="1226917344">
      <w:bodyDiv w:val="1"/>
      <w:marLeft w:val="0"/>
      <w:marRight w:val="0"/>
      <w:marTop w:val="0"/>
      <w:marBottom w:val="0"/>
      <w:divBdr>
        <w:top w:val="none" w:sz="0" w:space="0" w:color="auto"/>
        <w:left w:val="none" w:sz="0" w:space="0" w:color="auto"/>
        <w:bottom w:val="none" w:sz="0" w:space="0" w:color="auto"/>
        <w:right w:val="none" w:sz="0" w:space="0" w:color="auto"/>
      </w:divBdr>
    </w:div>
    <w:div w:id="1233812130">
      <w:bodyDiv w:val="1"/>
      <w:marLeft w:val="0"/>
      <w:marRight w:val="0"/>
      <w:marTop w:val="0"/>
      <w:marBottom w:val="0"/>
      <w:divBdr>
        <w:top w:val="none" w:sz="0" w:space="0" w:color="auto"/>
        <w:left w:val="none" w:sz="0" w:space="0" w:color="auto"/>
        <w:bottom w:val="none" w:sz="0" w:space="0" w:color="auto"/>
        <w:right w:val="none" w:sz="0" w:space="0" w:color="auto"/>
      </w:divBdr>
    </w:div>
    <w:div w:id="1244411588">
      <w:bodyDiv w:val="1"/>
      <w:marLeft w:val="0"/>
      <w:marRight w:val="0"/>
      <w:marTop w:val="0"/>
      <w:marBottom w:val="0"/>
      <w:divBdr>
        <w:top w:val="none" w:sz="0" w:space="0" w:color="auto"/>
        <w:left w:val="none" w:sz="0" w:space="0" w:color="auto"/>
        <w:bottom w:val="none" w:sz="0" w:space="0" w:color="auto"/>
        <w:right w:val="none" w:sz="0" w:space="0" w:color="auto"/>
      </w:divBdr>
    </w:div>
    <w:div w:id="1245336777">
      <w:bodyDiv w:val="1"/>
      <w:marLeft w:val="0"/>
      <w:marRight w:val="0"/>
      <w:marTop w:val="0"/>
      <w:marBottom w:val="0"/>
      <w:divBdr>
        <w:top w:val="none" w:sz="0" w:space="0" w:color="auto"/>
        <w:left w:val="none" w:sz="0" w:space="0" w:color="auto"/>
        <w:bottom w:val="none" w:sz="0" w:space="0" w:color="auto"/>
        <w:right w:val="none" w:sz="0" w:space="0" w:color="auto"/>
      </w:divBdr>
    </w:div>
    <w:div w:id="1257061486">
      <w:bodyDiv w:val="1"/>
      <w:marLeft w:val="0"/>
      <w:marRight w:val="0"/>
      <w:marTop w:val="0"/>
      <w:marBottom w:val="0"/>
      <w:divBdr>
        <w:top w:val="none" w:sz="0" w:space="0" w:color="auto"/>
        <w:left w:val="none" w:sz="0" w:space="0" w:color="auto"/>
        <w:bottom w:val="none" w:sz="0" w:space="0" w:color="auto"/>
        <w:right w:val="none" w:sz="0" w:space="0" w:color="auto"/>
      </w:divBdr>
    </w:div>
    <w:div w:id="1258707903">
      <w:bodyDiv w:val="1"/>
      <w:marLeft w:val="0"/>
      <w:marRight w:val="0"/>
      <w:marTop w:val="0"/>
      <w:marBottom w:val="0"/>
      <w:divBdr>
        <w:top w:val="none" w:sz="0" w:space="0" w:color="auto"/>
        <w:left w:val="none" w:sz="0" w:space="0" w:color="auto"/>
        <w:bottom w:val="none" w:sz="0" w:space="0" w:color="auto"/>
        <w:right w:val="none" w:sz="0" w:space="0" w:color="auto"/>
      </w:divBdr>
    </w:div>
    <w:div w:id="1269502569">
      <w:bodyDiv w:val="1"/>
      <w:marLeft w:val="0"/>
      <w:marRight w:val="0"/>
      <w:marTop w:val="0"/>
      <w:marBottom w:val="0"/>
      <w:divBdr>
        <w:top w:val="none" w:sz="0" w:space="0" w:color="auto"/>
        <w:left w:val="none" w:sz="0" w:space="0" w:color="auto"/>
        <w:bottom w:val="none" w:sz="0" w:space="0" w:color="auto"/>
        <w:right w:val="none" w:sz="0" w:space="0" w:color="auto"/>
      </w:divBdr>
    </w:div>
    <w:div w:id="1277718476">
      <w:bodyDiv w:val="1"/>
      <w:marLeft w:val="0"/>
      <w:marRight w:val="0"/>
      <w:marTop w:val="0"/>
      <w:marBottom w:val="0"/>
      <w:divBdr>
        <w:top w:val="none" w:sz="0" w:space="0" w:color="auto"/>
        <w:left w:val="none" w:sz="0" w:space="0" w:color="auto"/>
        <w:bottom w:val="none" w:sz="0" w:space="0" w:color="auto"/>
        <w:right w:val="none" w:sz="0" w:space="0" w:color="auto"/>
      </w:divBdr>
    </w:div>
    <w:div w:id="1284002039">
      <w:bodyDiv w:val="1"/>
      <w:marLeft w:val="0"/>
      <w:marRight w:val="0"/>
      <w:marTop w:val="0"/>
      <w:marBottom w:val="0"/>
      <w:divBdr>
        <w:top w:val="none" w:sz="0" w:space="0" w:color="auto"/>
        <w:left w:val="none" w:sz="0" w:space="0" w:color="auto"/>
        <w:bottom w:val="none" w:sz="0" w:space="0" w:color="auto"/>
        <w:right w:val="none" w:sz="0" w:space="0" w:color="auto"/>
      </w:divBdr>
    </w:div>
    <w:div w:id="1285040768">
      <w:bodyDiv w:val="1"/>
      <w:marLeft w:val="0"/>
      <w:marRight w:val="0"/>
      <w:marTop w:val="0"/>
      <w:marBottom w:val="0"/>
      <w:divBdr>
        <w:top w:val="none" w:sz="0" w:space="0" w:color="auto"/>
        <w:left w:val="none" w:sz="0" w:space="0" w:color="auto"/>
        <w:bottom w:val="none" w:sz="0" w:space="0" w:color="auto"/>
        <w:right w:val="none" w:sz="0" w:space="0" w:color="auto"/>
      </w:divBdr>
    </w:div>
    <w:div w:id="1288706950">
      <w:bodyDiv w:val="1"/>
      <w:marLeft w:val="0"/>
      <w:marRight w:val="0"/>
      <w:marTop w:val="0"/>
      <w:marBottom w:val="0"/>
      <w:divBdr>
        <w:top w:val="none" w:sz="0" w:space="0" w:color="auto"/>
        <w:left w:val="none" w:sz="0" w:space="0" w:color="auto"/>
        <w:bottom w:val="none" w:sz="0" w:space="0" w:color="auto"/>
        <w:right w:val="none" w:sz="0" w:space="0" w:color="auto"/>
      </w:divBdr>
    </w:div>
    <w:div w:id="1289094378">
      <w:bodyDiv w:val="1"/>
      <w:marLeft w:val="0"/>
      <w:marRight w:val="0"/>
      <w:marTop w:val="0"/>
      <w:marBottom w:val="0"/>
      <w:divBdr>
        <w:top w:val="none" w:sz="0" w:space="0" w:color="auto"/>
        <w:left w:val="none" w:sz="0" w:space="0" w:color="auto"/>
        <w:bottom w:val="none" w:sz="0" w:space="0" w:color="auto"/>
        <w:right w:val="none" w:sz="0" w:space="0" w:color="auto"/>
      </w:divBdr>
    </w:div>
    <w:div w:id="1314136803">
      <w:bodyDiv w:val="1"/>
      <w:marLeft w:val="0"/>
      <w:marRight w:val="0"/>
      <w:marTop w:val="0"/>
      <w:marBottom w:val="0"/>
      <w:divBdr>
        <w:top w:val="none" w:sz="0" w:space="0" w:color="auto"/>
        <w:left w:val="none" w:sz="0" w:space="0" w:color="auto"/>
        <w:bottom w:val="none" w:sz="0" w:space="0" w:color="auto"/>
        <w:right w:val="none" w:sz="0" w:space="0" w:color="auto"/>
      </w:divBdr>
      <w:divsChild>
        <w:div w:id="1986154587">
          <w:marLeft w:val="0"/>
          <w:marRight w:val="0"/>
          <w:marTop w:val="0"/>
          <w:marBottom w:val="0"/>
          <w:divBdr>
            <w:top w:val="none" w:sz="0" w:space="0" w:color="auto"/>
            <w:left w:val="none" w:sz="0" w:space="0" w:color="auto"/>
            <w:bottom w:val="none" w:sz="0" w:space="0" w:color="auto"/>
            <w:right w:val="none" w:sz="0" w:space="0" w:color="auto"/>
          </w:divBdr>
          <w:divsChild>
            <w:div w:id="7325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0350">
      <w:bodyDiv w:val="1"/>
      <w:marLeft w:val="0"/>
      <w:marRight w:val="0"/>
      <w:marTop w:val="0"/>
      <w:marBottom w:val="0"/>
      <w:divBdr>
        <w:top w:val="none" w:sz="0" w:space="0" w:color="auto"/>
        <w:left w:val="none" w:sz="0" w:space="0" w:color="auto"/>
        <w:bottom w:val="none" w:sz="0" w:space="0" w:color="auto"/>
        <w:right w:val="none" w:sz="0" w:space="0" w:color="auto"/>
      </w:divBdr>
    </w:div>
    <w:div w:id="1320114959">
      <w:bodyDiv w:val="1"/>
      <w:marLeft w:val="0"/>
      <w:marRight w:val="0"/>
      <w:marTop w:val="0"/>
      <w:marBottom w:val="0"/>
      <w:divBdr>
        <w:top w:val="none" w:sz="0" w:space="0" w:color="auto"/>
        <w:left w:val="none" w:sz="0" w:space="0" w:color="auto"/>
        <w:bottom w:val="none" w:sz="0" w:space="0" w:color="auto"/>
        <w:right w:val="none" w:sz="0" w:space="0" w:color="auto"/>
      </w:divBdr>
    </w:div>
    <w:div w:id="1325432558">
      <w:bodyDiv w:val="1"/>
      <w:marLeft w:val="0"/>
      <w:marRight w:val="0"/>
      <w:marTop w:val="0"/>
      <w:marBottom w:val="0"/>
      <w:divBdr>
        <w:top w:val="none" w:sz="0" w:space="0" w:color="auto"/>
        <w:left w:val="none" w:sz="0" w:space="0" w:color="auto"/>
        <w:bottom w:val="none" w:sz="0" w:space="0" w:color="auto"/>
        <w:right w:val="none" w:sz="0" w:space="0" w:color="auto"/>
      </w:divBdr>
    </w:div>
    <w:div w:id="1341003121">
      <w:bodyDiv w:val="1"/>
      <w:marLeft w:val="0"/>
      <w:marRight w:val="0"/>
      <w:marTop w:val="0"/>
      <w:marBottom w:val="0"/>
      <w:divBdr>
        <w:top w:val="none" w:sz="0" w:space="0" w:color="auto"/>
        <w:left w:val="none" w:sz="0" w:space="0" w:color="auto"/>
        <w:bottom w:val="none" w:sz="0" w:space="0" w:color="auto"/>
        <w:right w:val="none" w:sz="0" w:space="0" w:color="auto"/>
      </w:divBdr>
    </w:div>
    <w:div w:id="1361585316">
      <w:bodyDiv w:val="1"/>
      <w:marLeft w:val="0"/>
      <w:marRight w:val="0"/>
      <w:marTop w:val="0"/>
      <w:marBottom w:val="0"/>
      <w:divBdr>
        <w:top w:val="none" w:sz="0" w:space="0" w:color="auto"/>
        <w:left w:val="none" w:sz="0" w:space="0" w:color="auto"/>
        <w:bottom w:val="none" w:sz="0" w:space="0" w:color="auto"/>
        <w:right w:val="none" w:sz="0" w:space="0" w:color="auto"/>
      </w:divBdr>
    </w:div>
    <w:div w:id="1371220680">
      <w:bodyDiv w:val="1"/>
      <w:marLeft w:val="0"/>
      <w:marRight w:val="0"/>
      <w:marTop w:val="0"/>
      <w:marBottom w:val="0"/>
      <w:divBdr>
        <w:top w:val="none" w:sz="0" w:space="0" w:color="auto"/>
        <w:left w:val="none" w:sz="0" w:space="0" w:color="auto"/>
        <w:bottom w:val="none" w:sz="0" w:space="0" w:color="auto"/>
        <w:right w:val="none" w:sz="0" w:space="0" w:color="auto"/>
      </w:divBdr>
    </w:div>
    <w:div w:id="1373265536">
      <w:bodyDiv w:val="1"/>
      <w:marLeft w:val="0"/>
      <w:marRight w:val="0"/>
      <w:marTop w:val="0"/>
      <w:marBottom w:val="0"/>
      <w:divBdr>
        <w:top w:val="none" w:sz="0" w:space="0" w:color="auto"/>
        <w:left w:val="none" w:sz="0" w:space="0" w:color="auto"/>
        <w:bottom w:val="none" w:sz="0" w:space="0" w:color="auto"/>
        <w:right w:val="none" w:sz="0" w:space="0" w:color="auto"/>
      </w:divBdr>
      <w:divsChild>
        <w:div w:id="109323671">
          <w:marLeft w:val="0"/>
          <w:marRight w:val="0"/>
          <w:marTop w:val="0"/>
          <w:marBottom w:val="0"/>
          <w:divBdr>
            <w:top w:val="none" w:sz="0" w:space="0" w:color="auto"/>
            <w:left w:val="none" w:sz="0" w:space="0" w:color="auto"/>
            <w:bottom w:val="none" w:sz="0" w:space="0" w:color="auto"/>
            <w:right w:val="none" w:sz="0" w:space="0" w:color="auto"/>
          </w:divBdr>
        </w:div>
      </w:divsChild>
    </w:div>
    <w:div w:id="1381053627">
      <w:bodyDiv w:val="1"/>
      <w:marLeft w:val="0"/>
      <w:marRight w:val="0"/>
      <w:marTop w:val="0"/>
      <w:marBottom w:val="0"/>
      <w:divBdr>
        <w:top w:val="none" w:sz="0" w:space="0" w:color="auto"/>
        <w:left w:val="none" w:sz="0" w:space="0" w:color="auto"/>
        <w:bottom w:val="none" w:sz="0" w:space="0" w:color="auto"/>
        <w:right w:val="none" w:sz="0" w:space="0" w:color="auto"/>
      </w:divBdr>
    </w:div>
    <w:div w:id="1386951819">
      <w:bodyDiv w:val="1"/>
      <w:marLeft w:val="0"/>
      <w:marRight w:val="0"/>
      <w:marTop w:val="0"/>
      <w:marBottom w:val="0"/>
      <w:divBdr>
        <w:top w:val="none" w:sz="0" w:space="0" w:color="auto"/>
        <w:left w:val="none" w:sz="0" w:space="0" w:color="auto"/>
        <w:bottom w:val="none" w:sz="0" w:space="0" w:color="auto"/>
        <w:right w:val="none" w:sz="0" w:space="0" w:color="auto"/>
      </w:divBdr>
    </w:div>
    <w:div w:id="1387139559">
      <w:bodyDiv w:val="1"/>
      <w:marLeft w:val="0"/>
      <w:marRight w:val="0"/>
      <w:marTop w:val="0"/>
      <w:marBottom w:val="0"/>
      <w:divBdr>
        <w:top w:val="none" w:sz="0" w:space="0" w:color="auto"/>
        <w:left w:val="none" w:sz="0" w:space="0" w:color="auto"/>
        <w:bottom w:val="none" w:sz="0" w:space="0" w:color="auto"/>
        <w:right w:val="none" w:sz="0" w:space="0" w:color="auto"/>
      </w:divBdr>
    </w:div>
    <w:div w:id="1391033385">
      <w:bodyDiv w:val="1"/>
      <w:marLeft w:val="0"/>
      <w:marRight w:val="0"/>
      <w:marTop w:val="0"/>
      <w:marBottom w:val="0"/>
      <w:divBdr>
        <w:top w:val="none" w:sz="0" w:space="0" w:color="auto"/>
        <w:left w:val="none" w:sz="0" w:space="0" w:color="auto"/>
        <w:bottom w:val="none" w:sz="0" w:space="0" w:color="auto"/>
        <w:right w:val="none" w:sz="0" w:space="0" w:color="auto"/>
      </w:divBdr>
    </w:div>
    <w:div w:id="1394619250">
      <w:bodyDiv w:val="1"/>
      <w:marLeft w:val="0"/>
      <w:marRight w:val="0"/>
      <w:marTop w:val="0"/>
      <w:marBottom w:val="0"/>
      <w:divBdr>
        <w:top w:val="none" w:sz="0" w:space="0" w:color="auto"/>
        <w:left w:val="none" w:sz="0" w:space="0" w:color="auto"/>
        <w:bottom w:val="none" w:sz="0" w:space="0" w:color="auto"/>
        <w:right w:val="none" w:sz="0" w:space="0" w:color="auto"/>
      </w:divBdr>
      <w:divsChild>
        <w:div w:id="422603502">
          <w:marLeft w:val="0"/>
          <w:marRight w:val="0"/>
          <w:marTop w:val="0"/>
          <w:marBottom w:val="0"/>
          <w:divBdr>
            <w:top w:val="none" w:sz="0" w:space="0" w:color="auto"/>
            <w:left w:val="none" w:sz="0" w:space="0" w:color="auto"/>
            <w:bottom w:val="none" w:sz="0" w:space="0" w:color="auto"/>
            <w:right w:val="none" w:sz="0" w:space="0" w:color="auto"/>
          </w:divBdr>
          <w:divsChild>
            <w:div w:id="285159541">
              <w:marLeft w:val="0"/>
              <w:marRight w:val="0"/>
              <w:marTop w:val="0"/>
              <w:marBottom w:val="0"/>
              <w:divBdr>
                <w:top w:val="none" w:sz="0" w:space="0" w:color="auto"/>
                <w:left w:val="none" w:sz="0" w:space="0" w:color="auto"/>
                <w:bottom w:val="none" w:sz="0" w:space="0" w:color="auto"/>
                <w:right w:val="none" w:sz="0" w:space="0" w:color="auto"/>
              </w:divBdr>
            </w:div>
            <w:div w:id="758602492">
              <w:marLeft w:val="0"/>
              <w:marRight w:val="0"/>
              <w:marTop w:val="0"/>
              <w:marBottom w:val="0"/>
              <w:divBdr>
                <w:top w:val="none" w:sz="0" w:space="0" w:color="auto"/>
                <w:left w:val="none" w:sz="0" w:space="0" w:color="auto"/>
                <w:bottom w:val="none" w:sz="0" w:space="0" w:color="auto"/>
                <w:right w:val="none" w:sz="0" w:space="0" w:color="auto"/>
              </w:divBdr>
            </w:div>
            <w:div w:id="1153571332">
              <w:marLeft w:val="0"/>
              <w:marRight w:val="0"/>
              <w:marTop w:val="0"/>
              <w:marBottom w:val="0"/>
              <w:divBdr>
                <w:top w:val="none" w:sz="0" w:space="0" w:color="auto"/>
                <w:left w:val="none" w:sz="0" w:space="0" w:color="auto"/>
                <w:bottom w:val="none" w:sz="0" w:space="0" w:color="auto"/>
                <w:right w:val="none" w:sz="0" w:space="0" w:color="auto"/>
              </w:divBdr>
            </w:div>
            <w:div w:id="13184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354">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01172742">
      <w:bodyDiv w:val="1"/>
      <w:marLeft w:val="0"/>
      <w:marRight w:val="0"/>
      <w:marTop w:val="0"/>
      <w:marBottom w:val="0"/>
      <w:divBdr>
        <w:top w:val="none" w:sz="0" w:space="0" w:color="auto"/>
        <w:left w:val="none" w:sz="0" w:space="0" w:color="auto"/>
        <w:bottom w:val="none" w:sz="0" w:space="0" w:color="auto"/>
        <w:right w:val="none" w:sz="0" w:space="0" w:color="auto"/>
      </w:divBdr>
    </w:div>
    <w:div w:id="1404840639">
      <w:bodyDiv w:val="1"/>
      <w:marLeft w:val="0"/>
      <w:marRight w:val="0"/>
      <w:marTop w:val="0"/>
      <w:marBottom w:val="0"/>
      <w:divBdr>
        <w:top w:val="none" w:sz="0" w:space="0" w:color="auto"/>
        <w:left w:val="none" w:sz="0" w:space="0" w:color="auto"/>
        <w:bottom w:val="none" w:sz="0" w:space="0" w:color="auto"/>
        <w:right w:val="none" w:sz="0" w:space="0" w:color="auto"/>
      </w:divBdr>
    </w:div>
    <w:div w:id="1412628568">
      <w:bodyDiv w:val="1"/>
      <w:marLeft w:val="0"/>
      <w:marRight w:val="0"/>
      <w:marTop w:val="0"/>
      <w:marBottom w:val="0"/>
      <w:divBdr>
        <w:top w:val="none" w:sz="0" w:space="0" w:color="auto"/>
        <w:left w:val="none" w:sz="0" w:space="0" w:color="auto"/>
        <w:bottom w:val="none" w:sz="0" w:space="0" w:color="auto"/>
        <w:right w:val="none" w:sz="0" w:space="0" w:color="auto"/>
      </w:divBdr>
      <w:divsChild>
        <w:div w:id="972902538">
          <w:marLeft w:val="0"/>
          <w:marRight w:val="0"/>
          <w:marTop w:val="0"/>
          <w:marBottom w:val="0"/>
          <w:divBdr>
            <w:top w:val="none" w:sz="0" w:space="0" w:color="auto"/>
            <w:left w:val="none" w:sz="0" w:space="0" w:color="auto"/>
            <w:bottom w:val="none" w:sz="0" w:space="0" w:color="auto"/>
            <w:right w:val="none" w:sz="0" w:space="0" w:color="auto"/>
          </w:divBdr>
          <w:divsChild>
            <w:div w:id="967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376">
      <w:bodyDiv w:val="1"/>
      <w:marLeft w:val="0"/>
      <w:marRight w:val="0"/>
      <w:marTop w:val="0"/>
      <w:marBottom w:val="0"/>
      <w:divBdr>
        <w:top w:val="none" w:sz="0" w:space="0" w:color="auto"/>
        <w:left w:val="none" w:sz="0" w:space="0" w:color="auto"/>
        <w:bottom w:val="none" w:sz="0" w:space="0" w:color="auto"/>
        <w:right w:val="none" w:sz="0" w:space="0" w:color="auto"/>
      </w:divBdr>
    </w:div>
    <w:div w:id="1423842959">
      <w:bodyDiv w:val="1"/>
      <w:marLeft w:val="0"/>
      <w:marRight w:val="0"/>
      <w:marTop w:val="0"/>
      <w:marBottom w:val="0"/>
      <w:divBdr>
        <w:top w:val="none" w:sz="0" w:space="0" w:color="auto"/>
        <w:left w:val="none" w:sz="0" w:space="0" w:color="auto"/>
        <w:bottom w:val="none" w:sz="0" w:space="0" w:color="auto"/>
        <w:right w:val="none" w:sz="0" w:space="0" w:color="auto"/>
      </w:divBdr>
    </w:div>
    <w:div w:id="1424841612">
      <w:bodyDiv w:val="1"/>
      <w:marLeft w:val="0"/>
      <w:marRight w:val="0"/>
      <w:marTop w:val="0"/>
      <w:marBottom w:val="0"/>
      <w:divBdr>
        <w:top w:val="none" w:sz="0" w:space="0" w:color="auto"/>
        <w:left w:val="none" w:sz="0" w:space="0" w:color="auto"/>
        <w:bottom w:val="none" w:sz="0" w:space="0" w:color="auto"/>
        <w:right w:val="none" w:sz="0" w:space="0" w:color="auto"/>
      </w:divBdr>
    </w:div>
    <w:div w:id="1427379414">
      <w:bodyDiv w:val="1"/>
      <w:marLeft w:val="0"/>
      <w:marRight w:val="0"/>
      <w:marTop w:val="0"/>
      <w:marBottom w:val="0"/>
      <w:divBdr>
        <w:top w:val="none" w:sz="0" w:space="0" w:color="auto"/>
        <w:left w:val="none" w:sz="0" w:space="0" w:color="auto"/>
        <w:bottom w:val="none" w:sz="0" w:space="0" w:color="auto"/>
        <w:right w:val="none" w:sz="0" w:space="0" w:color="auto"/>
      </w:divBdr>
    </w:div>
    <w:div w:id="1427532462">
      <w:bodyDiv w:val="1"/>
      <w:marLeft w:val="0"/>
      <w:marRight w:val="0"/>
      <w:marTop w:val="0"/>
      <w:marBottom w:val="0"/>
      <w:divBdr>
        <w:top w:val="none" w:sz="0" w:space="0" w:color="auto"/>
        <w:left w:val="none" w:sz="0" w:space="0" w:color="auto"/>
        <w:bottom w:val="none" w:sz="0" w:space="0" w:color="auto"/>
        <w:right w:val="none" w:sz="0" w:space="0" w:color="auto"/>
      </w:divBdr>
    </w:div>
    <w:div w:id="1429159341">
      <w:bodyDiv w:val="1"/>
      <w:marLeft w:val="0"/>
      <w:marRight w:val="0"/>
      <w:marTop w:val="0"/>
      <w:marBottom w:val="0"/>
      <w:divBdr>
        <w:top w:val="none" w:sz="0" w:space="0" w:color="auto"/>
        <w:left w:val="none" w:sz="0" w:space="0" w:color="auto"/>
        <w:bottom w:val="none" w:sz="0" w:space="0" w:color="auto"/>
        <w:right w:val="none" w:sz="0" w:space="0" w:color="auto"/>
      </w:divBdr>
    </w:div>
    <w:div w:id="1430927877">
      <w:bodyDiv w:val="1"/>
      <w:marLeft w:val="0"/>
      <w:marRight w:val="0"/>
      <w:marTop w:val="0"/>
      <w:marBottom w:val="0"/>
      <w:divBdr>
        <w:top w:val="none" w:sz="0" w:space="0" w:color="auto"/>
        <w:left w:val="none" w:sz="0" w:space="0" w:color="auto"/>
        <w:bottom w:val="none" w:sz="0" w:space="0" w:color="auto"/>
        <w:right w:val="none" w:sz="0" w:space="0" w:color="auto"/>
      </w:divBdr>
    </w:div>
    <w:div w:id="1436363582">
      <w:bodyDiv w:val="1"/>
      <w:marLeft w:val="0"/>
      <w:marRight w:val="0"/>
      <w:marTop w:val="0"/>
      <w:marBottom w:val="0"/>
      <w:divBdr>
        <w:top w:val="none" w:sz="0" w:space="0" w:color="auto"/>
        <w:left w:val="none" w:sz="0" w:space="0" w:color="auto"/>
        <w:bottom w:val="none" w:sz="0" w:space="0" w:color="auto"/>
        <w:right w:val="none" w:sz="0" w:space="0" w:color="auto"/>
      </w:divBdr>
    </w:div>
    <w:div w:id="1439762700">
      <w:bodyDiv w:val="1"/>
      <w:marLeft w:val="0"/>
      <w:marRight w:val="0"/>
      <w:marTop w:val="0"/>
      <w:marBottom w:val="0"/>
      <w:divBdr>
        <w:top w:val="none" w:sz="0" w:space="0" w:color="auto"/>
        <w:left w:val="none" w:sz="0" w:space="0" w:color="auto"/>
        <w:bottom w:val="none" w:sz="0" w:space="0" w:color="auto"/>
        <w:right w:val="none" w:sz="0" w:space="0" w:color="auto"/>
      </w:divBdr>
    </w:div>
    <w:div w:id="1442333647">
      <w:bodyDiv w:val="1"/>
      <w:marLeft w:val="0"/>
      <w:marRight w:val="0"/>
      <w:marTop w:val="0"/>
      <w:marBottom w:val="0"/>
      <w:divBdr>
        <w:top w:val="none" w:sz="0" w:space="0" w:color="auto"/>
        <w:left w:val="none" w:sz="0" w:space="0" w:color="auto"/>
        <w:bottom w:val="none" w:sz="0" w:space="0" w:color="auto"/>
        <w:right w:val="none" w:sz="0" w:space="0" w:color="auto"/>
      </w:divBdr>
    </w:div>
    <w:div w:id="1443961295">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8">
          <w:marLeft w:val="0"/>
          <w:marRight w:val="0"/>
          <w:marTop w:val="0"/>
          <w:marBottom w:val="0"/>
          <w:divBdr>
            <w:top w:val="none" w:sz="0" w:space="0" w:color="auto"/>
            <w:left w:val="none" w:sz="0" w:space="0" w:color="auto"/>
            <w:bottom w:val="none" w:sz="0" w:space="0" w:color="auto"/>
            <w:right w:val="none" w:sz="0" w:space="0" w:color="auto"/>
          </w:divBdr>
          <w:divsChild>
            <w:div w:id="1348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2358">
      <w:bodyDiv w:val="1"/>
      <w:marLeft w:val="0"/>
      <w:marRight w:val="0"/>
      <w:marTop w:val="0"/>
      <w:marBottom w:val="0"/>
      <w:divBdr>
        <w:top w:val="none" w:sz="0" w:space="0" w:color="auto"/>
        <w:left w:val="none" w:sz="0" w:space="0" w:color="auto"/>
        <w:bottom w:val="none" w:sz="0" w:space="0" w:color="auto"/>
        <w:right w:val="none" w:sz="0" w:space="0" w:color="auto"/>
      </w:divBdr>
    </w:div>
    <w:div w:id="1450586285">
      <w:bodyDiv w:val="1"/>
      <w:marLeft w:val="0"/>
      <w:marRight w:val="0"/>
      <w:marTop w:val="0"/>
      <w:marBottom w:val="0"/>
      <w:divBdr>
        <w:top w:val="none" w:sz="0" w:space="0" w:color="auto"/>
        <w:left w:val="none" w:sz="0" w:space="0" w:color="auto"/>
        <w:bottom w:val="none" w:sz="0" w:space="0" w:color="auto"/>
        <w:right w:val="none" w:sz="0" w:space="0" w:color="auto"/>
      </w:divBdr>
      <w:divsChild>
        <w:div w:id="1666977799">
          <w:marLeft w:val="0"/>
          <w:marRight w:val="0"/>
          <w:marTop w:val="0"/>
          <w:marBottom w:val="0"/>
          <w:divBdr>
            <w:top w:val="none" w:sz="0" w:space="0" w:color="auto"/>
            <w:left w:val="none" w:sz="0" w:space="0" w:color="auto"/>
            <w:bottom w:val="none" w:sz="0" w:space="0" w:color="auto"/>
            <w:right w:val="none" w:sz="0" w:space="0" w:color="auto"/>
          </w:divBdr>
        </w:div>
      </w:divsChild>
    </w:div>
    <w:div w:id="1450588229">
      <w:bodyDiv w:val="1"/>
      <w:marLeft w:val="0"/>
      <w:marRight w:val="0"/>
      <w:marTop w:val="0"/>
      <w:marBottom w:val="0"/>
      <w:divBdr>
        <w:top w:val="none" w:sz="0" w:space="0" w:color="auto"/>
        <w:left w:val="none" w:sz="0" w:space="0" w:color="auto"/>
        <w:bottom w:val="none" w:sz="0" w:space="0" w:color="auto"/>
        <w:right w:val="none" w:sz="0" w:space="0" w:color="auto"/>
      </w:divBdr>
      <w:divsChild>
        <w:div w:id="906040704">
          <w:marLeft w:val="0"/>
          <w:marRight w:val="0"/>
          <w:marTop w:val="0"/>
          <w:marBottom w:val="0"/>
          <w:divBdr>
            <w:top w:val="none" w:sz="0" w:space="0" w:color="auto"/>
            <w:left w:val="none" w:sz="0" w:space="0" w:color="auto"/>
            <w:bottom w:val="none" w:sz="0" w:space="0" w:color="auto"/>
            <w:right w:val="none" w:sz="0" w:space="0" w:color="auto"/>
          </w:divBdr>
        </w:div>
      </w:divsChild>
    </w:div>
    <w:div w:id="1451822042">
      <w:bodyDiv w:val="1"/>
      <w:marLeft w:val="0"/>
      <w:marRight w:val="0"/>
      <w:marTop w:val="0"/>
      <w:marBottom w:val="0"/>
      <w:divBdr>
        <w:top w:val="none" w:sz="0" w:space="0" w:color="auto"/>
        <w:left w:val="none" w:sz="0" w:space="0" w:color="auto"/>
        <w:bottom w:val="none" w:sz="0" w:space="0" w:color="auto"/>
        <w:right w:val="none" w:sz="0" w:space="0" w:color="auto"/>
      </w:divBdr>
    </w:div>
    <w:div w:id="1454208534">
      <w:bodyDiv w:val="1"/>
      <w:marLeft w:val="0"/>
      <w:marRight w:val="0"/>
      <w:marTop w:val="0"/>
      <w:marBottom w:val="0"/>
      <w:divBdr>
        <w:top w:val="none" w:sz="0" w:space="0" w:color="auto"/>
        <w:left w:val="none" w:sz="0" w:space="0" w:color="auto"/>
        <w:bottom w:val="none" w:sz="0" w:space="0" w:color="auto"/>
        <w:right w:val="none" w:sz="0" w:space="0" w:color="auto"/>
      </w:divBdr>
    </w:div>
    <w:div w:id="1454598740">
      <w:bodyDiv w:val="1"/>
      <w:marLeft w:val="0"/>
      <w:marRight w:val="0"/>
      <w:marTop w:val="0"/>
      <w:marBottom w:val="0"/>
      <w:divBdr>
        <w:top w:val="none" w:sz="0" w:space="0" w:color="auto"/>
        <w:left w:val="none" w:sz="0" w:space="0" w:color="auto"/>
        <w:bottom w:val="none" w:sz="0" w:space="0" w:color="auto"/>
        <w:right w:val="none" w:sz="0" w:space="0" w:color="auto"/>
      </w:divBdr>
    </w:div>
    <w:div w:id="1456102078">
      <w:bodyDiv w:val="1"/>
      <w:marLeft w:val="0"/>
      <w:marRight w:val="0"/>
      <w:marTop w:val="0"/>
      <w:marBottom w:val="0"/>
      <w:divBdr>
        <w:top w:val="none" w:sz="0" w:space="0" w:color="auto"/>
        <w:left w:val="none" w:sz="0" w:space="0" w:color="auto"/>
        <w:bottom w:val="none" w:sz="0" w:space="0" w:color="auto"/>
        <w:right w:val="none" w:sz="0" w:space="0" w:color="auto"/>
      </w:divBdr>
    </w:div>
    <w:div w:id="1456874381">
      <w:bodyDiv w:val="1"/>
      <w:marLeft w:val="0"/>
      <w:marRight w:val="0"/>
      <w:marTop w:val="0"/>
      <w:marBottom w:val="0"/>
      <w:divBdr>
        <w:top w:val="none" w:sz="0" w:space="0" w:color="auto"/>
        <w:left w:val="none" w:sz="0" w:space="0" w:color="auto"/>
        <w:bottom w:val="none" w:sz="0" w:space="0" w:color="auto"/>
        <w:right w:val="none" w:sz="0" w:space="0" w:color="auto"/>
      </w:divBdr>
    </w:div>
    <w:div w:id="1464615673">
      <w:bodyDiv w:val="1"/>
      <w:marLeft w:val="0"/>
      <w:marRight w:val="0"/>
      <w:marTop w:val="0"/>
      <w:marBottom w:val="0"/>
      <w:divBdr>
        <w:top w:val="none" w:sz="0" w:space="0" w:color="auto"/>
        <w:left w:val="none" w:sz="0" w:space="0" w:color="auto"/>
        <w:bottom w:val="none" w:sz="0" w:space="0" w:color="auto"/>
        <w:right w:val="none" w:sz="0" w:space="0" w:color="auto"/>
      </w:divBdr>
      <w:divsChild>
        <w:div w:id="1095394487">
          <w:marLeft w:val="0"/>
          <w:marRight w:val="0"/>
          <w:marTop w:val="0"/>
          <w:marBottom w:val="0"/>
          <w:divBdr>
            <w:top w:val="none" w:sz="0" w:space="0" w:color="auto"/>
            <w:left w:val="none" w:sz="0" w:space="0" w:color="auto"/>
            <w:bottom w:val="none" w:sz="0" w:space="0" w:color="auto"/>
            <w:right w:val="none" w:sz="0" w:space="0" w:color="auto"/>
          </w:divBdr>
          <w:divsChild>
            <w:div w:id="1165509076">
              <w:marLeft w:val="0"/>
              <w:marRight w:val="0"/>
              <w:marTop w:val="120"/>
              <w:marBottom w:val="0"/>
              <w:divBdr>
                <w:top w:val="none" w:sz="0" w:space="0" w:color="auto"/>
                <w:left w:val="none" w:sz="0" w:space="0" w:color="auto"/>
                <w:bottom w:val="none" w:sz="0" w:space="0" w:color="auto"/>
                <w:right w:val="none" w:sz="0" w:space="0" w:color="auto"/>
              </w:divBdr>
            </w:div>
            <w:div w:id="147521931">
              <w:marLeft w:val="0"/>
              <w:marRight w:val="0"/>
              <w:marTop w:val="0"/>
              <w:marBottom w:val="0"/>
              <w:divBdr>
                <w:top w:val="none" w:sz="0" w:space="0" w:color="auto"/>
                <w:left w:val="none" w:sz="0" w:space="0" w:color="auto"/>
                <w:bottom w:val="none" w:sz="0" w:space="0" w:color="auto"/>
                <w:right w:val="none" w:sz="0" w:space="0" w:color="auto"/>
              </w:divBdr>
            </w:div>
          </w:divsChild>
        </w:div>
        <w:div w:id="756899637">
          <w:marLeft w:val="0"/>
          <w:marRight w:val="0"/>
          <w:marTop w:val="0"/>
          <w:marBottom w:val="0"/>
          <w:divBdr>
            <w:top w:val="none" w:sz="0" w:space="0" w:color="auto"/>
            <w:left w:val="none" w:sz="0" w:space="0" w:color="auto"/>
            <w:bottom w:val="none" w:sz="0" w:space="0" w:color="auto"/>
            <w:right w:val="none" w:sz="0" w:space="0" w:color="auto"/>
          </w:divBdr>
          <w:divsChild>
            <w:div w:id="1584728046">
              <w:marLeft w:val="0"/>
              <w:marRight w:val="0"/>
              <w:marTop w:val="120"/>
              <w:marBottom w:val="0"/>
              <w:divBdr>
                <w:top w:val="none" w:sz="0" w:space="0" w:color="auto"/>
                <w:left w:val="none" w:sz="0" w:space="0" w:color="auto"/>
                <w:bottom w:val="none" w:sz="0" w:space="0" w:color="auto"/>
                <w:right w:val="none" w:sz="0" w:space="0" w:color="auto"/>
              </w:divBdr>
            </w:div>
            <w:div w:id="1213074651">
              <w:marLeft w:val="0"/>
              <w:marRight w:val="0"/>
              <w:marTop w:val="0"/>
              <w:marBottom w:val="0"/>
              <w:divBdr>
                <w:top w:val="none" w:sz="0" w:space="0" w:color="auto"/>
                <w:left w:val="none" w:sz="0" w:space="0" w:color="auto"/>
                <w:bottom w:val="none" w:sz="0" w:space="0" w:color="auto"/>
                <w:right w:val="none" w:sz="0" w:space="0" w:color="auto"/>
              </w:divBdr>
            </w:div>
          </w:divsChild>
        </w:div>
        <w:div w:id="1294091245">
          <w:marLeft w:val="0"/>
          <w:marRight w:val="0"/>
          <w:marTop w:val="0"/>
          <w:marBottom w:val="0"/>
          <w:divBdr>
            <w:top w:val="none" w:sz="0" w:space="0" w:color="auto"/>
            <w:left w:val="none" w:sz="0" w:space="0" w:color="auto"/>
            <w:bottom w:val="none" w:sz="0" w:space="0" w:color="auto"/>
            <w:right w:val="none" w:sz="0" w:space="0" w:color="auto"/>
          </w:divBdr>
          <w:divsChild>
            <w:div w:id="453721031">
              <w:marLeft w:val="0"/>
              <w:marRight w:val="0"/>
              <w:marTop w:val="120"/>
              <w:marBottom w:val="0"/>
              <w:divBdr>
                <w:top w:val="none" w:sz="0" w:space="0" w:color="auto"/>
                <w:left w:val="none" w:sz="0" w:space="0" w:color="auto"/>
                <w:bottom w:val="none" w:sz="0" w:space="0" w:color="auto"/>
                <w:right w:val="none" w:sz="0" w:space="0" w:color="auto"/>
              </w:divBdr>
            </w:div>
            <w:div w:id="1568153521">
              <w:marLeft w:val="0"/>
              <w:marRight w:val="0"/>
              <w:marTop w:val="0"/>
              <w:marBottom w:val="0"/>
              <w:divBdr>
                <w:top w:val="none" w:sz="0" w:space="0" w:color="auto"/>
                <w:left w:val="none" w:sz="0" w:space="0" w:color="auto"/>
                <w:bottom w:val="none" w:sz="0" w:space="0" w:color="auto"/>
                <w:right w:val="none" w:sz="0" w:space="0" w:color="auto"/>
              </w:divBdr>
            </w:div>
          </w:divsChild>
        </w:div>
        <w:div w:id="819731026">
          <w:marLeft w:val="0"/>
          <w:marRight w:val="0"/>
          <w:marTop w:val="0"/>
          <w:marBottom w:val="0"/>
          <w:divBdr>
            <w:top w:val="none" w:sz="0" w:space="0" w:color="auto"/>
            <w:left w:val="none" w:sz="0" w:space="0" w:color="auto"/>
            <w:bottom w:val="none" w:sz="0" w:space="0" w:color="auto"/>
            <w:right w:val="none" w:sz="0" w:space="0" w:color="auto"/>
          </w:divBdr>
          <w:divsChild>
            <w:div w:id="73280287">
              <w:marLeft w:val="0"/>
              <w:marRight w:val="0"/>
              <w:marTop w:val="120"/>
              <w:marBottom w:val="0"/>
              <w:divBdr>
                <w:top w:val="none" w:sz="0" w:space="0" w:color="auto"/>
                <w:left w:val="none" w:sz="0" w:space="0" w:color="auto"/>
                <w:bottom w:val="none" w:sz="0" w:space="0" w:color="auto"/>
                <w:right w:val="none" w:sz="0" w:space="0" w:color="auto"/>
              </w:divBdr>
            </w:div>
            <w:div w:id="1581982150">
              <w:marLeft w:val="0"/>
              <w:marRight w:val="0"/>
              <w:marTop w:val="0"/>
              <w:marBottom w:val="0"/>
              <w:divBdr>
                <w:top w:val="none" w:sz="0" w:space="0" w:color="auto"/>
                <w:left w:val="none" w:sz="0" w:space="0" w:color="auto"/>
                <w:bottom w:val="none" w:sz="0" w:space="0" w:color="auto"/>
                <w:right w:val="none" w:sz="0" w:space="0" w:color="auto"/>
              </w:divBdr>
            </w:div>
          </w:divsChild>
        </w:div>
        <w:div w:id="1047030657">
          <w:marLeft w:val="0"/>
          <w:marRight w:val="0"/>
          <w:marTop w:val="0"/>
          <w:marBottom w:val="0"/>
          <w:divBdr>
            <w:top w:val="none" w:sz="0" w:space="0" w:color="auto"/>
            <w:left w:val="none" w:sz="0" w:space="0" w:color="auto"/>
            <w:bottom w:val="none" w:sz="0" w:space="0" w:color="auto"/>
            <w:right w:val="none" w:sz="0" w:space="0" w:color="auto"/>
          </w:divBdr>
          <w:divsChild>
            <w:div w:id="1495149762">
              <w:marLeft w:val="0"/>
              <w:marRight w:val="0"/>
              <w:marTop w:val="120"/>
              <w:marBottom w:val="0"/>
              <w:divBdr>
                <w:top w:val="none" w:sz="0" w:space="0" w:color="auto"/>
                <w:left w:val="none" w:sz="0" w:space="0" w:color="auto"/>
                <w:bottom w:val="none" w:sz="0" w:space="0" w:color="auto"/>
                <w:right w:val="none" w:sz="0" w:space="0" w:color="auto"/>
              </w:divBdr>
            </w:div>
            <w:div w:id="351883421">
              <w:marLeft w:val="0"/>
              <w:marRight w:val="0"/>
              <w:marTop w:val="0"/>
              <w:marBottom w:val="0"/>
              <w:divBdr>
                <w:top w:val="none" w:sz="0" w:space="0" w:color="auto"/>
                <w:left w:val="none" w:sz="0" w:space="0" w:color="auto"/>
                <w:bottom w:val="none" w:sz="0" w:space="0" w:color="auto"/>
                <w:right w:val="none" w:sz="0" w:space="0" w:color="auto"/>
              </w:divBdr>
              <w:divsChild>
                <w:div w:id="2107651724">
                  <w:marLeft w:val="0"/>
                  <w:marRight w:val="0"/>
                  <w:marTop w:val="0"/>
                  <w:marBottom w:val="0"/>
                  <w:divBdr>
                    <w:top w:val="none" w:sz="0" w:space="0" w:color="auto"/>
                    <w:left w:val="none" w:sz="0" w:space="0" w:color="auto"/>
                    <w:bottom w:val="none" w:sz="0" w:space="0" w:color="auto"/>
                    <w:right w:val="none" w:sz="0" w:space="0" w:color="auto"/>
                  </w:divBdr>
                  <w:divsChild>
                    <w:div w:id="746078200">
                      <w:marLeft w:val="0"/>
                      <w:marRight w:val="0"/>
                      <w:marTop w:val="120"/>
                      <w:marBottom w:val="0"/>
                      <w:divBdr>
                        <w:top w:val="none" w:sz="0" w:space="0" w:color="auto"/>
                        <w:left w:val="none" w:sz="0" w:space="0" w:color="auto"/>
                        <w:bottom w:val="none" w:sz="0" w:space="0" w:color="auto"/>
                        <w:right w:val="none" w:sz="0" w:space="0" w:color="auto"/>
                      </w:divBdr>
                    </w:div>
                    <w:div w:id="2075618535">
                      <w:marLeft w:val="0"/>
                      <w:marRight w:val="0"/>
                      <w:marTop w:val="0"/>
                      <w:marBottom w:val="0"/>
                      <w:divBdr>
                        <w:top w:val="none" w:sz="0" w:space="0" w:color="auto"/>
                        <w:left w:val="none" w:sz="0" w:space="0" w:color="auto"/>
                        <w:bottom w:val="none" w:sz="0" w:space="0" w:color="auto"/>
                        <w:right w:val="none" w:sz="0" w:space="0" w:color="auto"/>
                      </w:divBdr>
                      <w:divsChild>
                        <w:div w:id="7695432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966495">
                  <w:marLeft w:val="0"/>
                  <w:marRight w:val="0"/>
                  <w:marTop w:val="0"/>
                  <w:marBottom w:val="0"/>
                  <w:divBdr>
                    <w:top w:val="none" w:sz="0" w:space="0" w:color="auto"/>
                    <w:left w:val="none" w:sz="0" w:space="0" w:color="auto"/>
                    <w:bottom w:val="none" w:sz="0" w:space="0" w:color="auto"/>
                    <w:right w:val="none" w:sz="0" w:space="0" w:color="auto"/>
                  </w:divBdr>
                  <w:divsChild>
                    <w:div w:id="723723680">
                      <w:marLeft w:val="0"/>
                      <w:marRight w:val="0"/>
                      <w:marTop w:val="120"/>
                      <w:marBottom w:val="0"/>
                      <w:divBdr>
                        <w:top w:val="none" w:sz="0" w:space="0" w:color="auto"/>
                        <w:left w:val="none" w:sz="0" w:space="0" w:color="auto"/>
                        <w:bottom w:val="none" w:sz="0" w:space="0" w:color="auto"/>
                        <w:right w:val="none" w:sz="0" w:space="0" w:color="auto"/>
                      </w:divBdr>
                    </w:div>
                    <w:div w:id="250893460">
                      <w:marLeft w:val="0"/>
                      <w:marRight w:val="0"/>
                      <w:marTop w:val="0"/>
                      <w:marBottom w:val="0"/>
                      <w:divBdr>
                        <w:top w:val="none" w:sz="0" w:space="0" w:color="auto"/>
                        <w:left w:val="none" w:sz="0" w:space="0" w:color="auto"/>
                        <w:bottom w:val="none" w:sz="0" w:space="0" w:color="auto"/>
                        <w:right w:val="none" w:sz="0" w:space="0" w:color="auto"/>
                      </w:divBdr>
                      <w:divsChild>
                        <w:div w:id="2045203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09019057">
          <w:marLeft w:val="0"/>
          <w:marRight w:val="0"/>
          <w:marTop w:val="0"/>
          <w:marBottom w:val="0"/>
          <w:divBdr>
            <w:top w:val="none" w:sz="0" w:space="0" w:color="auto"/>
            <w:left w:val="none" w:sz="0" w:space="0" w:color="auto"/>
            <w:bottom w:val="none" w:sz="0" w:space="0" w:color="auto"/>
            <w:right w:val="none" w:sz="0" w:space="0" w:color="auto"/>
          </w:divBdr>
          <w:divsChild>
            <w:div w:id="1776897850">
              <w:marLeft w:val="0"/>
              <w:marRight w:val="0"/>
              <w:marTop w:val="120"/>
              <w:marBottom w:val="0"/>
              <w:divBdr>
                <w:top w:val="none" w:sz="0" w:space="0" w:color="auto"/>
                <w:left w:val="none" w:sz="0" w:space="0" w:color="auto"/>
                <w:bottom w:val="none" w:sz="0" w:space="0" w:color="auto"/>
                <w:right w:val="none" w:sz="0" w:space="0" w:color="auto"/>
              </w:divBdr>
            </w:div>
            <w:div w:id="381635896">
              <w:marLeft w:val="0"/>
              <w:marRight w:val="0"/>
              <w:marTop w:val="0"/>
              <w:marBottom w:val="0"/>
              <w:divBdr>
                <w:top w:val="none" w:sz="0" w:space="0" w:color="auto"/>
                <w:left w:val="none" w:sz="0" w:space="0" w:color="auto"/>
                <w:bottom w:val="none" w:sz="0" w:space="0" w:color="auto"/>
                <w:right w:val="none" w:sz="0" w:space="0" w:color="auto"/>
              </w:divBdr>
            </w:div>
          </w:divsChild>
        </w:div>
        <w:div w:id="2021807179">
          <w:marLeft w:val="0"/>
          <w:marRight w:val="0"/>
          <w:marTop w:val="0"/>
          <w:marBottom w:val="0"/>
          <w:divBdr>
            <w:top w:val="none" w:sz="0" w:space="0" w:color="auto"/>
            <w:left w:val="none" w:sz="0" w:space="0" w:color="auto"/>
            <w:bottom w:val="none" w:sz="0" w:space="0" w:color="auto"/>
            <w:right w:val="none" w:sz="0" w:space="0" w:color="auto"/>
          </w:divBdr>
          <w:divsChild>
            <w:div w:id="1423256369">
              <w:marLeft w:val="0"/>
              <w:marRight w:val="0"/>
              <w:marTop w:val="120"/>
              <w:marBottom w:val="0"/>
              <w:divBdr>
                <w:top w:val="none" w:sz="0" w:space="0" w:color="auto"/>
                <w:left w:val="none" w:sz="0" w:space="0" w:color="auto"/>
                <w:bottom w:val="none" w:sz="0" w:space="0" w:color="auto"/>
                <w:right w:val="none" w:sz="0" w:space="0" w:color="auto"/>
              </w:divBdr>
            </w:div>
            <w:div w:id="731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572">
      <w:bodyDiv w:val="1"/>
      <w:marLeft w:val="0"/>
      <w:marRight w:val="0"/>
      <w:marTop w:val="0"/>
      <w:marBottom w:val="0"/>
      <w:divBdr>
        <w:top w:val="none" w:sz="0" w:space="0" w:color="auto"/>
        <w:left w:val="none" w:sz="0" w:space="0" w:color="auto"/>
        <w:bottom w:val="none" w:sz="0" w:space="0" w:color="auto"/>
        <w:right w:val="none" w:sz="0" w:space="0" w:color="auto"/>
      </w:divBdr>
    </w:div>
    <w:div w:id="1466464617">
      <w:bodyDiv w:val="1"/>
      <w:marLeft w:val="0"/>
      <w:marRight w:val="0"/>
      <w:marTop w:val="0"/>
      <w:marBottom w:val="0"/>
      <w:divBdr>
        <w:top w:val="none" w:sz="0" w:space="0" w:color="auto"/>
        <w:left w:val="none" w:sz="0" w:space="0" w:color="auto"/>
        <w:bottom w:val="none" w:sz="0" w:space="0" w:color="auto"/>
        <w:right w:val="none" w:sz="0" w:space="0" w:color="auto"/>
      </w:divBdr>
    </w:div>
    <w:div w:id="1472746312">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79760502">
      <w:bodyDiv w:val="1"/>
      <w:marLeft w:val="0"/>
      <w:marRight w:val="0"/>
      <w:marTop w:val="0"/>
      <w:marBottom w:val="0"/>
      <w:divBdr>
        <w:top w:val="none" w:sz="0" w:space="0" w:color="auto"/>
        <w:left w:val="none" w:sz="0" w:space="0" w:color="auto"/>
        <w:bottom w:val="none" w:sz="0" w:space="0" w:color="auto"/>
        <w:right w:val="none" w:sz="0" w:space="0" w:color="auto"/>
      </w:divBdr>
    </w:div>
    <w:div w:id="1484853814">
      <w:bodyDiv w:val="1"/>
      <w:marLeft w:val="0"/>
      <w:marRight w:val="0"/>
      <w:marTop w:val="0"/>
      <w:marBottom w:val="0"/>
      <w:divBdr>
        <w:top w:val="none" w:sz="0" w:space="0" w:color="auto"/>
        <w:left w:val="none" w:sz="0" w:space="0" w:color="auto"/>
        <w:bottom w:val="none" w:sz="0" w:space="0" w:color="auto"/>
        <w:right w:val="none" w:sz="0" w:space="0" w:color="auto"/>
      </w:divBdr>
    </w:div>
    <w:div w:id="1485972715">
      <w:bodyDiv w:val="1"/>
      <w:marLeft w:val="0"/>
      <w:marRight w:val="0"/>
      <w:marTop w:val="0"/>
      <w:marBottom w:val="0"/>
      <w:divBdr>
        <w:top w:val="none" w:sz="0" w:space="0" w:color="auto"/>
        <w:left w:val="none" w:sz="0" w:space="0" w:color="auto"/>
        <w:bottom w:val="none" w:sz="0" w:space="0" w:color="auto"/>
        <w:right w:val="none" w:sz="0" w:space="0" w:color="auto"/>
      </w:divBdr>
    </w:div>
    <w:div w:id="1492868567">
      <w:bodyDiv w:val="1"/>
      <w:marLeft w:val="0"/>
      <w:marRight w:val="0"/>
      <w:marTop w:val="0"/>
      <w:marBottom w:val="0"/>
      <w:divBdr>
        <w:top w:val="none" w:sz="0" w:space="0" w:color="auto"/>
        <w:left w:val="none" w:sz="0" w:space="0" w:color="auto"/>
        <w:bottom w:val="none" w:sz="0" w:space="0" w:color="auto"/>
        <w:right w:val="none" w:sz="0" w:space="0" w:color="auto"/>
      </w:divBdr>
    </w:div>
    <w:div w:id="1507331903">
      <w:bodyDiv w:val="1"/>
      <w:marLeft w:val="0"/>
      <w:marRight w:val="0"/>
      <w:marTop w:val="0"/>
      <w:marBottom w:val="0"/>
      <w:divBdr>
        <w:top w:val="none" w:sz="0" w:space="0" w:color="auto"/>
        <w:left w:val="none" w:sz="0" w:space="0" w:color="auto"/>
        <w:bottom w:val="none" w:sz="0" w:space="0" w:color="auto"/>
        <w:right w:val="none" w:sz="0" w:space="0" w:color="auto"/>
      </w:divBdr>
    </w:div>
    <w:div w:id="1509371164">
      <w:bodyDiv w:val="1"/>
      <w:marLeft w:val="0"/>
      <w:marRight w:val="0"/>
      <w:marTop w:val="0"/>
      <w:marBottom w:val="0"/>
      <w:divBdr>
        <w:top w:val="none" w:sz="0" w:space="0" w:color="auto"/>
        <w:left w:val="none" w:sz="0" w:space="0" w:color="auto"/>
        <w:bottom w:val="none" w:sz="0" w:space="0" w:color="auto"/>
        <w:right w:val="none" w:sz="0" w:space="0" w:color="auto"/>
      </w:divBdr>
      <w:divsChild>
        <w:div w:id="82845901">
          <w:marLeft w:val="0"/>
          <w:marRight w:val="0"/>
          <w:marTop w:val="0"/>
          <w:marBottom w:val="0"/>
          <w:divBdr>
            <w:top w:val="none" w:sz="0" w:space="0" w:color="auto"/>
            <w:left w:val="none" w:sz="0" w:space="0" w:color="auto"/>
            <w:bottom w:val="none" w:sz="0" w:space="0" w:color="auto"/>
            <w:right w:val="none" w:sz="0" w:space="0" w:color="auto"/>
          </w:divBdr>
        </w:div>
      </w:divsChild>
    </w:div>
    <w:div w:id="1513374737">
      <w:bodyDiv w:val="1"/>
      <w:marLeft w:val="0"/>
      <w:marRight w:val="0"/>
      <w:marTop w:val="0"/>
      <w:marBottom w:val="0"/>
      <w:divBdr>
        <w:top w:val="none" w:sz="0" w:space="0" w:color="auto"/>
        <w:left w:val="none" w:sz="0" w:space="0" w:color="auto"/>
        <w:bottom w:val="none" w:sz="0" w:space="0" w:color="auto"/>
        <w:right w:val="none" w:sz="0" w:space="0" w:color="auto"/>
      </w:divBdr>
    </w:div>
    <w:div w:id="1514107349">
      <w:bodyDiv w:val="1"/>
      <w:marLeft w:val="0"/>
      <w:marRight w:val="0"/>
      <w:marTop w:val="0"/>
      <w:marBottom w:val="0"/>
      <w:divBdr>
        <w:top w:val="none" w:sz="0" w:space="0" w:color="auto"/>
        <w:left w:val="none" w:sz="0" w:space="0" w:color="auto"/>
        <w:bottom w:val="none" w:sz="0" w:space="0" w:color="auto"/>
        <w:right w:val="none" w:sz="0" w:space="0" w:color="auto"/>
      </w:divBdr>
    </w:div>
    <w:div w:id="1525630882">
      <w:bodyDiv w:val="1"/>
      <w:marLeft w:val="0"/>
      <w:marRight w:val="0"/>
      <w:marTop w:val="0"/>
      <w:marBottom w:val="0"/>
      <w:divBdr>
        <w:top w:val="none" w:sz="0" w:space="0" w:color="auto"/>
        <w:left w:val="none" w:sz="0" w:space="0" w:color="auto"/>
        <w:bottom w:val="none" w:sz="0" w:space="0" w:color="auto"/>
        <w:right w:val="none" w:sz="0" w:space="0" w:color="auto"/>
      </w:divBdr>
    </w:div>
    <w:div w:id="1531215695">
      <w:bodyDiv w:val="1"/>
      <w:marLeft w:val="0"/>
      <w:marRight w:val="0"/>
      <w:marTop w:val="0"/>
      <w:marBottom w:val="0"/>
      <w:divBdr>
        <w:top w:val="none" w:sz="0" w:space="0" w:color="auto"/>
        <w:left w:val="none" w:sz="0" w:space="0" w:color="auto"/>
        <w:bottom w:val="none" w:sz="0" w:space="0" w:color="auto"/>
        <w:right w:val="none" w:sz="0" w:space="0" w:color="auto"/>
      </w:divBdr>
    </w:div>
    <w:div w:id="1534687129">
      <w:bodyDiv w:val="1"/>
      <w:marLeft w:val="0"/>
      <w:marRight w:val="0"/>
      <w:marTop w:val="0"/>
      <w:marBottom w:val="0"/>
      <w:divBdr>
        <w:top w:val="none" w:sz="0" w:space="0" w:color="auto"/>
        <w:left w:val="none" w:sz="0" w:space="0" w:color="auto"/>
        <w:bottom w:val="none" w:sz="0" w:space="0" w:color="auto"/>
        <w:right w:val="none" w:sz="0" w:space="0" w:color="auto"/>
      </w:divBdr>
    </w:div>
    <w:div w:id="1537424629">
      <w:bodyDiv w:val="1"/>
      <w:marLeft w:val="0"/>
      <w:marRight w:val="0"/>
      <w:marTop w:val="0"/>
      <w:marBottom w:val="0"/>
      <w:divBdr>
        <w:top w:val="none" w:sz="0" w:space="0" w:color="auto"/>
        <w:left w:val="none" w:sz="0" w:space="0" w:color="auto"/>
        <w:bottom w:val="none" w:sz="0" w:space="0" w:color="auto"/>
        <w:right w:val="none" w:sz="0" w:space="0" w:color="auto"/>
      </w:divBdr>
    </w:div>
    <w:div w:id="1538852240">
      <w:bodyDiv w:val="1"/>
      <w:marLeft w:val="0"/>
      <w:marRight w:val="0"/>
      <w:marTop w:val="0"/>
      <w:marBottom w:val="0"/>
      <w:divBdr>
        <w:top w:val="none" w:sz="0" w:space="0" w:color="auto"/>
        <w:left w:val="none" w:sz="0" w:space="0" w:color="auto"/>
        <w:bottom w:val="none" w:sz="0" w:space="0" w:color="auto"/>
        <w:right w:val="none" w:sz="0" w:space="0" w:color="auto"/>
      </w:divBdr>
    </w:div>
    <w:div w:id="1542747261">
      <w:bodyDiv w:val="1"/>
      <w:marLeft w:val="0"/>
      <w:marRight w:val="0"/>
      <w:marTop w:val="0"/>
      <w:marBottom w:val="0"/>
      <w:divBdr>
        <w:top w:val="none" w:sz="0" w:space="0" w:color="auto"/>
        <w:left w:val="none" w:sz="0" w:space="0" w:color="auto"/>
        <w:bottom w:val="none" w:sz="0" w:space="0" w:color="auto"/>
        <w:right w:val="none" w:sz="0" w:space="0" w:color="auto"/>
      </w:divBdr>
    </w:div>
    <w:div w:id="1548293819">
      <w:bodyDiv w:val="1"/>
      <w:marLeft w:val="0"/>
      <w:marRight w:val="0"/>
      <w:marTop w:val="0"/>
      <w:marBottom w:val="0"/>
      <w:divBdr>
        <w:top w:val="none" w:sz="0" w:space="0" w:color="auto"/>
        <w:left w:val="none" w:sz="0" w:space="0" w:color="auto"/>
        <w:bottom w:val="none" w:sz="0" w:space="0" w:color="auto"/>
        <w:right w:val="none" w:sz="0" w:space="0" w:color="auto"/>
      </w:divBdr>
    </w:div>
    <w:div w:id="1558392539">
      <w:bodyDiv w:val="1"/>
      <w:marLeft w:val="0"/>
      <w:marRight w:val="0"/>
      <w:marTop w:val="0"/>
      <w:marBottom w:val="0"/>
      <w:divBdr>
        <w:top w:val="none" w:sz="0" w:space="0" w:color="auto"/>
        <w:left w:val="none" w:sz="0" w:space="0" w:color="auto"/>
        <w:bottom w:val="none" w:sz="0" w:space="0" w:color="auto"/>
        <w:right w:val="none" w:sz="0" w:space="0" w:color="auto"/>
      </w:divBdr>
      <w:divsChild>
        <w:div w:id="1278221600">
          <w:marLeft w:val="0"/>
          <w:marRight w:val="0"/>
          <w:marTop w:val="0"/>
          <w:marBottom w:val="0"/>
          <w:divBdr>
            <w:top w:val="none" w:sz="0" w:space="0" w:color="auto"/>
            <w:left w:val="none" w:sz="0" w:space="0" w:color="auto"/>
            <w:bottom w:val="none" w:sz="0" w:space="0" w:color="auto"/>
            <w:right w:val="none" w:sz="0" w:space="0" w:color="auto"/>
          </w:divBdr>
          <w:divsChild>
            <w:div w:id="152264249">
              <w:marLeft w:val="0"/>
              <w:marRight w:val="0"/>
              <w:marTop w:val="0"/>
              <w:marBottom w:val="0"/>
              <w:divBdr>
                <w:top w:val="none" w:sz="0" w:space="0" w:color="auto"/>
                <w:left w:val="none" w:sz="0" w:space="0" w:color="auto"/>
                <w:bottom w:val="none" w:sz="0" w:space="0" w:color="auto"/>
                <w:right w:val="none" w:sz="0" w:space="0" w:color="auto"/>
              </w:divBdr>
              <w:divsChild>
                <w:div w:id="1326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7466">
      <w:bodyDiv w:val="1"/>
      <w:marLeft w:val="0"/>
      <w:marRight w:val="0"/>
      <w:marTop w:val="0"/>
      <w:marBottom w:val="0"/>
      <w:divBdr>
        <w:top w:val="none" w:sz="0" w:space="0" w:color="auto"/>
        <w:left w:val="none" w:sz="0" w:space="0" w:color="auto"/>
        <w:bottom w:val="none" w:sz="0" w:space="0" w:color="auto"/>
        <w:right w:val="none" w:sz="0" w:space="0" w:color="auto"/>
      </w:divBdr>
    </w:div>
    <w:div w:id="1563638622">
      <w:bodyDiv w:val="1"/>
      <w:marLeft w:val="0"/>
      <w:marRight w:val="0"/>
      <w:marTop w:val="0"/>
      <w:marBottom w:val="0"/>
      <w:divBdr>
        <w:top w:val="none" w:sz="0" w:space="0" w:color="auto"/>
        <w:left w:val="none" w:sz="0" w:space="0" w:color="auto"/>
        <w:bottom w:val="none" w:sz="0" w:space="0" w:color="auto"/>
        <w:right w:val="none" w:sz="0" w:space="0" w:color="auto"/>
      </w:divBdr>
      <w:divsChild>
        <w:div w:id="335887930">
          <w:marLeft w:val="810"/>
          <w:marRight w:val="810"/>
          <w:marTop w:val="360"/>
          <w:marBottom w:val="0"/>
          <w:divBdr>
            <w:top w:val="none" w:sz="0" w:space="0" w:color="auto"/>
            <w:left w:val="none" w:sz="0" w:space="0" w:color="auto"/>
            <w:bottom w:val="none" w:sz="0" w:space="0" w:color="auto"/>
            <w:right w:val="none" w:sz="0" w:space="0" w:color="auto"/>
          </w:divBdr>
        </w:div>
      </w:divsChild>
    </w:div>
    <w:div w:id="1568571185">
      <w:bodyDiv w:val="1"/>
      <w:marLeft w:val="0"/>
      <w:marRight w:val="0"/>
      <w:marTop w:val="0"/>
      <w:marBottom w:val="0"/>
      <w:divBdr>
        <w:top w:val="none" w:sz="0" w:space="0" w:color="auto"/>
        <w:left w:val="none" w:sz="0" w:space="0" w:color="auto"/>
        <w:bottom w:val="none" w:sz="0" w:space="0" w:color="auto"/>
        <w:right w:val="none" w:sz="0" w:space="0" w:color="auto"/>
      </w:divBdr>
    </w:div>
    <w:div w:id="1574702470">
      <w:bodyDiv w:val="1"/>
      <w:marLeft w:val="0"/>
      <w:marRight w:val="0"/>
      <w:marTop w:val="0"/>
      <w:marBottom w:val="0"/>
      <w:divBdr>
        <w:top w:val="none" w:sz="0" w:space="0" w:color="auto"/>
        <w:left w:val="none" w:sz="0" w:space="0" w:color="auto"/>
        <w:bottom w:val="none" w:sz="0" w:space="0" w:color="auto"/>
        <w:right w:val="none" w:sz="0" w:space="0" w:color="auto"/>
      </w:divBdr>
      <w:divsChild>
        <w:div w:id="1020743999">
          <w:marLeft w:val="0"/>
          <w:marRight w:val="0"/>
          <w:marTop w:val="0"/>
          <w:marBottom w:val="0"/>
          <w:divBdr>
            <w:top w:val="none" w:sz="0" w:space="0" w:color="auto"/>
            <w:left w:val="none" w:sz="0" w:space="0" w:color="auto"/>
            <w:bottom w:val="none" w:sz="0" w:space="0" w:color="auto"/>
            <w:right w:val="none" w:sz="0" w:space="0" w:color="auto"/>
          </w:divBdr>
          <w:divsChild>
            <w:div w:id="17202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793">
      <w:bodyDiv w:val="1"/>
      <w:marLeft w:val="0"/>
      <w:marRight w:val="0"/>
      <w:marTop w:val="0"/>
      <w:marBottom w:val="0"/>
      <w:divBdr>
        <w:top w:val="none" w:sz="0" w:space="0" w:color="auto"/>
        <w:left w:val="none" w:sz="0" w:space="0" w:color="auto"/>
        <w:bottom w:val="none" w:sz="0" w:space="0" w:color="auto"/>
        <w:right w:val="none" w:sz="0" w:space="0" w:color="auto"/>
      </w:divBdr>
    </w:div>
    <w:div w:id="1578369745">
      <w:bodyDiv w:val="1"/>
      <w:marLeft w:val="0"/>
      <w:marRight w:val="0"/>
      <w:marTop w:val="0"/>
      <w:marBottom w:val="0"/>
      <w:divBdr>
        <w:top w:val="none" w:sz="0" w:space="0" w:color="auto"/>
        <w:left w:val="none" w:sz="0" w:space="0" w:color="auto"/>
        <w:bottom w:val="none" w:sz="0" w:space="0" w:color="auto"/>
        <w:right w:val="none" w:sz="0" w:space="0" w:color="auto"/>
      </w:divBdr>
    </w:div>
    <w:div w:id="1578436763">
      <w:bodyDiv w:val="1"/>
      <w:marLeft w:val="0"/>
      <w:marRight w:val="0"/>
      <w:marTop w:val="0"/>
      <w:marBottom w:val="0"/>
      <w:divBdr>
        <w:top w:val="none" w:sz="0" w:space="0" w:color="auto"/>
        <w:left w:val="none" w:sz="0" w:space="0" w:color="auto"/>
        <w:bottom w:val="none" w:sz="0" w:space="0" w:color="auto"/>
        <w:right w:val="none" w:sz="0" w:space="0" w:color="auto"/>
      </w:divBdr>
    </w:div>
    <w:div w:id="1583564279">
      <w:bodyDiv w:val="1"/>
      <w:marLeft w:val="0"/>
      <w:marRight w:val="0"/>
      <w:marTop w:val="0"/>
      <w:marBottom w:val="0"/>
      <w:divBdr>
        <w:top w:val="none" w:sz="0" w:space="0" w:color="auto"/>
        <w:left w:val="none" w:sz="0" w:space="0" w:color="auto"/>
        <w:bottom w:val="none" w:sz="0" w:space="0" w:color="auto"/>
        <w:right w:val="none" w:sz="0" w:space="0" w:color="auto"/>
      </w:divBdr>
    </w:div>
    <w:div w:id="1583877600">
      <w:bodyDiv w:val="1"/>
      <w:marLeft w:val="0"/>
      <w:marRight w:val="0"/>
      <w:marTop w:val="0"/>
      <w:marBottom w:val="0"/>
      <w:divBdr>
        <w:top w:val="none" w:sz="0" w:space="0" w:color="auto"/>
        <w:left w:val="none" w:sz="0" w:space="0" w:color="auto"/>
        <w:bottom w:val="none" w:sz="0" w:space="0" w:color="auto"/>
        <w:right w:val="none" w:sz="0" w:space="0" w:color="auto"/>
      </w:divBdr>
      <w:divsChild>
        <w:div w:id="60565219">
          <w:marLeft w:val="0"/>
          <w:marRight w:val="0"/>
          <w:marTop w:val="0"/>
          <w:marBottom w:val="0"/>
          <w:divBdr>
            <w:top w:val="none" w:sz="0" w:space="0" w:color="auto"/>
            <w:left w:val="none" w:sz="0" w:space="0" w:color="auto"/>
            <w:bottom w:val="none" w:sz="0" w:space="0" w:color="auto"/>
            <w:right w:val="none" w:sz="0" w:space="0" w:color="auto"/>
          </w:divBdr>
        </w:div>
      </w:divsChild>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9537392">
      <w:bodyDiv w:val="1"/>
      <w:marLeft w:val="0"/>
      <w:marRight w:val="0"/>
      <w:marTop w:val="0"/>
      <w:marBottom w:val="0"/>
      <w:divBdr>
        <w:top w:val="none" w:sz="0" w:space="0" w:color="auto"/>
        <w:left w:val="none" w:sz="0" w:space="0" w:color="auto"/>
        <w:bottom w:val="none" w:sz="0" w:space="0" w:color="auto"/>
        <w:right w:val="none" w:sz="0" w:space="0" w:color="auto"/>
      </w:divBdr>
    </w:div>
    <w:div w:id="1598364504">
      <w:bodyDiv w:val="1"/>
      <w:marLeft w:val="0"/>
      <w:marRight w:val="0"/>
      <w:marTop w:val="0"/>
      <w:marBottom w:val="0"/>
      <w:divBdr>
        <w:top w:val="none" w:sz="0" w:space="0" w:color="auto"/>
        <w:left w:val="none" w:sz="0" w:space="0" w:color="auto"/>
        <w:bottom w:val="none" w:sz="0" w:space="0" w:color="auto"/>
        <w:right w:val="none" w:sz="0" w:space="0" w:color="auto"/>
      </w:divBdr>
      <w:divsChild>
        <w:div w:id="1368410586">
          <w:marLeft w:val="0"/>
          <w:marRight w:val="0"/>
          <w:marTop w:val="0"/>
          <w:marBottom w:val="0"/>
          <w:divBdr>
            <w:top w:val="none" w:sz="0" w:space="0" w:color="auto"/>
            <w:left w:val="none" w:sz="0" w:space="0" w:color="auto"/>
            <w:bottom w:val="none" w:sz="0" w:space="0" w:color="auto"/>
            <w:right w:val="none" w:sz="0" w:space="0" w:color="auto"/>
          </w:divBdr>
        </w:div>
      </w:divsChild>
    </w:div>
    <w:div w:id="1605727580">
      <w:bodyDiv w:val="1"/>
      <w:marLeft w:val="0"/>
      <w:marRight w:val="0"/>
      <w:marTop w:val="0"/>
      <w:marBottom w:val="0"/>
      <w:divBdr>
        <w:top w:val="none" w:sz="0" w:space="0" w:color="auto"/>
        <w:left w:val="none" w:sz="0" w:space="0" w:color="auto"/>
        <w:bottom w:val="none" w:sz="0" w:space="0" w:color="auto"/>
        <w:right w:val="none" w:sz="0" w:space="0" w:color="auto"/>
      </w:divBdr>
    </w:div>
    <w:div w:id="1607537215">
      <w:bodyDiv w:val="1"/>
      <w:marLeft w:val="0"/>
      <w:marRight w:val="0"/>
      <w:marTop w:val="0"/>
      <w:marBottom w:val="0"/>
      <w:divBdr>
        <w:top w:val="none" w:sz="0" w:space="0" w:color="auto"/>
        <w:left w:val="none" w:sz="0" w:space="0" w:color="auto"/>
        <w:bottom w:val="none" w:sz="0" w:space="0" w:color="auto"/>
        <w:right w:val="none" w:sz="0" w:space="0" w:color="auto"/>
      </w:divBdr>
    </w:div>
    <w:div w:id="1611890338">
      <w:bodyDiv w:val="1"/>
      <w:marLeft w:val="0"/>
      <w:marRight w:val="0"/>
      <w:marTop w:val="0"/>
      <w:marBottom w:val="0"/>
      <w:divBdr>
        <w:top w:val="none" w:sz="0" w:space="0" w:color="auto"/>
        <w:left w:val="none" w:sz="0" w:space="0" w:color="auto"/>
        <w:bottom w:val="none" w:sz="0" w:space="0" w:color="auto"/>
        <w:right w:val="none" w:sz="0" w:space="0" w:color="auto"/>
      </w:divBdr>
    </w:div>
    <w:div w:id="1616013278">
      <w:bodyDiv w:val="1"/>
      <w:marLeft w:val="0"/>
      <w:marRight w:val="0"/>
      <w:marTop w:val="0"/>
      <w:marBottom w:val="0"/>
      <w:divBdr>
        <w:top w:val="none" w:sz="0" w:space="0" w:color="auto"/>
        <w:left w:val="none" w:sz="0" w:space="0" w:color="auto"/>
        <w:bottom w:val="none" w:sz="0" w:space="0" w:color="auto"/>
        <w:right w:val="none" w:sz="0" w:space="0" w:color="auto"/>
      </w:divBdr>
    </w:div>
    <w:div w:id="1638996294">
      <w:bodyDiv w:val="1"/>
      <w:marLeft w:val="0"/>
      <w:marRight w:val="0"/>
      <w:marTop w:val="0"/>
      <w:marBottom w:val="0"/>
      <w:divBdr>
        <w:top w:val="none" w:sz="0" w:space="0" w:color="auto"/>
        <w:left w:val="none" w:sz="0" w:space="0" w:color="auto"/>
        <w:bottom w:val="none" w:sz="0" w:space="0" w:color="auto"/>
        <w:right w:val="none" w:sz="0" w:space="0" w:color="auto"/>
      </w:divBdr>
    </w:div>
    <w:div w:id="1641499854">
      <w:bodyDiv w:val="1"/>
      <w:marLeft w:val="0"/>
      <w:marRight w:val="0"/>
      <w:marTop w:val="0"/>
      <w:marBottom w:val="0"/>
      <w:divBdr>
        <w:top w:val="none" w:sz="0" w:space="0" w:color="auto"/>
        <w:left w:val="none" w:sz="0" w:space="0" w:color="auto"/>
        <w:bottom w:val="none" w:sz="0" w:space="0" w:color="auto"/>
        <w:right w:val="none" w:sz="0" w:space="0" w:color="auto"/>
      </w:divBdr>
    </w:div>
    <w:div w:id="1647122704">
      <w:bodyDiv w:val="1"/>
      <w:marLeft w:val="0"/>
      <w:marRight w:val="0"/>
      <w:marTop w:val="0"/>
      <w:marBottom w:val="0"/>
      <w:divBdr>
        <w:top w:val="none" w:sz="0" w:space="0" w:color="auto"/>
        <w:left w:val="none" w:sz="0" w:space="0" w:color="auto"/>
        <w:bottom w:val="none" w:sz="0" w:space="0" w:color="auto"/>
        <w:right w:val="none" w:sz="0" w:space="0" w:color="auto"/>
      </w:divBdr>
    </w:div>
    <w:div w:id="1648509441">
      <w:bodyDiv w:val="1"/>
      <w:marLeft w:val="0"/>
      <w:marRight w:val="0"/>
      <w:marTop w:val="0"/>
      <w:marBottom w:val="0"/>
      <w:divBdr>
        <w:top w:val="none" w:sz="0" w:space="0" w:color="auto"/>
        <w:left w:val="none" w:sz="0" w:space="0" w:color="auto"/>
        <w:bottom w:val="none" w:sz="0" w:space="0" w:color="auto"/>
        <w:right w:val="none" w:sz="0" w:space="0" w:color="auto"/>
      </w:divBdr>
    </w:div>
    <w:div w:id="1653673574">
      <w:bodyDiv w:val="1"/>
      <w:marLeft w:val="0"/>
      <w:marRight w:val="0"/>
      <w:marTop w:val="0"/>
      <w:marBottom w:val="0"/>
      <w:divBdr>
        <w:top w:val="none" w:sz="0" w:space="0" w:color="auto"/>
        <w:left w:val="none" w:sz="0" w:space="0" w:color="auto"/>
        <w:bottom w:val="none" w:sz="0" w:space="0" w:color="auto"/>
        <w:right w:val="none" w:sz="0" w:space="0" w:color="auto"/>
      </w:divBdr>
    </w:div>
    <w:div w:id="1654292028">
      <w:bodyDiv w:val="1"/>
      <w:marLeft w:val="0"/>
      <w:marRight w:val="0"/>
      <w:marTop w:val="0"/>
      <w:marBottom w:val="0"/>
      <w:divBdr>
        <w:top w:val="none" w:sz="0" w:space="0" w:color="auto"/>
        <w:left w:val="none" w:sz="0" w:space="0" w:color="auto"/>
        <w:bottom w:val="none" w:sz="0" w:space="0" w:color="auto"/>
        <w:right w:val="none" w:sz="0" w:space="0" w:color="auto"/>
      </w:divBdr>
    </w:div>
    <w:div w:id="1664040899">
      <w:bodyDiv w:val="1"/>
      <w:marLeft w:val="0"/>
      <w:marRight w:val="0"/>
      <w:marTop w:val="0"/>
      <w:marBottom w:val="0"/>
      <w:divBdr>
        <w:top w:val="none" w:sz="0" w:space="0" w:color="auto"/>
        <w:left w:val="none" w:sz="0" w:space="0" w:color="auto"/>
        <w:bottom w:val="none" w:sz="0" w:space="0" w:color="auto"/>
        <w:right w:val="none" w:sz="0" w:space="0" w:color="auto"/>
      </w:divBdr>
    </w:div>
    <w:div w:id="1665472739">
      <w:bodyDiv w:val="1"/>
      <w:marLeft w:val="0"/>
      <w:marRight w:val="0"/>
      <w:marTop w:val="0"/>
      <w:marBottom w:val="0"/>
      <w:divBdr>
        <w:top w:val="none" w:sz="0" w:space="0" w:color="auto"/>
        <w:left w:val="none" w:sz="0" w:space="0" w:color="auto"/>
        <w:bottom w:val="none" w:sz="0" w:space="0" w:color="auto"/>
        <w:right w:val="none" w:sz="0" w:space="0" w:color="auto"/>
      </w:divBdr>
    </w:div>
    <w:div w:id="1669210868">
      <w:bodyDiv w:val="1"/>
      <w:marLeft w:val="0"/>
      <w:marRight w:val="0"/>
      <w:marTop w:val="0"/>
      <w:marBottom w:val="0"/>
      <w:divBdr>
        <w:top w:val="none" w:sz="0" w:space="0" w:color="auto"/>
        <w:left w:val="none" w:sz="0" w:space="0" w:color="auto"/>
        <w:bottom w:val="none" w:sz="0" w:space="0" w:color="auto"/>
        <w:right w:val="none" w:sz="0" w:space="0" w:color="auto"/>
      </w:divBdr>
    </w:div>
    <w:div w:id="1670257337">
      <w:bodyDiv w:val="1"/>
      <w:marLeft w:val="0"/>
      <w:marRight w:val="0"/>
      <w:marTop w:val="0"/>
      <w:marBottom w:val="0"/>
      <w:divBdr>
        <w:top w:val="none" w:sz="0" w:space="0" w:color="auto"/>
        <w:left w:val="none" w:sz="0" w:space="0" w:color="auto"/>
        <w:bottom w:val="none" w:sz="0" w:space="0" w:color="auto"/>
        <w:right w:val="none" w:sz="0" w:space="0" w:color="auto"/>
      </w:divBdr>
    </w:div>
    <w:div w:id="1680426248">
      <w:bodyDiv w:val="1"/>
      <w:marLeft w:val="0"/>
      <w:marRight w:val="0"/>
      <w:marTop w:val="0"/>
      <w:marBottom w:val="0"/>
      <w:divBdr>
        <w:top w:val="none" w:sz="0" w:space="0" w:color="auto"/>
        <w:left w:val="none" w:sz="0" w:space="0" w:color="auto"/>
        <w:bottom w:val="none" w:sz="0" w:space="0" w:color="auto"/>
        <w:right w:val="none" w:sz="0" w:space="0" w:color="auto"/>
      </w:divBdr>
    </w:div>
    <w:div w:id="1681736011">
      <w:bodyDiv w:val="1"/>
      <w:marLeft w:val="0"/>
      <w:marRight w:val="0"/>
      <w:marTop w:val="0"/>
      <w:marBottom w:val="0"/>
      <w:divBdr>
        <w:top w:val="none" w:sz="0" w:space="0" w:color="auto"/>
        <w:left w:val="none" w:sz="0" w:space="0" w:color="auto"/>
        <w:bottom w:val="none" w:sz="0" w:space="0" w:color="auto"/>
        <w:right w:val="none" w:sz="0" w:space="0" w:color="auto"/>
      </w:divBdr>
    </w:div>
    <w:div w:id="1683314082">
      <w:bodyDiv w:val="1"/>
      <w:marLeft w:val="0"/>
      <w:marRight w:val="0"/>
      <w:marTop w:val="0"/>
      <w:marBottom w:val="0"/>
      <w:divBdr>
        <w:top w:val="none" w:sz="0" w:space="0" w:color="auto"/>
        <w:left w:val="none" w:sz="0" w:space="0" w:color="auto"/>
        <w:bottom w:val="none" w:sz="0" w:space="0" w:color="auto"/>
        <w:right w:val="none" w:sz="0" w:space="0" w:color="auto"/>
      </w:divBdr>
      <w:divsChild>
        <w:div w:id="869150072">
          <w:marLeft w:val="0"/>
          <w:marRight w:val="0"/>
          <w:marTop w:val="0"/>
          <w:marBottom w:val="0"/>
          <w:divBdr>
            <w:top w:val="none" w:sz="0" w:space="0" w:color="auto"/>
            <w:left w:val="none" w:sz="0" w:space="0" w:color="auto"/>
            <w:bottom w:val="none" w:sz="0" w:space="0" w:color="auto"/>
            <w:right w:val="none" w:sz="0" w:space="0" w:color="auto"/>
          </w:divBdr>
        </w:div>
      </w:divsChild>
    </w:div>
    <w:div w:id="1689210237">
      <w:bodyDiv w:val="1"/>
      <w:marLeft w:val="0"/>
      <w:marRight w:val="0"/>
      <w:marTop w:val="0"/>
      <w:marBottom w:val="0"/>
      <w:divBdr>
        <w:top w:val="none" w:sz="0" w:space="0" w:color="auto"/>
        <w:left w:val="none" w:sz="0" w:space="0" w:color="auto"/>
        <w:bottom w:val="none" w:sz="0" w:space="0" w:color="auto"/>
        <w:right w:val="none" w:sz="0" w:space="0" w:color="auto"/>
      </w:divBdr>
    </w:div>
    <w:div w:id="1689600423">
      <w:bodyDiv w:val="1"/>
      <w:marLeft w:val="0"/>
      <w:marRight w:val="0"/>
      <w:marTop w:val="0"/>
      <w:marBottom w:val="0"/>
      <w:divBdr>
        <w:top w:val="none" w:sz="0" w:space="0" w:color="auto"/>
        <w:left w:val="none" w:sz="0" w:space="0" w:color="auto"/>
        <w:bottom w:val="none" w:sz="0" w:space="0" w:color="auto"/>
        <w:right w:val="none" w:sz="0" w:space="0" w:color="auto"/>
      </w:divBdr>
    </w:div>
    <w:div w:id="1694264198">
      <w:bodyDiv w:val="1"/>
      <w:marLeft w:val="0"/>
      <w:marRight w:val="0"/>
      <w:marTop w:val="0"/>
      <w:marBottom w:val="0"/>
      <w:divBdr>
        <w:top w:val="none" w:sz="0" w:space="0" w:color="auto"/>
        <w:left w:val="none" w:sz="0" w:space="0" w:color="auto"/>
        <w:bottom w:val="none" w:sz="0" w:space="0" w:color="auto"/>
        <w:right w:val="none" w:sz="0" w:space="0" w:color="auto"/>
      </w:divBdr>
    </w:div>
    <w:div w:id="1696344787">
      <w:bodyDiv w:val="1"/>
      <w:marLeft w:val="0"/>
      <w:marRight w:val="0"/>
      <w:marTop w:val="0"/>
      <w:marBottom w:val="0"/>
      <w:divBdr>
        <w:top w:val="none" w:sz="0" w:space="0" w:color="auto"/>
        <w:left w:val="none" w:sz="0" w:space="0" w:color="auto"/>
        <w:bottom w:val="none" w:sz="0" w:space="0" w:color="auto"/>
        <w:right w:val="none" w:sz="0" w:space="0" w:color="auto"/>
      </w:divBdr>
    </w:div>
    <w:div w:id="1699236714">
      <w:bodyDiv w:val="1"/>
      <w:marLeft w:val="0"/>
      <w:marRight w:val="0"/>
      <w:marTop w:val="0"/>
      <w:marBottom w:val="0"/>
      <w:divBdr>
        <w:top w:val="none" w:sz="0" w:space="0" w:color="auto"/>
        <w:left w:val="none" w:sz="0" w:space="0" w:color="auto"/>
        <w:bottom w:val="none" w:sz="0" w:space="0" w:color="auto"/>
        <w:right w:val="none" w:sz="0" w:space="0" w:color="auto"/>
      </w:divBdr>
    </w:div>
    <w:div w:id="1702244428">
      <w:bodyDiv w:val="1"/>
      <w:marLeft w:val="0"/>
      <w:marRight w:val="0"/>
      <w:marTop w:val="0"/>
      <w:marBottom w:val="0"/>
      <w:divBdr>
        <w:top w:val="none" w:sz="0" w:space="0" w:color="auto"/>
        <w:left w:val="none" w:sz="0" w:space="0" w:color="auto"/>
        <w:bottom w:val="none" w:sz="0" w:space="0" w:color="auto"/>
        <w:right w:val="none" w:sz="0" w:space="0" w:color="auto"/>
      </w:divBdr>
    </w:div>
    <w:div w:id="1703897594">
      <w:bodyDiv w:val="1"/>
      <w:marLeft w:val="0"/>
      <w:marRight w:val="0"/>
      <w:marTop w:val="0"/>
      <w:marBottom w:val="0"/>
      <w:divBdr>
        <w:top w:val="none" w:sz="0" w:space="0" w:color="auto"/>
        <w:left w:val="none" w:sz="0" w:space="0" w:color="auto"/>
        <w:bottom w:val="none" w:sz="0" w:space="0" w:color="auto"/>
        <w:right w:val="none" w:sz="0" w:space="0" w:color="auto"/>
      </w:divBdr>
    </w:div>
    <w:div w:id="1709988648">
      <w:bodyDiv w:val="1"/>
      <w:marLeft w:val="0"/>
      <w:marRight w:val="0"/>
      <w:marTop w:val="0"/>
      <w:marBottom w:val="0"/>
      <w:divBdr>
        <w:top w:val="none" w:sz="0" w:space="0" w:color="auto"/>
        <w:left w:val="none" w:sz="0" w:space="0" w:color="auto"/>
        <w:bottom w:val="none" w:sz="0" w:space="0" w:color="auto"/>
        <w:right w:val="none" w:sz="0" w:space="0" w:color="auto"/>
      </w:divBdr>
      <w:divsChild>
        <w:div w:id="948779041">
          <w:marLeft w:val="0"/>
          <w:marRight w:val="0"/>
          <w:marTop w:val="0"/>
          <w:marBottom w:val="0"/>
          <w:divBdr>
            <w:top w:val="none" w:sz="0" w:space="0" w:color="auto"/>
            <w:left w:val="none" w:sz="0" w:space="0" w:color="auto"/>
            <w:bottom w:val="none" w:sz="0" w:space="0" w:color="auto"/>
            <w:right w:val="none" w:sz="0" w:space="0" w:color="auto"/>
          </w:divBdr>
        </w:div>
      </w:divsChild>
    </w:div>
    <w:div w:id="1716659839">
      <w:bodyDiv w:val="1"/>
      <w:marLeft w:val="0"/>
      <w:marRight w:val="0"/>
      <w:marTop w:val="0"/>
      <w:marBottom w:val="0"/>
      <w:divBdr>
        <w:top w:val="none" w:sz="0" w:space="0" w:color="auto"/>
        <w:left w:val="none" w:sz="0" w:space="0" w:color="auto"/>
        <w:bottom w:val="none" w:sz="0" w:space="0" w:color="auto"/>
        <w:right w:val="none" w:sz="0" w:space="0" w:color="auto"/>
      </w:divBdr>
    </w:div>
    <w:div w:id="1723628119">
      <w:bodyDiv w:val="1"/>
      <w:marLeft w:val="0"/>
      <w:marRight w:val="0"/>
      <w:marTop w:val="0"/>
      <w:marBottom w:val="0"/>
      <w:divBdr>
        <w:top w:val="none" w:sz="0" w:space="0" w:color="auto"/>
        <w:left w:val="none" w:sz="0" w:space="0" w:color="auto"/>
        <w:bottom w:val="none" w:sz="0" w:space="0" w:color="auto"/>
        <w:right w:val="none" w:sz="0" w:space="0" w:color="auto"/>
      </w:divBdr>
      <w:divsChild>
        <w:div w:id="844058172">
          <w:marLeft w:val="0"/>
          <w:marRight w:val="0"/>
          <w:marTop w:val="0"/>
          <w:marBottom w:val="0"/>
          <w:divBdr>
            <w:top w:val="none" w:sz="0" w:space="0" w:color="auto"/>
            <w:left w:val="none" w:sz="0" w:space="0" w:color="auto"/>
            <w:bottom w:val="none" w:sz="0" w:space="0" w:color="auto"/>
            <w:right w:val="none" w:sz="0" w:space="0" w:color="auto"/>
          </w:divBdr>
        </w:div>
      </w:divsChild>
    </w:div>
    <w:div w:id="1729185127">
      <w:bodyDiv w:val="1"/>
      <w:marLeft w:val="0"/>
      <w:marRight w:val="0"/>
      <w:marTop w:val="0"/>
      <w:marBottom w:val="0"/>
      <w:divBdr>
        <w:top w:val="none" w:sz="0" w:space="0" w:color="auto"/>
        <w:left w:val="none" w:sz="0" w:space="0" w:color="auto"/>
        <w:bottom w:val="none" w:sz="0" w:space="0" w:color="auto"/>
        <w:right w:val="none" w:sz="0" w:space="0" w:color="auto"/>
      </w:divBdr>
    </w:div>
    <w:div w:id="1739474211">
      <w:bodyDiv w:val="1"/>
      <w:marLeft w:val="0"/>
      <w:marRight w:val="0"/>
      <w:marTop w:val="0"/>
      <w:marBottom w:val="0"/>
      <w:divBdr>
        <w:top w:val="none" w:sz="0" w:space="0" w:color="auto"/>
        <w:left w:val="none" w:sz="0" w:space="0" w:color="auto"/>
        <w:bottom w:val="none" w:sz="0" w:space="0" w:color="auto"/>
        <w:right w:val="none" w:sz="0" w:space="0" w:color="auto"/>
      </w:divBdr>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 w:id="1759868300">
      <w:bodyDiv w:val="1"/>
      <w:marLeft w:val="0"/>
      <w:marRight w:val="0"/>
      <w:marTop w:val="0"/>
      <w:marBottom w:val="0"/>
      <w:divBdr>
        <w:top w:val="none" w:sz="0" w:space="0" w:color="auto"/>
        <w:left w:val="none" w:sz="0" w:space="0" w:color="auto"/>
        <w:bottom w:val="none" w:sz="0" w:space="0" w:color="auto"/>
        <w:right w:val="none" w:sz="0" w:space="0" w:color="auto"/>
      </w:divBdr>
      <w:divsChild>
        <w:div w:id="302778143">
          <w:marLeft w:val="0"/>
          <w:marRight w:val="0"/>
          <w:marTop w:val="0"/>
          <w:marBottom w:val="0"/>
          <w:divBdr>
            <w:top w:val="none" w:sz="0" w:space="0" w:color="auto"/>
            <w:left w:val="none" w:sz="0" w:space="0" w:color="auto"/>
            <w:bottom w:val="none" w:sz="0" w:space="0" w:color="auto"/>
            <w:right w:val="none" w:sz="0" w:space="0" w:color="auto"/>
          </w:divBdr>
        </w:div>
        <w:div w:id="1186166552">
          <w:marLeft w:val="0"/>
          <w:marRight w:val="0"/>
          <w:marTop w:val="0"/>
          <w:marBottom w:val="0"/>
          <w:divBdr>
            <w:top w:val="none" w:sz="0" w:space="0" w:color="auto"/>
            <w:left w:val="none" w:sz="0" w:space="0" w:color="auto"/>
            <w:bottom w:val="none" w:sz="0" w:space="0" w:color="auto"/>
            <w:right w:val="none" w:sz="0" w:space="0" w:color="auto"/>
          </w:divBdr>
        </w:div>
      </w:divsChild>
    </w:div>
    <w:div w:id="1766531725">
      <w:bodyDiv w:val="1"/>
      <w:marLeft w:val="0"/>
      <w:marRight w:val="0"/>
      <w:marTop w:val="0"/>
      <w:marBottom w:val="0"/>
      <w:divBdr>
        <w:top w:val="none" w:sz="0" w:space="0" w:color="auto"/>
        <w:left w:val="none" w:sz="0" w:space="0" w:color="auto"/>
        <w:bottom w:val="none" w:sz="0" w:space="0" w:color="auto"/>
        <w:right w:val="none" w:sz="0" w:space="0" w:color="auto"/>
      </w:divBdr>
    </w:div>
    <w:div w:id="1774864978">
      <w:bodyDiv w:val="1"/>
      <w:marLeft w:val="0"/>
      <w:marRight w:val="0"/>
      <w:marTop w:val="0"/>
      <w:marBottom w:val="0"/>
      <w:divBdr>
        <w:top w:val="none" w:sz="0" w:space="0" w:color="auto"/>
        <w:left w:val="none" w:sz="0" w:space="0" w:color="auto"/>
        <w:bottom w:val="none" w:sz="0" w:space="0" w:color="auto"/>
        <w:right w:val="none" w:sz="0" w:space="0" w:color="auto"/>
      </w:divBdr>
    </w:div>
    <w:div w:id="1775830887">
      <w:bodyDiv w:val="1"/>
      <w:marLeft w:val="0"/>
      <w:marRight w:val="0"/>
      <w:marTop w:val="0"/>
      <w:marBottom w:val="0"/>
      <w:divBdr>
        <w:top w:val="none" w:sz="0" w:space="0" w:color="auto"/>
        <w:left w:val="none" w:sz="0" w:space="0" w:color="auto"/>
        <w:bottom w:val="none" w:sz="0" w:space="0" w:color="auto"/>
        <w:right w:val="none" w:sz="0" w:space="0" w:color="auto"/>
      </w:divBdr>
    </w:div>
    <w:div w:id="1782526581">
      <w:bodyDiv w:val="1"/>
      <w:marLeft w:val="0"/>
      <w:marRight w:val="0"/>
      <w:marTop w:val="0"/>
      <w:marBottom w:val="0"/>
      <w:divBdr>
        <w:top w:val="none" w:sz="0" w:space="0" w:color="auto"/>
        <w:left w:val="none" w:sz="0" w:space="0" w:color="auto"/>
        <w:bottom w:val="none" w:sz="0" w:space="0" w:color="auto"/>
        <w:right w:val="none" w:sz="0" w:space="0" w:color="auto"/>
      </w:divBdr>
    </w:div>
    <w:div w:id="1788936220">
      <w:bodyDiv w:val="1"/>
      <w:marLeft w:val="0"/>
      <w:marRight w:val="0"/>
      <w:marTop w:val="0"/>
      <w:marBottom w:val="0"/>
      <w:divBdr>
        <w:top w:val="none" w:sz="0" w:space="0" w:color="auto"/>
        <w:left w:val="none" w:sz="0" w:space="0" w:color="auto"/>
        <w:bottom w:val="none" w:sz="0" w:space="0" w:color="auto"/>
        <w:right w:val="none" w:sz="0" w:space="0" w:color="auto"/>
      </w:divBdr>
    </w:div>
    <w:div w:id="1791128662">
      <w:bodyDiv w:val="1"/>
      <w:marLeft w:val="0"/>
      <w:marRight w:val="0"/>
      <w:marTop w:val="0"/>
      <w:marBottom w:val="0"/>
      <w:divBdr>
        <w:top w:val="none" w:sz="0" w:space="0" w:color="auto"/>
        <w:left w:val="none" w:sz="0" w:space="0" w:color="auto"/>
        <w:bottom w:val="none" w:sz="0" w:space="0" w:color="auto"/>
        <w:right w:val="none" w:sz="0" w:space="0" w:color="auto"/>
      </w:divBdr>
    </w:div>
    <w:div w:id="1791820320">
      <w:bodyDiv w:val="1"/>
      <w:marLeft w:val="0"/>
      <w:marRight w:val="0"/>
      <w:marTop w:val="0"/>
      <w:marBottom w:val="0"/>
      <w:divBdr>
        <w:top w:val="none" w:sz="0" w:space="0" w:color="auto"/>
        <w:left w:val="none" w:sz="0" w:space="0" w:color="auto"/>
        <w:bottom w:val="none" w:sz="0" w:space="0" w:color="auto"/>
        <w:right w:val="none" w:sz="0" w:space="0" w:color="auto"/>
      </w:divBdr>
    </w:div>
    <w:div w:id="1795370619">
      <w:bodyDiv w:val="1"/>
      <w:marLeft w:val="0"/>
      <w:marRight w:val="0"/>
      <w:marTop w:val="0"/>
      <w:marBottom w:val="0"/>
      <w:divBdr>
        <w:top w:val="none" w:sz="0" w:space="0" w:color="auto"/>
        <w:left w:val="none" w:sz="0" w:space="0" w:color="auto"/>
        <w:bottom w:val="none" w:sz="0" w:space="0" w:color="auto"/>
        <w:right w:val="none" w:sz="0" w:space="0" w:color="auto"/>
      </w:divBdr>
    </w:div>
    <w:div w:id="1799256081">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809467945">
      <w:bodyDiv w:val="1"/>
      <w:marLeft w:val="0"/>
      <w:marRight w:val="0"/>
      <w:marTop w:val="0"/>
      <w:marBottom w:val="0"/>
      <w:divBdr>
        <w:top w:val="none" w:sz="0" w:space="0" w:color="auto"/>
        <w:left w:val="none" w:sz="0" w:space="0" w:color="auto"/>
        <w:bottom w:val="none" w:sz="0" w:space="0" w:color="auto"/>
        <w:right w:val="none" w:sz="0" w:space="0" w:color="auto"/>
      </w:divBdr>
    </w:div>
    <w:div w:id="1812556377">
      <w:bodyDiv w:val="1"/>
      <w:marLeft w:val="0"/>
      <w:marRight w:val="0"/>
      <w:marTop w:val="0"/>
      <w:marBottom w:val="0"/>
      <w:divBdr>
        <w:top w:val="none" w:sz="0" w:space="0" w:color="auto"/>
        <w:left w:val="none" w:sz="0" w:space="0" w:color="auto"/>
        <w:bottom w:val="none" w:sz="0" w:space="0" w:color="auto"/>
        <w:right w:val="none" w:sz="0" w:space="0" w:color="auto"/>
      </w:divBdr>
    </w:div>
    <w:div w:id="1816557248">
      <w:bodyDiv w:val="1"/>
      <w:marLeft w:val="0"/>
      <w:marRight w:val="0"/>
      <w:marTop w:val="0"/>
      <w:marBottom w:val="0"/>
      <w:divBdr>
        <w:top w:val="none" w:sz="0" w:space="0" w:color="auto"/>
        <w:left w:val="none" w:sz="0" w:space="0" w:color="auto"/>
        <w:bottom w:val="none" w:sz="0" w:space="0" w:color="auto"/>
        <w:right w:val="none" w:sz="0" w:space="0" w:color="auto"/>
      </w:divBdr>
    </w:div>
    <w:div w:id="1820537839">
      <w:bodyDiv w:val="1"/>
      <w:marLeft w:val="0"/>
      <w:marRight w:val="0"/>
      <w:marTop w:val="0"/>
      <w:marBottom w:val="0"/>
      <w:divBdr>
        <w:top w:val="none" w:sz="0" w:space="0" w:color="auto"/>
        <w:left w:val="none" w:sz="0" w:space="0" w:color="auto"/>
        <w:bottom w:val="none" w:sz="0" w:space="0" w:color="auto"/>
        <w:right w:val="none" w:sz="0" w:space="0" w:color="auto"/>
      </w:divBdr>
    </w:div>
    <w:div w:id="1821652183">
      <w:bodyDiv w:val="1"/>
      <w:marLeft w:val="0"/>
      <w:marRight w:val="0"/>
      <w:marTop w:val="0"/>
      <w:marBottom w:val="0"/>
      <w:divBdr>
        <w:top w:val="none" w:sz="0" w:space="0" w:color="auto"/>
        <w:left w:val="none" w:sz="0" w:space="0" w:color="auto"/>
        <w:bottom w:val="none" w:sz="0" w:space="0" w:color="auto"/>
        <w:right w:val="none" w:sz="0" w:space="0" w:color="auto"/>
      </w:divBdr>
    </w:div>
    <w:div w:id="1826816216">
      <w:bodyDiv w:val="1"/>
      <w:marLeft w:val="0"/>
      <w:marRight w:val="0"/>
      <w:marTop w:val="0"/>
      <w:marBottom w:val="0"/>
      <w:divBdr>
        <w:top w:val="none" w:sz="0" w:space="0" w:color="auto"/>
        <w:left w:val="none" w:sz="0" w:space="0" w:color="auto"/>
        <w:bottom w:val="none" w:sz="0" w:space="0" w:color="auto"/>
        <w:right w:val="none" w:sz="0" w:space="0" w:color="auto"/>
      </w:divBdr>
    </w:div>
    <w:div w:id="1840847751">
      <w:bodyDiv w:val="1"/>
      <w:marLeft w:val="0"/>
      <w:marRight w:val="0"/>
      <w:marTop w:val="0"/>
      <w:marBottom w:val="0"/>
      <w:divBdr>
        <w:top w:val="none" w:sz="0" w:space="0" w:color="auto"/>
        <w:left w:val="none" w:sz="0" w:space="0" w:color="auto"/>
        <w:bottom w:val="none" w:sz="0" w:space="0" w:color="auto"/>
        <w:right w:val="none" w:sz="0" w:space="0" w:color="auto"/>
      </w:divBdr>
    </w:div>
    <w:div w:id="1843621495">
      <w:bodyDiv w:val="1"/>
      <w:marLeft w:val="0"/>
      <w:marRight w:val="0"/>
      <w:marTop w:val="0"/>
      <w:marBottom w:val="0"/>
      <w:divBdr>
        <w:top w:val="none" w:sz="0" w:space="0" w:color="auto"/>
        <w:left w:val="none" w:sz="0" w:space="0" w:color="auto"/>
        <w:bottom w:val="none" w:sz="0" w:space="0" w:color="auto"/>
        <w:right w:val="none" w:sz="0" w:space="0" w:color="auto"/>
      </w:divBdr>
      <w:divsChild>
        <w:div w:id="2070155405">
          <w:marLeft w:val="0"/>
          <w:marRight w:val="0"/>
          <w:marTop w:val="0"/>
          <w:marBottom w:val="0"/>
          <w:divBdr>
            <w:top w:val="none" w:sz="0" w:space="0" w:color="auto"/>
            <w:left w:val="none" w:sz="0" w:space="0" w:color="auto"/>
            <w:bottom w:val="none" w:sz="0" w:space="0" w:color="auto"/>
            <w:right w:val="none" w:sz="0" w:space="0" w:color="auto"/>
          </w:divBdr>
          <w:divsChild>
            <w:div w:id="1574579576">
              <w:marLeft w:val="0"/>
              <w:marRight w:val="0"/>
              <w:marTop w:val="0"/>
              <w:marBottom w:val="0"/>
              <w:divBdr>
                <w:top w:val="none" w:sz="0" w:space="0" w:color="auto"/>
                <w:left w:val="none" w:sz="0" w:space="0" w:color="auto"/>
                <w:bottom w:val="none" w:sz="0" w:space="0" w:color="auto"/>
                <w:right w:val="none" w:sz="0" w:space="0" w:color="auto"/>
              </w:divBdr>
              <w:divsChild>
                <w:div w:id="36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6047">
      <w:bodyDiv w:val="1"/>
      <w:marLeft w:val="0"/>
      <w:marRight w:val="0"/>
      <w:marTop w:val="0"/>
      <w:marBottom w:val="0"/>
      <w:divBdr>
        <w:top w:val="none" w:sz="0" w:space="0" w:color="auto"/>
        <w:left w:val="none" w:sz="0" w:space="0" w:color="auto"/>
        <w:bottom w:val="none" w:sz="0" w:space="0" w:color="auto"/>
        <w:right w:val="none" w:sz="0" w:space="0" w:color="auto"/>
      </w:divBdr>
    </w:div>
    <w:div w:id="1845902558">
      <w:bodyDiv w:val="1"/>
      <w:marLeft w:val="0"/>
      <w:marRight w:val="0"/>
      <w:marTop w:val="0"/>
      <w:marBottom w:val="0"/>
      <w:divBdr>
        <w:top w:val="none" w:sz="0" w:space="0" w:color="auto"/>
        <w:left w:val="none" w:sz="0" w:space="0" w:color="auto"/>
        <w:bottom w:val="none" w:sz="0" w:space="0" w:color="auto"/>
        <w:right w:val="none" w:sz="0" w:space="0" w:color="auto"/>
      </w:divBdr>
    </w:div>
    <w:div w:id="1847207351">
      <w:bodyDiv w:val="1"/>
      <w:marLeft w:val="0"/>
      <w:marRight w:val="0"/>
      <w:marTop w:val="0"/>
      <w:marBottom w:val="0"/>
      <w:divBdr>
        <w:top w:val="none" w:sz="0" w:space="0" w:color="auto"/>
        <w:left w:val="none" w:sz="0" w:space="0" w:color="auto"/>
        <w:bottom w:val="none" w:sz="0" w:space="0" w:color="auto"/>
        <w:right w:val="none" w:sz="0" w:space="0" w:color="auto"/>
      </w:divBdr>
    </w:div>
    <w:div w:id="1848206427">
      <w:bodyDiv w:val="1"/>
      <w:marLeft w:val="0"/>
      <w:marRight w:val="0"/>
      <w:marTop w:val="0"/>
      <w:marBottom w:val="0"/>
      <w:divBdr>
        <w:top w:val="none" w:sz="0" w:space="0" w:color="auto"/>
        <w:left w:val="none" w:sz="0" w:space="0" w:color="auto"/>
        <w:bottom w:val="none" w:sz="0" w:space="0" w:color="auto"/>
        <w:right w:val="none" w:sz="0" w:space="0" w:color="auto"/>
      </w:divBdr>
    </w:div>
    <w:div w:id="1855680707">
      <w:bodyDiv w:val="1"/>
      <w:marLeft w:val="0"/>
      <w:marRight w:val="0"/>
      <w:marTop w:val="0"/>
      <w:marBottom w:val="0"/>
      <w:divBdr>
        <w:top w:val="none" w:sz="0" w:space="0" w:color="auto"/>
        <w:left w:val="none" w:sz="0" w:space="0" w:color="auto"/>
        <w:bottom w:val="none" w:sz="0" w:space="0" w:color="auto"/>
        <w:right w:val="none" w:sz="0" w:space="0" w:color="auto"/>
      </w:divBdr>
    </w:div>
    <w:div w:id="1857841633">
      <w:bodyDiv w:val="1"/>
      <w:marLeft w:val="0"/>
      <w:marRight w:val="0"/>
      <w:marTop w:val="0"/>
      <w:marBottom w:val="0"/>
      <w:divBdr>
        <w:top w:val="none" w:sz="0" w:space="0" w:color="auto"/>
        <w:left w:val="none" w:sz="0" w:space="0" w:color="auto"/>
        <w:bottom w:val="none" w:sz="0" w:space="0" w:color="auto"/>
        <w:right w:val="none" w:sz="0" w:space="0" w:color="auto"/>
      </w:divBdr>
    </w:div>
    <w:div w:id="1857887670">
      <w:bodyDiv w:val="1"/>
      <w:marLeft w:val="0"/>
      <w:marRight w:val="0"/>
      <w:marTop w:val="0"/>
      <w:marBottom w:val="0"/>
      <w:divBdr>
        <w:top w:val="none" w:sz="0" w:space="0" w:color="auto"/>
        <w:left w:val="none" w:sz="0" w:space="0" w:color="auto"/>
        <w:bottom w:val="none" w:sz="0" w:space="0" w:color="auto"/>
        <w:right w:val="none" w:sz="0" w:space="0" w:color="auto"/>
      </w:divBdr>
    </w:div>
    <w:div w:id="1860656276">
      <w:bodyDiv w:val="1"/>
      <w:marLeft w:val="0"/>
      <w:marRight w:val="0"/>
      <w:marTop w:val="0"/>
      <w:marBottom w:val="0"/>
      <w:divBdr>
        <w:top w:val="none" w:sz="0" w:space="0" w:color="auto"/>
        <w:left w:val="none" w:sz="0" w:space="0" w:color="auto"/>
        <w:bottom w:val="none" w:sz="0" w:space="0" w:color="auto"/>
        <w:right w:val="none" w:sz="0" w:space="0" w:color="auto"/>
      </w:divBdr>
    </w:div>
    <w:div w:id="1866140031">
      <w:bodyDiv w:val="1"/>
      <w:marLeft w:val="0"/>
      <w:marRight w:val="0"/>
      <w:marTop w:val="0"/>
      <w:marBottom w:val="0"/>
      <w:divBdr>
        <w:top w:val="none" w:sz="0" w:space="0" w:color="auto"/>
        <w:left w:val="none" w:sz="0" w:space="0" w:color="auto"/>
        <w:bottom w:val="none" w:sz="0" w:space="0" w:color="auto"/>
        <w:right w:val="none" w:sz="0" w:space="0" w:color="auto"/>
      </w:divBdr>
    </w:div>
    <w:div w:id="1872449830">
      <w:bodyDiv w:val="1"/>
      <w:marLeft w:val="0"/>
      <w:marRight w:val="0"/>
      <w:marTop w:val="0"/>
      <w:marBottom w:val="0"/>
      <w:divBdr>
        <w:top w:val="none" w:sz="0" w:space="0" w:color="auto"/>
        <w:left w:val="none" w:sz="0" w:space="0" w:color="auto"/>
        <w:bottom w:val="none" w:sz="0" w:space="0" w:color="auto"/>
        <w:right w:val="none" w:sz="0" w:space="0" w:color="auto"/>
      </w:divBdr>
    </w:div>
    <w:div w:id="1878159662">
      <w:bodyDiv w:val="1"/>
      <w:marLeft w:val="0"/>
      <w:marRight w:val="0"/>
      <w:marTop w:val="0"/>
      <w:marBottom w:val="0"/>
      <w:divBdr>
        <w:top w:val="none" w:sz="0" w:space="0" w:color="auto"/>
        <w:left w:val="none" w:sz="0" w:space="0" w:color="auto"/>
        <w:bottom w:val="none" w:sz="0" w:space="0" w:color="auto"/>
        <w:right w:val="none" w:sz="0" w:space="0" w:color="auto"/>
      </w:divBdr>
    </w:div>
    <w:div w:id="1882133895">
      <w:bodyDiv w:val="1"/>
      <w:marLeft w:val="0"/>
      <w:marRight w:val="0"/>
      <w:marTop w:val="0"/>
      <w:marBottom w:val="0"/>
      <w:divBdr>
        <w:top w:val="none" w:sz="0" w:space="0" w:color="auto"/>
        <w:left w:val="none" w:sz="0" w:space="0" w:color="auto"/>
        <w:bottom w:val="none" w:sz="0" w:space="0" w:color="auto"/>
        <w:right w:val="none" w:sz="0" w:space="0" w:color="auto"/>
      </w:divBdr>
    </w:div>
    <w:div w:id="1884713966">
      <w:bodyDiv w:val="1"/>
      <w:marLeft w:val="0"/>
      <w:marRight w:val="0"/>
      <w:marTop w:val="0"/>
      <w:marBottom w:val="0"/>
      <w:divBdr>
        <w:top w:val="none" w:sz="0" w:space="0" w:color="auto"/>
        <w:left w:val="none" w:sz="0" w:space="0" w:color="auto"/>
        <w:bottom w:val="none" w:sz="0" w:space="0" w:color="auto"/>
        <w:right w:val="none" w:sz="0" w:space="0" w:color="auto"/>
      </w:divBdr>
    </w:div>
    <w:div w:id="1903171333">
      <w:bodyDiv w:val="1"/>
      <w:marLeft w:val="0"/>
      <w:marRight w:val="0"/>
      <w:marTop w:val="0"/>
      <w:marBottom w:val="0"/>
      <w:divBdr>
        <w:top w:val="none" w:sz="0" w:space="0" w:color="auto"/>
        <w:left w:val="none" w:sz="0" w:space="0" w:color="auto"/>
        <w:bottom w:val="none" w:sz="0" w:space="0" w:color="auto"/>
        <w:right w:val="none" w:sz="0" w:space="0" w:color="auto"/>
      </w:divBdr>
    </w:div>
    <w:div w:id="1904218717">
      <w:bodyDiv w:val="1"/>
      <w:marLeft w:val="0"/>
      <w:marRight w:val="0"/>
      <w:marTop w:val="0"/>
      <w:marBottom w:val="0"/>
      <w:divBdr>
        <w:top w:val="none" w:sz="0" w:space="0" w:color="auto"/>
        <w:left w:val="none" w:sz="0" w:space="0" w:color="auto"/>
        <w:bottom w:val="none" w:sz="0" w:space="0" w:color="auto"/>
        <w:right w:val="none" w:sz="0" w:space="0" w:color="auto"/>
      </w:divBdr>
    </w:div>
    <w:div w:id="1905946487">
      <w:bodyDiv w:val="1"/>
      <w:marLeft w:val="0"/>
      <w:marRight w:val="0"/>
      <w:marTop w:val="0"/>
      <w:marBottom w:val="0"/>
      <w:divBdr>
        <w:top w:val="none" w:sz="0" w:space="0" w:color="auto"/>
        <w:left w:val="none" w:sz="0" w:space="0" w:color="auto"/>
        <w:bottom w:val="none" w:sz="0" w:space="0" w:color="auto"/>
        <w:right w:val="none" w:sz="0" w:space="0" w:color="auto"/>
      </w:divBdr>
    </w:div>
    <w:div w:id="1912884280">
      <w:bodyDiv w:val="1"/>
      <w:marLeft w:val="0"/>
      <w:marRight w:val="0"/>
      <w:marTop w:val="0"/>
      <w:marBottom w:val="0"/>
      <w:divBdr>
        <w:top w:val="none" w:sz="0" w:space="0" w:color="auto"/>
        <w:left w:val="none" w:sz="0" w:space="0" w:color="auto"/>
        <w:bottom w:val="none" w:sz="0" w:space="0" w:color="auto"/>
        <w:right w:val="none" w:sz="0" w:space="0" w:color="auto"/>
      </w:divBdr>
    </w:div>
    <w:div w:id="1916431569">
      <w:bodyDiv w:val="1"/>
      <w:marLeft w:val="0"/>
      <w:marRight w:val="0"/>
      <w:marTop w:val="0"/>
      <w:marBottom w:val="0"/>
      <w:divBdr>
        <w:top w:val="none" w:sz="0" w:space="0" w:color="auto"/>
        <w:left w:val="none" w:sz="0" w:space="0" w:color="auto"/>
        <w:bottom w:val="none" w:sz="0" w:space="0" w:color="auto"/>
        <w:right w:val="none" w:sz="0" w:space="0" w:color="auto"/>
      </w:divBdr>
      <w:divsChild>
        <w:div w:id="216165326">
          <w:marLeft w:val="0"/>
          <w:marRight w:val="0"/>
          <w:marTop w:val="0"/>
          <w:marBottom w:val="0"/>
          <w:divBdr>
            <w:top w:val="none" w:sz="0" w:space="0" w:color="auto"/>
            <w:left w:val="none" w:sz="0" w:space="0" w:color="auto"/>
            <w:bottom w:val="none" w:sz="0" w:space="0" w:color="auto"/>
            <w:right w:val="none" w:sz="0" w:space="0" w:color="auto"/>
          </w:divBdr>
          <w:divsChild>
            <w:div w:id="976691049">
              <w:marLeft w:val="0"/>
              <w:marRight w:val="0"/>
              <w:marTop w:val="0"/>
              <w:marBottom w:val="0"/>
              <w:divBdr>
                <w:top w:val="none" w:sz="0" w:space="0" w:color="auto"/>
                <w:left w:val="none" w:sz="0" w:space="0" w:color="auto"/>
                <w:bottom w:val="none" w:sz="0" w:space="0" w:color="auto"/>
                <w:right w:val="none" w:sz="0" w:space="0" w:color="auto"/>
              </w:divBdr>
              <w:divsChild>
                <w:div w:id="836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6926">
      <w:bodyDiv w:val="1"/>
      <w:marLeft w:val="0"/>
      <w:marRight w:val="0"/>
      <w:marTop w:val="0"/>
      <w:marBottom w:val="0"/>
      <w:divBdr>
        <w:top w:val="none" w:sz="0" w:space="0" w:color="auto"/>
        <w:left w:val="none" w:sz="0" w:space="0" w:color="auto"/>
        <w:bottom w:val="none" w:sz="0" w:space="0" w:color="auto"/>
        <w:right w:val="none" w:sz="0" w:space="0" w:color="auto"/>
      </w:divBdr>
      <w:divsChild>
        <w:div w:id="150679247">
          <w:marLeft w:val="0"/>
          <w:marRight w:val="0"/>
          <w:marTop w:val="0"/>
          <w:marBottom w:val="0"/>
          <w:divBdr>
            <w:top w:val="none" w:sz="0" w:space="0" w:color="auto"/>
            <w:left w:val="none" w:sz="0" w:space="0" w:color="auto"/>
            <w:bottom w:val="none" w:sz="0" w:space="0" w:color="auto"/>
            <w:right w:val="none" w:sz="0" w:space="0" w:color="auto"/>
          </w:divBdr>
        </w:div>
        <w:div w:id="1380783078">
          <w:marLeft w:val="0"/>
          <w:marRight w:val="0"/>
          <w:marTop w:val="0"/>
          <w:marBottom w:val="0"/>
          <w:divBdr>
            <w:top w:val="none" w:sz="0" w:space="0" w:color="auto"/>
            <w:left w:val="none" w:sz="0" w:space="0" w:color="auto"/>
            <w:bottom w:val="none" w:sz="0" w:space="0" w:color="auto"/>
            <w:right w:val="none" w:sz="0" w:space="0" w:color="auto"/>
          </w:divBdr>
        </w:div>
      </w:divsChild>
    </w:div>
    <w:div w:id="1921673485">
      <w:bodyDiv w:val="1"/>
      <w:marLeft w:val="0"/>
      <w:marRight w:val="0"/>
      <w:marTop w:val="0"/>
      <w:marBottom w:val="0"/>
      <w:divBdr>
        <w:top w:val="none" w:sz="0" w:space="0" w:color="auto"/>
        <w:left w:val="none" w:sz="0" w:space="0" w:color="auto"/>
        <w:bottom w:val="none" w:sz="0" w:space="0" w:color="auto"/>
        <w:right w:val="none" w:sz="0" w:space="0" w:color="auto"/>
      </w:divBdr>
    </w:div>
    <w:div w:id="1922257123">
      <w:bodyDiv w:val="1"/>
      <w:marLeft w:val="0"/>
      <w:marRight w:val="0"/>
      <w:marTop w:val="0"/>
      <w:marBottom w:val="0"/>
      <w:divBdr>
        <w:top w:val="none" w:sz="0" w:space="0" w:color="auto"/>
        <w:left w:val="none" w:sz="0" w:space="0" w:color="auto"/>
        <w:bottom w:val="none" w:sz="0" w:space="0" w:color="auto"/>
        <w:right w:val="none" w:sz="0" w:space="0" w:color="auto"/>
      </w:divBdr>
      <w:divsChild>
        <w:div w:id="176044386">
          <w:marLeft w:val="0"/>
          <w:marRight w:val="0"/>
          <w:marTop w:val="0"/>
          <w:marBottom w:val="0"/>
          <w:divBdr>
            <w:top w:val="none" w:sz="0" w:space="0" w:color="auto"/>
            <w:left w:val="none" w:sz="0" w:space="0" w:color="auto"/>
            <w:bottom w:val="none" w:sz="0" w:space="0" w:color="auto"/>
            <w:right w:val="none" w:sz="0" w:space="0" w:color="auto"/>
          </w:divBdr>
        </w:div>
      </w:divsChild>
    </w:div>
    <w:div w:id="1923030621">
      <w:bodyDiv w:val="1"/>
      <w:marLeft w:val="0"/>
      <w:marRight w:val="0"/>
      <w:marTop w:val="0"/>
      <w:marBottom w:val="0"/>
      <w:divBdr>
        <w:top w:val="none" w:sz="0" w:space="0" w:color="auto"/>
        <w:left w:val="none" w:sz="0" w:space="0" w:color="auto"/>
        <w:bottom w:val="none" w:sz="0" w:space="0" w:color="auto"/>
        <w:right w:val="none" w:sz="0" w:space="0" w:color="auto"/>
      </w:divBdr>
    </w:div>
    <w:div w:id="1923105629">
      <w:bodyDiv w:val="1"/>
      <w:marLeft w:val="0"/>
      <w:marRight w:val="0"/>
      <w:marTop w:val="0"/>
      <w:marBottom w:val="0"/>
      <w:divBdr>
        <w:top w:val="none" w:sz="0" w:space="0" w:color="auto"/>
        <w:left w:val="none" w:sz="0" w:space="0" w:color="auto"/>
        <w:bottom w:val="none" w:sz="0" w:space="0" w:color="auto"/>
        <w:right w:val="none" w:sz="0" w:space="0" w:color="auto"/>
      </w:divBdr>
    </w:div>
    <w:div w:id="1929533700">
      <w:bodyDiv w:val="1"/>
      <w:marLeft w:val="0"/>
      <w:marRight w:val="0"/>
      <w:marTop w:val="0"/>
      <w:marBottom w:val="0"/>
      <w:divBdr>
        <w:top w:val="none" w:sz="0" w:space="0" w:color="auto"/>
        <w:left w:val="none" w:sz="0" w:space="0" w:color="auto"/>
        <w:bottom w:val="none" w:sz="0" w:space="0" w:color="auto"/>
        <w:right w:val="none" w:sz="0" w:space="0" w:color="auto"/>
      </w:divBdr>
    </w:div>
    <w:div w:id="1930507187">
      <w:bodyDiv w:val="1"/>
      <w:marLeft w:val="0"/>
      <w:marRight w:val="0"/>
      <w:marTop w:val="0"/>
      <w:marBottom w:val="0"/>
      <w:divBdr>
        <w:top w:val="none" w:sz="0" w:space="0" w:color="auto"/>
        <w:left w:val="none" w:sz="0" w:space="0" w:color="auto"/>
        <w:bottom w:val="none" w:sz="0" w:space="0" w:color="auto"/>
        <w:right w:val="none" w:sz="0" w:space="0" w:color="auto"/>
      </w:divBdr>
    </w:div>
    <w:div w:id="1945140854">
      <w:bodyDiv w:val="1"/>
      <w:marLeft w:val="0"/>
      <w:marRight w:val="0"/>
      <w:marTop w:val="0"/>
      <w:marBottom w:val="0"/>
      <w:divBdr>
        <w:top w:val="none" w:sz="0" w:space="0" w:color="auto"/>
        <w:left w:val="none" w:sz="0" w:space="0" w:color="auto"/>
        <w:bottom w:val="none" w:sz="0" w:space="0" w:color="auto"/>
        <w:right w:val="none" w:sz="0" w:space="0" w:color="auto"/>
      </w:divBdr>
    </w:div>
    <w:div w:id="1950161257">
      <w:bodyDiv w:val="1"/>
      <w:marLeft w:val="0"/>
      <w:marRight w:val="0"/>
      <w:marTop w:val="0"/>
      <w:marBottom w:val="0"/>
      <w:divBdr>
        <w:top w:val="none" w:sz="0" w:space="0" w:color="auto"/>
        <w:left w:val="none" w:sz="0" w:space="0" w:color="auto"/>
        <w:bottom w:val="none" w:sz="0" w:space="0" w:color="auto"/>
        <w:right w:val="none" w:sz="0" w:space="0" w:color="auto"/>
      </w:divBdr>
    </w:div>
    <w:div w:id="1958491089">
      <w:bodyDiv w:val="1"/>
      <w:marLeft w:val="0"/>
      <w:marRight w:val="0"/>
      <w:marTop w:val="0"/>
      <w:marBottom w:val="0"/>
      <w:divBdr>
        <w:top w:val="none" w:sz="0" w:space="0" w:color="auto"/>
        <w:left w:val="none" w:sz="0" w:space="0" w:color="auto"/>
        <w:bottom w:val="none" w:sz="0" w:space="0" w:color="auto"/>
        <w:right w:val="none" w:sz="0" w:space="0" w:color="auto"/>
      </w:divBdr>
      <w:divsChild>
        <w:div w:id="791752226">
          <w:marLeft w:val="0"/>
          <w:marRight w:val="0"/>
          <w:marTop w:val="0"/>
          <w:marBottom w:val="0"/>
          <w:divBdr>
            <w:top w:val="none" w:sz="0" w:space="0" w:color="auto"/>
            <w:left w:val="none" w:sz="0" w:space="0" w:color="auto"/>
            <w:bottom w:val="none" w:sz="0" w:space="0" w:color="auto"/>
            <w:right w:val="none" w:sz="0" w:space="0" w:color="auto"/>
          </w:divBdr>
          <w:divsChild>
            <w:div w:id="144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3308">
      <w:bodyDiv w:val="1"/>
      <w:marLeft w:val="0"/>
      <w:marRight w:val="0"/>
      <w:marTop w:val="0"/>
      <w:marBottom w:val="0"/>
      <w:divBdr>
        <w:top w:val="none" w:sz="0" w:space="0" w:color="auto"/>
        <w:left w:val="none" w:sz="0" w:space="0" w:color="auto"/>
        <w:bottom w:val="none" w:sz="0" w:space="0" w:color="auto"/>
        <w:right w:val="none" w:sz="0" w:space="0" w:color="auto"/>
      </w:divBdr>
    </w:div>
    <w:div w:id="1961186512">
      <w:bodyDiv w:val="1"/>
      <w:marLeft w:val="0"/>
      <w:marRight w:val="0"/>
      <w:marTop w:val="0"/>
      <w:marBottom w:val="0"/>
      <w:divBdr>
        <w:top w:val="none" w:sz="0" w:space="0" w:color="auto"/>
        <w:left w:val="none" w:sz="0" w:space="0" w:color="auto"/>
        <w:bottom w:val="none" w:sz="0" w:space="0" w:color="auto"/>
        <w:right w:val="none" w:sz="0" w:space="0" w:color="auto"/>
      </w:divBdr>
    </w:div>
    <w:div w:id="1962105915">
      <w:bodyDiv w:val="1"/>
      <w:marLeft w:val="0"/>
      <w:marRight w:val="0"/>
      <w:marTop w:val="0"/>
      <w:marBottom w:val="0"/>
      <w:divBdr>
        <w:top w:val="none" w:sz="0" w:space="0" w:color="auto"/>
        <w:left w:val="none" w:sz="0" w:space="0" w:color="auto"/>
        <w:bottom w:val="none" w:sz="0" w:space="0" w:color="auto"/>
        <w:right w:val="none" w:sz="0" w:space="0" w:color="auto"/>
      </w:divBdr>
    </w:div>
    <w:div w:id="1966428919">
      <w:bodyDiv w:val="1"/>
      <w:marLeft w:val="0"/>
      <w:marRight w:val="0"/>
      <w:marTop w:val="0"/>
      <w:marBottom w:val="0"/>
      <w:divBdr>
        <w:top w:val="none" w:sz="0" w:space="0" w:color="auto"/>
        <w:left w:val="none" w:sz="0" w:space="0" w:color="auto"/>
        <w:bottom w:val="none" w:sz="0" w:space="0" w:color="auto"/>
        <w:right w:val="none" w:sz="0" w:space="0" w:color="auto"/>
      </w:divBdr>
    </w:div>
    <w:div w:id="1969697142">
      <w:bodyDiv w:val="1"/>
      <w:marLeft w:val="0"/>
      <w:marRight w:val="0"/>
      <w:marTop w:val="0"/>
      <w:marBottom w:val="0"/>
      <w:divBdr>
        <w:top w:val="none" w:sz="0" w:space="0" w:color="auto"/>
        <w:left w:val="none" w:sz="0" w:space="0" w:color="auto"/>
        <w:bottom w:val="none" w:sz="0" w:space="0" w:color="auto"/>
        <w:right w:val="none" w:sz="0" w:space="0" w:color="auto"/>
      </w:divBdr>
    </w:div>
    <w:div w:id="1974748458">
      <w:bodyDiv w:val="1"/>
      <w:marLeft w:val="0"/>
      <w:marRight w:val="0"/>
      <w:marTop w:val="0"/>
      <w:marBottom w:val="0"/>
      <w:divBdr>
        <w:top w:val="none" w:sz="0" w:space="0" w:color="auto"/>
        <w:left w:val="none" w:sz="0" w:space="0" w:color="auto"/>
        <w:bottom w:val="none" w:sz="0" w:space="0" w:color="auto"/>
        <w:right w:val="none" w:sz="0" w:space="0" w:color="auto"/>
      </w:divBdr>
    </w:div>
    <w:div w:id="1981034198">
      <w:bodyDiv w:val="1"/>
      <w:marLeft w:val="0"/>
      <w:marRight w:val="0"/>
      <w:marTop w:val="0"/>
      <w:marBottom w:val="0"/>
      <w:divBdr>
        <w:top w:val="none" w:sz="0" w:space="0" w:color="auto"/>
        <w:left w:val="none" w:sz="0" w:space="0" w:color="auto"/>
        <w:bottom w:val="none" w:sz="0" w:space="0" w:color="auto"/>
        <w:right w:val="none" w:sz="0" w:space="0" w:color="auto"/>
      </w:divBdr>
    </w:div>
    <w:div w:id="1988512008">
      <w:bodyDiv w:val="1"/>
      <w:marLeft w:val="0"/>
      <w:marRight w:val="0"/>
      <w:marTop w:val="0"/>
      <w:marBottom w:val="0"/>
      <w:divBdr>
        <w:top w:val="none" w:sz="0" w:space="0" w:color="auto"/>
        <w:left w:val="none" w:sz="0" w:space="0" w:color="auto"/>
        <w:bottom w:val="none" w:sz="0" w:space="0" w:color="auto"/>
        <w:right w:val="none" w:sz="0" w:space="0" w:color="auto"/>
      </w:divBdr>
    </w:div>
    <w:div w:id="1988780988">
      <w:bodyDiv w:val="1"/>
      <w:marLeft w:val="0"/>
      <w:marRight w:val="0"/>
      <w:marTop w:val="0"/>
      <w:marBottom w:val="0"/>
      <w:divBdr>
        <w:top w:val="none" w:sz="0" w:space="0" w:color="auto"/>
        <w:left w:val="none" w:sz="0" w:space="0" w:color="auto"/>
        <w:bottom w:val="none" w:sz="0" w:space="0" w:color="auto"/>
        <w:right w:val="none" w:sz="0" w:space="0" w:color="auto"/>
      </w:divBdr>
    </w:div>
    <w:div w:id="1989092968">
      <w:bodyDiv w:val="1"/>
      <w:marLeft w:val="0"/>
      <w:marRight w:val="0"/>
      <w:marTop w:val="0"/>
      <w:marBottom w:val="0"/>
      <w:divBdr>
        <w:top w:val="none" w:sz="0" w:space="0" w:color="auto"/>
        <w:left w:val="none" w:sz="0" w:space="0" w:color="auto"/>
        <w:bottom w:val="none" w:sz="0" w:space="0" w:color="auto"/>
        <w:right w:val="none" w:sz="0" w:space="0" w:color="auto"/>
      </w:divBdr>
    </w:div>
    <w:div w:id="1991858992">
      <w:bodyDiv w:val="1"/>
      <w:marLeft w:val="0"/>
      <w:marRight w:val="0"/>
      <w:marTop w:val="0"/>
      <w:marBottom w:val="0"/>
      <w:divBdr>
        <w:top w:val="none" w:sz="0" w:space="0" w:color="auto"/>
        <w:left w:val="none" w:sz="0" w:space="0" w:color="auto"/>
        <w:bottom w:val="none" w:sz="0" w:space="0" w:color="auto"/>
        <w:right w:val="none" w:sz="0" w:space="0" w:color="auto"/>
      </w:divBdr>
    </w:div>
    <w:div w:id="1996303518">
      <w:bodyDiv w:val="1"/>
      <w:marLeft w:val="0"/>
      <w:marRight w:val="0"/>
      <w:marTop w:val="0"/>
      <w:marBottom w:val="0"/>
      <w:divBdr>
        <w:top w:val="none" w:sz="0" w:space="0" w:color="auto"/>
        <w:left w:val="none" w:sz="0" w:space="0" w:color="auto"/>
        <w:bottom w:val="none" w:sz="0" w:space="0" w:color="auto"/>
        <w:right w:val="none" w:sz="0" w:space="0" w:color="auto"/>
      </w:divBdr>
    </w:div>
    <w:div w:id="1998456773">
      <w:bodyDiv w:val="1"/>
      <w:marLeft w:val="0"/>
      <w:marRight w:val="0"/>
      <w:marTop w:val="0"/>
      <w:marBottom w:val="0"/>
      <w:divBdr>
        <w:top w:val="none" w:sz="0" w:space="0" w:color="auto"/>
        <w:left w:val="none" w:sz="0" w:space="0" w:color="auto"/>
        <w:bottom w:val="none" w:sz="0" w:space="0" w:color="auto"/>
        <w:right w:val="none" w:sz="0" w:space="0" w:color="auto"/>
      </w:divBdr>
    </w:div>
    <w:div w:id="2004431235">
      <w:bodyDiv w:val="1"/>
      <w:marLeft w:val="0"/>
      <w:marRight w:val="0"/>
      <w:marTop w:val="0"/>
      <w:marBottom w:val="0"/>
      <w:divBdr>
        <w:top w:val="none" w:sz="0" w:space="0" w:color="auto"/>
        <w:left w:val="none" w:sz="0" w:space="0" w:color="auto"/>
        <w:bottom w:val="none" w:sz="0" w:space="0" w:color="auto"/>
        <w:right w:val="none" w:sz="0" w:space="0" w:color="auto"/>
      </w:divBdr>
    </w:div>
    <w:div w:id="2009559071">
      <w:bodyDiv w:val="1"/>
      <w:marLeft w:val="0"/>
      <w:marRight w:val="0"/>
      <w:marTop w:val="0"/>
      <w:marBottom w:val="0"/>
      <w:divBdr>
        <w:top w:val="none" w:sz="0" w:space="0" w:color="auto"/>
        <w:left w:val="none" w:sz="0" w:space="0" w:color="auto"/>
        <w:bottom w:val="none" w:sz="0" w:space="0" w:color="auto"/>
        <w:right w:val="none" w:sz="0" w:space="0" w:color="auto"/>
      </w:divBdr>
    </w:div>
    <w:div w:id="2012638870">
      <w:bodyDiv w:val="1"/>
      <w:marLeft w:val="0"/>
      <w:marRight w:val="0"/>
      <w:marTop w:val="0"/>
      <w:marBottom w:val="0"/>
      <w:divBdr>
        <w:top w:val="none" w:sz="0" w:space="0" w:color="auto"/>
        <w:left w:val="none" w:sz="0" w:space="0" w:color="auto"/>
        <w:bottom w:val="none" w:sz="0" w:space="0" w:color="auto"/>
        <w:right w:val="none" w:sz="0" w:space="0" w:color="auto"/>
      </w:divBdr>
    </w:div>
    <w:div w:id="2014141705">
      <w:bodyDiv w:val="1"/>
      <w:marLeft w:val="0"/>
      <w:marRight w:val="0"/>
      <w:marTop w:val="0"/>
      <w:marBottom w:val="0"/>
      <w:divBdr>
        <w:top w:val="none" w:sz="0" w:space="0" w:color="auto"/>
        <w:left w:val="none" w:sz="0" w:space="0" w:color="auto"/>
        <w:bottom w:val="none" w:sz="0" w:space="0" w:color="auto"/>
        <w:right w:val="none" w:sz="0" w:space="0" w:color="auto"/>
      </w:divBdr>
    </w:div>
    <w:div w:id="2019043581">
      <w:bodyDiv w:val="1"/>
      <w:marLeft w:val="0"/>
      <w:marRight w:val="0"/>
      <w:marTop w:val="0"/>
      <w:marBottom w:val="0"/>
      <w:divBdr>
        <w:top w:val="none" w:sz="0" w:space="0" w:color="auto"/>
        <w:left w:val="none" w:sz="0" w:space="0" w:color="auto"/>
        <w:bottom w:val="none" w:sz="0" w:space="0" w:color="auto"/>
        <w:right w:val="none" w:sz="0" w:space="0" w:color="auto"/>
      </w:divBdr>
    </w:div>
    <w:div w:id="2021538673">
      <w:bodyDiv w:val="1"/>
      <w:marLeft w:val="0"/>
      <w:marRight w:val="0"/>
      <w:marTop w:val="0"/>
      <w:marBottom w:val="0"/>
      <w:divBdr>
        <w:top w:val="none" w:sz="0" w:space="0" w:color="auto"/>
        <w:left w:val="none" w:sz="0" w:space="0" w:color="auto"/>
        <w:bottom w:val="none" w:sz="0" w:space="0" w:color="auto"/>
        <w:right w:val="none" w:sz="0" w:space="0" w:color="auto"/>
      </w:divBdr>
    </w:div>
    <w:div w:id="2024505013">
      <w:bodyDiv w:val="1"/>
      <w:marLeft w:val="0"/>
      <w:marRight w:val="0"/>
      <w:marTop w:val="0"/>
      <w:marBottom w:val="0"/>
      <w:divBdr>
        <w:top w:val="none" w:sz="0" w:space="0" w:color="auto"/>
        <w:left w:val="none" w:sz="0" w:space="0" w:color="auto"/>
        <w:bottom w:val="none" w:sz="0" w:space="0" w:color="auto"/>
        <w:right w:val="none" w:sz="0" w:space="0" w:color="auto"/>
      </w:divBdr>
    </w:div>
    <w:div w:id="2036030600">
      <w:bodyDiv w:val="1"/>
      <w:marLeft w:val="0"/>
      <w:marRight w:val="0"/>
      <w:marTop w:val="0"/>
      <w:marBottom w:val="0"/>
      <w:divBdr>
        <w:top w:val="none" w:sz="0" w:space="0" w:color="auto"/>
        <w:left w:val="none" w:sz="0" w:space="0" w:color="auto"/>
        <w:bottom w:val="none" w:sz="0" w:space="0" w:color="auto"/>
        <w:right w:val="none" w:sz="0" w:space="0" w:color="auto"/>
      </w:divBdr>
    </w:div>
    <w:div w:id="2036954379">
      <w:bodyDiv w:val="1"/>
      <w:marLeft w:val="0"/>
      <w:marRight w:val="0"/>
      <w:marTop w:val="0"/>
      <w:marBottom w:val="0"/>
      <w:divBdr>
        <w:top w:val="none" w:sz="0" w:space="0" w:color="auto"/>
        <w:left w:val="none" w:sz="0" w:space="0" w:color="auto"/>
        <w:bottom w:val="none" w:sz="0" w:space="0" w:color="auto"/>
        <w:right w:val="none" w:sz="0" w:space="0" w:color="auto"/>
      </w:divBdr>
      <w:divsChild>
        <w:div w:id="1897740919">
          <w:marLeft w:val="0"/>
          <w:marRight w:val="0"/>
          <w:marTop w:val="0"/>
          <w:marBottom w:val="0"/>
          <w:divBdr>
            <w:top w:val="none" w:sz="0" w:space="0" w:color="auto"/>
            <w:left w:val="none" w:sz="0" w:space="0" w:color="auto"/>
            <w:bottom w:val="none" w:sz="0" w:space="0" w:color="auto"/>
            <w:right w:val="none" w:sz="0" w:space="0" w:color="auto"/>
          </w:divBdr>
          <w:divsChild>
            <w:div w:id="55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576">
      <w:bodyDiv w:val="1"/>
      <w:marLeft w:val="0"/>
      <w:marRight w:val="0"/>
      <w:marTop w:val="0"/>
      <w:marBottom w:val="0"/>
      <w:divBdr>
        <w:top w:val="none" w:sz="0" w:space="0" w:color="auto"/>
        <w:left w:val="none" w:sz="0" w:space="0" w:color="auto"/>
        <w:bottom w:val="none" w:sz="0" w:space="0" w:color="auto"/>
        <w:right w:val="none" w:sz="0" w:space="0" w:color="auto"/>
      </w:divBdr>
      <w:divsChild>
        <w:div w:id="858079473">
          <w:marLeft w:val="0"/>
          <w:marRight w:val="0"/>
          <w:marTop w:val="0"/>
          <w:marBottom w:val="0"/>
          <w:divBdr>
            <w:top w:val="none" w:sz="0" w:space="0" w:color="auto"/>
            <w:left w:val="none" w:sz="0" w:space="0" w:color="auto"/>
            <w:bottom w:val="none" w:sz="0" w:space="0" w:color="auto"/>
            <w:right w:val="none" w:sz="0" w:space="0" w:color="auto"/>
          </w:divBdr>
          <w:divsChild>
            <w:div w:id="12093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792">
      <w:bodyDiv w:val="1"/>
      <w:marLeft w:val="0"/>
      <w:marRight w:val="0"/>
      <w:marTop w:val="0"/>
      <w:marBottom w:val="0"/>
      <w:divBdr>
        <w:top w:val="none" w:sz="0" w:space="0" w:color="auto"/>
        <w:left w:val="none" w:sz="0" w:space="0" w:color="auto"/>
        <w:bottom w:val="none" w:sz="0" w:space="0" w:color="auto"/>
        <w:right w:val="none" w:sz="0" w:space="0" w:color="auto"/>
      </w:divBdr>
    </w:div>
    <w:div w:id="2050450537">
      <w:bodyDiv w:val="1"/>
      <w:marLeft w:val="0"/>
      <w:marRight w:val="0"/>
      <w:marTop w:val="0"/>
      <w:marBottom w:val="0"/>
      <w:divBdr>
        <w:top w:val="none" w:sz="0" w:space="0" w:color="auto"/>
        <w:left w:val="none" w:sz="0" w:space="0" w:color="auto"/>
        <w:bottom w:val="none" w:sz="0" w:space="0" w:color="auto"/>
        <w:right w:val="none" w:sz="0" w:space="0" w:color="auto"/>
      </w:divBdr>
    </w:div>
    <w:div w:id="2052147804">
      <w:bodyDiv w:val="1"/>
      <w:marLeft w:val="0"/>
      <w:marRight w:val="0"/>
      <w:marTop w:val="0"/>
      <w:marBottom w:val="0"/>
      <w:divBdr>
        <w:top w:val="none" w:sz="0" w:space="0" w:color="auto"/>
        <w:left w:val="none" w:sz="0" w:space="0" w:color="auto"/>
        <w:bottom w:val="none" w:sz="0" w:space="0" w:color="auto"/>
        <w:right w:val="none" w:sz="0" w:space="0" w:color="auto"/>
      </w:divBdr>
    </w:div>
    <w:div w:id="2056464467">
      <w:bodyDiv w:val="1"/>
      <w:marLeft w:val="0"/>
      <w:marRight w:val="0"/>
      <w:marTop w:val="0"/>
      <w:marBottom w:val="0"/>
      <w:divBdr>
        <w:top w:val="none" w:sz="0" w:space="0" w:color="auto"/>
        <w:left w:val="none" w:sz="0" w:space="0" w:color="auto"/>
        <w:bottom w:val="none" w:sz="0" w:space="0" w:color="auto"/>
        <w:right w:val="none" w:sz="0" w:space="0" w:color="auto"/>
      </w:divBdr>
    </w:div>
    <w:div w:id="2059356425">
      <w:bodyDiv w:val="1"/>
      <w:marLeft w:val="0"/>
      <w:marRight w:val="0"/>
      <w:marTop w:val="0"/>
      <w:marBottom w:val="0"/>
      <w:divBdr>
        <w:top w:val="none" w:sz="0" w:space="0" w:color="auto"/>
        <w:left w:val="none" w:sz="0" w:space="0" w:color="auto"/>
        <w:bottom w:val="none" w:sz="0" w:space="0" w:color="auto"/>
        <w:right w:val="none" w:sz="0" w:space="0" w:color="auto"/>
      </w:divBdr>
    </w:div>
    <w:div w:id="2062095581">
      <w:bodyDiv w:val="1"/>
      <w:marLeft w:val="0"/>
      <w:marRight w:val="0"/>
      <w:marTop w:val="0"/>
      <w:marBottom w:val="0"/>
      <w:divBdr>
        <w:top w:val="none" w:sz="0" w:space="0" w:color="auto"/>
        <w:left w:val="none" w:sz="0" w:space="0" w:color="auto"/>
        <w:bottom w:val="none" w:sz="0" w:space="0" w:color="auto"/>
        <w:right w:val="none" w:sz="0" w:space="0" w:color="auto"/>
      </w:divBdr>
    </w:div>
    <w:div w:id="2064212809">
      <w:bodyDiv w:val="1"/>
      <w:marLeft w:val="0"/>
      <w:marRight w:val="0"/>
      <w:marTop w:val="0"/>
      <w:marBottom w:val="0"/>
      <w:divBdr>
        <w:top w:val="none" w:sz="0" w:space="0" w:color="auto"/>
        <w:left w:val="none" w:sz="0" w:space="0" w:color="auto"/>
        <w:bottom w:val="none" w:sz="0" w:space="0" w:color="auto"/>
        <w:right w:val="none" w:sz="0" w:space="0" w:color="auto"/>
      </w:divBdr>
    </w:div>
    <w:div w:id="2066181335">
      <w:bodyDiv w:val="1"/>
      <w:marLeft w:val="0"/>
      <w:marRight w:val="0"/>
      <w:marTop w:val="0"/>
      <w:marBottom w:val="0"/>
      <w:divBdr>
        <w:top w:val="none" w:sz="0" w:space="0" w:color="auto"/>
        <w:left w:val="none" w:sz="0" w:space="0" w:color="auto"/>
        <w:bottom w:val="none" w:sz="0" w:space="0" w:color="auto"/>
        <w:right w:val="none" w:sz="0" w:space="0" w:color="auto"/>
      </w:divBdr>
    </w:div>
    <w:div w:id="2070376862">
      <w:bodyDiv w:val="1"/>
      <w:marLeft w:val="0"/>
      <w:marRight w:val="0"/>
      <w:marTop w:val="0"/>
      <w:marBottom w:val="0"/>
      <w:divBdr>
        <w:top w:val="none" w:sz="0" w:space="0" w:color="auto"/>
        <w:left w:val="none" w:sz="0" w:space="0" w:color="auto"/>
        <w:bottom w:val="none" w:sz="0" w:space="0" w:color="auto"/>
        <w:right w:val="none" w:sz="0" w:space="0" w:color="auto"/>
      </w:divBdr>
    </w:div>
    <w:div w:id="2071733244">
      <w:bodyDiv w:val="1"/>
      <w:marLeft w:val="0"/>
      <w:marRight w:val="0"/>
      <w:marTop w:val="0"/>
      <w:marBottom w:val="0"/>
      <w:divBdr>
        <w:top w:val="none" w:sz="0" w:space="0" w:color="auto"/>
        <w:left w:val="none" w:sz="0" w:space="0" w:color="auto"/>
        <w:bottom w:val="none" w:sz="0" w:space="0" w:color="auto"/>
        <w:right w:val="none" w:sz="0" w:space="0" w:color="auto"/>
      </w:divBdr>
    </w:div>
    <w:div w:id="2077582288">
      <w:bodyDiv w:val="1"/>
      <w:marLeft w:val="0"/>
      <w:marRight w:val="0"/>
      <w:marTop w:val="0"/>
      <w:marBottom w:val="0"/>
      <w:divBdr>
        <w:top w:val="none" w:sz="0" w:space="0" w:color="auto"/>
        <w:left w:val="none" w:sz="0" w:space="0" w:color="auto"/>
        <w:bottom w:val="none" w:sz="0" w:space="0" w:color="auto"/>
        <w:right w:val="none" w:sz="0" w:space="0" w:color="auto"/>
      </w:divBdr>
      <w:divsChild>
        <w:div w:id="492768113">
          <w:marLeft w:val="0"/>
          <w:marRight w:val="0"/>
          <w:marTop w:val="0"/>
          <w:marBottom w:val="0"/>
          <w:divBdr>
            <w:top w:val="none" w:sz="0" w:space="0" w:color="auto"/>
            <w:left w:val="none" w:sz="0" w:space="0" w:color="auto"/>
            <w:bottom w:val="none" w:sz="0" w:space="0" w:color="auto"/>
            <w:right w:val="none" w:sz="0" w:space="0" w:color="auto"/>
          </w:divBdr>
        </w:div>
      </w:divsChild>
    </w:div>
    <w:div w:id="2082943185">
      <w:bodyDiv w:val="1"/>
      <w:marLeft w:val="0"/>
      <w:marRight w:val="0"/>
      <w:marTop w:val="0"/>
      <w:marBottom w:val="0"/>
      <w:divBdr>
        <w:top w:val="none" w:sz="0" w:space="0" w:color="auto"/>
        <w:left w:val="none" w:sz="0" w:space="0" w:color="auto"/>
        <w:bottom w:val="none" w:sz="0" w:space="0" w:color="auto"/>
        <w:right w:val="none" w:sz="0" w:space="0" w:color="auto"/>
      </w:divBdr>
    </w:div>
    <w:div w:id="2085568666">
      <w:bodyDiv w:val="1"/>
      <w:marLeft w:val="0"/>
      <w:marRight w:val="0"/>
      <w:marTop w:val="0"/>
      <w:marBottom w:val="0"/>
      <w:divBdr>
        <w:top w:val="none" w:sz="0" w:space="0" w:color="auto"/>
        <w:left w:val="none" w:sz="0" w:space="0" w:color="auto"/>
        <w:bottom w:val="none" w:sz="0" w:space="0" w:color="auto"/>
        <w:right w:val="none" w:sz="0" w:space="0" w:color="auto"/>
      </w:divBdr>
    </w:div>
    <w:div w:id="2087334632">
      <w:bodyDiv w:val="1"/>
      <w:marLeft w:val="0"/>
      <w:marRight w:val="0"/>
      <w:marTop w:val="0"/>
      <w:marBottom w:val="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sChild>
            <w:div w:id="8810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99">
      <w:bodyDiv w:val="1"/>
      <w:marLeft w:val="0"/>
      <w:marRight w:val="0"/>
      <w:marTop w:val="0"/>
      <w:marBottom w:val="0"/>
      <w:divBdr>
        <w:top w:val="none" w:sz="0" w:space="0" w:color="auto"/>
        <w:left w:val="none" w:sz="0" w:space="0" w:color="auto"/>
        <w:bottom w:val="none" w:sz="0" w:space="0" w:color="auto"/>
        <w:right w:val="none" w:sz="0" w:space="0" w:color="auto"/>
      </w:divBdr>
    </w:div>
    <w:div w:id="2091273868">
      <w:bodyDiv w:val="1"/>
      <w:marLeft w:val="0"/>
      <w:marRight w:val="0"/>
      <w:marTop w:val="0"/>
      <w:marBottom w:val="0"/>
      <w:divBdr>
        <w:top w:val="none" w:sz="0" w:space="0" w:color="auto"/>
        <w:left w:val="none" w:sz="0" w:space="0" w:color="auto"/>
        <w:bottom w:val="none" w:sz="0" w:space="0" w:color="auto"/>
        <w:right w:val="none" w:sz="0" w:space="0" w:color="auto"/>
      </w:divBdr>
    </w:div>
    <w:div w:id="2095583774">
      <w:bodyDiv w:val="1"/>
      <w:marLeft w:val="0"/>
      <w:marRight w:val="0"/>
      <w:marTop w:val="0"/>
      <w:marBottom w:val="0"/>
      <w:divBdr>
        <w:top w:val="none" w:sz="0" w:space="0" w:color="auto"/>
        <w:left w:val="none" w:sz="0" w:space="0" w:color="auto"/>
        <w:bottom w:val="none" w:sz="0" w:space="0" w:color="auto"/>
        <w:right w:val="none" w:sz="0" w:space="0" w:color="auto"/>
      </w:divBdr>
    </w:div>
    <w:div w:id="2096589461">
      <w:bodyDiv w:val="1"/>
      <w:marLeft w:val="0"/>
      <w:marRight w:val="0"/>
      <w:marTop w:val="0"/>
      <w:marBottom w:val="0"/>
      <w:divBdr>
        <w:top w:val="none" w:sz="0" w:space="0" w:color="auto"/>
        <w:left w:val="none" w:sz="0" w:space="0" w:color="auto"/>
        <w:bottom w:val="none" w:sz="0" w:space="0" w:color="auto"/>
        <w:right w:val="none" w:sz="0" w:space="0" w:color="auto"/>
      </w:divBdr>
    </w:div>
    <w:div w:id="2099785877">
      <w:bodyDiv w:val="1"/>
      <w:marLeft w:val="0"/>
      <w:marRight w:val="0"/>
      <w:marTop w:val="0"/>
      <w:marBottom w:val="0"/>
      <w:divBdr>
        <w:top w:val="none" w:sz="0" w:space="0" w:color="auto"/>
        <w:left w:val="none" w:sz="0" w:space="0" w:color="auto"/>
        <w:bottom w:val="none" w:sz="0" w:space="0" w:color="auto"/>
        <w:right w:val="none" w:sz="0" w:space="0" w:color="auto"/>
      </w:divBdr>
    </w:div>
    <w:div w:id="2102753582">
      <w:bodyDiv w:val="1"/>
      <w:marLeft w:val="0"/>
      <w:marRight w:val="0"/>
      <w:marTop w:val="0"/>
      <w:marBottom w:val="0"/>
      <w:divBdr>
        <w:top w:val="none" w:sz="0" w:space="0" w:color="auto"/>
        <w:left w:val="none" w:sz="0" w:space="0" w:color="auto"/>
        <w:bottom w:val="none" w:sz="0" w:space="0" w:color="auto"/>
        <w:right w:val="none" w:sz="0" w:space="0" w:color="auto"/>
      </w:divBdr>
    </w:div>
    <w:div w:id="2103722730">
      <w:bodyDiv w:val="1"/>
      <w:marLeft w:val="0"/>
      <w:marRight w:val="0"/>
      <w:marTop w:val="0"/>
      <w:marBottom w:val="0"/>
      <w:divBdr>
        <w:top w:val="none" w:sz="0" w:space="0" w:color="auto"/>
        <w:left w:val="none" w:sz="0" w:space="0" w:color="auto"/>
        <w:bottom w:val="none" w:sz="0" w:space="0" w:color="auto"/>
        <w:right w:val="none" w:sz="0" w:space="0" w:color="auto"/>
      </w:divBdr>
    </w:div>
    <w:div w:id="2103867306">
      <w:bodyDiv w:val="1"/>
      <w:marLeft w:val="0"/>
      <w:marRight w:val="0"/>
      <w:marTop w:val="0"/>
      <w:marBottom w:val="0"/>
      <w:divBdr>
        <w:top w:val="none" w:sz="0" w:space="0" w:color="auto"/>
        <w:left w:val="none" w:sz="0" w:space="0" w:color="auto"/>
        <w:bottom w:val="none" w:sz="0" w:space="0" w:color="auto"/>
        <w:right w:val="none" w:sz="0" w:space="0" w:color="auto"/>
      </w:divBdr>
      <w:divsChild>
        <w:div w:id="111755482">
          <w:marLeft w:val="0"/>
          <w:marRight w:val="0"/>
          <w:marTop w:val="0"/>
          <w:marBottom w:val="0"/>
          <w:divBdr>
            <w:top w:val="none" w:sz="0" w:space="0" w:color="auto"/>
            <w:left w:val="none" w:sz="0" w:space="0" w:color="auto"/>
            <w:bottom w:val="none" w:sz="0" w:space="0" w:color="auto"/>
            <w:right w:val="none" w:sz="0" w:space="0" w:color="auto"/>
          </w:divBdr>
          <w:divsChild>
            <w:div w:id="210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65442918">
          <w:marLeft w:val="0"/>
          <w:marRight w:val="0"/>
          <w:marTop w:val="0"/>
          <w:marBottom w:val="0"/>
          <w:divBdr>
            <w:top w:val="none" w:sz="0" w:space="0" w:color="auto"/>
            <w:left w:val="none" w:sz="0" w:space="0" w:color="auto"/>
            <w:bottom w:val="none" w:sz="0" w:space="0" w:color="auto"/>
            <w:right w:val="none" w:sz="0" w:space="0" w:color="auto"/>
          </w:divBdr>
        </w:div>
      </w:divsChild>
    </w:div>
    <w:div w:id="2111507463">
      <w:bodyDiv w:val="1"/>
      <w:marLeft w:val="0"/>
      <w:marRight w:val="0"/>
      <w:marTop w:val="0"/>
      <w:marBottom w:val="0"/>
      <w:divBdr>
        <w:top w:val="none" w:sz="0" w:space="0" w:color="auto"/>
        <w:left w:val="none" w:sz="0" w:space="0" w:color="auto"/>
        <w:bottom w:val="none" w:sz="0" w:space="0" w:color="auto"/>
        <w:right w:val="none" w:sz="0" w:space="0" w:color="auto"/>
      </w:divBdr>
    </w:div>
    <w:div w:id="2118717390">
      <w:bodyDiv w:val="1"/>
      <w:marLeft w:val="0"/>
      <w:marRight w:val="0"/>
      <w:marTop w:val="0"/>
      <w:marBottom w:val="0"/>
      <w:divBdr>
        <w:top w:val="none" w:sz="0" w:space="0" w:color="auto"/>
        <w:left w:val="none" w:sz="0" w:space="0" w:color="auto"/>
        <w:bottom w:val="none" w:sz="0" w:space="0" w:color="auto"/>
        <w:right w:val="none" w:sz="0" w:space="0" w:color="auto"/>
      </w:divBdr>
      <w:divsChild>
        <w:div w:id="615139897">
          <w:marLeft w:val="0"/>
          <w:marRight w:val="0"/>
          <w:marTop w:val="0"/>
          <w:marBottom w:val="0"/>
          <w:divBdr>
            <w:top w:val="none" w:sz="0" w:space="0" w:color="auto"/>
            <w:left w:val="none" w:sz="0" w:space="0" w:color="auto"/>
            <w:bottom w:val="none" w:sz="0" w:space="0" w:color="auto"/>
            <w:right w:val="none" w:sz="0" w:space="0" w:color="auto"/>
          </w:divBdr>
        </w:div>
      </w:divsChild>
    </w:div>
    <w:div w:id="2128962468">
      <w:bodyDiv w:val="1"/>
      <w:marLeft w:val="0"/>
      <w:marRight w:val="0"/>
      <w:marTop w:val="0"/>
      <w:marBottom w:val="0"/>
      <w:divBdr>
        <w:top w:val="none" w:sz="0" w:space="0" w:color="auto"/>
        <w:left w:val="none" w:sz="0" w:space="0" w:color="auto"/>
        <w:bottom w:val="none" w:sz="0" w:space="0" w:color="auto"/>
        <w:right w:val="none" w:sz="0" w:space="0" w:color="auto"/>
      </w:divBdr>
    </w:div>
    <w:div w:id="2133209683">
      <w:bodyDiv w:val="1"/>
      <w:marLeft w:val="0"/>
      <w:marRight w:val="0"/>
      <w:marTop w:val="0"/>
      <w:marBottom w:val="0"/>
      <w:divBdr>
        <w:top w:val="none" w:sz="0" w:space="0" w:color="auto"/>
        <w:left w:val="none" w:sz="0" w:space="0" w:color="auto"/>
        <w:bottom w:val="none" w:sz="0" w:space="0" w:color="auto"/>
        <w:right w:val="none" w:sz="0" w:space="0" w:color="auto"/>
      </w:divBdr>
    </w:div>
    <w:div w:id="2145661443">
      <w:bodyDiv w:val="1"/>
      <w:marLeft w:val="0"/>
      <w:marRight w:val="0"/>
      <w:marTop w:val="0"/>
      <w:marBottom w:val="0"/>
      <w:divBdr>
        <w:top w:val="none" w:sz="0" w:space="0" w:color="auto"/>
        <w:left w:val="none" w:sz="0" w:space="0" w:color="auto"/>
        <w:bottom w:val="none" w:sz="0" w:space="0" w:color="auto"/>
        <w:right w:val="none" w:sz="0" w:space="0" w:color="auto"/>
      </w:divBdr>
      <w:divsChild>
        <w:div w:id="2143767122">
          <w:marLeft w:val="0"/>
          <w:marRight w:val="0"/>
          <w:marTop w:val="0"/>
          <w:marBottom w:val="0"/>
          <w:divBdr>
            <w:top w:val="none" w:sz="0" w:space="0" w:color="auto"/>
            <w:left w:val="none" w:sz="0" w:space="0" w:color="auto"/>
            <w:bottom w:val="none" w:sz="0" w:space="0" w:color="auto"/>
            <w:right w:val="none" w:sz="0" w:space="0" w:color="auto"/>
          </w:divBdr>
          <w:divsChild>
            <w:div w:id="13881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AUTO/?uri=celex:32023R0857" TargetMode="External"/><Relationship Id="rId21" Type="http://schemas.openxmlformats.org/officeDocument/2006/relationships/hyperlink" Target="https://eur-lex.europa.eu/legal-content/RO/AUTO/?uri=celex:32023R0839" TargetMode="External"/><Relationship Id="rId42" Type="http://schemas.openxmlformats.org/officeDocument/2006/relationships/hyperlink" Target="https://eur-lex.europa.eu/legal-content/RO/AUTO/?uri=celex:32023R0839" TargetMode="External"/><Relationship Id="rId47" Type="http://schemas.openxmlformats.org/officeDocument/2006/relationships/hyperlink" Target="https://eur-lex.europa.eu/legal-content/RO/AUTO/?uri=celex:32023R0839" TargetMode="External"/><Relationship Id="rId63" Type="http://schemas.openxmlformats.org/officeDocument/2006/relationships/hyperlink" Target="https://eur-lex.europa.eu/legal-content/RO/TXT/?uri=CELEX:32018R1999" TargetMode="External"/><Relationship Id="rId68" Type="http://schemas.openxmlformats.org/officeDocument/2006/relationships/hyperlink" Target="https://eur-lex.europa.eu/legal-content/RO/TXT/?uri=CELEX:32018R1999" TargetMode="External"/><Relationship Id="rId84" Type="http://schemas.openxmlformats.org/officeDocument/2006/relationships/hyperlink" Target="https://eur-lex.europa.eu/legal-content/RO/TXT/?uri=CELEX:32018R1999" TargetMode="External"/><Relationship Id="rId89" Type="http://schemas.openxmlformats.org/officeDocument/2006/relationships/hyperlink" Target="https://eur-lex.europa.eu/legal-content/RO/TXT/?uri=CELEX:32018R1999" TargetMode="External"/><Relationship Id="rId112" Type="http://schemas.openxmlformats.org/officeDocument/2006/relationships/hyperlink" Target="https://eur-lex.europa.eu/legal-content/RO/TXT/?uri=CELEX:32018R1999" TargetMode="External"/><Relationship Id="rId16" Type="http://schemas.openxmlformats.org/officeDocument/2006/relationships/hyperlink" Target="https://eur-lex.europa.eu/legal-content/RO/AUTO/?uri=celex:32021R1119" TargetMode="External"/><Relationship Id="rId107" Type="http://schemas.openxmlformats.org/officeDocument/2006/relationships/hyperlink" Target="https://eur-lex.europa.eu/legal-content/RO/TXT/?uri=CELEX:32018R1999" TargetMode="External"/><Relationship Id="rId11" Type="http://schemas.openxmlformats.org/officeDocument/2006/relationships/hyperlink" Target="https://eur-lex.europa.eu/legal-content/RO/AUTO/?uri=celex:32021R1119" TargetMode="External"/><Relationship Id="rId32" Type="http://schemas.openxmlformats.org/officeDocument/2006/relationships/hyperlink" Target="https://eur-lex.europa.eu/legal-content/RO/AUTO/?uri=celex:32023R0857" TargetMode="External"/><Relationship Id="rId37" Type="http://schemas.openxmlformats.org/officeDocument/2006/relationships/hyperlink" Target="https://eur-lex.europa.eu/legal-content/RO/AUTO/?uri=celex:32018R1999" TargetMode="External"/><Relationship Id="rId53" Type="http://schemas.openxmlformats.org/officeDocument/2006/relationships/hyperlink" Target="https://eur-lex.europa.eu/legal-content/RO/AUTO/?uri=OJ:L:2018:328:TOC" TargetMode="External"/><Relationship Id="rId58" Type="http://schemas.openxmlformats.org/officeDocument/2006/relationships/hyperlink" Target="https://eur-lex.europa.eu/legal-content/RO/AUTO/?uri=celex:32018R1999" TargetMode="External"/><Relationship Id="rId74" Type="http://schemas.openxmlformats.org/officeDocument/2006/relationships/hyperlink" Target="https://eur-lex.europa.eu/legal-content/RO/TXT/?uri=CELEX:32018R1999" TargetMode="External"/><Relationship Id="rId79" Type="http://schemas.openxmlformats.org/officeDocument/2006/relationships/hyperlink" Target="https://eur-lex.europa.eu/legal-content/RO/TXT/?uri=CELEX:32018R1999" TargetMode="External"/><Relationship Id="rId102" Type="http://schemas.openxmlformats.org/officeDocument/2006/relationships/hyperlink" Target="https://eur-lex.europa.eu/legal-content/RO/TXT/?uri=CELEX:32018R1999" TargetMode="External"/><Relationship Id="rId123" Type="http://schemas.openxmlformats.org/officeDocument/2006/relationships/hyperlink" Target="https://eur-lex.europa.eu/legal-content/RO/TXT/?uri=CELEX:02018R1999-20230516"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eur-lex.europa.eu/legal-content/RO/TXT/?uri=CELEX:32018R1999" TargetMode="External"/><Relationship Id="rId95" Type="http://schemas.openxmlformats.org/officeDocument/2006/relationships/hyperlink" Target="https://eur-lex.europa.eu/legal-content/RO/TXT/?uri=CELEX:32018R1999" TargetMode="External"/><Relationship Id="rId22" Type="http://schemas.openxmlformats.org/officeDocument/2006/relationships/hyperlink" Target="https://eur-lex.europa.eu/legal-content/RO/AUTO/?uri=celex:32018R1999" TargetMode="External"/><Relationship Id="rId27" Type="http://schemas.openxmlformats.org/officeDocument/2006/relationships/hyperlink" Target="https://eur-lex.europa.eu/legal-content/RO/AUTO/?uri=celex:32021R1119" TargetMode="External"/><Relationship Id="rId43" Type="http://schemas.openxmlformats.org/officeDocument/2006/relationships/hyperlink" Target="https://eur-lex.europa.eu/legal-content/RO/AUTO/?uri=celex:32018R1999" TargetMode="External"/><Relationship Id="rId48" Type="http://schemas.openxmlformats.org/officeDocument/2006/relationships/hyperlink" Target="https://eur-lex.europa.eu/legal-content/RO/AUTO/?uri=celex:32018R1999" TargetMode="External"/><Relationship Id="rId64" Type="http://schemas.openxmlformats.org/officeDocument/2006/relationships/hyperlink" Target="https://eur-lex.europa.eu/legal-content/RO/TXT/?uri=CELEX:32018R1999" TargetMode="External"/><Relationship Id="rId69" Type="http://schemas.openxmlformats.org/officeDocument/2006/relationships/hyperlink" Target="https://eur-lex.europa.eu/legal-content/RO/TXT/?uri=CELEX:32018R1999" TargetMode="External"/><Relationship Id="rId113" Type="http://schemas.openxmlformats.org/officeDocument/2006/relationships/hyperlink" Target="https://eur-lex.europa.eu/legal-content/RO/TXT/?uri=CELEX:32018R1999" TargetMode="External"/><Relationship Id="rId118" Type="http://schemas.openxmlformats.org/officeDocument/2006/relationships/hyperlink" Target="https://eur-lex.europa.eu/legal-content/RO/AUTO/?uri=celex:32018R1999" TargetMode="External"/><Relationship Id="rId80" Type="http://schemas.openxmlformats.org/officeDocument/2006/relationships/hyperlink" Target="https://eur-lex.europa.eu/legal-content/RO/AUTO/?uri=celex:32021R1119" TargetMode="External"/><Relationship Id="rId85" Type="http://schemas.openxmlformats.org/officeDocument/2006/relationships/hyperlink" Target="https://eur-lex.europa.eu/legal-content/RO/TXT/?uri=CELEX:32018R1999" TargetMode="External"/><Relationship Id="rId12" Type="http://schemas.openxmlformats.org/officeDocument/2006/relationships/hyperlink" Target="https://eur-lex.europa.eu/legal-content/RO/AUTO/?uri=celex:32018R1999" TargetMode="External"/><Relationship Id="rId17" Type="http://schemas.openxmlformats.org/officeDocument/2006/relationships/hyperlink" Target="https://eur-lex.europa.eu/legal-content/RO/AUTO/?uri=celex:32018R1999" TargetMode="External"/><Relationship Id="rId33" Type="http://schemas.openxmlformats.org/officeDocument/2006/relationships/hyperlink" Target="https://eur-lex.europa.eu/legal-content/RO/AUTO/?uri=celex:32018R1999" TargetMode="External"/><Relationship Id="rId38" Type="http://schemas.openxmlformats.org/officeDocument/2006/relationships/hyperlink" Target="https://eur-lex.europa.eu/legal-content/RO/AUTO/?uri=celex:32019D0504" TargetMode="External"/><Relationship Id="rId59" Type="http://schemas.openxmlformats.org/officeDocument/2006/relationships/hyperlink" Target="https://eur-lex.europa.eu/legal-content/RO/TXT/?uri=CELEX:32018R1999" TargetMode="External"/><Relationship Id="rId103" Type="http://schemas.openxmlformats.org/officeDocument/2006/relationships/hyperlink" Target="https://eur-lex.europa.eu/legal-content/RO/TXT/?uri=CELEX:32018R1999" TargetMode="External"/><Relationship Id="rId108" Type="http://schemas.openxmlformats.org/officeDocument/2006/relationships/hyperlink" Target="https://eur-lex.europa.eu/legal-content/RO/TXT/?uri=CELEX:32018R1999" TargetMode="External"/><Relationship Id="rId124" Type="http://schemas.openxmlformats.org/officeDocument/2006/relationships/hyperlink" Target="https://eur-lex.europa.eu/legal-content/RO/TXT/?uri=CELEX:02018R1999-20230516" TargetMode="External"/><Relationship Id="rId129" Type="http://schemas.openxmlformats.org/officeDocument/2006/relationships/theme" Target="theme/theme1.xml"/><Relationship Id="rId54" Type="http://schemas.openxmlformats.org/officeDocument/2006/relationships/hyperlink" Target="https://eur-lex.europa.eu/legal-content/RO/TXT/?uri=CELEX:32018R1999" TargetMode="External"/><Relationship Id="rId70" Type="http://schemas.openxmlformats.org/officeDocument/2006/relationships/hyperlink" Target="https://eur-lex.europa.eu/legal-content/RO/TXT/?uri=CELEX:32018R1999" TargetMode="External"/><Relationship Id="rId75" Type="http://schemas.openxmlformats.org/officeDocument/2006/relationships/hyperlink" Target="https://eur-lex.europa.eu/legal-content/RO/TXT/?uri=CELEX:32018R1999" TargetMode="External"/><Relationship Id="rId91" Type="http://schemas.openxmlformats.org/officeDocument/2006/relationships/hyperlink" Target="https://eur-lex.europa.eu/legal-content/RO/TXT/?uri=CELEX:32018R1999" TargetMode="External"/><Relationship Id="rId96" Type="http://schemas.openxmlformats.org/officeDocument/2006/relationships/hyperlink" Target="https://eur-lex.europa.eu/legal-content/RO/TXT/?uri=CELEX:32018R199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ur-lex.europa.eu/legal-content/RO/AUTO/?uri=celex:32021R1119" TargetMode="External"/><Relationship Id="rId28" Type="http://schemas.openxmlformats.org/officeDocument/2006/relationships/hyperlink" Target="https://eur-lex.europa.eu/legal-content/RO/AUTO/?uri=celex:32018R1999" TargetMode="External"/><Relationship Id="rId49" Type="http://schemas.openxmlformats.org/officeDocument/2006/relationships/hyperlink" Target="https://eur-lex.europa.eu/legal-content/RO/AUTO/?uri=celex:32021R1119" TargetMode="External"/><Relationship Id="rId114" Type="http://schemas.openxmlformats.org/officeDocument/2006/relationships/hyperlink" Target="https://eur-lex.europa.eu/legal-content/RO/TXT/?uri=CELEX:32018R1999" TargetMode="External"/><Relationship Id="rId119" Type="http://schemas.openxmlformats.org/officeDocument/2006/relationships/hyperlink" Target="https://eur-lex.europa.eu/legal-content/RO/AUTO/?uri=celex:32023R0839" TargetMode="External"/><Relationship Id="rId44" Type="http://schemas.openxmlformats.org/officeDocument/2006/relationships/hyperlink" Target="https://eur-lex.europa.eu/legal-content/RO/AUTO/?uri=celex:32023R0839" TargetMode="External"/><Relationship Id="rId60" Type="http://schemas.openxmlformats.org/officeDocument/2006/relationships/hyperlink" Target="https://eur-lex.europa.eu/legal-content/RO/TXT/?uri=CELEX:32018R1999" TargetMode="External"/><Relationship Id="rId65" Type="http://schemas.openxmlformats.org/officeDocument/2006/relationships/hyperlink" Target="https://eur-lex.europa.eu/legal-content/RO/TXT/?uri=CELEX:32018R1999" TargetMode="External"/><Relationship Id="rId81" Type="http://schemas.openxmlformats.org/officeDocument/2006/relationships/hyperlink" Target="https://eur-lex.europa.eu/legal-content/RO/AUTO/?uri=celex:32018R1999" TargetMode="External"/><Relationship Id="rId86" Type="http://schemas.openxmlformats.org/officeDocument/2006/relationships/hyperlink" Target="https://eur-lex.europa.eu/legal-content/RO/TXT/?uri=CELEX:32018R1999" TargetMode="External"/><Relationship Id="rId13" Type="http://schemas.openxmlformats.org/officeDocument/2006/relationships/hyperlink" Target="https://eur-lex.europa.eu/legal-content/RO/AUTO/?uri=celex:32023R0839" TargetMode="External"/><Relationship Id="rId18" Type="http://schemas.openxmlformats.org/officeDocument/2006/relationships/hyperlink" Target="https://eur-lex.europa.eu/legal-content/RO/AUTO/?uri=celex:32019D0504" TargetMode="External"/><Relationship Id="rId39" Type="http://schemas.openxmlformats.org/officeDocument/2006/relationships/hyperlink" Target="https://eur-lex.europa.eu/legal-content/RO/AUTO/?uri=celex:32018R1999" TargetMode="External"/><Relationship Id="rId109" Type="http://schemas.openxmlformats.org/officeDocument/2006/relationships/hyperlink" Target="https://eur-lex.europa.eu/legal-content/RO/TXT/?uri=CELEX:32018R1999" TargetMode="External"/><Relationship Id="rId34" Type="http://schemas.openxmlformats.org/officeDocument/2006/relationships/hyperlink" Target="https://eur-lex.europa.eu/legal-content/RO/AUTO/?uri=celex:32023R0839" TargetMode="External"/><Relationship Id="rId50" Type="http://schemas.openxmlformats.org/officeDocument/2006/relationships/hyperlink" Target="https://eur-lex.europa.eu/legal-content/RO/AUTO/?uri=celex:32018R1999" TargetMode="External"/><Relationship Id="rId55" Type="http://schemas.openxmlformats.org/officeDocument/2006/relationships/hyperlink" Target="https://eur-lex.europa.eu/legal-content/RO/TXT/?uri=CELEX:32018R1999" TargetMode="External"/><Relationship Id="rId76" Type="http://schemas.openxmlformats.org/officeDocument/2006/relationships/hyperlink" Target="https://eur-lex.europa.eu/legal-content/RO/TXT/?uri=CELEX:32018R1999" TargetMode="External"/><Relationship Id="rId97" Type="http://schemas.openxmlformats.org/officeDocument/2006/relationships/hyperlink" Target="https://eur-lex.europa.eu/legal-content/RO/TXT/?uri=CELEX:32018R1999" TargetMode="External"/><Relationship Id="rId104" Type="http://schemas.openxmlformats.org/officeDocument/2006/relationships/hyperlink" Target="https://eur-lex.europa.eu/legal-content/RO/TXT/?uri=CELEX:32018R1999" TargetMode="External"/><Relationship Id="rId120" Type="http://schemas.openxmlformats.org/officeDocument/2006/relationships/hyperlink" Target="https://eur-lex.europa.eu/legal-content/RO/TXT/?uri=CELEX:02018R1999-20230516" TargetMode="External"/><Relationship Id="rId125" Type="http://schemas.openxmlformats.org/officeDocument/2006/relationships/hyperlink" Target="https://eur-lex.europa.eu/legal-content/RO/AUTO/?uri=celex:32018R1999" TargetMode="External"/><Relationship Id="rId7" Type="http://schemas.openxmlformats.org/officeDocument/2006/relationships/endnotes" Target="endnotes.xml"/><Relationship Id="rId71" Type="http://schemas.openxmlformats.org/officeDocument/2006/relationships/hyperlink" Target="https://eur-lex.europa.eu/legal-content/RO/TXT/?uri=CELEX:32018R1999" TargetMode="External"/><Relationship Id="rId92" Type="http://schemas.openxmlformats.org/officeDocument/2006/relationships/hyperlink" Target="https://eur-lex.europa.eu/legal-content/RO/TXT/?uri=CELEX:32018R1999" TargetMode="External"/><Relationship Id="rId2" Type="http://schemas.openxmlformats.org/officeDocument/2006/relationships/numbering" Target="numbering.xml"/><Relationship Id="rId29" Type="http://schemas.openxmlformats.org/officeDocument/2006/relationships/hyperlink" Target="https://eur-lex.europa.eu/legal-content/RO/AUTO/?uri=celex:32021R1119" TargetMode="External"/><Relationship Id="rId24" Type="http://schemas.openxmlformats.org/officeDocument/2006/relationships/hyperlink" Target="https://eur-lex.europa.eu/legal-content/RO/AUTO/?uri=celex:32018R1999" TargetMode="External"/><Relationship Id="rId40" Type="http://schemas.openxmlformats.org/officeDocument/2006/relationships/hyperlink" Target="https://eur-lex.europa.eu/legal-content/RO/TXT/?uri=CELEX:32018R1999" TargetMode="External"/><Relationship Id="rId45" Type="http://schemas.openxmlformats.org/officeDocument/2006/relationships/hyperlink" Target="https://eur-lex.europa.eu/legal-content/RO/AUTO/?uri=celex:32018R1999" TargetMode="External"/><Relationship Id="rId66" Type="http://schemas.openxmlformats.org/officeDocument/2006/relationships/hyperlink" Target="https://eur-lex.europa.eu/legal-content/RO/TXT/?uri=CELEX:32018R1999" TargetMode="External"/><Relationship Id="rId87" Type="http://schemas.openxmlformats.org/officeDocument/2006/relationships/hyperlink" Target="https://eur-lex.europa.eu/legal-content/RO/TXT/?uri=CELEX:32018R1999" TargetMode="External"/><Relationship Id="rId110" Type="http://schemas.openxmlformats.org/officeDocument/2006/relationships/hyperlink" Target="https://eur-lex.europa.eu/legal-content/RO/TXT/?uri=CELEX:32018R1999" TargetMode="External"/><Relationship Id="rId115" Type="http://schemas.openxmlformats.org/officeDocument/2006/relationships/hyperlink" Target="https://eur-lex.europa.eu/legal-content/RO/TXT/?uri=CELEX:32018R1999" TargetMode="External"/><Relationship Id="rId61" Type="http://schemas.openxmlformats.org/officeDocument/2006/relationships/hyperlink" Target="https://eur-lex.europa.eu/legal-content/RO/TXT/?uri=CELEX:32018R1999" TargetMode="External"/><Relationship Id="rId82" Type="http://schemas.openxmlformats.org/officeDocument/2006/relationships/hyperlink" Target="https://eur-lex.europa.eu/legal-content/RO/TXT/?uri=CELEX:32018R1999" TargetMode="External"/><Relationship Id="rId19" Type="http://schemas.openxmlformats.org/officeDocument/2006/relationships/hyperlink" Target="https://eur-lex.europa.eu/legal-content/RO/AUTO/?uri=celex:32021R1119" TargetMode="External"/><Relationship Id="rId14" Type="http://schemas.openxmlformats.org/officeDocument/2006/relationships/hyperlink" Target="https://eur-lex.europa.eu/legal-content/RO/AUTO/?uri=celex:32021R1119" TargetMode="External"/><Relationship Id="rId30" Type="http://schemas.openxmlformats.org/officeDocument/2006/relationships/hyperlink" Target="https://eur-lex.europa.eu/legal-content/RO/AUTO/?uri=celex:32018R1999" TargetMode="External"/><Relationship Id="rId35" Type="http://schemas.openxmlformats.org/officeDocument/2006/relationships/hyperlink" Target="https://eur-lex.europa.eu/legal-content/RO/AUTO/?uri=celex:32018R1999" TargetMode="External"/><Relationship Id="rId56" Type="http://schemas.openxmlformats.org/officeDocument/2006/relationships/hyperlink" Target="https://eur-lex.europa.eu/legal-content/RO/TXT/?uri=CELEX:32018R1999" TargetMode="External"/><Relationship Id="rId77" Type="http://schemas.openxmlformats.org/officeDocument/2006/relationships/hyperlink" Target="https://eur-lex.europa.eu/legal-content/RO/TXT/?uri=CELEX:32018R1999" TargetMode="External"/><Relationship Id="rId100" Type="http://schemas.openxmlformats.org/officeDocument/2006/relationships/hyperlink" Target="https://eur-lex.europa.eu/legal-content/RO/TXT/?uri=CELEX:32018R1999" TargetMode="External"/><Relationship Id="rId105" Type="http://schemas.openxmlformats.org/officeDocument/2006/relationships/hyperlink" Target="https://eur-lex.europa.eu/legal-content/RO/TXT/?uri=CELEX:32018R1999" TargetMode="External"/><Relationship Id="rId126" Type="http://schemas.openxmlformats.org/officeDocument/2006/relationships/hyperlink" Target="https://eur-lex.europa.eu/legal-content/RO/AUTO/?uri=celex:32021R1119" TargetMode="External"/><Relationship Id="rId8" Type="http://schemas.openxmlformats.org/officeDocument/2006/relationships/hyperlink" Target="https://eur-lex.europa.eu/legal-content/RO/AUTO/?uri=celex:32021R1119" TargetMode="External"/><Relationship Id="rId51" Type="http://schemas.openxmlformats.org/officeDocument/2006/relationships/hyperlink" Target="https://eur-lex.europa.eu/legal-content/RO/TXT/?uri=CELEX:32018R1999" TargetMode="External"/><Relationship Id="rId72" Type="http://schemas.openxmlformats.org/officeDocument/2006/relationships/hyperlink" Target="https://eur-lex.europa.eu/legal-content/RO/TXT/?uri=CELEX:32018R1999" TargetMode="External"/><Relationship Id="rId93" Type="http://schemas.openxmlformats.org/officeDocument/2006/relationships/hyperlink" Target="https://eur-lex.europa.eu/legal-content/RO/TXT/?uri=CELEX:32018R1999" TargetMode="External"/><Relationship Id="rId98" Type="http://schemas.openxmlformats.org/officeDocument/2006/relationships/hyperlink" Target="https://eur-lex.europa.eu/legal-content/RO/AUTO/?uri=OJ:L:2017:280:TOC" TargetMode="External"/><Relationship Id="rId121" Type="http://schemas.openxmlformats.org/officeDocument/2006/relationships/hyperlink" Target="https://eur-lex.europa.eu/legal-content/RO/TXT/?uri=CELEX:02018R1999-20230516" TargetMode="External"/><Relationship Id="rId3" Type="http://schemas.openxmlformats.org/officeDocument/2006/relationships/styles" Target="styles.xml"/><Relationship Id="rId25" Type="http://schemas.openxmlformats.org/officeDocument/2006/relationships/hyperlink" Target="https://eur-lex.europa.eu/legal-content/RO/AUTO/?uri=celex:32021R1119" TargetMode="External"/><Relationship Id="rId46" Type="http://schemas.openxmlformats.org/officeDocument/2006/relationships/hyperlink" Target="https://eur-lex.europa.eu/legal-content/RO/AUTO/?uri=celex:32023R0839" TargetMode="External"/><Relationship Id="rId67" Type="http://schemas.openxmlformats.org/officeDocument/2006/relationships/hyperlink" Target="https://eur-lex.europa.eu/legal-content/RO/TXT/?uri=CELEX:32018R1999" TargetMode="External"/><Relationship Id="rId116" Type="http://schemas.openxmlformats.org/officeDocument/2006/relationships/hyperlink" Target="https://eur-lex.europa.eu/legal-content/RO/TXT/?uri=CELEX:32018R1999" TargetMode="External"/><Relationship Id="rId20" Type="http://schemas.openxmlformats.org/officeDocument/2006/relationships/hyperlink" Target="https://eur-lex.europa.eu/legal-content/RO/AUTO/?uri=celex:32018R1999" TargetMode="External"/><Relationship Id="rId41" Type="http://schemas.openxmlformats.org/officeDocument/2006/relationships/hyperlink" Target="https://eur-lex.europa.eu/legal-content/RO/TXT/?uri=CELEX:32018R1999" TargetMode="External"/><Relationship Id="rId62" Type="http://schemas.openxmlformats.org/officeDocument/2006/relationships/hyperlink" Target="https://eur-lex.europa.eu/legal-content/RO/TXT/?uri=CELEX:32018R1999" TargetMode="External"/><Relationship Id="rId83" Type="http://schemas.openxmlformats.org/officeDocument/2006/relationships/hyperlink" Target="https://eur-lex.europa.eu/legal-content/RO/TXT/?uri=CELEX:32018R1999" TargetMode="External"/><Relationship Id="rId88" Type="http://schemas.openxmlformats.org/officeDocument/2006/relationships/hyperlink" Target="https://eur-lex.europa.eu/legal-content/RO/AUTO/?uri=OJ:L:2013:115:TOC" TargetMode="External"/><Relationship Id="rId111" Type="http://schemas.openxmlformats.org/officeDocument/2006/relationships/hyperlink" Target="https://eur-lex.europa.eu/legal-content/RO/TXT/?uri=CELEX:32018R1999" TargetMode="External"/><Relationship Id="rId15" Type="http://schemas.openxmlformats.org/officeDocument/2006/relationships/hyperlink" Target="https://eur-lex.europa.eu/legal-content/RO/AUTO/?uri=celex:32018R1999" TargetMode="External"/><Relationship Id="rId36" Type="http://schemas.openxmlformats.org/officeDocument/2006/relationships/hyperlink" Target="https://eur-lex.europa.eu/legal-content/RO/AUTO/?uri=celex:32021R1119" TargetMode="External"/><Relationship Id="rId57" Type="http://schemas.openxmlformats.org/officeDocument/2006/relationships/hyperlink" Target="https://eur-lex.europa.eu/legal-content/RO/AUTO/?uri=celex:32021R1119" TargetMode="External"/><Relationship Id="rId106" Type="http://schemas.openxmlformats.org/officeDocument/2006/relationships/hyperlink" Target="https://eur-lex.europa.eu/legal-content/RO/TXT/?uri=CELEX:32018R1999" TargetMode="External"/><Relationship Id="rId127" Type="http://schemas.openxmlformats.org/officeDocument/2006/relationships/hyperlink" Target="https://eur-lex.europa.eu/legal-content/RO/AUTO/?uri=celex:32018R1999" TargetMode="External"/><Relationship Id="rId10" Type="http://schemas.openxmlformats.org/officeDocument/2006/relationships/hyperlink" Target="https://eur-lex.europa.eu/legal-content/RO/AUTO/?uri=celex:32018R1999" TargetMode="External"/><Relationship Id="rId31" Type="http://schemas.openxmlformats.org/officeDocument/2006/relationships/hyperlink" Target="https://eur-lex.europa.eu/legal-content/RO/AUTO/?uri=celex:32021R1119" TargetMode="External"/><Relationship Id="rId52" Type="http://schemas.openxmlformats.org/officeDocument/2006/relationships/hyperlink" Target="https://eur-lex.europa.eu/legal-content/RO/TXT/?uri=CELEX:32018R1999" TargetMode="External"/><Relationship Id="rId73" Type="http://schemas.openxmlformats.org/officeDocument/2006/relationships/hyperlink" Target="https://eur-lex.europa.eu/legal-content/RO/TXT/?uri=CELEX:32018R1999" TargetMode="External"/><Relationship Id="rId78" Type="http://schemas.openxmlformats.org/officeDocument/2006/relationships/hyperlink" Target="https://eur-lex.europa.eu/legal-content/RO/TXT/?uri=CELEX:32018R1999" TargetMode="External"/><Relationship Id="rId94" Type="http://schemas.openxmlformats.org/officeDocument/2006/relationships/hyperlink" Target="https://eur-lex.europa.eu/legal-content/RO/TXT/?uri=CELEX:32018R1999" TargetMode="External"/><Relationship Id="rId99" Type="http://schemas.openxmlformats.org/officeDocument/2006/relationships/hyperlink" Target="https://eur-lex.europa.eu/legal-content/RO/TXT/?uri=CELEX:32018R1999" TargetMode="External"/><Relationship Id="rId101" Type="http://schemas.openxmlformats.org/officeDocument/2006/relationships/hyperlink" Target="https://eur-lex.europa.eu/legal-content/RO/TXT/?uri=CELEX:32018R1999" TargetMode="External"/><Relationship Id="rId122" Type="http://schemas.openxmlformats.org/officeDocument/2006/relationships/hyperlink" Target="https://eur-lex.europa.eu/legal-content/RO/TXT/?uri=CELEX:02018R1999-20230516" TargetMode="External"/><Relationship Id="rId4" Type="http://schemas.openxmlformats.org/officeDocument/2006/relationships/settings" Target="settings.xml"/><Relationship Id="rId9" Type="http://schemas.openxmlformats.org/officeDocument/2006/relationships/hyperlink" Target="https://eur-lex.europa.eu/legal-content/RO/TXT/?uri=CELEX:02018R1999-20230516" TargetMode="External"/><Relationship Id="rId26" Type="http://schemas.openxmlformats.org/officeDocument/2006/relationships/hyperlink" Target="https://eur-lex.europa.eu/legal-content/RO/AUTO/?uri=celex:32018R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122</Pages>
  <Words>44048</Words>
  <Characters>251075</Characters>
  <Application>Microsoft Office Word</Application>
  <DocSecurity>0</DocSecurity>
  <Lines>2092</Lines>
  <Paragraphs>589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294534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natalizamfir1@icloud.com</cp:lastModifiedBy>
  <cp:revision>30</cp:revision>
  <cp:lastPrinted>2020-08-12T06:02:00Z</cp:lastPrinted>
  <dcterms:created xsi:type="dcterms:W3CDTF">2023-12-08T03:24:00Z</dcterms:created>
  <dcterms:modified xsi:type="dcterms:W3CDTF">2024-01-22T13:56:00Z</dcterms:modified>
</cp:coreProperties>
</file>