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C" w:rsidRPr="005E7DAE" w:rsidRDefault="00FE25BC" w:rsidP="00FE25BC">
      <w:pPr>
        <w:spacing w:after="0" w:line="240" w:lineRule="auto"/>
        <w:ind w:left="-142" w:right="-142"/>
        <w:jc w:val="center"/>
        <w:rPr>
          <w:rFonts w:ascii="Times New Roman" w:eastAsia="Times New Roman" w:hAnsi="Times New Roman"/>
          <w:b/>
          <w:sz w:val="28"/>
          <w:szCs w:val="28"/>
          <w:lang w:val="ro-MD" w:eastAsia="ru-RU"/>
        </w:rPr>
      </w:pPr>
      <w:r w:rsidRPr="005E7DAE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Notă informativă</w:t>
      </w:r>
    </w:p>
    <w:p w:rsidR="00FE25BC" w:rsidRPr="005E7DAE" w:rsidRDefault="00FE25BC" w:rsidP="00FE25BC">
      <w:pPr>
        <w:spacing w:after="0"/>
        <w:ind w:left="-426" w:right="-421"/>
        <w:jc w:val="center"/>
        <w:rPr>
          <w:rFonts w:ascii="Times New Roman" w:eastAsia="Times New Roman" w:hAnsi="Times New Roman"/>
          <w:sz w:val="28"/>
          <w:szCs w:val="28"/>
          <w:lang w:val="ro-MD" w:eastAsia="ru-RU"/>
        </w:rPr>
      </w:pPr>
      <w:r w:rsidRPr="005E7DAE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>la proiectul Hotărârii Guvernului</w:t>
      </w:r>
      <w:r w:rsidRPr="005E7DAE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</w:t>
      </w:r>
    </w:p>
    <w:p w:rsidR="00FE25BC" w:rsidRPr="005E7DAE" w:rsidRDefault="00FE25BC" w:rsidP="00FE25BC">
      <w:pPr>
        <w:spacing w:after="0" w:line="240" w:lineRule="auto"/>
        <w:ind w:left="567" w:right="288"/>
        <w:jc w:val="center"/>
        <w:rPr>
          <w:rFonts w:ascii="Times New Roman" w:hAnsi="Times New Roman"/>
          <w:b/>
          <w:i/>
          <w:sz w:val="28"/>
          <w:szCs w:val="28"/>
          <w:lang w:val="ro-MD"/>
        </w:rPr>
      </w:pPr>
      <w:r w:rsidRPr="005E7DAE">
        <w:rPr>
          <w:rFonts w:ascii="Times New Roman" w:eastAsia="Times New Roman" w:hAnsi="Times New Roman"/>
          <w:b/>
          <w:i/>
          <w:sz w:val="28"/>
          <w:szCs w:val="28"/>
          <w:lang w:val="ro-MD" w:eastAsia="ru-RU"/>
        </w:rPr>
        <w:t xml:space="preserve">cu privire la </w:t>
      </w:r>
      <w:r w:rsidRPr="005E7DAE">
        <w:rPr>
          <w:rFonts w:ascii="Times New Roman" w:hAnsi="Times New Roman"/>
          <w:b/>
          <w:i/>
          <w:sz w:val="28"/>
          <w:szCs w:val="28"/>
          <w:lang w:val="ro-MD"/>
        </w:rPr>
        <w:t xml:space="preserve">modificarea unor hotărâri ale Guvernului </w:t>
      </w:r>
    </w:p>
    <w:p w:rsidR="00FE25BC" w:rsidRPr="005E7DAE" w:rsidRDefault="00FE25BC" w:rsidP="00FE25BC">
      <w:pPr>
        <w:spacing w:after="0" w:line="240" w:lineRule="auto"/>
        <w:ind w:left="-142" w:right="-279"/>
        <w:jc w:val="center"/>
        <w:rPr>
          <w:rFonts w:ascii="Times New Roman" w:hAnsi="Times New Roman"/>
          <w:b/>
          <w:i/>
          <w:sz w:val="28"/>
          <w:szCs w:val="28"/>
          <w:lang w:val="ro-MD"/>
        </w:rPr>
      </w:pPr>
      <w:r w:rsidRPr="005E7DAE">
        <w:rPr>
          <w:rFonts w:ascii="Times New Roman" w:hAnsi="Times New Roman"/>
          <w:b/>
          <w:i/>
          <w:sz w:val="28"/>
          <w:szCs w:val="28"/>
          <w:lang w:val="ro-MD"/>
        </w:rPr>
        <w:t>(valorificarea bunurilor imobile din gestiunea unor instituții în raport cu care Ministerul Culturii exercită funcția de fondator)</w:t>
      </w:r>
    </w:p>
    <w:p w:rsidR="00FE25BC" w:rsidRPr="005E7DAE" w:rsidRDefault="00FE25BC" w:rsidP="00FE25BC">
      <w:pPr>
        <w:spacing w:after="0"/>
        <w:ind w:right="-142"/>
        <w:rPr>
          <w:rFonts w:ascii="Times New Roman" w:eastAsia="Times New Roman" w:hAnsi="Times New Roman"/>
          <w:sz w:val="28"/>
          <w:szCs w:val="28"/>
          <w:lang w:val="ro-MD" w:eastAsia="ru-RU"/>
        </w:rPr>
      </w:pPr>
    </w:p>
    <w:tbl>
      <w:tblPr>
        <w:tblW w:w="5377" w:type="pct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10066"/>
      </w:tblGrid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t xml:space="preserve">1. Denumirea autorului şi, după caz, a participanţilor la elaborarea proiectului. 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4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 xml:space="preserve">Proiectul Hotărârii Guvernului </w:t>
            </w:r>
            <w:r w:rsidRPr="005E7DA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val="ro-MD" w:eastAsia="ru-RU"/>
              </w:rPr>
              <w:t>cu privire la</w:t>
            </w: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 xml:space="preserve"> </w:t>
            </w:r>
            <w:r w:rsidRPr="005E7DAE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>modificarea unor hotărâri ale Guvernului”</w:t>
            </w:r>
            <w:r w:rsidRPr="005E7DA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</w:t>
            </w:r>
            <w:r w:rsidRPr="005E7DAE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(valorificarea bunurilor imobile din gestiunea unor instituții în raport cu care Ministerul Culturii exercită funcția de fondator) </w:t>
            </w: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a fost elaborat de către Ministerul Culturii.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t>2. Condiţiile ce au impus elaborarea proiectului de act normativ şi finalităţile urmărite.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  <w:t>A) Pentru bunurile imobile din gestiunea Instituției Publice Rezervația Cultural Naturală „Orheiul Vechi”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Prezentul proiect de Hotărâre de Guvern are ca scop aprobarea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listei bunurilor imobile proprietate a statului din r-nul Orhei comuna Trebujeni, în temeiul art. 13 lit. f) din Legea nr. 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29/2018 privind delimitarea proprietății publice.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La 14 aprilie 2022 au fost recepționate lucrările cadastrale efectuate de Institutul Pentru Organizarea Teritoriului în privința terenului cu nr. cadastral </w:t>
            </w:r>
            <w:r w:rsidRPr="005E7D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MD"/>
              </w:rPr>
              <w:t>64721130954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 și a construcțiilor amplasate pe acesta – Biserica din epoca modernă și Clopotnița medievală;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La 23 septembrie 2022 au fost recepționate lucrările cadastrale efectuate de Institutul Pentru Organizarea Teritoriului în privința: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- terenului cu nr. cadastral </w:t>
            </w:r>
            <w:r w:rsidRPr="005E7D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MD"/>
              </w:rPr>
              <w:t>64721130957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 și a construcțiilor amplasate pe acesta – Baia tătărească și Palatul pârcălabilor;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- terenului cu nr. cadastral </w:t>
            </w:r>
            <w:r w:rsidRPr="005E7D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MD"/>
              </w:rPr>
              <w:t>64721130958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 și a construcțiilor amplasate pe acesta – Biserica medievală, Caravan-sarai și Moschee;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- terenului cu nr. cadastral </w:t>
            </w:r>
            <w:r w:rsidRPr="005E7D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MD"/>
              </w:rPr>
              <w:t>64721110236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 și a construcțiilor amplasate pe acesta – Hostel-casa de oaspeți;</w:t>
            </w:r>
          </w:p>
          <w:p w:rsidR="00FE25BC" w:rsidRPr="005E7DAE" w:rsidRDefault="00FE25BC" w:rsidP="00DF2BAC">
            <w:pPr>
              <w:tabs>
                <w:tab w:val="left" w:pos="5529"/>
              </w:tabs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Pentru a finaliza procedura de delimitare în privința acestor bunuri imobile (proprietate a statului), în temeiul art.13 lit. f) din Legea nr.29/2018 privind delimitarea proprietății publice, urmează a fi aprobată, prin Hotărâre de Guvern, lista acestor bunuri imobile.</w:t>
            </w:r>
          </w:p>
          <w:p w:rsidR="00FE25BC" w:rsidRPr="005E7DAE" w:rsidRDefault="00FE25BC" w:rsidP="00DF2BAC">
            <w:pPr>
              <w:tabs>
                <w:tab w:val="left" w:pos="5529"/>
              </w:tabs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Concomitent s-au efectuat precizii și în privința construcțiilor de la pozițiile 37-42 din Anexa nr.10 la Hotărârea Guvernului nr.351/2005 prin indicarea numărului cadastral al acestora.</w:t>
            </w:r>
          </w:p>
          <w:p w:rsidR="00FE25BC" w:rsidRPr="005E7DAE" w:rsidRDefault="00FE25BC" w:rsidP="00DF2BAC">
            <w:pPr>
              <w:tabs>
                <w:tab w:val="left" w:pos="5529"/>
              </w:tabs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În temeiul art.22, alin.(2) lit. a) din Legea nr.29/2018 privind delimitarea proprietății publice, această Hotărâre de Guvern va permite înscrierea în Registrul bunurilor imobile a informațiilor, în privința bunurilor imobile delimitate, referitoare la titularul dreptului de proprietate (pentru noile construcții accesorii identificate pe teren), a dreptului de administrare și a dreptului de gestiune, precum și actualizarea informațiilor referitoare la suprafața acestor bunuri imobile.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  <w:t>B) Pentru bunurile imobile din gestiunea Instituției Publice Muzeul de Istorie a Evreilor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lastRenderedPageBreak/>
              <w:t xml:space="preserve">Pe terenul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100507005</w:t>
            </w:r>
            <w:r w:rsidRPr="005E7DAE">
              <w:rPr>
                <w:rFonts w:ascii="Times New Roman" w:hAnsi="Times New Roman"/>
                <w:color w:val="000000" w:themeColor="text1"/>
                <w:sz w:val="20"/>
                <w:szCs w:val="20"/>
                <w:lang w:val="ro-MD"/>
              </w:rPr>
              <w:t xml:space="preserve"> 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este amplasată construcția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100507005.02, care nu este înregistrată până la moment în Registrul Bunurilor Imobile.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Construcția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100507005.02 constituie, conform art. 37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val="ro-MD"/>
              </w:rPr>
              <w:t>1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din Legea cadastrului bunurilor imobile nr.1543/1998 și art.7 din Legea nr.29/2018 privind delimitarea propreității publice, propreitate a statului.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După intrarea în vigoare a prezentului proiect de Hotărâre de Guvern, construcția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100507005.02 urmează a fi înscrisă în Registrul bunurilor imobile în vederea sporirii față de terți a opozabilității dreptului de proprietate al statului, a dreptului de administrare al Ministerului Culturii și a dreptului de gestiune al Instituției Publice Muzeul de Istorie a Evreilor.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De asemenea, menționăm că după înregistrarea acestei construcții în Registrul bunurilor imobile, Instituția Publică Muzeul de Istorie a Evreilor va avea posibilitatea de a aplica la proiecte de finanțare externă în vederea restaurării sau reutilării construcției.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  <w:t>C) Pentru bunurile imobile din gestiunea Ministerului Culturii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La moment, cele 2 terenuri și 4 construcții din mun. Chișinău str. Bănulescu-Bodoni, 35 se află în gestiunea Instituției Publice Institutul Patrimoniului Cultural, față de care Ministerul Culturii exercită funcția de fondator.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Construcția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0100520276.01 (Conacul urban Ianușevschi) este înscrisă în Registrul monumentelor Republicii Moldova ocrotite de stat (poziția nr.258 – Compartimentul – Zona de Centru, Municipiul Chișinău), aprobat prin Hotărârea Parlamentului nr.1531/1993.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Construcțiile (inclusiv monumentul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0100520276.01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) sunt într-o stare avansată de degradare și nu au fost folosite de către Institu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tu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l Patrimoniul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ui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 Cultural din anul 2008 odata cu începerea luicrărilor de reparație a construcției monumentului (construcția cu nr. cadastral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0100520276.01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).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În anul 2011 lucrările au fost stopate (în proporție de 60 % din proiectul planificat) din cauza lipsei alocațiilor bugetare și a altor surse de finanțare. 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Din anul 2008 până în prezent, Institut</w:t>
            </w:r>
            <w:r w:rsidR="005E7DAE"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u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l Patrimoniului Cultural își desfășoară activitatea în încăperile închiriate de la Academia de Știință a Moldovei, din mun. Chișinău bd. Ștefan cel Mare și Sfânt, 1.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>Ministerul Culturii își propune să reexamineze posibilitatea de reluare a reconstrucției monumentului și să estimeze costul orientativ de cheltuieli.</w:t>
            </w:r>
          </w:p>
          <w:p w:rsidR="00FE25BC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După intrarea în vigoare a prezentului proiect de Hotărâre de Guvern,</w:t>
            </w:r>
            <w:r w:rsidR="00A16DE4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construcțiile cu nr. cadastral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0100520276.02, 0100520298.01 și 0100520298.02 (amplasate pe 2 terenuri adiacente)</w:t>
            </w:r>
            <w:r w:rsidRPr="005E7DAE"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  <w:t xml:space="preserve"> 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urmează a fi înscrise în Registrul bunurilor imobile în vederea sporiri față de terți a opozabilității dreptului de proprietate al statului, a dreptului de administrare și a dreptului de ge</w:t>
            </w:r>
            <w:r w:rsidR="0008718A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stiune al Ministerului Culturii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.</w:t>
            </w:r>
          </w:p>
          <w:p w:rsidR="0008718A" w:rsidRDefault="0008718A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Terenurile </w:t>
            </w:r>
            <w:r w:rsidR="002E4183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cu nr. cadastrale </w:t>
            </w:r>
            <w:r w:rsidR="002E4183"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0100520276</w:t>
            </w:r>
            <w:r w:rsidR="002E4183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și nr. </w:t>
            </w:r>
            <w:r w:rsidR="002E4183"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0100520298</w:t>
            </w:r>
            <w:r w:rsidR="002E4183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sunt înregistrate drept proprietate a statului, administrarea Agenției Proprietății Publice.</w:t>
            </w:r>
          </w:p>
          <w:p w:rsidR="0008718A" w:rsidRPr="005E7DAE" w:rsidRDefault="0008718A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o-MD"/>
              </w:rPr>
            </w:pP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De asemenea, menționăm că după înregistrarea acestor construcții în Registrul bunurilor imobile, Ministerul Culturii va avea posibilitatea de a iniția dialogul cu partenerii externi în vederea susținerii inițiativei de restaurare a clădirii monumentului și amenajare a terenului aferent.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o-MD"/>
              </w:rPr>
              <w:lastRenderedPageBreak/>
              <w:t>D) Pentru bunurile imobile din gestiunea Instituției Publice Academia de Muzică, Teatru și Arte Plastice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Menționăm că, la moment bunurile imobile din gestiunea Instituției Publice Academia de Muzică, Teatru și Arte Plastice sunt înscrise la poziția 278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>1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-278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>13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 xml:space="preserve"> (13 construcții) din Anexa nr.22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>12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 xml:space="preserve"> din Hotărârea Guvernului nr.351/2005.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Totodată, prin Hotărârea Guvernului nr. 485/2022 cu privire la reorganizarea prin fuziune (absorbție) a unor instituții din domeniile educației, cercetării și inovării și modificarea unor hotărâri ale Guvernului, calitatea de fondator a Instituției Publice Academia de Muzică, Teatru și Arte Plastice a trecut de la Ministerul Educației și Cercetării la Ministerul Culturii.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Astfel, prin actualul proiect de Hotărâre de Guvern se urmărește trecerea celor 13 construcții din Aneca nr.22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>12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 xml:space="preserve"> în Anexa nr.10 din Hotărârea Guvernului nr.351/2005 (cea din urmă anexă conține lista construcțiilor, proprietate a statului din gestiunea instituțiilor publice în raport cu care Ministerul Culturii exercită funcția de fondator). 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Totodat, reieșind din faptul că pe parcursul anilor 2020-2023 au fost efectuate lucrări cadastrale la terenurile și construcțiile deținute în gestiune de Academia de Muzică Teatru și Arte Plastice, s-a decis de a fi incluse în anexă și noile construcții identificate în cadrul procedurilor cadastrale.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 xml:space="preserve">Astfel la: 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- 30 iulie 2020, Serviciul cadastral teritorial din cadrul Departamentului Cadastru al Agenției Servicii Publice a elaborat Dosarul tehnic nr.0100/20/86381 în privința terenului cu nr. cadastral 0100202.242 și a construcțiilor amplasate pe acesta din mun. Chișinău str. Alexei Mateevici, 111;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 la 06 iulie 2021, prin Avizul nr. 0100/21/100825, Secția verificare și recepția lucrărilor cadastrale a Agenției Servicii Publice, a recepționat lucrările cadastrale ale terenului cu nr. cadastral 0100101541 și ale construcțiilor amplasate pe acesta din mun. Chișinău, str. Hristo Botev, 4/1;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 la 06 aprilie 2022, prin Avizul nr. 0100/22/54692, Secția verificare și recepția lucrărilor cadastrale a Agenției Servicii Publice, a recepționat lucrările cadastrale ale terenului cu nr. cadastral 01001030182 și ale construcțiilor amplasate pe acesta din mun. Chișinău, str. Hristo Botev, 27;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 la 06 aprilie 2022, prin Avizul nr. 0100/22/56461, Secția verificare și recepția lucrărilor cadastrale a Agenției Servicii Publice, a recepționat lucrările cadastrale ale terenului cu nr. cadastral 01002020171 și ale construcțiilor amplasate pe acesta din mun. Chișinău, str. Alexei Mateevici, 87;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 la 27 octombrie 2022, prin Avizul nr. 0100/22/162091, Secția verificare și recepția lucrărilor cadastrale a Agenției Servicii Publice, a recepționat lucrările cadastrale ale terenului cu nr. cadastral 01005200213 și ale construcțiilor amplasate pe acesta din mun. Chișinău, str. 31 August 1989, 137;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 la 25 ianuarie 2023, prin Avizul nr. 8001/23/1689, Secția verificare și recepția lucrărilor cadastrale a Agenției Servicii Publice, a recepționat lucrările cadastrale ale terenului cu nr. cadastral 80364010007 și ale construcțiilor amplasate pe acesta din s. Scoreni, r-nul Strășeni;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 xml:space="preserve">În acest sens s-a propus completarea Anexei nr.10 cu pozițiile nr. 266-285 (punctul 1 subpunctul 1) din proiectul Hotărârii de Guvern) și concomitent s-a propus excluderea 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lastRenderedPageBreak/>
              <w:t>pozițiilor nr. 278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>1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-278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>13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 xml:space="preserve"> din Anexa nr.22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val="ro-MD"/>
              </w:rPr>
              <w:t xml:space="preserve">12 </w:t>
            </w: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(punctul 1 subpunctul 2) din proiectul Hotărârii de Guvern).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o-MD"/>
              </w:rPr>
              <w:t>E) Pentru bunurile imobile din gestiunea Instituției Publice Organizația Concertistică și de Management Artistic „Moldova-Concert”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MD"/>
              </w:rPr>
              <w:t>La 11 august 2023 a intrat în Vigoare Hotărârea Guvernului nr.567/2023 cu privire la reorganizare prin transformare a Întreprinderii de Stat Organizația Concertistică și Impresariat „Moldova-Concert”, fapt ce a condiționat necesitatea efecturăii unei precizii în privința denumirii instituției care gestionează bunurile imobile proprietate a statului indicate la pozițiile nr.9-18 din Anexa nr.10 din Hotărârea Guvernului nr.351/2005.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lastRenderedPageBreak/>
              <w:t>3. Descrierea gradului de compatibilitate pentru proiectele care au ca scop armonizarea legislaţiei naţionale cu legislaţia Uniunii Europene.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Actul normativ nu are ca scop armonizarea legislaţiei naţionale cu legislaţia Uniunii Europene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t>4. Principalele prevederi ale proiectului şi evidenţierea elementelor noi.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ro-MD" w:eastAsia="ru-RU"/>
              </w:rPr>
              <w:t>Punctul 1 subpunctul 1)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 din proiect prevede operarea unor modificări la pozițiile nr. 9-18, 37-43 și 252 a Anexei nr.10 a Hotărârii Guvernului nr.351/2005</w:t>
            </w:r>
            <w:r w:rsidRPr="005E7D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MD" w:eastAsia="ru-RU"/>
              </w:rPr>
              <w:t xml:space="preserve"> cu privire la aprobarea listelor bunurilor imobile proprietate publică a statului și la transmiterea unor bunuri imobile,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 precum și completarea anexei cu pozițiile nr. 47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val="ro-MD" w:eastAsia="ru-RU"/>
              </w:rPr>
              <w:t>3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>-47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val="ro-MD" w:eastAsia="ru-RU"/>
              </w:rPr>
              <w:t>9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>, 252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val="ro-MD" w:eastAsia="ru-RU"/>
              </w:rPr>
              <w:t>1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 și 258-285.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Punctul 1 subpunctul 2) 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>din proiect prevede operarea unor modificări la Anexa nr.22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val="ro-MD" w:eastAsia="ru-RU"/>
              </w:rPr>
              <w:t>12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 a Hotărârii Guvernului nr.351/2005, prin excluderea pozițiilor 278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val="ro-MD" w:eastAsia="ru-RU"/>
              </w:rPr>
              <w:t>1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>-278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vertAlign w:val="superscript"/>
                <w:lang w:val="ro-MD" w:eastAsia="ru-RU"/>
              </w:rPr>
              <w:t>13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>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ro-MD" w:eastAsia="ru-RU"/>
              </w:rPr>
              <w:t>Punctul 2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 din proiect prevede modificarea Anexei nr.3 la Hotărârea Guvernului </w:t>
            </w:r>
            <w:r w:rsidRPr="005E7D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MD" w:eastAsia="ru-RU"/>
              </w:rPr>
              <w:t>nr.161/2019 cu privire la aprobarea listei terenurilor proprietate publică a statului din administrarea Agenției Proprietății Publice prin completarea anexei cu 4 poziții noi.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MD" w:eastAsia="ru-RU"/>
              </w:rPr>
              <w:t>La acest punct au fost incluse cele 4 terenuri din comuna Trebujeni, r-nul Orhei, în privința cărora a fost finalizată procedura de delimitare.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Conform </w:t>
            </w:r>
            <w:r w:rsidRPr="005E7DAE"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ro-MD" w:eastAsia="ru-RU"/>
              </w:rPr>
              <w:t>punctului 3</w:t>
            </w: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val="ro-MD" w:eastAsia="ru-RU"/>
              </w:rPr>
              <w:t xml:space="preserve"> al proiectului, data intrării în vigoare a Hotărârii de Guvern se propune a fi data publicării acesteia în Monitorul Oficial al Republicii Moldova, fiind 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dictată de necesitatea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inițierii cât mai urgente a procedurii de înscriere a dreptului de administrare al Ministerului Culturi și a dreptului de gestiune a celor 3 instituții din subordine, în Registrul bunurilor imobile (pentru a spori opozabilitatea față de terți) precum și pentru a permite gestionarilor posibilitatea de a aplica la proiecte pentru obținerea finanțărilor externe.</w:t>
            </w:r>
          </w:p>
        </w:tc>
      </w:tr>
      <w:tr w:rsidR="00FE25BC" w:rsidRPr="005E7DAE" w:rsidTr="00A5367F">
        <w:trPr>
          <w:trHeight w:val="50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t>5. Fundamentarea economico-financiară.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Implementarea prezentului proiect nu necesită cheltuieli financiare din bugetul de stat.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Cheltuielie de întreținere a bunurilor imobile vizate în actualul proiect de Hotărâre de Guvern sunt acoperite în limita alocațiilor bugetare aprobate anual pentru cele 3 instituții publice în raport cu care Ministerul Culturii exercită funcția de fondator și care gestionează aceste bunuri.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Întreținerea construcțiilor cu nr. cadastr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al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0100520276.01, 0100520276.02, 0100520298.01 și 0100520298.02 din mun. Chișinău str. Bănulescu Bodoni, 35, care se propun a fi transmise în gestiunea directă a Ministerului Culturii va fi asigurată în limita mijloacelor bugetare alocate ministerului Culturii.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lastRenderedPageBreak/>
              <w:t xml:space="preserve">Pentru asigurarea pazei celor 4 construcții, sunt necesari 4 paznici (care vor lucra în schimburi). Pentru achitarea paznicilor sunt necesare aproximativ 5 000 lei pe lună pentru fiecare, ceea ce înseamnă 20 000 lei pe lună în total sau 240 000 mii lei pe an. Cheltuielile respective vor fi acoperite din contul 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Ministerului Culturii în limta alocațiilor bugetare anuale.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lastRenderedPageBreak/>
              <w:t>6. Modul de încorporare a actului în cadrul normativ în vigoare.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Proiectul se încorporează în sistemul actelor normative.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Potrivit proiectului se propune modificarea Anexei nr.10 și a anexei nr.22</w:t>
            </w: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vertAlign w:val="superscript"/>
                <w:lang w:val="ro-MD" w:eastAsia="ru-RU"/>
              </w:rPr>
              <w:t>12</w:t>
            </w: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 xml:space="preserve"> din Hotărârea Guvernului nr. 351/2005 </w:t>
            </w:r>
            <w:r w:rsidRPr="005E7D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o-MD" w:eastAsia="ru-RU"/>
              </w:rPr>
              <w:t xml:space="preserve">cu privire la aprobarea listelor bunurilor imobile proprietate publică a statului și la transmiterea unor bunuri imobile, precum și a anexei nr.3 din Hotărârea Guvernului nr.161/2019 </w:t>
            </w:r>
            <w:r w:rsidRPr="005E7DA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o-MD" w:eastAsia="ru-RU"/>
              </w:rPr>
              <w:t>cu privire la aprobarea listei terenurilor proprietate publică a statului din administrarea Agenției Proprietății Publice.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tabs>
                <w:tab w:val="left" w:pos="9311"/>
              </w:tabs>
              <w:spacing w:after="0" w:line="240" w:lineRule="auto"/>
              <w:ind w:right="-111" w:firstLine="523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t>7. Avizarea și consultarea publică a proiectului.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FE25BC" w:rsidRPr="005E7DAE" w:rsidRDefault="00FE25BC" w:rsidP="00DF2BAC">
            <w:pPr>
              <w:tabs>
                <w:tab w:val="left" w:pos="884"/>
                <w:tab w:val="left" w:pos="1196"/>
              </w:tabs>
              <w:spacing w:after="0" w:line="240" w:lineRule="auto"/>
              <w:ind w:left="29" w:right="-111" w:firstLine="495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6"/>
                <w:lang w:val="ro-MD"/>
              </w:rPr>
            </w:pPr>
            <w:r w:rsidRPr="005E7DAE">
              <w:rPr>
                <w:rFonts w:ascii="Times New Roman" w:hAnsi="Times New Roman"/>
                <w:sz w:val="28"/>
                <w:szCs w:val="26"/>
                <w:lang w:val="ro-MD"/>
              </w:rPr>
              <w:t xml:space="preserve">În scopul respectării prevederilor Legii nr.239/2008 privind transparența în procesul decizional, anunțul privind elaborarea inițierii proiectului a fost plasat pe pagina web oficială a Ministerului Culturii </w:t>
            </w:r>
            <w:r w:rsidRPr="005E7DAE">
              <w:rPr>
                <w:rFonts w:ascii="Times New Roman" w:hAnsi="Times New Roman"/>
                <w:sz w:val="28"/>
                <w:szCs w:val="28"/>
                <w:lang w:val="ro-MD"/>
              </w:rPr>
              <w:t>https://mc.gov.md/ro/content/initierea-elaborarii-proiectelor-de-acte-normative</w:t>
            </w:r>
            <w:r w:rsidRPr="005E7DAE">
              <w:rPr>
                <w:lang w:val="ro-MD"/>
              </w:rPr>
              <w:t>,</w:t>
            </w:r>
            <w:r w:rsidRPr="005E7DAE">
              <w:rPr>
                <w:rFonts w:ascii="Times New Roman" w:hAnsi="Times New Roman"/>
                <w:sz w:val="28"/>
                <w:szCs w:val="26"/>
                <w:lang w:val="ro-MD"/>
              </w:rPr>
              <w:t xml:space="preserve"> compartimentul Transparența decizională, precum și pe pagina web </w:t>
            </w:r>
            <w:hyperlink r:id="rId4" w:history="1">
              <w:r w:rsidRPr="005E7DAE">
                <w:rPr>
                  <w:rStyle w:val="a3"/>
                  <w:rFonts w:ascii="Times New Roman" w:hAnsi="Times New Roman"/>
                  <w:color w:val="auto"/>
                  <w:sz w:val="28"/>
                  <w:szCs w:val="26"/>
                  <w:lang w:val="ro-MD"/>
                </w:rPr>
                <w:t>www.particip.gov.md</w:t>
              </w:r>
            </w:hyperlink>
            <w:r w:rsidRPr="005E7DAE">
              <w:rPr>
                <w:rStyle w:val="a3"/>
                <w:rFonts w:ascii="Times New Roman" w:hAnsi="Times New Roman"/>
                <w:color w:val="auto"/>
                <w:sz w:val="28"/>
                <w:szCs w:val="26"/>
                <w:lang w:val="ro-MD"/>
              </w:rPr>
              <w:t xml:space="preserve"> (</w:t>
            </w:r>
            <w:r w:rsidRPr="005E7DAE">
              <w:rPr>
                <w:rFonts w:ascii="Times New Roman" w:hAnsi="Times New Roman"/>
                <w:sz w:val="28"/>
                <w:szCs w:val="28"/>
                <w:u w:val="single"/>
                <w:lang w:val="ro-MD"/>
              </w:rPr>
              <w:t>https://particip.gov.md/ro/document/stages/anunt-privind-initierea-procesului-de-elaborare-a-proiectului-hotararii-guvernului-cu-privire-la-modificarea-unor-hotarari-ale-guvernului-valorificarea-bunurilor-imobile-din-gestiunea-unor-institutii-in-raport-cu-care-ministerul-culturii-exercita-functia-de-fondator/11375</w:t>
            </w:r>
            <w:r w:rsidRPr="005E7DAE">
              <w:rPr>
                <w:rStyle w:val="a3"/>
                <w:rFonts w:ascii="Times New Roman" w:hAnsi="Times New Roman"/>
                <w:color w:val="auto"/>
                <w:sz w:val="28"/>
                <w:szCs w:val="26"/>
                <w:lang w:val="ro-MD"/>
              </w:rPr>
              <w:t>).</w:t>
            </w:r>
          </w:p>
          <w:p w:rsidR="00FE25BC" w:rsidRPr="005E7DAE" w:rsidRDefault="00DF2BAC" w:rsidP="00DF2BAC">
            <w:pPr>
              <w:tabs>
                <w:tab w:val="left" w:pos="884"/>
                <w:tab w:val="left" w:pos="1196"/>
              </w:tabs>
              <w:spacing w:after="0" w:line="240" w:lineRule="auto"/>
              <w:ind w:left="29" w:right="-111" w:firstLine="495"/>
              <w:jc w:val="both"/>
              <w:rPr>
                <w:rFonts w:ascii="Times New Roman" w:hAnsi="Times New Roman"/>
                <w:sz w:val="28"/>
                <w:szCs w:val="26"/>
                <w:lang w:val="ro-MD"/>
              </w:rPr>
            </w:pPr>
            <w:r>
              <w:rPr>
                <w:rFonts w:ascii="Times New Roman" w:hAnsi="Times New Roman"/>
                <w:sz w:val="28"/>
                <w:szCs w:val="26"/>
                <w:lang w:val="ro-MD"/>
              </w:rPr>
              <w:t>Proiectul a fost</w:t>
            </w:r>
            <w:r w:rsidR="00FE25BC" w:rsidRPr="005E7DAE">
              <w:rPr>
                <w:rFonts w:ascii="Times New Roman" w:hAnsi="Times New Roman"/>
                <w:sz w:val="28"/>
                <w:szCs w:val="26"/>
                <w:lang w:val="ro-MD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val="ro-MD"/>
              </w:rPr>
              <w:t>avizat de Ministerul Justiției, Ministerul Finanțelor</w:t>
            </w:r>
            <w:r w:rsidR="00FE25BC" w:rsidRPr="005E7DAE">
              <w:rPr>
                <w:rFonts w:ascii="Times New Roman" w:hAnsi="Times New Roman"/>
                <w:sz w:val="28"/>
                <w:szCs w:val="26"/>
                <w:lang w:val="ro-MD"/>
              </w:rPr>
              <w:t>, Agenția Proprietății Publice și Agenția Servicii Publice.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</w:tcPr>
          <w:p w:rsidR="00FE25BC" w:rsidRPr="005E7DAE" w:rsidRDefault="00FE25BC" w:rsidP="00DF2BAC">
            <w:pPr>
              <w:spacing w:after="0" w:line="240" w:lineRule="auto"/>
              <w:ind w:right="-111" w:firstLine="522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o-MD" w:eastAsia="ru-RU"/>
              </w:rPr>
              <w:t>8. Constatările expertizei anticorupție.</w:t>
            </w:r>
          </w:p>
          <w:p w:rsidR="00FE25BC" w:rsidRPr="005E7DAE" w:rsidRDefault="00FE25BC" w:rsidP="00DF2BAC">
            <w:pPr>
              <w:spacing w:after="0" w:line="240" w:lineRule="auto"/>
              <w:ind w:right="-111" w:firstLine="5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Proiectul urmează a fi supus expertizei anticorupție la Centrul Național Anticorupție.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</w:tcPr>
          <w:p w:rsidR="00FE25BC" w:rsidRPr="005E7DAE" w:rsidRDefault="00FE25BC" w:rsidP="00DF2BAC">
            <w:pPr>
              <w:spacing w:after="0" w:line="240" w:lineRule="auto"/>
              <w:ind w:right="-111" w:firstLine="5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hAnsi="Times New Roman"/>
                <w:b/>
                <w:color w:val="000000"/>
                <w:sz w:val="28"/>
                <w:szCs w:val="28"/>
                <w:lang w:val="ro-MD"/>
              </w:rPr>
              <w:t>9. Constatările expertizei de compatibilitate cu legislația Uniunii Europene.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</w:tcPr>
          <w:p w:rsidR="00FE25BC" w:rsidRPr="005E7DAE" w:rsidRDefault="00FE25BC" w:rsidP="00DF2BAC">
            <w:pPr>
              <w:spacing w:after="0" w:line="240" w:lineRule="auto"/>
              <w:ind w:right="-111" w:firstLine="5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D"/>
              </w:rPr>
            </w:pPr>
            <w:r w:rsidRPr="005E7DAE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6"/>
                <w:lang w:val="ro-MD" w:eastAsia="ru-RU"/>
              </w:rPr>
              <w:t>Proiectul nu intră în categoria actelor normative care necesită expertiza de compatibilitate cu legislația Uniunii Europene</w:t>
            </w:r>
            <w:r w:rsidRPr="005E7DAE"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  <w:t>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</w:tcPr>
          <w:p w:rsidR="00FE25BC" w:rsidRPr="005E7DAE" w:rsidRDefault="00FE25BC" w:rsidP="00DF2BAC">
            <w:pPr>
              <w:spacing w:after="0" w:line="240" w:lineRule="auto"/>
              <w:ind w:right="-111" w:firstLine="522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10. Constatările expertizei juridice.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vAlign w:val="center"/>
          </w:tcPr>
          <w:p w:rsidR="00FE25BC" w:rsidRPr="005E7DAE" w:rsidRDefault="00FE25BC" w:rsidP="00DF2BAC">
            <w:pPr>
              <w:tabs>
                <w:tab w:val="left" w:pos="884"/>
                <w:tab w:val="left" w:pos="1196"/>
              </w:tabs>
              <w:spacing w:after="0" w:line="240" w:lineRule="auto"/>
              <w:ind w:left="29" w:right="-111" w:firstLine="495"/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  <w:lang w:val="ro-MD"/>
              </w:rPr>
              <w:t xml:space="preserve">Proiectul </w:t>
            </w:r>
            <w:r w:rsidR="00DF2BAC"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  <w:lang w:val="ro-MD"/>
              </w:rPr>
              <w:t>a fost supus</w:t>
            </w:r>
            <w:r w:rsidRPr="005E7DAE"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  <w:lang w:val="ro-MD"/>
              </w:rPr>
              <w:t xml:space="preserve"> expertizei juridice la Ministerul Justiției.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</w:tcPr>
          <w:p w:rsidR="00FE25BC" w:rsidRPr="005E7DAE" w:rsidRDefault="00FE25BC" w:rsidP="00DF2BAC">
            <w:pPr>
              <w:spacing w:after="0" w:line="240" w:lineRule="auto"/>
              <w:ind w:right="-111" w:firstLine="522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val="ro-MD" w:eastAsia="ru-RU"/>
              </w:rPr>
            </w:pPr>
            <w:r w:rsidRPr="005E7DAE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11. Constatările altor expertize.</w:t>
            </w:r>
          </w:p>
        </w:tc>
      </w:tr>
      <w:tr w:rsidR="00FE25BC" w:rsidRPr="005E7DAE" w:rsidTr="00A5367F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221" w:type="dxa"/>
            </w:tcMar>
            <w:vAlign w:val="center"/>
          </w:tcPr>
          <w:p w:rsidR="00FE25BC" w:rsidRPr="005E7DAE" w:rsidRDefault="00FE25BC" w:rsidP="00DF2BAC">
            <w:pPr>
              <w:tabs>
                <w:tab w:val="left" w:pos="884"/>
                <w:tab w:val="left" w:pos="1196"/>
              </w:tabs>
              <w:spacing w:after="0" w:line="240" w:lineRule="auto"/>
              <w:ind w:left="29" w:right="-111" w:firstLine="495"/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  <w:lang w:val="ro-MD"/>
              </w:rPr>
            </w:pPr>
            <w:r w:rsidRPr="005E7DAE">
              <w:rPr>
                <w:rFonts w:ascii="Times New Roman" w:hAnsi="Times New Roman"/>
                <w:color w:val="000000" w:themeColor="text1"/>
                <w:sz w:val="28"/>
                <w:szCs w:val="26"/>
                <w:lang w:val="ro-MD"/>
              </w:rPr>
              <w:t>Proiectul nu necesită alte expertize.</w:t>
            </w:r>
          </w:p>
        </w:tc>
      </w:tr>
    </w:tbl>
    <w:p w:rsidR="00FE25BC" w:rsidRPr="005E7DAE" w:rsidRDefault="00FE25BC" w:rsidP="00FE25BC">
      <w:pPr>
        <w:spacing w:after="0" w:line="240" w:lineRule="auto"/>
        <w:ind w:left="993" w:right="-279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FE25BC" w:rsidRPr="005E7DAE" w:rsidRDefault="00FE25BC" w:rsidP="00FE25BC">
      <w:pPr>
        <w:spacing w:after="0" w:line="240" w:lineRule="auto"/>
        <w:ind w:left="993" w:right="-279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FE25BC" w:rsidRPr="005E7DAE" w:rsidRDefault="00FE25BC" w:rsidP="00FE25BC">
      <w:pPr>
        <w:spacing w:line="240" w:lineRule="auto"/>
        <w:ind w:right="-279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5E7DAE">
        <w:rPr>
          <w:rFonts w:ascii="Times New Roman" w:hAnsi="Times New Roman"/>
          <w:b/>
          <w:sz w:val="28"/>
          <w:szCs w:val="28"/>
          <w:lang w:val="ro-MD"/>
        </w:rPr>
        <w:t>Ministru</w:t>
      </w:r>
      <w:r w:rsidRPr="005E7DAE">
        <w:rPr>
          <w:rFonts w:ascii="Times New Roman" w:hAnsi="Times New Roman"/>
          <w:b/>
          <w:sz w:val="28"/>
          <w:szCs w:val="28"/>
          <w:lang w:val="ro-MD"/>
        </w:rPr>
        <w:tab/>
      </w:r>
      <w:r w:rsidRPr="005E7DAE">
        <w:rPr>
          <w:rFonts w:ascii="Times New Roman" w:hAnsi="Times New Roman"/>
          <w:b/>
          <w:sz w:val="28"/>
          <w:szCs w:val="28"/>
          <w:lang w:val="ro-MD"/>
        </w:rPr>
        <w:tab/>
      </w:r>
      <w:r w:rsidRPr="005E7DAE">
        <w:rPr>
          <w:rFonts w:ascii="Times New Roman" w:hAnsi="Times New Roman"/>
          <w:b/>
          <w:sz w:val="28"/>
          <w:szCs w:val="28"/>
          <w:lang w:val="ro-MD"/>
        </w:rPr>
        <w:tab/>
      </w:r>
      <w:r w:rsidRPr="005E7DAE">
        <w:rPr>
          <w:rFonts w:ascii="Times New Roman" w:hAnsi="Times New Roman"/>
          <w:b/>
          <w:sz w:val="28"/>
          <w:szCs w:val="28"/>
          <w:lang w:val="ro-MD"/>
        </w:rPr>
        <w:tab/>
      </w:r>
      <w:r w:rsidRPr="005E7DAE">
        <w:rPr>
          <w:rFonts w:ascii="Times New Roman" w:hAnsi="Times New Roman"/>
          <w:b/>
          <w:sz w:val="28"/>
          <w:szCs w:val="28"/>
          <w:lang w:val="ro-MD"/>
        </w:rPr>
        <w:tab/>
      </w:r>
      <w:r w:rsidRPr="005E7DAE">
        <w:rPr>
          <w:rFonts w:ascii="Times New Roman" w:hAnsi="Times New Roman"/>
          <w:b/>
          <w:sz w:val="28"/>
          <w:szCs w:val="28"/>
          <w:lang w:val="ro-MD"/>
        </w:rPr>
        <w:tab/>
      </w:r>
      <w:r w:rsidRPr="005E7DAE">
        <w:rPr>
          <w:rFonts w:ascii="Times New Roman" w:hAnsi="Times New Roman"/>
          <w:b/>
          <w:sz w:val="28"/>
          <w:szCs w:val="28"/>
          <w:lang w:val="ro-MD"/>
        </w:rPr>
        <w:t>Sergiu PRODAN</w:t>
      </w:r>
    </w:p>
    <w:p w:rsidR="00FE25BC" w:rsidRPr="005E7DAE" w:rsidRDefault="00FE25BC" w:rsidP="00FE25BC">
      <w:pPr>
        <w:tabs>
          <w:tab w:val="left" w:pos="3240"/>
        </w:tabs>
        <w:spacing w:after="0" w:line="276" w:lineRule="auto"/>
        <w:ind w:right="33"/>
        <w:rPr>
          <w:rFonts w:ascii="Times New Roman" w:eastAsia="Times New Roman" w:hAnsi="Times New Roman"/>
          <w:b/>
          <w:sz w:val="16"/>
          <w:szCs w:val="16"/>
          <w:lang w:val="ro-MD" w:eastAsia="ru-RU"/>
        </w:rPr>
      </w:pPr>
    </w:p>
    <w:p w:rsidR="00FE25BC" w:rsidRPr="005E7DAE" w:rsidRDefault="00FE25BC" w:rsidP="00FE25BC">
      <w:pPr>
        <w:tabs>
          <w:tab w:val="left" w:pos="3240"/>
        </w:tabs>
        <w:spacing w:after="0" w:line="276" w:lineRule="auto"/>
        <w:ind w:right="33"/>
        <w:rPr>
          <w:rFonts w:ascii="Times New Roman" w:eastAsia="Times New Roman" w:hAnsi="Times New Roman"/>
          <w:b/>
          <w:sz w:val="16"/>
          <w:szCs w:val="16"/>
          <w:lang w:val="ro-MD" w:eastAsia="ru-RU"/>
        </w:rPr>
      </w:pPr>
    </w:p>
    <w:p w:rsidR="00FE25BC" w:rsidRDefault="00FE25BC" w:rsidP="00FE25BC">
      <w:pPr>
        <w:tabs>
          <w:tab w:val="left" w:pos="3240"/>
        </w:tabs>
        <w:spacing w:after="0" w:line="276" w:lineRule="auto"/>
        <w:ind w:right="33"/>
        <w:rPr>
          <w:rFonts w:ascii="Times New Roman" w:eastAsia="Times New Roman" w:hAnsi="Times New Roman"/>
          <w:b/>
          <w:sz w:val="16"/>
          <w:szCs w:val="16"/>
          <w:lang w:val="ro-MD" w:eastAsia="ru-RU"/>
        </w:rPr>
      </w:pPr>
    </w:p>
    <w:p w:rsidR="00DF2BAC" w:rsidRDefault="00DF2BAC" w:rsidP="00FE25BC">
      <w:pPr>
        <w:tabs>
          <w:tab w:val="left" w:pos="3240"/>
        </w:tabs>
        <w:spacing w:after="0" w:line="276" w:lineRule="auto"/>
        <w:ind w:right="33"/>
        <w:rPr>
          <w:rFonts w:ascii="Times New Roman" w:eastAsia="Times New Roman" w:hAnsi="Times New Roman"/>
          <w:b/>
          <w:sz w:val="16"/>
          <w:szCs w:val="16"/>
          <w:lang w:val="ro-MD" w:eastAsia="ru-RU"/>
        </w:rPr>
      </w:pPr>
    </w:p>
    <w:p w:rsidR="00DF2BAC" w:rsidRDefault="00DF2BAC" w:rsidP="00FE25BC">
      <w:pPr>
        <w:tabs>
          <w:tab w:val="left" w:pos="3240"/>
        </w:tabs>
        <w:spacing w:after="0" w:line="276" w:lineRule="auto"/>
        <w:ind w:right="33"/>
        <w:rPr>
          <w:rFonts w:ascii="Times New Roman" w:eastAsia="Times New Roman" w:hAnsi="Times New Roman"/>
          <w:b/>
          <w:sz w:val="16"/>
          <w:szCs w:val="16"/>
          <w:lang w:val="ro-MD" w:eastAsia="ru-RU"/>
        </w:rPr>
      </w:pPr>
    </w:p>
    <w:p w:rsidR="00DF2BAC" w:rsidRPr="005E7DAE" w:rsidRDefault="00DF2BAC" w:rsidP="00FE25BC">
      <w:pPr>
        <w:tabs>
          <w:tab w:val="left" w:pos="3240"/>
        </w:tabs>
        <w:spacing w:after="0" w:line="276" w:lineRule="auto"/>
        <w:ind w:right="33"/>
        <w:rPr>
          <w:rFonts w:ascii="Times New Roman" w:eastAsia="Times New Roman" w:hAnsi="Times New Roman"/>
          <w:b/>
          <w:sz w:val="16"/>
          <w:szCs w:val="16"/>
          <w:lang w:val="ro-MD" w:eastAsia="ru-RU"/>
        </w:rPr>
      </w:pPr>
      <w:bookmarkStart w:id="0" w:name="_GoBack"/>
      <w:bookmarkEnd w:id="0"/>
    </w:p>
    <w:p w:rsidR="00FE25BC" w:rsidRPr="005E7DAE" w:rsidRDefault="00FE25BC" w:rsidP="00FE25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MD"/>
        </w:rPr>
      </w:pPr>
      <w:r w:rsidRPr="005E7DAE">
        <w:rPr>
          <w:rFonts w:ascii="Times New Roman" w:hAnsi="Times New Roman"/>
          <w:sz w:val="20"/>
          <w:szCs w:val="20"/>
          <w:lang w:val="ro-MD"/>
        </w:rPr>
        <w:t>Ex. Vasile Secrieru, consultant juridic</w:t>
      </w:r>
    </w:p>
    <w:p w:rsidR="00FE4D97" w:rsidRPr="005E7DAE" w:rsidRDefault="00FE25BC" w:rsidP="00FE25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MD"/>
        </w:rPr>
      </w:pPr>
      <w:r w:rsidRPr="005E7DAE">
        <w:rPr>
          <w:rFonts w:ascii="Times New Roman" w:hAnsi="Times New Roman"/>
          <w:sz w:val="20"/>
          <w:szCs w:val="20"/>
          <w:lang w:val="ro-MD"/>
        </w:rPr>
        <w:t>Tel. 06826978</w:t>
      </w:r>
    </w:p>
    <w:sectPr w:rsidR="00FE4D97" w:rsidRPr="005E7DAE" w:rsidSect="003B4902">
      <w:footerReference w:type="default" r:id="rId5"/>
      <w:pgSz w:w="12240" w:h="15840"/>
      <w:pgMar w:top="567" w:right="1440" w:bottom="709" w:left="1440" w:header="708" w:footer="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067191"/>
      <w:docPartObj>
        <w:docPartGallery w:val="Page Numbers (Bottom of Page)"/>
        <w:docPartUnique/>
      </w:docPartObj>
    </w:sdtPr>
    <w:sdtEndPr/>
    <w:sdtContent>
      <w:sdt>
        <w:sdtPr>
          <w:id w:val="-2125150761"/>
          <w:docPartObj>
            <w:docPartGallery w:val="Page Numbers (Top of Page)"/>
            <w:docPartUnique/>
          </w:docPartObj>
        </w:sdtPr>
        <w:sdtEndPr/>
        <w:sdtContent>
          <w:p w:rsidR="004C028D" w:rsidRDefault="00DF2BAC">
            <w:pPr>
              <w:pStyle w:val="a4"/>
              <w:jc w:val="right"/>
            </w:pPr>
            <w:r>
              <w:rPr>
                <w:lang w:val="ro-MD"/>
              </w:rPr>
              <w:t>Pagina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28D" w:rsidRDefault="00DF2BA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AA"/>
    <w:rsid w:val="0008718A"/>
    <w:rsid w:val="002E4183"/>
    <w:rsid w:val="005E7DAE"/>
    <w:rsid w:val="00927FAA"/>
    <w:rsid w:val="00963351"/>
    <w:rsid w:val="00A16DE4"/>
    <w:rsid w:val="00DF2BAC"/>
    <w:rsid w:val="00FE25B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21D7"/>
  <w15:chartTrackingRefBased/>
  <w15:docId w15:val="{892D5612-0B9C-43F5-BE7D-D34BAD1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B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5B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E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25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2023-12-06T18:20:00Z</dcterms:created>
  <dcterms:modified xsi:type="dcterms:W3CDTF">2023-12-06T19:16:00Z</dcterms:modified>
</cp:coreProperties>
</file>