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E04ED" w14:textId="77777777" w:rsidR="00F351AC" w:rsidRPr="001E363E" w:rsidRDefault="00F351AC" w:rsidP="001E363E">
      <w:pPr>
        <w:spacing w:line="276" w:lineRule="auto"/>
        <w:ind w:left="7788" w:firstLine="708"/>
        <w:jc w:val="both"/>
        <w:rPr>
          <w:lang w:val="ro-RO"/>
        </w:rPr>
      </w:pPr>
    </w:p>
    <w:p w14:paraId="3FFFDFF3" w14:textId="77777777" w:rsidR="00FA6FBA" w:rsidRPr="00A244AE" w:rsidRDefault="00FA6FBA" w:rsidP="001E363E">
      <w:pPr>
        <w:spacing w:line="276" w:lineRule="auto"/>
        <w:ind w:left="7788" w:firstLine="708"/>
        <w:jc w:val="both"/>
        <w:rPr>
          <w:lang w:val="ro-RO"/>
        </w:rPr>
      </w:pPr>
      <w:r w:rsidRPr="00A244AE">
        <w:rPr>
          <w:lang w:val="ro-RO"/>
        </w:rPr>
        <w:t xml:space="preserve">Proiect </w:t>
      </w:r>
    </w:p>
    <w:p w14:paraId="563F3DAD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532DEBDD" w14:textId="5EBD1B44" w:rsidR="00FA6FBA" w:rsidRPr="00A244AE" w:rsidRDefault="00134E29" w:rsidP="001E363E">
      <w:pPr>
        <w:spacing w:line="276" w:lineRule="auto"/>
        <w:jc w:val="center"/>
        <w:rPr>
          <w:lang w:val="ro-RO"/>
        </w:rPr>
      </w:pPr>
      <w:r w:rsidRPr="00A244AE">
        <w:rPr>
          <w:noProof/>
          <w:lang w:val="en-US" w:eastAsia="en-US"/>
        </w:rPr>
        <w:drawing>
          <wp:inline distT="0" distB="0" distL="0" distR="0" wp14:anchorId="104A8F26" wp14:editId="0AF11B9D">
            <wp:extent cx="715645" cy="914400"/>
            <wp:effectExtent l="0" t="0" r="0" b="0"/>
            <wp:docPr id="12" name="Рисунок 1" descr="stema-moldov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-moldove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E6B35" w14:textId="77777777" w:rsidR="00FA6FBA" w:rsidRPr="00A244AE" w:rsidRDefault="00FA6FBA" w:rsidP="001E363E">
      <w:pPr>
        <w:spacing w:line="276" w:lineRule="auto"/>
        <w:jc w:val="both"/>
        <w:rPr>
          <w:b/>
          <w:lang w:val="ro-RO"/>
        </w:rPr>
      </w:pPr>
    </w:p>
    <w:p w14:paraId="5B2395A3" w14:textId="77777777" w:rsidR="00FA6FBA" w:rsidRPr="00A244AE" w:rsidRDefault="00FA6FBA" w:rsidP="001E363E">
      <w:pPr>
        <w:spacing w:line="276" w:lineRule="auto"/>
        <w:jc w:val="center"/>
        <w:rPr>
          <w:b/>
          <w:lang w:val="ro-RO"/>
        </w:rPr>
      </w:pPr>
      <w:r w:rsidRPr="00A244AE">
        <w:rPr>
          <w:b/>
          <w:lang w:val="ro-RO"/>
        </w:rPr>
        <w:t>GUVERNUL REPUBLICII MOLDOVA</w:t>
      </w:r>
    </w:p>
    <w:p w14:paraId="7F306FB1" w14:textId="77777777" w:rsidR="00FA6FBA" w:rsidRPr="00A244AE" w:rsidRDefault="00FA6FBA" w:rsidP="001E363E">
      <w:pPr>
        <w:spacing w:line="276" w:lineRule="auto"/>
        <w:jc w:val="center"/>
        <w:rPr>
          <w:b/>
          <w:lang w:val="ro-RO"/>
        </w:rPr>
      </w:pPr>
    </w:p>
    <w:p w14:paraId="4DCD64A0" w14:textId="77777777" w:rsidR="00EB6454" w:rsidRPr="00A244AE" w:rsidRDefault="00FA6FBA" w:rsidP="001E363E">
      <w:pPr>
        <w:spacing w:line="276" w:lineRule="auto"/>
        <w:jc w:val="center"/>
        <w:rPr>
          <w:lang w:val="ro-RO"/>
        </w:rPr>
      </w:pPr>
      <w:r w:rsidRPr="00A244AE">
        <w:rPr>
          <w:b/>
          <w:lang w:val="ro-RO"/>
        </w:rPr>
        <w:t>HOTĂRÎRE</w:t>
      </w:r>
      <w:r w:rsidR="00EB6454" w:rsidRPr="00A244AE">
        <w:rPr>
          <w:b/>
          <w:lang w:val="ro-RO"/>
        </w:rPr>
        <w:t xml:space="preserve"> n</w:t>
      </w:r>
      <w:r w:rsidRPr="00A244AE">
        <w:rPr>
          <w:lang w:val="ro-RO"/>
        </w:rPr>
        <w:t xml:space="preserve">r. __________ </w:t>
      </w:r>
    </w:p>
    <w:p w14:paraId="5F5C288E" w14:textId="5B9A2BA2" w:rsidR="00FA6FBA" w:rsidRPr="00A244AE" w:rsidRDefault="00FA6FBA" w:rsidP="00EB6454">
      <w:pPr>
        <w:spacing w:line="276" w:lineRule="auto"/>
        <w:jc w:val="center"/>
        <w:rPr>
          <w:lang w:val="ro-RO"/>
        </w:rPr>
      </w:pPr>
      <w:r w:rsidRPr="00A244AE">
        <w:rPr>
          <w:lang w:val="ro-RO"/>
        </w:rPr>
        <w:t>din _____________</w:t>
      </w:r>
    </w:p>
    <w:p w14:paraId="6D8CC226" w14:textId="51228D73" w:rsidR="00FA6FBA" w:rsidRPr="00A244AE" w:rsidRDefault="00EB6454" w:rsidP="001E363E">
      <w:pPr>
        <w:spacing w:line="276" w:lineRule="auto"/>
        <w:jc w:val="center"/>
        <w:rPr>
          <w:lang w:val="ro-RO"/>
        </w:rPr>
      </w:pPr>
      <w:r w:rsidRPr="00A244AE">
        <w:rPr>
          <w:lang w:val="ro-RO"/>
        </w:rPr>
        <w:t>Chișinău</w:t>
      </w:r>
    </w:p>
    <w:p w14:paraId="586AC6E6" w14:textId="77777777" w:rsidR="00E004A5" w:rsidRPr="00A244AE" w:rsidRDefault="00E004A5" w:rsidP="00E004A5">
      <w:pPr>
        <w:spacing w:line="276" w:lineRule="auto"/>
        <w:jc w:val="center"/>
        <w:rPr>
          <w:lang w:val="ro-RO"/>
        </w:rPr>
      </w:pPr>
    </w:p>
    <w:p w14:paraId="4C012197" w14:textId="77777777" w:rsidR="00EE1729" w:rsidRPr="00A244AE" w:rsidRDefault="006D4E03" w:rsidP="001E363E">
      <w:pPr>
        <w:spacing w:line="276" w:lineRule="auto"/>
        <w:jc w:val="center"/>
        <w:rPr>
          <w:b/>
          <w:lang w:val="ro-RO"/>
        </w:rPr>
      </w:pPr>
      <w:r w:rsidRPr="00A244AE">
        <w:rPr>
          <w:b/>
          <w:lang w:val="ro-RO"/>
        </w:rPr>
        <w:t xml:space="preserve">cu privire la </w:t>
      </w:r>
      <w:r w:rsidR="00EE1729" w:rsidRPr="00A244AE">
        <w:rPr>
          <w:b/>
          <w:lang w:val="ro-RO"/>
        </w:rPr>
        <w:t xml:space="preserve">aprobarea Metodologiei </w:t>
      </w:r>
      <w:r w:rsidR="002F1D91" w:rsidRPr="00A244AE">
        <w:rPr>
          <w:b/>
          <w:lang w:val="ro-RO"/>
        </w:rPr>
        <w:t>pentru determinarea contribuțiilor ce urmează a fi achitate de părțile obligate</w:t>
      </w:r>
    </w:p>
    <w:p w14:paraId="62728C5F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5F8015A4" w14:textId="2441AC24" w:rsidR="00FA6FBA" w:rsidRPr="00A244AE" w:rsidRDefault="00FA6FBA" w:rsidP="009931CE">
      <w:pPr>
        <w:spacing w:line="276" w:lineRule="auto"/>
        <w:jc w:val="both"/>
        <w:rPr>
          <w:lang w:val="ro-RO"/>
        </w:rPr>
      </w:pPr>
      <w:r w:rsidRPr="00A244AE">
        <w:rPr>
          <w:lang w:val="ro-RO"/>
        </w:rPr>
        <w:t xml:space="preserve">În temeiul art. </w:t>
      </w:r>
      <w:r w:rsidR="002F1D91" w:rsidRPr="00A244AE">
        <w:rPr>
          <w:lang w:val="ro-RO"/>
        </w:rPr>
        <w:t>8</w:t>
      </w:r>
      <w:r w:rsidRPr="00A244AE">
        <w:rPr>
          <w:lang w:val="ro-RO"/>
        </w:rPr>
        <w:t>, alin. (</w:t>
      </w:r>
      <w:r w:rsidR="002F1D91" w:rsidRPr="00A244AE">
        <w:rPr>
          <w:lang w:val="ro-RO"/>
        </w:rPr>
        <w:t>9</w:t>
      </w:r>
      <w:r w:rsidRPr="00A244AE">
        <w:rPr>
          <w:lang w:val="ro-RO"/>
        </w:rPr>
        <w:t xml:space="preserve">) al Legii nr. </w:t>
      </w:r>
      <w:r w:rsidR="002F1D91" w:rsidRPr="00A244AE">
        <w:rPr>
          <w:lang w:val="ro-RO"/>
        </w:rPr>
        <w:t>139</w:t>
      </w:r>
      <w:r w:rsidR="009931CE" w:rsidRPr="00A244AE">
        <w:rPr>
          <w:lang w:val="ro-RO"/>
        </w:rPr>
        <w:t>/</w:t>
      </w:r>
      <w:r w:rsidR="002F1D91" w:rsidRPr="00A244AE">
        <w:rPr>
          <w:lang w:val="ro-RO"/>
        </w:rPr>
        <w:t xml:space="preserve">2018 cu </w:t>
      </w:r>
      <w:r w:rsidR="009931CE" w:rsidRPr="00A244AE">
        <w:rPr>
          <w:lang w:val="ro-RO"/>
        </w:rPr>
        <w:t xml:space="preserve">privire la eficiența energetică, </w:t>
      </w:r>
      <w:r w:rsidRPr="00A244AE">
        <w:rPr>
          <w:lang w:val="ro-RO"/>
        </w:rPr>
        <w:t>Guvernul HOTĂRĂŞTE,</w:t>
      </w:r>
    </w:p>
    <w:p w14:paraId="4FCB1B74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3298D6DD" w14:textId="43669EBC" w:rsidR="00FA6FBA" w:rsidRPr="00A244AE" w:rsidRDefault="00FA6FBA" w:rsidP="00FE536E">
      <w:pPr>
        <w:numPr>
          <w:ilvl w:val="0"/>
          <w:numId w:val="2"/>
        </w:numPr>
        <w:spacing w:line="276" w:lineRule="auto"/>
        <w:jc w:val="both"/>
        <w:rPr>
          <w:lang w:val="ro-RO"/>
        </w:rPr>
      </w:pPr>
      <w:r w:rsidRPr="00A244AE">
        <w:rPr>
          <w:bCs/>
          <w:lang w:val="ro-RO"/>
        </w:rPr>
        <w:t xml:space="preserve">Se aprobă </w:t>
      </w:r>
      <w:r w:rsidR="00EE1729" w:rsidRPr="00A244AE">
        <w:rPr>
          <w:lang w:val="ro-RO"/>
        </w:rPr>
        <w:t xml:space="preserve">Metodologia </w:t>
      </w:r>
      <w:r w:rsidR="002F1D91" w:rsidRPr="00A244AE">
        <w:rPr>
          <w:lang w:val="ro-RO"/>
        </w:rPr>
        <w:t>pentru determinarea contribuțiilor ce urmează a fi</w:t>
      </w:r>
      <w:r w:rsidR="00BF096F" w:rsidRPr="00A244AE">
        <w:rPr>
          <w:lang w:val="ro-RO"/>
        </w:rPr>
        <w:t xml:space="preserve"> </w:t>
      </w:r>
      <w:r w:rsidR="002F1D91" w:rsidRPr="00A244AE">
        <w:rPr>
          <w:lang w:val="ro-RO"/>
        </w:rPr>
        <w:t>achitate de părțile obligate</w:t>
      </w:r>
      <w:r w:rsidR="00EE1729" w:rsidRPr="00A244AE">
        <w:rPr>
          <w:lang w:val="ro-RO"/>
        </w:rPr>
        <w:t xml:space="preserve"> </w:t>
      </w:r>
      <w:r w:rsidRPr="00A244AE">
        <w:rPr>
          <w:lang w:val="ro-RO"/>
        </w:rPr>
        <w:t>(se anexează)</w:t>
      </w:r>
      <w:r w:rsidR="00AE7F5A" w:rsidRPr="00A244AE">
        <w:rPr>
          <w:lang w:val="ro-RO"/>
        </w:rPr>
        <w:t>.</w:t>
      </w:r>
    </w:p>
    <w:p w14:paraId="041A8343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5C0FFB92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6C32E9CD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78404E89" w14:textId="19812459" w:rsidR="00FA6FBA" w:rsidRPr="00A244AE" w:rsidRDefault="00FA6FBA" w:rsidP="001E363E">
      <w:pPr>
        <w:spacing w:line="276" w:lineRule="auto"/>
        <w:jc w:val="both"/>
        <w:rPr>
          <w:b/>
          <w:lang w:val="ro-RO"/>
        </w:rPr>
      </w:pPr>
      <w:r w:rsidRPr="00A244AE">
        <w:rPr>
          <w:b/>
          <w:lang w:val="ro-RO"/>
        </w:rPr>
        <w:t xml:space="preserve">PRIM-MINISTRU </w:t>
      </w:r>
      <w:r w:rsidRPr="00A244AE">
        <w:rPr>
          <w:b/>
          <w:lang w:val="ro-RO"/>
        </w:rPr>
        <w:tab/>
      </w:r>
      <w:r w:rsidRPr="00A244AE">
        <w:rPr>
          <w:b/>
          <w:lang w:val="ro-RO"/>
        </w:rPr>
        <w:tab/>
      </w:r>
      <w:r w:rsidRPr="00A244AE">
        <w:rPr>
          <w:b/>
          <w:lang w:val="ro-RO"/>
        </w:rPr>
        <w:tab/>
      </w:r>
      <w:r w:rsidRPr="00A244AE">
        <w:rPr>
          <w:b/>
          <w:lang w:val="ro-RO"/>
        </w:rPr>
        <w:tab/>
      </w:r>
      <w:r w:rsidRPr="00A244AE">
        <w:rPr>
          <w:b/>
          <w:lang w:val="ro-RO"/>
        </w:rPr>
        <w:tab/>
      </w:r>
      <w:r w:rsidRPr="00A244AE">
        <w:rPr>
          <w:b/>
          <w:lang w:val="ro-RO"/>
        </w:rPr>
        <w:tab/>
      </w:r>
      <w:r w:rsidRPr="00A244AE">
        <w:rPr>
          <w:b/>
          <w:lang w:val="ro-RO"/>
        </w:rPr>
        <w:tab/>
      </w:r>
      <w:r w:rsidR="00BF096F" w:rsidRPr="00A244AE">
        <w:rPr>
          <w:b/>
          <w:lang w:val="ro-RO"/>
        </w:rPr>
        <w:tab/>
      </w:r>
      <w:r w:rsidR="00C702D6" w:rsidRPr="00A244AE">
        <w:rPr>
          <w:b/>
          <w:lang w:val="ro-RO"/>
        </w:rPr>
        <w:t>Dorin RECEAN</w:t>
      </w:r>
    </w:p>
    <w:p w14:paraId="5611E1B8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7CEF7E49" w14:textId="77777777" w:rsidR="00F171A9" w:rsidRPr="00A244AE" w:rsidRDefault="00F171A9" w:rsidP="001E363E">
      <w:pPr>
        <w:spacing w:line="276" w:lineRule="auto"/>
        <w:jc w:val="both"/>
        <w:rPr>
          <w:lang w:val="ro-RO"/>
        </w:rPr>
      </w:pPr>
    </w:p>
    <w:p w14:paraId="070D24BE" w14:textId="0A5075F7" w:rsidR="00FA6FBA" w:rsidRPr="00A244AE" w:rsidRDefault="00FA6FBA" w:rsidP="001E363E">
      <w:pPr>
        <w:spacing w:line="276" w:lineRule="auto"/>
        <w:jc w:val="both"/>
        <w:rPr>
          <w:lang w:val="ro-RO"/>
        </w:rPr>
      </w:pPr>
      <w:r w:rsidRPr="00A244AE">
        <w:rPr>
          <w:lang w:val="ro-RO"/>
        </w:rPr>
        <w:t>Contrasemnează:</w:t>
      </w:r>
    </w:p>
    <w:p w14:paraId="1E4738C9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2D5A2D7E" w14:textId="2DDC7AC0" w:rsidR="00FA6FBA" w:rsidRPr="00A244AE" w:rsidRDefault="00FA6FBA" w:rsidP="001E363E">
      <w:pPr>
        <w:spacing w:line="276" w:lineRule="auto"/>
        <w:jc w:val="both"/>
        <w:rPr>
          <w:lang w:val="ro-RO"/>
        </w:rPr>
      </w:pPr>
      <w:r w:rsidRPr="00A244AE">
        <w:rPr>
          <w:lang w:val="ro-RO"/>
        </w:rPr>
        <w:t xml:space="preserve">Ministrul </w:t>
      </w:r>
      <w:r w:rsidR="00C702D6" w:rsidRPr="00A244AE">
        <w:rPr>
          <w:lang w:val="ro-RO"/>
        </w:rPr>
        <w:t>Energiei</w:t>
      </w:r>
      <w:r w:rsidR="00782A32" w:rsidRPr="00A244AE">
        <w:rPr>
          <w:lang w:val="ro-RO"/>
        </w:rPr>
        <w:t xml:space="preserve"> </w:t>
      </w:r>
      <w:r w:rsidR="005D2FF4" w:rsidRPr="00A244AE">
        <w:rPr>
          <w:lang w:val="ro-RO"/>
        </w:rPr>
        <w:tab/>
      </w:r>
      <w:r w:rsidR="005D2FF4" w:rsidRPr="00A244AE">
        <w:rPr>
          <w:lang w:val="ro-RO"/>
        </w:rPr>
        <w:tab/>
      </w:r>
      <w:r w:rsidR="005D2FF4" w:rsidRPr="00A244AE">
        <w:rPr>
          <w:lang w:val="ro-RO"/>
        </w:rPr>
        <w:tab/>
      </w:r>
      <w:r w:rsidR="005D2FF4" w:rsidRPr="00A244AE">
        <w:rPr>
          <w:lang w:val="ro-RO"/>
        </w:rPr>
        <w:tab/>
      </w:r>
      <w:r w:rsidR="005D2FF4" w:rsidRPr="00A244AE">
        <w:rPr>
          <w:lang w:val="ro-RO"/>
        </w:rPr>
        <w:tab/>
      </w:r>
      <w:r w:rsidR="005D2FF4" w:rsidRPr="00A244AE">
        <w:rPr>
          <w:lang w:val="ro-RO"/>
        </w:rPr>
        <w:tab/>
      </w:r>
      <w:r w:rsidR="005D2FF4" w:rsidRPr="00A244AE">
        <w:rPr>
          <w:lang w:val="ro-RO"/>
        </w:rPr>
        <w:tab/>
      </w:r>
      <w:r w:rsidR="005D2FF4" w:rsidRPr="00A244AE">
        <w:rPr>
          <w:lang w:val="ro-RO"/>
        </w:rPr>
        <w:tab/>
      </w:r>
      <w:r w:rsidR="009D740D" w:rsidRPr="00A244AE">
        <w:rPr>
          <w:lang w:val="ro-RO"/>
        </w:rPr>
        <w:t>Victor PARLICOV</w:t>
      </w:r>
    </w:p>
    <w:p w14:paraId="779016A2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</w:p>
    <w:p w14:paraId="6DC13936" w14:textId="77777777" w:rsidR="00FA6FBA" w:rsidRPr="00A244AE" w:rsidRDefault="00FA6FBA" w:rsidP="001E363E">
      <w:pPr>
        <w:spacing w:line="276" w:lineRule="auto"/>
        <w:jc w:val="both"/>
        <w:rPr>
          <w:lang w:val="ro-RO"/>
        </w:rPr>
      </w:pPr>
      <w:r w:rsidRPr="00A244AE">
        <w:rPr>
          <w:lang w:val="ro-RO"/>
        </w:rPr>
        <w:tab/>
      </w:r>
    </w:p>
    <w:p w14:paraId="28BCD045" w14:textId="77777777" w:rsidR="005217F7" w:rsidRPr="00A244AE" w:rsidRDefault="005217F7" w:rsidP="001E363E">
      <w:pPr>
        <w:spacing w:line="276" w:lineRule="auto"/>
        <w:jc w:val="both"/>
        <w:rPr>
          <w:lang w:val="ro-RO"/>
        </w:rPr>
      </w:pPr>
    </w:p>
    <w:p w14:paraId="6E8EA016" w14:textId="77777777" w:rsidR="005217F7" w:rsidRPr="00A244AE" w:rsidRDefault="005217F7" w:rsidP="001E363E">
      <w:pPr>
        <w:spacing w:line="276" w:lineRule="auto"/>
        <w:jc w:val="both"/>
        <w:rPr>
          <w:lang w:val="ro-RO"/>
        </w:rPr>
      </w:pPr>
    </w:p>
    <w:p w14:paraId="70A04E98" w14:textId="77777777" w:rsidR="005217F7" w:rsidRPr="00A244AE" w:rsidRDefault="005217F7" w:rsidP="001E363E">
      <w:pPr>
        <w:spacing w:line="276" w:lineRule="auto"/>
        <w:jc w:val="both"/>
        <w:rPr>
          <w:lang w:val="ro-RO"/>
        </w:rPr>
      </w:pPr>
    </w:p>
    <w:p w14:paraId="50F41EEB" w14:textId="77777777" w:rsidR="005217F7" w:rsidRPr="00A244AE" w:rsidRDefault="005217F7" w:rsidP="001E363E">
      <w:pPr>
        <w:spacing w:line="276" w:lineRule="auto"/>
        <w:jc w:val="both"/>
        <w:rPr>
          <w:lang w:val="ro-RO"/>
        </w:rPr>
      </w:pPr>
    </w:p>
    <w:p w14:paraId="40530765" w14:textId="77777777" w:rsidR="005217F7" w:rsidRPr="00A244AE" w:rsidRDefault="005217F7" w:rsidP="001E363E">
      <w:pPr>
        <w:spacing w:line="276" w:lineRule="auto"/>
        <w:jc w:val="both"/>
        <w:rPr>
          <w:lang w:val="ro-RO"/>
        </w:rPr>
      </w:pPr>
    </w:p>
    <w:p w14:paraId="4C4F885B" w14:textId="77777777" w:rsidR="005217F7" w:rsidRPr="00A244AE" w:rsidRDefault="005217F7" w:rsidP="001E363E">
      <w:pPr>
        <w:spacing w:line="276" w:lineRule="auto"/>
        <w:jc w:val="both"/>
        <w:rPr>
          <w:lang w:val="ro-RO"/>
        </w:rPr>
      </w:pPr>
    </w:p>
    <w:p w14:paraId="222EDCA8" w14:textId="77777777" w:rsidR="005217F7" w:rsidRPr="00A244AE" w:rsidRDefault="005217F7" w:rsidP="001E363E">
      <w:pPr>
        <w:spacing w:line="276" w:lineRule="auto"/>
        <w:jc w:val="both"/>
        <w:rPr>
          <w:lang w:val="ro-RO"/>
        </w:rPr>
      </w:pPr>
    </w:p>
    <w:p w14:paraId="2EFC937D" w14:textId="77777777" w:rsidR="00F15971" w:rsidRPr="00A244AE" w:rsidRDefault="00F15971" w:rsidP="001E363E">
      <w:pPr>
        <w:spacing w:line="276" w:lineRule="auto"/>
        <w:jc w:val="both"/>
        <w:rPr>
          <w:lang w:val="ro-RO"/>
        </w:rPr>
      </w:pPr>
    </w:p>
    <w:p w14:paraId="2AB2EDDD" w14:textId="77777777" w:rsidR="00F15971" w:rsidRPr="00A244AE" w:rsidRDefault="00F15971" w:rsidP="001E363E">
      <w:pPr>
        <w:spacing w:line="276" w:lineRule="auto"/>
        <w:jc w:val="both"/>
        <w:rPr>
          <w:lang w:val="ro-RO"/>
        </w:rPr>
      </w:pPr>
    </w:p>
    <w:p w14:paraId="2D5C0DC1" w14:textId="77777777" w:rsidR="00F15971" w:rsidRPr="00A244AE" w:rsidRDefault="00F15971" w:rsidP="001E363E">
      <w:pPr>
        <w:spacing w:line="276" w:lineRule="auto"/>
        <w:jc w:val="both"/>
        <w:rPr>
          <w:lang w:val="ro-RO"/>
        </w:rPr>
      </w:pPr>
    </w:p>
    <w:p w14:paraId="3931CAC5" w14:textId="77777777" w:rsidR="00700434" w:rsidRDefault="00F26F80">
      <w:pPr>
        <w:spacing w:line="276" w:lineRule="auto"/>
        <w:jc w:val="right"/>
        <w:rPr>
          <w:lang w:val="ro-RO"/>
        </w:rPr>
      </w:pPr>
      <w:r w:rsidRPr="00A244AE">
        <w:rPr>
          <w:lang w:val="ro-RO"/>
        </w:rPr>
        <w:t xml:space="preserve">  </w:t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  <w:r w:rsidR="005217F7" w:rsidRPr="00A244AE">
        <w:rPr>
          <w:lang w:val="ro-RO"/>
        </w:rPr>
        <w:tab/>
      </w:r>
    </w:p>
    <w:p w14:paraId="242500D6" w14:textId="77777777" w:rsidR="00700434" w:rsidRDefault="00700434">
      <w:pPr>
        <w:spacing w:line="276" w:lineRule="auto"/>
        <w:jc w:val="right"/>
        <w:rPr>
          <w:lang w:val="ro-RO"/>
        </w:rPr>
      </w:pPr>
    </w:p>
    <w:p w14:paraId="5187084F" w14:textId="77777777" w:rsidR="00700434" w:rsidRDefault="00700434">
      <w:pPr>
        <w:spacing w:line="276" w:lineRule="auto"/>
        <w:jc w:val="right"/>
        <w:rPr>
          <w:lang w:val="ro-RO"/>
        </w:rPr>
      </w:pPr>
    </w:p>
    <w:p w14:paraId="704201EB" w14:textId="3A9DC478" w:rsidR="00524555" w:rsidRPr="00A244AE" w:rsidRDefault="000E2B14">
      <w:pPr>
        <w:spacing w:line="276" w:lineRule="auto"/>
        <w:jc w:val="right"/>
        <w:rPr>
          <w:lang w:val="ro-RO"/>
        </w:rPr>
      </w:pPr>
      <w:r w:rsidRPr="00A244AE">
        <w:rPr>
          <w:lang w:val="ro-RO"/>
        </w:rPr>
        <w:lastRenderedPageBreak/>
        <w:t xml:space="preserve">Aprobată prin </w:t>
      </w:r>
      <w:r w:rsidR="00524555" w:rsidRPr="00A244AE">
        <w:rPr>
          <w:lang w:val="ro-RO"/>
        </w:rPr>
        <w:t xml:space="preserve">Hotărârea Guvernului </w:t>
      </w:r>
    </w:p>
    <w:p w14:paraId="2F50781A" w14:textId="77777777" w:rsidR="00524555" w:rsidRPr="00A244AE" w:rsidRDefault="00524555">
      <w:pPr>
        <w:spacing w:line="276" w:lineRule="auto"/>
        <w:jc w:val="right"/>
        <w:rPr>
          <w:lang w:val="ro-RO"/>
        </w:rPr>
      </w:pPr>
      <w:r w:rsidRPr="00A244AE">
        <w:rPr>
          <w:lang w:val="ro-RO"/>
        </w:rPr>
        <w:t xml:space="preserve">nr. __ din _________________ </w:t>
      </w:r>
    </w:p>
    <w:p w14:paraId="01F46CB7" w14:textId="7E855929" w:rsidR="00D744F1" w:rsidRPr="00A244AE" w:rsidRDefault="00D744F1" w:rsidP="00A07266">
      <w:pPr>
        <w:spacing w:line="276" w:lineRule="auto"/>
        <w:rPr>
          <w:bCs/>
          <w:color w:val="000000"/>
          <w:lang w:val="ro-RO" w:eastAsia="en-US"/>
        </w:rPr>
      </w:pPr>
      <w:bookmarkStart w:id="0" w:name="_Hlk527636862"/>
    </w:p>
    <w:p w14:paraId="18FB5750" w14:textId="77777777" w:rsidR="00D744F1" w:rsidRPr="00A244AE" w:rsidRDefault="00D744F1" w:rsidP="001E363E">
      <w:pPr>
        <w:spacing w:before="240" w:line="276" w:lineRule="auto"/>
        <w:jc w:val="center"/>
        <w:rPr>
          <w:b/>
          <w:bCs/>
          <w:lang w:val="ro-RO" w:eastAsia="en-US"/>
        </w:rPr>
      </w:pPr>
      <w:r w:rsidRPr="00A244AE">
        <w:rPr>
          <w:b/>
          <w:bCs/>
          <w:lang w:val="ro-RO" w:eastAsia="en-US"/>
        </w:rPr>
        <w:t>METODOLOGIA</w:t>
      </w:r>
    </w:p>
    <w:p w14:paraId="7D515FB1" w14:textId="5793A332" w:rsidR="00D744F1" w:rsidRPr="00A244AE" w:rsidRDefault="00D744F1" w:rsidP="001E363E">
      <w:pPr>
        <w:spacing w:line="276" w:lineRule="auto"/>
        <w:jc w:val="center"/>
        <w:rPr>
          <w:b/>
          <w:bCs/>
          <w:color w:val="000000"/>
          <w:lang w:val="ro-RO" w:eastAsia="en-US"/>
        </w:rPr>
      </w:pPr>
      <w:r w:rsidRPr="00A244AE">
        <w:rPr>
          <w:b/>
          <w:bCs/>
          <w:color w:val="000000"/>
          <w:lang w:val="ro-RO" w:eastAsia="en-US"/>
        </w:rPr>
        <w:t>pentru</w:t>
      </w:r>
      <w:r w:rsidR="00F26F80" w:rsidRPr="00A244AE">
        <w:rPr>
          <w:b/>
          <w:bCs/>
          <w:color w:val="000000"/>
          <w:lang w:val="ro-RO" w:eastAsia="en-US"/>
        </w:rPr>
        <w:t xml:space="preserve"> </w:t>
      </w:r>
      <w:r w:rsidRPr="00A244AE">
        <w:rPr>
          <w:b/>
          <w:bCs/>
          <w:color w:val="000000"/>
          <w:lang w:val="ro-RO" w:eastAsia="en-US"/>
        </w:rPr>
        <w:t>determinare</w:t>
      </w:r>
      <w:bookmarkStart w:id="1" w:name="_Hlk523821162"/>
      <w:r w:rsidRPr="00A244AE">
        <w:rPr>
          <w:b/>
          <w:bCs/>
          <w:color w:val="000000"/>
          <w:lang w:val="ro-RO" w:eastAsia="en-US"/>
        </w:rPr>
        <w:t>a contribuțiilor ce urmează a fi achitate de părțile obligate</w:t>
      </w:r>
      <w:bookmarkEnd w:id="1"/>
    </w:p>
    <w:p w14:paraId="0A4976B6" w14:textId="77777777" w:rsidR="00982E1F" w:rsidRPr="00A244AE" w:rsidRDefault="00982E1F" w:rsidP="001E363E">
      <w:pPr>
        <w:spacing w:line="276" w:lineRule="auto"/>
        <w:jc w:val="center"/>
        <w:rPr>
          <w:b/>
          <w:bCs/>
          <w:color w:val="000000"/>
          <w:lang w:val="ro-RO" w:eastAsia="en-US"/>
        </w:rPr>
      </w:pPr>
    </w:p>
    <w:p w14:paraId="6A9AFF01" w14:textId="77777777" w:rsidR="007253A9" w:rsidRPr="00A244AE" w:rsidRDefault="007253A9" w:rsidP="00982E1F">
      <w:pPr>
        <w:pStyle w:val="a3"/>
        <w:tabs>
          <w:tab w:val="left" w:pos="0"/>
        </w:tabs>
        <w:spacing w:line="276" w:lineRule="auto"/>
        <w:ind w:left="0"/>
        <w:jc w:val="center"/>
        <w:rPr>
          <w:b/>
          <w:bCs/>
          <w:lang w:val="ro-RO"/>
        </w:rPr>
      </w:pPr>
      <w:r w:rsidRPr="00A244AE">
        <w:rPr>
          <w:b/>
          <w:bCs/>
          <w:lang w:val="ro-RO"/>
        </w:rPr>
        <w:t>Secțiunea 1</w:t>
      </w:r>
    </w:p>
    <w:p w14:paraId="5735C9CA" w14:textId="2E9BECDD" w:rsidR="007253A9" w:rsidRPr="00A244AE" w:rsidRDefault="007253A9" w:rsidP="00982E1F">
      <w:pPr>
        <w:pStyle w:val="a3"/>
        <w:tabs>
          <w:tab w:val="left" w:pos="0"/>
        </w:tabs>
        <w:spacing w:after="120" w:line="276" w:lineRule="auto"/>
        <w:ind w:left="0"/>
        <w:jc w:val="center"/>
        <w:rPr>
          <w:b/>
          <w:bCs/>
          <w:lang w:val="ro-RO"/>
        </w:rPr>
      </w:pPr>
      <w:r w:rsidRPr="00A244AE">
        <w:rPr>
          <w:b/>
          <w:bCs/>
          <w:lang w:val="ro-RO"/>
        </w:rPr>
        <w:t>DISPOZIŢII GENERALE</w:t>
      </w:r>
    </w:p>
    <w:p w14:paraId="46E3DCD7" w14:textId="77777777" w:rsidR="00982E1F" w:rsidRPr="00A244AE" w:rsidRDefault="00982E1F" w:rsidP="00982E1F">
      <w:pPr>
        <w:pStyle w:val="a3"/>
        <w:tabs>
          <w:tab w:val="left" w:pos="0"/>
        </w:tabs>
        <w:spacing w:after="120" w:line="276" w:lineRule="auto"/>
        <w:ind w:left="0"/>
        <w:jc w:val="center"/>
        <w:rPr>
          <w:b/>
          <w:bCs/>
          <w:lang w:val="ro-RO"/>
        </w:rPr>
      </w:pPr>
    </w:p>
    <w:p w14:paraId="2A843359" w14:textId="131C25EA" w:rsidR="00826425" w:rsidRPr="00A244AE" w:rsidRDefault="00D744F1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 w:eastAsia="en-US"/>
        </w:rPr>
      </w:pPr>
      <w:r w:rsidRPr="00A244AE">
        <w:rPr>
          <w:lang w:val="ro-RO" w:eastAsia="en-US"/>
        </w:rPr>
        <w:t xml:space="preserve">Metodologia </w:t>
      </w:r>
      <w:r w:rsidRPr="00A244AE">
        <w:rPr>
          <w:color w:val="000000"/>
          <w:lang w:val="ro-RO" w:eastAsia="en-US"/>
        </w:rPr>
        <w:t xml:space="preserve">pentru determinarea contribuțiilor ce urmează a fi achitate de părțile obligate (în continuare </w:t>
      </w:r>
      <w:r w:rsidR="000E2B14" w:rsidRPr="00A244AE">
        <w:rPr>
          <w:color w:val="000000"/>
          <w:lang w:val="ro-RO" w:eastAsia="en-US"/>
        </w:rPr>
        <w:t>-</w:t>
      </w:r>
      <w:r w:rsidR="00FC6354" w:rsidRPr="00A244AE">
        <w:rPr>
          <w:color w:val="000000"/>
          <w:lang w:val="ro-RO" w:eastAsia="en-US"/>
        </w:rPr>
        <w:t xml:space="preserve"> </w:t>
      </w:r>
      <w:r w:rsidR="00FC6354" w:rsidRPr="00A244AE">
        <w:rPr>
          <w:i/>
          <w:iCs/>
          <w:color w:val="000000"/>
          <w:lang w:val="ro-RO" w:eastAsia="en-US"/>
        </w:rPr>
        <w:t>Metodologia</w:t>
      </w:r>
      <w:r w:rsidRPr="00A244AE">
        <w:rPr>
          <w:color w:val="000000"/>
          <w:lang w:val="ro-RO" w:eastAsia="en-US"/>
        </w:rPr>
        <w:t>)</w:t>
      </w:r>
      <w:r w:rsidRPr="00A244AE">
        <w:rPr>
          <w:lang w:val="ro-RO" w:eastAsia="en-US"/>
        </w:rPr>
        <w:t xml:space="preserve"> are scop</w:t>
      </w:r>
      <w:r w:rsidR="005B502A" w:rsidRPr="00A244AE">
        <w:rPr>
          <w:lang w:val="ro-RO" w:eastAsia="en-US"/>
        </w:rPr>
        <w:t>ul</w:t>
      </w:r>
      <w:r w:rsidR="00B61D43" w:rsidRPr="00A244AE">
        <w:rPr>
          <w:lang w:val="ro-RO" w:eastAsia="en-US"/>
        </w:rPr>
        <w:t xml:space="preserve"> de</w:t>
      </w:r>
      <w:r w:rsidRPr="00A244AE">
        <w:rPr>
          <w:lang w:val="ro-RO" w:eastAsia="en-US"/>
        </w:rPr>
        <w:t xml:space="preserve"> creare</w:t>
      </w:r>
      <w:r w:rsidR="00B61D43" w:rsidRPr="00A244AE">
        <w:rPr>
          <w:lang w:val="ro-RO" w:eastAsia="en-US"/>
        </w:rPr>
        <w:t xml:space="preserve"> a</w:t>
      </w:r>
      <w:r w:rsidRPr="00A244AE">
        <w:rPr>
          <w:lang w:val="ro-RO" w:eastAsia="en-US"/>
        </w:rPr>
        <w:t xml:space="preserve"> mecanismului unic de determinare a contribuțiilor anuale</w:t>
      </w:r>
      <w:r w:rsidR="00CA7983" w:rsidRPr="00A244AE">
        <w:rPr>
          <w:lang w:val="ro-RO" w:eastAsia="en-US"/>
        </w:rPr>
        <w:t>,</w:t>
      </w:r>
      <w:r w:rsidRPr="00A244AE">
        <w:rPr>
          <w:lang w:val="ro-RO" w:eastAsia="en-US"/>
        </w:rPr>
        <w:t xml:space="preserve"> </w:t>
      </w:r>
      <w:r w:rsidR="0057057F" w:rsidRPr="00A244AE">
        <w:rPr>
          <w:lang w:val="ro-RO" w:eastAsia="en-US"/>
        </w:rPr>
        <w:t>care urmează a fi achitate</w:t>
      </w:r>
      <w:r w:rsidR="00BE413E" w:rsidRPr="00A244AE">
        <w:rPr>
          <w:lang w:val="ro-RO" w:eastAsia="en-US"/>
        </w:rPr>
        <w:t xml:space="preserve"> de părțile obligate pentru</w:t>
      </w:r>
      <w:r w:rsidR="00F404A1" w:rsidRPr="00A244AE">
        <w:rPr>
          <w:lang w:val="ro-RO" w:eastAsia="en-US"/>
        </w:rPr>
        <w:t xml:space="preserve"> implementarea </w:t>
      </w:r>
      <w:r w:rsidRPr="00A244AE">
        <w:rPr>
          <w:lang w:val="ro-RO" w:eastAsia="en-US"/>
        </w:rPr>
        <w:t>măsurilor de eficiență en</w:t>
      </w:r>
      <w:r w:rsidR="00B86932" w:rsidRPr="00A244AE">
        <w:rPr>
          <w:lang w:val="ro-RO" w:eastAsia="en-US"/>
        </w:rPr>
        <w:t xml:space="preserve">ergetică </w:t>
      </w:r>
      <w:r w:rsidR="0078240E" w:rsidRPr="00A244AE">
        <w:rPr>
          <w:lang w:val="ro-RO" w:eastAsia="en-US"/>
        </w:rPr>
        <w:t xml:space="preserve">și </w:t>
      </w:r>
      <w:r w:rsidR="0021243B" w:rsidRPr="00A244AE">
        <w:rPr>
          <w:lang w:val="ro-RO" w:eastAsia="en-US"/>
        </w:rPr>
        <w:t xml:space="preserve">de </w:t>
      </w:r>
      <w:r w:rsidR="0078240E" w:rsidRPr="00A244AE">
        <w:rPr>
          <w:lang w:val="ro-RO" w:eastAsia="en-US"/>
        </w:rPr>
        <w:t>valorificare</w:t>
      </w:r>
      <w:r w:rsidR="00C769B3" w:rsidRPr="00A244AE">
        <w:rPr>
          <w:lang w:val="ro-RO" w:eastAsia="en-US"/>
        </w:rPr>
        <w:t xml:space="preserve"> a surselor regenerabile de energie</w:t>
      </w:r>
      <w:r w:rsidR="0078240E" w:rsidRPr="00A244AE">
        <w:rPr>
          <w:lang w:val="ro-RO" w:eastAsia="en-US"/>
        </w:rPr>
        <w:t xml:space="preserve"> </w:t>
      </w:r>
      <w:r w:rsidR="00B86932" w:rsidRPr="00A244AE">
        <w:rPr>
          <w:lang w:val="ro-RO" w:eastAsia="en-US"/>
        </w:rPr>
        <w:t xml:space="preserve">în scopul </w:t>
      </w:r>
      <w:r w:rsidR="00F404A1" w:rsidRPr="00A244AE">
        <w:rPr>
          <w:lang w:val="ro-RO" w:eastAsia="en-US"/>
        </w:rPr>
        <w:t xml:space="preserve">realizării </w:t>
      </w:r>
      <w:r w:rsidR="00B9781E" w:rsidRPr="00A244AE">
        <w:rPr>
          <w:lang w:val="ro-RO" w:eastAsia="en-US"/>
        </w:rPr>
        <w:t xml:space="preserve">în fiecare an </w:t>
      </w:r>
      <w:r w:rsidR="0077739E" w:rsidRPr="00A244AE">
        <w:rPr>
          <w:lang w:val="ro-RO" w:eastAsia="en-US"/>
        </w:rPr>
        <w:t xml:space="preserve">a </w:t>
      </w:r>
      <w:r w:rsidRPr="00A244AE">
        <w:rPr>
          <w:lang w:val="ro-RO" w:eastAsia="en-US"/>
        </w:rPr>
        <w:t>noi economii de energie</w:t>
      </w:r>
      <w:r w:rsidR="00CC7E37" w:rsidRPr="00A244AE">
        <w:rPr>
          <w:lang w:val="ro-RO" w:eastAsia="en-US"/>
        </w:rPr>
        <w:t xml:space="preserve"> pe durata Programului</w:t>
      </w:r>
      <w:r w:rsidR="0091531A" w:rsidRPr="00A244AE">
        <w:rPr>
          <w:lang w:val="ro-RO" w:eastAsia="en-US"/>
        </w:rPr>
        <w:t xml:space="preserve"> privind implementarea schemei </w:t>
      </w:r>
      <w:r w:rsidR="00A05A8C" w:rsidRPr="00A244AE">
        <w:rPr>
          <w:lang w:val="ro-RO" w:eastAsia="en-US"/>
        </w:rPr>
        <w:t>de obligații</w:t>
      </w:r>
      <w:r w:rsidRPr="00A244AE">
        <w:rPr>
          <w:lang w:val="ro-RO" w:eastAsia="en-US"/>
        </w:rPr>
        <w:t xml:space="preserve"> </w:t>
      </w:r>
      <w:r w:rsidR="00F00068" w:rsidRPr="00A244AE">
        <w:rPr>
          <w:lang w:val="ro-RO" w:eastAsia="en-US"/>
        </w:rPr>
        <w:t>în domeniul eficienței energetice</w:t>
      </w:r>
      <w:r w:rsidR="00C677D4" w:rsidRPr="00A244AE">
        <w:rPr>
          <w:lang w:val="ro-RO" w:eastAsia="en-US"/>
        </w:rPr>
        <w:t xml:space="preserve"> </w:t>
      </w:r>
      <w:r w:rsidR="00C677D4" w:rsidRPr="00A244AE">
        <w:rPr>
          <w:color w:val="000000"/>
          <w:lang w:val="ro-RO" w:eastAsia="en-US"/>
        </w:rPr>
        <w:t xml:space="preserve">(în continuare </w:t>
      </w:r>
      <w:r w:rsidR="001E1E20" w:rsidRPr="00A244AE">
        <w:rPr>
          <w:color w:val="000000"/>
          <w:lang w:val="ro-RO" w:eastAsia="en-US"/>
        </w:rPr>
        <w:t>–</w:t>
      </w:r>
      <w:r w:rsidR="00C677D4" w:rsidRPr="00A244AE">
        <w:rPr>
          <w:color w:val="000000"/>
          <w:lang w:val="ro-RO" w:eastAsia="en-US"/>
        </w:rPr>
        <w:t xml:space="preserve"> </w:t>
      </w:r>
      <w:r w:rsidR="00C677D4" w:rsidRPr="00A244AE">
        <w:rPr>
          <w:i/>
          <w:iCs/>
          <w:color w:val="000000"/>
          <w:lang w:val="ro-RO" w:eastAsia="en-US"/>
        </w:rPr>
        <w:t>Programul</w:t>
      </w:r>
      <w:r w:rsidR="008D490C" w:rsidRPr="00A244AE">
        <w:rPr>
          <w:i/>
          <w:iCs/>
          <w:color w:val="000000"/>
          <w:lang w:val="ro-RO" w:eastAsia="en-US"/>
        </w:rPr>
        <w:t xml:space="preserve"> </w:t>
      </w:r>
      <w:r w:rsidR="0032668C" w:rsidRPr="00A244AE">
        <w:rPr>
          <w:i/>
          <w:iCs/>
          <w:color w:val="000000"/>
          <w:lang w:val="ro-RO" w:eastAsia="en-US"/>
        </w:rPr>
        <w:t xml:space="preserve">privind </w:t>
      </w:r>
      <w:r w:rsidR="008D490C" w:rsidRPr="00A244AE">
        <w:rPr>
          <w:i/>
          <w:iCs/>
          <w:color w:val="000000"/>
          <w:lang w:val="ro-RO" w:eastAsia="en-US"/>
        </w:rPr>
        <w:t>SOEE</w:t>
      </w:r>
      <w:r w:rsidR="00C677D4" w:rsidRPr="00A244AE">
        <w:rPr>
          <w:color w:val="000000"/>
          <w:lang w:val="ro-RO" w:eastAsia="en-US"/>
        </w:rPr>
        <w:t>)</w:t>
      </w:r>
      <w:r w:rsidR="006C5A31" w:rsidRPr="00A244AE">
        <w:rPr>
          <w:lang w:val="ro-RO" w:eastAsia="en-US"/>
        </w:rPr>
        <w:t>,</w:t>
      </w:r>
      <w:r w:rsidR="00F00068" w:rsidRPr="00A244AE">
        <w:rPr>
          <w:lang w:val="ro-RO" w:eastAsia="en-US"/>
        </w:rPr>
        <w:t xml:space="preserve"> </w:t>
      </w:r>
      <w:r w:rsidRPr="00A244AE">
        <w:rPr>
          <w:lang w:val="ro-RO" w:eastAsia="en-US"/>
        </w:rPr>
        <w:t xml:space="preserve">în cadrul schemei de obligații </w:t>
      </w:r>
      <w:r w:rsidR="006D4E03" w:rsidRPr="00A244AE">
        <w:rPr>
          <w:lang w:val="ro-RO" w:eastAsia="en-US"/>
        </w:rPr>
        <w:t>de eficiență energetică</w:t>
      </w:r>
      <w:r w:rsidR="009D6A7D" w:rsidRPr="00A244AE">
        <w:rPr>
          <w:lang w:val="ro-RO" w:eastAsia="en-US"/>
        </w:rPr>
        <w:t>,</w:t>
      </w:r>
      <w:r w:rsidR="006D4E03" w:rsidRPr="00A244AE">
        <w:rPr>
          <w:lang w:val="ro-RO" w:eastAsia="en-US"/>
        </w:rPr>
        <w:t xml:space="preserve"> </w:t>
      </w:r>
      <w:r w:rsidRPr="00A244AE">
        <w:rPr>
          <w:lang w:val="ro-RO" w:eastAsia="en-US"/>
        </w:rPr>
        <w:t>în conformitate cu art. 8 din Legea nr. 139/2018 cu privire la eficiența energetică.</w:t>
      </w:r>
    </w:p>
    <w:p w14:paraId="03D37049" w14:textId="24C23E39" w:rsidR="00D744F1" w:rsidRPr="00A244AE" w:rsidRDefault="00364A5F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 w:eastAsia="en-US"/>
        </w:rPr>
      </w:pPr>
      <w:r w:rsidRPr="00A244AE">
        <w:rPr>
          <w:lang w:val="ro-RO" w:eastAsia="en-US"/>
        </w:rPr>
        <w:t>Prezenta Metodologie</w:t>
      </w:r>
      <w:r w:rsidR="00D744F1" w:rsidRPr="00A244AE">
        <w:rPr>
          <w:lang w:val="ro-RO" w:eastAsia="en-US"/>
        </w:rPr>
        <w:t xml:space="preserve"> stabilește:</w:t>
      </w:r>
    </w:p>
    <w:p w14:paraId="714DD04D" w14:textId="553FCA21" w:rsidR="00AC56A6" w:rsidRPr="00A244AE" w:rsidRDefault="003E441A" w:rsidP="00FE536E">
      <w:pPr>
        <w:numPr>
          <w:ilvl w:val="0"/>
          <w:numId w:val="1"/>
        </w:numPr>
        <w:spacing w:line="276" w:lineRule="auto"/>
        <w:ind w:left="1080"/>
        <w:jc w:val="both"/>
        <w:rPr>
          <w:lang w:val="ro-RO" w:eastAsia="en-US"/>
        </w:rPr>
      </w:pPr>
      <w:r w:rsidRPr="00A244AE">
        <w:rPr>
          <w:color w:val="000000"/>
          <w:lang w:val="ro-RO" w:eastAsia="en-US"/>
        </w:rPr>
        <w:t>Modul</w:t>
      </w:r>
      <w:r w:rsidRPr="00A244AE">
        <w:rPr>
          <w:lang w:val="ro-RO" w:eastAsia="en-US"/>
        </w:rPr>
        <w:t xml:space="preserve"> de determinare a </w:t>
      </w:r>
      <w:r w:rsidR="003D27BD" w:rsidRPr="00A244AE">
        <w:rPr>
          <w:lang w:val="ro-RO" w:eastAsia="en-US"/>
        </w:rPr>
        <w:t xml:space="preserve">contribuțiilor totale </w:t>
      </w:r>
      <w:r w:rsidR="0078698A" w:rsidRPr="00A244AE">
        <w:rPr>
          <w:lang w:val="ro-RO" w:eastAsia="en-US"/>
        </w:rPr>
        <w:t xml:space="preserve">anuale </w:t>
      </w:r>
      <w:r w:rsidR="00A02100" w:rsidRPr="00A244AE">
        <w:rPr>
          <w:lang w:val="ro-RO" w:eastAsia="en-US"/>
        </w:rPr>
        <w:t xml:space="preserve">ale părților obligate </w:t>
      </w:r>
      <w:r w:rsidR="0078698A" w:rsidRPr="00A244AE">
        <w:rPr>
          <w:lang w:val="ro-RO" w:eastAsia="en-US"/>
        </w:rPr>
        <w:t xml:space="preserve">echivalente cu totalul </w:t>
      </w:r>
      <w:r w:rsidRPr="00A244AE">
        <w:rPr>
          <w:lang w:val="ro-RO" w:eastAsia="en-US"/>
        </w:rPr>
        <w:t>c</w:t>
      </w:r>
      <w:r w:rsidR="00AC56A6" w:rsidRPr="00A244AE">
        <w:rPr>
          <w:lang w:val="ro-RO" w:eastAsia="en-US"/>
        </w:rPr>
        <w:t>heltuielil</w:t>
      </w:r>
      <w:r w:rsidR="004422A9" w:rsidRPr="00A244AE">
        <w:rPr>
          <w:lang w:val="ro-RO" w:eastAsia="en-US"/>
        </w:rPr>
        <w:t>or</w:t>
      </w:r>
      <w:r w:rsidR="00AC56A6" w:rsidRPr="00A244AE">
        <w:rPr>
          <w:lang w:val="ro-RO" w:eastAsia="en-US"/>
        </w:rPr>
        <w:t xml:space="preserve"> necesare pentru realizare, </w:t>
      </w:r>
      <w:r w:rsidR="00060CAB" w:rsidRPr="00A244AE">
        <w:rPr>
          <w:lang w:val="ro-RO" w:eastAsia="en-US"/>
        </w:rPr>
        <w:t xml:space="preserve">pe durata </w:t>
      </w:r>
      <w:r w:rsidR="0071381F" w:rsidRPr="00A244AE">
        <w:rPr>
          <w:lang w:val="ro-RO" w:eastAsia="en-US"/>
        </w:rPr>
        <w:t xml:space="preserve">Programului privind </w:t>
      </w:r>
      <w:r w:rsidR="00651846" w:rsidRPr="00A244AE">
        <w:rPr>
          <w:lang w:val="ro-RO" w:eastAsia="en-US"/>
        </w:rPr>
        <w:t>SOEE</w:t>
      </w:r>
      <w:r w:rsidR="00AC56A6" w:rsidRPr="00A244AE">
        <w:rPr>
          <w:lang w:val="ro-RO" w:eastAsia="en-US"/>
        </w:rPr>
        <w:t>, a mă</w:t>
      </w:r>
      <w:r w:rsidR="002C3235" w:rsidRPr="00A244AE">
        <w:rPr>
          <w:lang w:val="ro-RO" w:eastAsia="en-US"/>
        </w:rPr>
        <w:t>surilor de eficiență energetică</w:t>
      </w:r>
      <w:r w:rsidR="00207D8B" w:rsidRPr="00A244AE">
        <w:rPr>
          <w:lang w:val="ro-RO"/>
        </w:rPr>
        <w:t xml:space="preserve"> </w:t>
      </w:r>
      <w:r w:rsidR="00207D8B" w:rsidRPr="00A244AE">
        <w:rPr>
          <w:lang w:val="ro-RO" w:eastAsia="en-US"/>
        </w:rPr>
        <w:t>în scopul realizării noilor economii anuale de energie stabilite în cadrul schemei de obligații de eficiență energetică</w:t>
      </w:r>
      <w:r w:rsidR="002C3235" w:rsidRPr="00A244AE">
        <w:rPr>
          <w:lang w:val="ro-RO" w:eastAsia="en-US"/>
        </w:rPr>
        <w:t>;</w:t>
      </w:r>
    </w:p>
    <w:p w14:paraId="61875D49" w14:textId="3FD184CE" w:rsidR="00D744F1" w:rsidRPr="00A244AE" w:rsidRDefault="00FC6354" w:rsidP="00FE536E">
      <w:pPr>
        <w:numPr>
          <w:ilvl w:val="0"/>
          <w:numId w:val="1"/>
        </w:numPr>
        <w:spacing w:line="276" w:lineRule="auto"/>
        <w:ind w:left="1080"/>
        <w:jc w:val="both"/>
        <w:rPr>
          <w:lang w:val="ro-RO" w:eastAsia="en-US"/>
        </w:rPr>
      </w:pPr>
      <w:r w:rsidRPr="00A244AE">
        <w:rPr>
          <w:color w:val="000000"/>
          <w:lang w:val="ro-RO" w:eastAsia="en-US"/>
        </w:rPr>
        <w:t>Modul</w:t>
      </w:r>
      <w:r w:rsidR="00D744F1" w:rsidRPr="00A244AE">
        <w:rPr>
          <w:color w:val="000000"/>
          <w:lang w:val="ro-RO" w:eastAsia="en-US"/>
        </w:rPr>
        <w:t xml:space="preserve"> de determinare a </w:t>
      </w:r>
      <w:r w:rsidR="0066493B" w:rsidRPr="00A244AE">
        <w:rPr>
          <w:color w:val="000000"/>
          <w:lang w:val="ro-RO" w:eastAsia="en-US"/>
        </w:rPr>
        <w:t>cantității</w:t>
      </w:r>
      <w:r w:rsidR="00A71E72" w:rsidRPr="00A244AE">
        <w:rPr>
          <w:color w:val="000000"/>
          <w:lang w:val="ro-RO" w:eastAsia="en-US"/>
        </w:rPr>
        <w:t xml:space="preserve"> </w:t>
      </w:r>
      <w:r w:rsidR="00D744F1" w:rsidRPr="00A244AE">
        <w:rPr>
          <w:color w:val="000000"/>
          <w:lang w:val="ro-RO" w:eastAsia="en-US"/>
        </w:rPr>
        <w:t xml:space="preserve">economiilor de energie </w:t>
      </w:r>
      <w:r w:rsidR="00041A2B" w:rsidRPr="00A244AE">
        <w:rPr>
          <w:color w:val="000000"/>
          <w:lang w:val="ro-RO" w:eastAsia="en-US"/>
        </w:rPr>
        <w:t xml:space="preserve">cu </w:t>
      </w:r>
      <w:r w:rsidR="00D744F1" w:rsidRPr="00A244AE">
        <w:rPr>
          <w:color w:val="000000"/>
          <w:lang w:val="ro-RO" w:eastAsia="en-US"/>
        </w:rPr>
        <w:t>care trebuie să con</w:t>
      </w:r>
      <w:r w:rsidR="00364A5F" w:rsidRPr="00A244AE">
        <w:rPr>
          <w:color w:val="000000"/>
          <w:lang w:val="ro-RO" w:eastAsia="en-US"/>
        </w:rPr>
        <w:t xml:space="preserve">tribuie fiecare parte obligată </w:t>
      </w:r>
      <w:r w:rsidR="00D744F1" w:rsidRPr="00A244AE">
        <w:rPr>
          <w:color w:val="000000"/>
          <w:lang w:val="ro-RO" w:eastAsia="en-US"/>
        </w:rPr>
        <w:t>pentru realizare</w:t>
      </w:r>
      <w:r w:rsidR="00F16AE0" w:rsidRPr="00A244AE">
        <w:rPr>
          <w:color w:val="000000"/>
          <w:lang w:val="ro-RO" w:eastAsia="en-US"/>
        </w:rPr>
        <w:t>a</w:t>
      </w:r>
      <w:r w:rsidR="00B0384F" w:rsidRPr="00A244AE">
        <w:rPr>
          <w:color w:val="000000"/>
          <w:lang w:val="ro-RO" w:eastAsia="en-US"/>
        </w:rPr>
        <w:t xml:space="preserve"> cantității totale </w:t>
      </w:r>
      <w:r w:rsidR="00AE5CB5" w:rsidRPr="00A244AE">
        <w:rPr>
          <w:color w:val="000000"/>
          <w:lang w:val="ro-RO" w:eastAsia="en-US"/>
        </w:rPr>
        <w:t xml:space="preserve">anuale </w:t>
      </w:r>
      <w:r w:rsidR="00B0384F" w:rsidRPr="00A244AE">
        <w:rPr>
          <w:color w:val="000000"/>
          <w:lang w:val="ro-RO" w:eastAsia="en-US"/>
        </w:rPr>
        <w:t>a economiilor de energie</w:t>
      </w:r>
      <w:r w:rsidR="00D744F1" w:rsidRPr="00A244AE">
        <w:rPr>
          <w:color w:val="000000"/>
          <w:lang w:val="ro-RO" w:eastAsia="en-US"/>
        </w:rPr>
        <w:t xml:space="preserve"> </w:t>
      </w:r>
      <w:r w:rsidR="007B6B28" w:rsidRPr="00A244AE">
        <w:rPr>
          <w:lang w:val="ro-RO" w:eastAsia="en-US"/>
        </w:rPr>
        <w:t xml:space="preserve">pe durata Programului privind </w:t>
      </w:r>
      <w:r w:rsidR="00651846" w:rsidRPr="00A244AE">
        <w:rPr>
          <w:lang w:val="ro-RO" w:eastAsia="en-US"/>
        </w:rPr>
        <w:t>SOEE</w:t>
      </w:r>
      <w:r w:rsidR="007B6B28" w:rsidRPr="00A244AE">
        <w:rPr>
          <w:lang w:val="ro-RO" w:eastAsia="en-US"/>
        </w:rPr>
        <w:t>, în cadrul schemei de obligații de eficiență energetică</w:t>
      </w:r>
      <w:r w:rsidR="00D744F1" w:rsidRPr="00A244AE">
        <w:rPr>
          <w:color w:val="000000"/>
          <w:lang w:val="ro-RO" w:eastAsia="en-US"/>
        </w:rPr>
        <w:t>;</w:t>
      </w:r>
    </w:p>
    <w:p w14:paraId="4D550337" w14:textId="77777777" w:rsidR="00240C30" w:rsidRPr="00A244AE" w:rsidRDefault="00D744F1" w:rsidP="00FE536E">
      <w:pPr>
        <w:numPr>
          <w:ilvl w:val="0"/>
          <w:numId w:val="1"/>
        </w:numPr>
        <w:spacing w:line="276" w:lineRule="auto"/>
        <w:ind w:left="1080"/>
        <w:jc w:val="both"/>
        <w:rPr>
          <w:lang w:val="ro-RO" w:eastAsia="en-US"/>
        </w:rPr>
      </w:pPr>
      <w:r w:rsidRPr="00A244AE">
        <w:rPr>
          <w:color w:val="000000"/>
          <w:lang w:val="ro-RO" w:eastAsia="en-US"/>
        </w:rPr>
        <w:t xml:space="preserve">Modul de determinare a mărimii contribuțiilor financiare </w:t>
      </w:r>
      <w:r w:rsidR="00F12289" w:rsidRPr="00A244AE">
        <w:rPr>
          <w:color w:val="000000"/>
          <w:lang w:val="ro-RO" w:eastAsia="en-US"/>
        </w:rPr>
        <w:t xml:space="preserve">anuale </w:t>
      </w:r>
      <w:r w:rsidRPr="00A244AE">
        <w:rPr>
          <w:color w:val="000000"/>
          <w:lang w:val="ro-RO" w:eastAsia="en-US"/>
        </w:rPr>
        <w:t xml:space="preserve">ce urmează a fi achitate de către fiecare parte obligată necesare pentru </w:t>
      </w:r>
      <w:r w:rsidR="00EA5544" w:rsidRPr="00A244AE">
        <w:rPr>
          <w:color w:val="000000"/>
          <w:lang w:val="ro-RO" w:eastAsia="en-US"/>
        </w:rPr>
        <w:t xml:space="preserve">realizarea economiilor atribuite </w:t>
      </w:r>
      <w:r w:rsidR="00D575D9" w:rsidRPr="00A244AE">
        <w:rPr>
          <w:color w:val="000000"/>
          <w:lang w:val="ro-RO" w:eastAsia="en-US"/>
        </w:rPr>
        <w:t>în cadrul schemei de obliga</w:t>
      </w:r>
      <w:r w:rsidR="007E2A2E" w:rsidRPr="00A244AE">
        <w:rPr>
          <w:color w:val="000000"/>
          <w:lang w:val="ro-RO" w:eastAsia="en-US"/>
        </w:rPr>
        <w:t xml:space="preserve">ții în domeniul eficienței energetice prin </w:t>
      </w:r>
      <w:r w:rsidRPr="00A244AE">
        <w:rPr>
          <w:color w:val="000000"/>
          <w:lang w:val="ro-RO" w:eastAsia="en-US"/>
        </w:rPr>
        <w:t>implementarea măsurilor de eficiență energetic</w:t>
      </w:r>
      <w:r w:rsidR="00364A5F" w:rsidRPr="00A244AE">
        <w:rPr>
          <w:color w:val="000000"/>
          <w:lang w:val="ro-RO" w:eastAsia="en-US"/>
        </w:rPr>
        <w:t>ă</w:t>
      </w:r>
      <w:r w:rsidR="008E3D45" w:rsidRPr="00A244AE">
        <w:rPr>
          <w:color w:val="000000"/>
          <w:lang w:val="ro-RO" w:eastAsia="en-US"/>
        </w:rPr>
        <w:t xml:space="preserve"> și de </w:t>
      </w:r>
      <w:r w:rsidR="008E3D45" w:rsidRPr="00A244AE">
        <w:rPr>
          <w:lang w:val="ro-RO" w:eastAsia="en-US"/>
        </w:rPr>
        <w:t>valorificare a surselor regenerabile de ener</w:t>
      </w:r>
      <w:r w:rsidR="00B01C7C" w:rsidRPr="00A244AE">
        <w:rPr>
          <w:lang w:val="ro-RO" w:eastAsia="en-US"/>
        </w:rPr>
        <w:t>gie</w:t>
      </w:r>
      <w:r w:rsidR="00343C7E" w:rsidRPr="00A244AE">
        <w:rPr>
          <w:lang w:val="ro-RO" w:eastAsia="en-US"/>
        </w:rPr>
        <w:t xml:space="preserve"> conform</w:t>
      </w:r>
      <w:r w:rsidR="0042168B" w:rsidRPr="00A244AE">
        <w:rPr>
          <w:lang w:val="ro-RO" w:eastAsia="en-US"/>
        </w:rPr>
        <w:t xml:space="preserve"> Programului privind </w:t>
      </w:r>
      <w:r w:rsidR="00085FFB" w:rsidRPr="00A244AE">
        <w:rPr>
          <w:lang w:val="ro-RO" w:eastAsia="en-US"/>
        </w:rPr>
        <w:t>SOEE</w:t>
      </w:r>
      <w:r w:rsidR="00DE475A" w:rsidRPr="00A244AE">
        <w:rPr>
          <w:lang w:val="ro-RO" w:eastAsia="en-US"/>
        </w:rPr>
        <w:t>:</w:t>
      </w:r>
    </w:p>
    <w:p w14:paraId="21129F46" w14:textId="5E35B45C" w:rsidR="00D744F1" w:rsidRPr="00A244AE" w:rsidRDefault="00DE475A" w:rsidP="00240C30">
      <w:pPr>
        <w:spacing w:line="276" w:lineRule="auto"/>
        <w:ind w:left="1080"/>
        <w:jc w:val="both"/>
        <w:rPr>
          <w:lang w:val="ro-RO" w:eastAsia="en-US"/>
        </w:rPr>
      </w:pPr>
      <w:r w:rsidRPr="00A244AE">
        <w:rPr>
          <w:lang w:val="ro-RO" w:eastAsia="en-US"/>
        </w:rPr>
        <w:t xml:space="preserve">(a) </w:t>
      </w:r>
      <w:r w:rsidR="002E7445" w:rsidRPr="00A244AE">
        <w:rPr>
          <w:lang w:val="ro-RO" w:eastAsia="en-US"/>
        </w:rPr>
        <w:t>prin stabilirea unei sume anuale ce urmează a fi transferată de fiecare parte obligată sau</w:t>
      </w:r>
      <w:r w:rsidR="008B5CF4" w:rsidRPr="00A244AE">
        <w:rPr>
          <w:lang w:val="ro-RO" w:eastAsia="en-US"/>
        </w:rPr>
        <w:br/>
      </w:r>
      <w:r w:rsidR="002E7445" w:rsidRPr="00A244AE">
        <w:rPr>
          <w:lang w:val="ro-RO" w:eastAsia="en-US"/>
        </w:rPr>
        <w:t>(b)</w:t>
      </w:r>
      <w:r w:rsidR="0034595B" w:rsidRPr="00A244AE">
        <w:rPr>
          <w:lang w:val="ro-RO" w:eastAsia="en-US"/>
        </w:rPr>
        <w:t xml:space="preserve"> prin stabilirea unei plăți fixe, pe unitate de energie sau de volum distribuit, furnizat și/sau comercializat</w:t>
      </w:r>
      <w:r w:rsidR="0034595B" w:rsidRPr="00A244AE">
        <w:rPr>
          <w:sz w:val="28"/>
          <w:szCs w:val="28"/>
          <w:lang w:val="ro-RO"/>
        </w:rPr>
        <w:t>.</w:t>
      </w:r>
    </w:p>
    <w:p w14:paraId="62750D87" w14:textId="09B69DBA" w:rsidR="00D744F1" w:rsidRPr="00A244AE" w:rsidRDefault="00D744F1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 w:eastAsia="en-US"/>
        </w:rPr>
      </w:pPr>
      <w:r w:rsidRPr="00A244AE">
        <w:rPr>
          <w:lang w:val="ro-RO" w:eastAsia="en-US"/>
        </w:rPr>
        <w:t xml:space="preserve">Prezenta Metodologie se aplică de către </w:t>
      </w:r>
      <w:bookmarkStart w:id="2" w:name="_Hlk524347490"/>
      <w:r w:rsidR="002C3235" w:rsidRPr="00A244AE">
        <w:rPr>
          <w:lang w:val="ro-RO" w:eastAsia="en-US"/>
        </w:rPr>
        <w:t xml:space="preserve">organul central de specialitate al administrației </w:t>
      </w:r>
      <w:r w:rsidR="00184D8D" w:rsidRPr="00A244AE">
        <w:rPr>
          <w:lang w:val="ro-RO" w:eastAsia="en-US"/>
        </w:rPr>
        <w:t xml:space="preserve">în domeniul energeticii </w:t>
      </w:r>
      <w:r w:rsidRPr="00A244AE">
        <w:rPr>
          <w:lang w:val="ro-RO" w:eastAsia="en-US"/>
        </w:rPr>
        <w:t>și</w:t>
      </w:r>
      <w:bookmarkEnd w:id="2"/>
      <w:r w:rsidR="00C44FC2" w:rsidRPr="00A244AE">
        <w:rPr>
          <w:lang w:val="ro-RO" w:eastAsia="en-US"/>
        </w:rPr>
        <w:t xml:space="preserve"> </w:t>
      </w:r>
      <w:r w:rsidR="00903651" w:rsidRPr="00A244AE">
        <w:rPr>
          <w:lang w:val="ro-RO" w:eastAsia="en-US"/>
        </w:rPr>
        <w:t xml:space="preserve">instituția publică de suport </w:t>
      </w:r>
      <w:r w:rsidR="004D39FE" w:rsidRPr="00A244AE">
        <w:rPr>
          <w:lang w:val="ro-RO" w:eastAsia="en-US"/>
        </w:rPr>
        <w:t xml:space="preserve">în procesul de elaborare a Programului privind </w:t>
      </w:r>
      <w:r w:rsidR="00A2649C" w:rsidRPr="00A244AE">
        <w:rPr>
          <w:lang w:val="ro-RO" w:eastAsia="en-US"/>
        </w:rPr>
        <w:t>SOEE</w:t>
      </w:r>
      <w:r w:rsidR="009F7066" w:rsidRPr="00A244AE">
        <w:rPr>
          <w:lang w:val="ro-RO" w:eastAsia="en-US"/>
        </w:rPr>
        <w:t>.</w:t>
      </w:r>
    </w:p>
    <w:p w14:paraId="6907C115" w14:textId="184BD19E" w:rsidR="008732BD" w:rsidRPr="00A244AE" w:rsidRDefault="00DF5FDD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 w:eastAsia="en-US"/>
        </w:rPr>
      </w:pPr>
      <w:r w:rsidRPr="00A244AE">
        <w:rPr>
          <w:bCs/>
          <w:lang w:val="ro-RO"/>
        </w:rPr>
        <w:t>Informaț</w:t>
      </w:r>
      <w:r w:rsidR="00712134" w:rsidRPr="00A244AE">
        <w:rPr>
          <w:bCs/>
          <w:lang w:val="ro-RO"/>
        </w:rPr>
        <w:t>iile</w:t>
      </w:r>
      <w:r w:rsidRPr="00A244AE">
        <w:rPr>
          <w:bCs/>
          <w:lang w:val="ro-RO"/>
        </w:rPr>
        <w:t xml:space="preserve"> </w:t>
      </w:r>
      <w:r w:rsidR="00634D90" w:rsidRPr="00A244AE">
        <w:rPr>
          <w:bCs/>
          <w:lang w:val="ro-RO"/>
        </w:rPr>
        <w:t xml:space="preserve">necesare </w:t>
      </w:r>
      <w:r w:rsidR="00F41D38" w:rsidRPr="00A244AE">
        <w:rPr>
          <w:bCs/>
          <w:lang w:val="ro-RO"/>
        </w:rPr>
        <w:t xml:space="preserve">pentru </w:t>
      </w:r>
      <w:r w:rsidR="00F41D38" w:rsidRPr="00A244AE">
        <w:rPr>
          <w:color w:val="000000"/>
          <w:lang w:val="ro-RO" w:eastAsia="en-US"/>
        </w:rPr>
        <w:t>determinarea contribuțiilor ce urmează a fi achitate de părțile obligate</w:t>
      </w:r>
      <w:r w:rsidR="00F71CCE" w:rsidRPr="00A244AE">
        <w:rPr>
          <w:color w:val="000000"/>
          <w:lang w:val="ro-RO" w:eastAsia="en-US"/>
        </w:rPr>
        <w:t xml:space="preserve">, conform prezentei </w:t>
      </w:r>
      <w:r w:rsidR="00A56067" w:rsidRPr="00A244AE">
        <w:rPr>
          <w:color w:val="000000"/>
          <w:lang w:val="ro-RO" w:eastAsia="en-US"/>
        </w:rPr>
        <w:t xml:space="preserve">Metodologii </w:t>
      </w:r>
      <w:r w:rsidR="00D42FB3" w:rsidRPr="00A244AE">
        <w:rPr>
          <w:bCs/>
          <w:lang w:val="ro-RO"/>
        </w:rPr>
        <w:t xml:space="preserve">sunt colectate </w:t>
      </w:r>
      <w:r w:rsidR="002A5DD1" w:rsidRPr="00A244AE">
        <w:rPr>
          <w:bCs/>
          <w:lang w:val="ro-RO"/>
        </w:rPr>
        <w:t>anual de instituția publică de suport și</w:t>
      </w:r>
      <w:r w:rsidR="00321E8C" w:rsidRPr="00A244AE">
        <w:rPr>
          <w:bCs/>
          <w:lang w:val="ro-RO"/>
        </w:rPr>
        <w:t xml:space="preserve"> </w:t>
      </w:r>
      <w:r w:rsidR="00C87196" w:rsidRPr="00A244AE">
        <w:rPr>
          <w:bCs/>
          <w:lang w:val="ro-RO"/>
        </w:rPr>
        <w:t>incluse în Sistemul informațional național în domeniul eficienței energetice</w:t>
      </w:r>
      <w:r w:rsidR="008732BD" w:rsidRPr="00A244AE">
        <w:rPr>
          <w:bCs/>
          <w:lang w:val="ro-RO"/>
        </w:rPr>
        <w:t>.</w:t>
      </w:r>
    </w:p>
    <w:p w14:paraId="712E647A" w14:textId="2C1607A6" w:rsidR="00D744F1" w:rsidRPr="00A244AE" w:rsidRDefault="00D744F1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 w:eastAsia="en-US"/>
        </w:rPr>
      </w:pPr>
      <w:r w:rsidRPr="00A244AE">
        <w:rPr>
          <w:lang w:val="ro-RO" w:eastAsia="en-US"/>
        </w:rPr>
        <w:t xml:space="preserve">În sensul prezentei Metodologii, se aplică </w:t>
      </w:r>
      <w:r w:rsidR="00C6105C" w:rsidRPr="00A244AE">
        <w:rPr>
          <w:lang w:val="ro-RO" w:eastAsia="en-US"/>
        </w:rPr>
        <w:t>noțiunile</w:t>
      </w:r>
      <w:r w:rsidRPr="00A244AE">
        <w:rPr>
          <w:lang w:val="ro-RO" w:eastAsia="en-US"/>
        </w:rPr>
        <w:t xml:space="preserve"> definite în Legea nr. 139/2018 cu privire la eficiența energetică.</w:t>
      </w:r>
      <w:r w:rsidR="00932E26" w:rsidRPr="00A244AE">
        <w:rPr>
          <w:lang w:val="ro-RO" w:eastAsia="en-US"/>
        </w:rPr>
        <w:t xml:space="preserve"> </w:t>
      </w:r>
    </w:p>
    <w:p w14:paraId="3D58B702" w14:textId="44569AF0" w:rsidR="00EB6D23" w:rsidRDefault="00EB6D23" w:rsidP="00F56B2E">
      <w:pPr>
        <w:spacing w:line="276" w:lineRule="auto"/>
        <w:rPr>
          <w:b/>
          <w:bCs/>
          <w:lang w:val="ro-RO" w:eastAsia="en-US"/>
        </w:rPr>
      </w:pPr>
    </w:p>
    <w:p w14:paraId="4982B3AA" w14:textId="77777777" w:rsidR="00700434" w:rsidRPr="00A244AE" w:rsidRDefault="00700434" w:rsidP="00F56B2E">
      <w:pPr>
        <w:spacing w:line="276" w:lineRule="auto"/>
        <w:rPr>
          <w:b/>
          <w:bCs/>
          <w:lang w:val="ro-RO" w:eastAsia="en-US"/>
        </w:rPr>
      </w:pPr>
      <w:bookmarkStart w:id="3" w:name="_GoBack"/>
      <w:bookmarkEnd w:id="3"/>
    </w:p>
    <w:p w14:paraId="48BF33CD" w14:textId="77777777" w:rsidR="003D5530" w:rsidRPr="00A244AE" w:rsidRDefault="003D5530" w:rsidP="00F56B2E">
      <w:pPr>
        <w:spacing w:line="276" w:lineRule="auto"/>
        <w:rPr>
          <w:b/>
          <w:bCs/>
          <w:lang w:val="ro-RO" w:eastAsia="en-US"/>
        </w:rPr>
      </w:pPr>
    </w:p>
    <w:p w14:paraId="0F71A4A4" w14:textId="47DEF11B" w:rsidR="00EB6D23" w:rsidRPr="00A244AE" w:rsidRDefault="00EB6D23" w:rsidP="0047049D">
      <w:pPr>
        <w:pStyle w:val="a3"/>
        <w:tabs>
          <w:tab w:val="left" w:pos="0"/>
        </w:tabs>
        <w:spacing w:line="276" w:lineRule="auto"/>
        <w:ind w:left="0"/>
        <w:contextualSpacing w:val="0"/>
        <w:jc w:val="center"/>
        <w:rPr>
          <w:b/>
          <w:bCs/>
          <w:lang w:val="en-US"/>
        </w:rPr>
      </w:pPr>
      <w:r w:rsidRPr="00A244AE">
        <w:rPr>
          <w:b/>
          <w:bCs/>
          <w:lang w:val="ro-RO"/>
        </w:rPr>
        <w:t xml:space="preserve">Secțiunea </w:t>
      </w:r>
      <w:r w:rsidR="004E37B9" w:rsidRPr="00A244AE">
        <w:rPr>
          <w:b/>
          <w:bCs/>
          <w:lang w:val="ro-RO"/>
        </w:rPr>
        <w:t>2</w:t>
      </w:r>
    </w:p>
    <w:p w14:paraId="0A0FF577" w14:textId="5E60BC17" w:rsidR="00D72526" w:rsidRPr="00A244AE" w:rsidRDefault="00D90687" w:rsidP="0047049D">
      <w:pPr>
        <w:pStyle w:val="a3"/>
        <w:tabs>
          <w:tab w:val="left" w:pos="0"/>
        </w:tabs>
        <w:spacing w:after="120" w:line="276" w:lineRule="auto"/>
        <w:ind w:left="0"/>
        <w:contextualSpacing w:val="0"/>
        <w:jc w:val="center"/>
        <w:rPr>
          <w:b/>
          <w:bCs/>
          <w:lang w:val="ro-RO" w:eastAsia="en-US"/>
        </w:rPr>
      </w:pPr>
      <w:r w:rsidRPr="00A244AE">
        <w:rPr>
          <w:b/>
          <w:bCs/>
          <w:lang w:val="ro-RO" w:eastAsia="en-US"/>
        </w:rPr>
        <w:t xml:space="preserve">DETERMINAREA </w:t>
      </w:r>
      <w:r w:rsidR="00F81650" w:rsidRPr="00A244AE">
        <w:rPr>
          <w:b/>
          <w:bCs/>
          <w:lang w:val="ro-RO" w:eastAsia="en-US"/>
        </w:rPr>
        <w:t xml:space="preserve">CONTRIBUȚIILOR </w:t>
      </w:r>
      <w:r w:rsidR="00544556" w:rsidRPr="00A244AE">
        <w:rPr>
          <w:b/>
          <w:bCs/>
          <w:lang w:val="ro-RO" w:eastAsia="en-US"/>
        </w:rPr>
        <w:t xml:space="preserve">TOTALE ANUALE ALE PĂRȚILOR OBLIGATE ECHIVALENTE CU TOTALUL </w:t>
      </w:r>
      <w:r w:rsidRPr="00A244AE">
        <w:rPr>
          <w:b/>
          <w:bCs/>
          <w:lang w:val="ro-RO" w:eastAsia="en-US"/>
        </w:rPr>
        <w:t>CHELTUIELILOR NECESARE PENTRU REALIZAREA SCHEMEI DE OBLIGAȚII ÎN DOMENIUL EFICIENȚEI ENERGETICE</w:t>
      </w:r>
    </w:p>
    <w:p w14:paraId="558CF1E5" w14:textId="29C036AF" w:rsidR="00FF0365" w:rsidRPr="00A244AE" w:rsidRDefault="00DA2C5A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 w:eastAsia="en-US"/>
        </w:rPr>
      </w:pPr>
      <w:r w:rsidRPr="00A244AE">
        <w:rPr>
          <w:lang w:val="ro-RO" w:eastAsia="en-US"/>
        </w:rPr>
        <w:t xml:space="preserve">Contribuțiile totale anuale </w:t>
      </w:r>
      <w:r w:rsidR="002F1D38" w:rsidRPr="00A244AE">
        <w:rPr>
          <w:lang w:val="ro-RO" w:eastAsia="en-US"/>
        </w:rPr>
        <w:t xml:space="preserve">ale părților obligate </w:t>
      </w:r>
      <w:r w:rsidRPr="00A244AE">
        <w:rPr>
          <w:lang w:val="ro-RO" w:eastAsia="en-US"/>
        </w:rPr>
        <w:t xml:space="preserve">echivalente cu totalul cheltuielilor </w:t>
      </w:r>
      <w:r w:rsidR="00CC0A51" w:rsidRPr="00A244AE">
        <w:rPr>
          <w:bCs/>
          <w:lang w:val="ro-RO" w:eastAsia="en-US"/>
        </w:rPr>
        <w:t>„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CT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an,t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SOEE</m:t>
            </m:r>
          </m:sup>
        </m:sSubSup>
      </m:oMath>
      <w:r w:rsidR="00CC0A51" w:rsidRPr="00A244AE">
        <w:rPr>
          <w:bCs/>
          <w:lang w:val="ro-RO" w:eastAsia="en-US"/>
        </w:rPr>
        <w:t>”</w:t>
      </w:r>
      <w:r w:rsidR="006C626D" w:rsidRPr="00A244AE">
        <w:rPr>
          <w:bCs/>
          <w:lang w:val="ro-RO" w:eastAsia="en-US"/>
        </w:rPr>
        <w:t xml:space="preserve"> </w:t>
      </w:r>
      <w:r w:rsidR="00101B43" w:rsidRPr="00A244AE">
        <w:rPr>
          <w:lang w:val="ro-RO" w:eastAsia="en-US"/>
        </w:rPr>
        <w:t xml:space="preserve">necesare </w:t>
      </w:r>
      <w:r w:rsidR="007A413E" w:rsidRPr="00A244AE">
        <w:rPr>
          <w:lang w:val="ro-RO"/>
        </w:rPr>
        <w:t>în anul calendaristic „</w:t>
      </w:r>
      <w:r w:rsidR="007A413E" w:rsidRPr="00A244AE">
        <w:rPr>
          <w:i/>
          <w:iCs/>
          <w:lang w:val="ro-RO"/>
        </w:rPr>
        <w:t>t</w:t>
      </w:r>
      <w:r w:rsidR="007A413E" w:rsidRPr="00A244AE">
        <w:rPr>
          <w:lang w:val="ro-RO"/>
        </w:rPr>
        <w:t xml:space="preserve">”, </w:t>
      </w:r>
      <w:r w:rsidR="001A7026" w:rsidRPr="00A244AE">
        <w:rPr>
          <w:lang w:val="ro-RO" w:eastAsia="en-US"/>
        </w:rPr>
        <w:t xml:space="preserve">pe durata Programului privind </w:t>
      </w:r>
      <w:r w:rsidR="00375BE1" w:rsidRPr="00A244AE">
        <w:rPr>
          <w:lang w:val="ro-RO" w:eastAsia="en-US"/>
        </w:rPr>
        <w:t>SOEE</w:t>
      </w:r>
      <w:r w:rsidR="001A7026" w:rsidRPr="00A244AE">
        <w:rPr>
          <w:lang w:val="ro-RO" w:eastAsia="en-US"/>
        </w:rPr>
        <w:t xml:space="preserve"> </w:t>
      </w:r>
      <w:r w:rsidR="00101B43" w:rsidRPr="00A244AE">
        <w:rPr>
          <w:lang w:val="ro-RO" w:eastAsia="en-US"/>
        </w:rPr>
        <w:t>pentru realizarea măsurilor de eficiență energetică</w:t>
      </w:r>
      <w:r w:rsidR="00101B43" w:rsidRPr="00A244AE">
        <w:rPr>
          <w:lang w:val="ro-RO"/>
        </w:rPr>
        <w:t xml:space="preserve"> </w:t>
      </w:r>
      <w:r w:rsidR="00101B43" w:rsidRPr="00A244AE">
        <w:rPr>
          <w:lang w:val="ro-RO" w:eastAsia="en-US"/>
        </w:rPr>
        <w:t>în scopul realizării noilor economii anuale de energie stabilite în cadrul schemei de obligații de eficiență energetică</w:t>
      </w:r>
      <w:r w:rsidR="00F215D3" w:rsidRPr="00A244AE">
        <w:rPr>
          <w:lang w:val="ro-RO" w:eastAsia="en-US"/>
        </w:rPr>
        <w:t>, în lei,</w:t>
      </w:r>
      <w:r w:rsidR="00FF0365" w:rsidRPr="00A244AE">
        <w:rPr>
          <w:lang w:val="ro-RO" w:eastAsia="en-US"/>
        </w:rPr>
        <w:t xml:space="preserve"> </w:t>
      </w:r>
      <w:r w:rsidR="000836E5" w:rsidRPr="00A244AE">
        <w:rPr>
          <w:lang w:val="ro-RO" w:eastAsia="en-US"/>
        </w:rPr>
        <w:t>se determină în conformitate cu următoarea formulă: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1"/>
        <w:gridCol w:w="556"/>
      </w:tblGrid>
      <w:tr w:rsidR="00FE4A33" w:rsidRPr="00A244AE" w14:paraId="7B6A748A" w14:textId="77777777" w:rsidTr="00F1502C">
        <w:tc>
          <w:tcPr>
            <w:tcW w:w="9297" w:type="dxa"/>
            <w:vAlign w:val="center"/>
          </w:tcPr>
          <w:p w14:paraId="53907173" w14:textId="40B601D1" w:rsidR="00FE4A33" w:rsidRPr="00A244AE" w:rsidRDefault="00845D58" w:rsidP="00373F58">
            <w:pPr>
              <w:pStyle w:val="a7"/>
              <w:spacing w:before="0" w:beforeAutospacing="0" w:after="0" w:afterAutospacing="0" w:line="276" w:lineRule="auto"/>
              <w:ind w:left="1134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 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SOEE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 xml:space="preserve">EcT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ktep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lang w:val="ro-RO"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 w:eastAsia="en-US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 w:eastAsia="en-US"/>
                      </w:rPr>
                      <m:t>s,t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o-RO" w:eastAsia="en-US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 w:eastAsia="en-US"/>
                          </w:rPr>
                          <m:t>lei</m:t>
                        </m:r>
                        <m:ctrlPr>
                          <w:rPr>
                            <w:rFonts w:ascii="Cambria Math" w:hAnsi="Cambria Math"/>
                            <w:b/>
                            <w:i/>
                            <w:lang w:val="ro-RO" w:eastAsia="en-US"/>
                          </w:rPr>
                        </m:ctrlP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 w:eastAsia="en-US"/>
                          </w:rPr>
                          <m:t>ktep</m:t>
                        </m:r>
                      </m:den>
                    </m:f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×nR</m:t>
                </m:r>
                <m:r>
                  <w:rPr>
                    <w:rFonts w:ascii="Cambria Math" w:hAnsi="Cambria Math"/>
                    <w:lang w:val="ro-RO" w:eastAsia="en-US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lang w:val="ro-RO"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 w:eastAsia="en-US"/>
                      </w:rPr>
                      <m:t>GD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 w:eastAsia="en-US"/>
                      </w:rPr>
                      <m:t>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 w:eastAsia="en-US"/>
                      </w:rPr>
                      <m:t>SOEE</m:t>
                    </m:r>
                  </m:sup>
                </m:sSubSup>
              </m:oMath>
            </m:oMathPara>
          </w:p>
        </w:tc>
        <w:tc>
          <w:tcPr>
            <w:tcW w:w="556" w:type="dxa"/>
            <w:vAlign w:val="center"/>
          </w:tcPr>
          <w:p w14:paraId="675D253D" w14:textId="77777777" w:rsidR="00FE4A33" w:rsidRPr="00A244AE" w:rsidRDefault="00FE4A33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(1),</w:t>
            </w:r>
          </w:p>
        </w:tc>
      </w:tr>
    </w:tbl>
    <w:p w14:paraId="3E05DB1A" w14:textId="6B816A51" w:rsidR="00FE4A33" w:rsidRPr="00A244AE" w:rsidRDefault="00FE4A33" w:rsidP="00FE4A33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1BC4B409" w14:textId="2A668EE6" w:rsidR="00A65A5E" w:rsidRPr="00A244AE" w:rsidRDefault="001109B5" w:rsidP="00A65A5E">
      <w:pPr>
        <w:pStyle w:val="a7"/>
        <w:spacing w:before="120" w:beforeAutospacing="0" w:after="120" w:afterAutospacing="0" w:line="276" w:lineRule="auto"/>
        <w:jc w:val="both"/>
        <w:rPr>
          <w:lang w:val="ro-RO" w:eastAsia="en-US"/>
        </w:rPr>
      </w:pPr>
      <m:oMath>
        <m:r>
          <m:rPr>
            <m:sty m:val="bi"/>
          </m:rPr>
          <w:rPr>
            <w:rFonts w:ascii="Cambria Math" w:hAnsi="Cambria Math"/>
            <w:lang w:val="ro-RO" w:eastAsia="en-US"/>
          </w:rPr>
          <m:t>t</m:t>
        </m:r>
      </m:oMath>
      <w:r w:rsidR="00A65A5E" w:rsidRPr="00A244AE">
        <w:rPr>
          <w:lang w:val="ro-RO" w:eastAsia="en-US"/>
        </w:rPr>
        <w:t xml:space="preserve"> </w:t>
      </w:r>
      <w:r w:rsidR="00DB6255" w:rsidRPr="00A244AE">
        <w:rPr>
          <w:lang w:val="ro-RO" w:eastAsia="en-US"/>
        </w:rPr>
        <w:t>-</w:t>
      </w:r>
      <w:r w:rsidR="00A65A5E" w:rsidRPr="00A244AE">
        <w:rPr>
          <w:lang w:val="ro-RO" w:eastAsia="en-US"/>
        </w:rPr>
        <w:t xml:space="preserve"> anul</w:t>
      </w:r>
      <w:r w:rsidR="00DB6255" w:rsidRPr="00A244AE">
        <w:rPr>
          <w:lang w:val="ro-RO" w:eastAsia="en-US"/>
        </w:rPr>
        <w:t xml:space="preserve"> calendaristic</w:t>
      </w:r>
      <w:r w:rsidR="00A65A5E" w:rsidRPr="00A244AE">
        <w:rPr>
          <w:lang w:val="ro-RO" w:eastAsia="en-US"/>
        </w:rPr>
        <w:t xml:space="preserve"> </w:t>
      </w:r>
      <w:r w:rsidR="00DB6255" w:rsidRPr="00A244AE">
        <w:rPr>
          <w:lang w:val="ro-RO" w:eastAsia="en-US"/>
        </w:rPr>
        <w:t>de aplicabilitate a</w:t>
      </w:r>
      <w:r w:rsidR="00AC2480" w:rsidRPr="00A244AE">
        <w:rPr>
          <w:lang w:val="ro-RO" w:eastAsia="en-US"/>
        </w:rPr>
        <w:t xml:space="preserve"> </w:t>
      </w:r>
      <w:r w:rsidR="00A65A5E" w:rsidRPr="00A244AE">
        <w:rPr>
          <w:lang w:val="ro-RO"/>
        </w:rPr>
        <w:t>Programului</w:t>
      </w:r>
      <w:r w:rsidR="00A65A5E" w:rsidRPr="00A244AE">
        <w:rPr>
          <w:lang w:val="ro-RO" w:eastAsia="en-US"/>
        </w:rPr>
        <w:t xml:space="preserve"> privind implementarea schemei de obligații în domeniul eficienței energetice</w:t>
      </w:r>
      <w:r w:rsidR="00DB6255" w:rsidRPr="00A244AE">
        <w:rPr>
          <w:lang w:val="ro-RO" w:eastAsia="en-US"/>
        </w:rPr>
        <w:t>;</w:t>
      </w:r>
    </w:p>
    <w:p w14:paraId="01B34FC9" w14:textId="7EE3CD2F" w:rsidR="00FE4A33" w:rsidRPr="00A244AE" w:rsidRDefault="00845D58" w:rsidP="00FE4A33">
      <w:pPr>
        <w:pStyle w:val="a7"/>
        <w:spacing w:before="0" w:beforeAutospacing="0" w:after="120" w:afterAutospacing="0" w:line="276" w:lineRule="auto"/>
        <w:jc w:val="both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 xml:space="preserve">EcT 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ktep</m:t>
            </m:r>
          </m:sup>
        </m:sSubSup>
      </m:oMath>
      <w:r w:rsidR="00FE4A33" w:rsidRPr="00A244AE">
        <w:rPr>
          <w:bCs/>
          <w:lang w:val="ro-RO"/>
        </w:rPr>
        <w:t xml:space="preserve"> </w:t>
      </w:r>
      <w:r w:rsidR="00037C80" w:rsidRPr="00A244AE">
        <w:rPr>
          <w:bCs/>
          <w:lang w:val="ro-RO" w:eastAsia="en-US"/>
        </w:rPr>
        <w:t xml:space="preserve">– </w:t>
      </w:r>
      <w:r w:rsidR="008F315C" w:rsidRPr="00A244AE">
        <w:rPr>
          <w:bCs/>
          <w:lang w:val="ro-RO"/>
        </w:rPr>
        <w:t xml:space="preserve">cantitatea totală </w:t>
      </w:r>
      <w:r w:rsidR="00282583" w:rsidRPr="00A244AE">
        <w:rPr>
          <w:bCs/>
          <w:lang w:val="ro-RO"/>
        </w:rPr>
        <w:t xml:space="preserve">anuală </w:t>
      </w:r>
      <w:r w:rsidR="008F315C" w:rsidRPr="00A244AE">
        <w:rPr>
          <w:bCs/>
          <w:lang w:val="ro-RO"/>
        </w:rPr>
        <w:t>a economiilor</w:t>
      </w:r>
      <w:r w:rsidR="00014E29" w:rsidRPr="00A244AE">
        <w:rPr>
          <w:bCs/>
          <w:lang w:val="ro-RO"/>
        </w:rPr>
        <w:t xml:space="preserve"> noi</w:t>
      </w:r>
      <w:r w:rsidR="008F315C" w:rsidRPr="00A244AE">
        <w:rPr>
          <w:bCs/>
          <w:lang w:val="ro-RO"/>
        </w:rPr>
        <w:t xml:space="preserve"> </w:t>
      </w:r>
      <w:r w:rsidR="007533B0" w:rsidRPr="00A244AE">
        <w:rPr>
          <w:bCs/>
          <w:lang w:val="ro-RO"/>
        </w:rPr>
        <w:t xml:space="preserve">de energie </w:t>
      </w:r>
      <w:r w:rsidR="008F315C" w:rsidRPr="00A244AE">
        <w:rPr>
          <w:bCs/>
          <w:lang w:val="ro-RO"/>
        </w:rPr>
        <w:t>la care trebuie să contribuie toate părțile obligate</w:t>
      </w:r>
      <w:r w:rsidR="00C159F9" w:rsidRPr="00A244AE">
        <w:rPr>
          <w:lang w:val="ro-RO" w:eastAsia="en-US"/>
        </w:rPr>
        <w:t xml:space="preserve"> pe durata Programului privind </w:t>
      </w:r>
      <w:r w:rsidR="00375BE1" w:rsidRPr="00A244AE">
        <w:rPr>
          <w:lang w:val="ro-RO" w:eastAsia="en-US"/>
        </w:rPr>
        <w:t>SOEE</w:t>
      </w:r>
      <w:r w:rsidR="00081096" w:rsidRPr="00A244AE">
        <w:rPr>
          <w:lang w:val="ro-RO" w:eastAsia="en-US"/>
        </w:rPr>
        <w:t>, determinate</w:t>
      </w:r>
      <w:r w:rsidR="00D604D5" w:rsidRPr="00A244AE">
        <w:rPr>
          <w:lang w:val="ro-RO" w:eastAsia="en-US"/>
        </w:rPr>
        <w:t xml:space="preserve"> </w:t>
      </w:r>
      <w:r w:rsidR="004A4107" w:rsidRPr="00A244AE">
        <w:rPr>
          <w:lang w:val="ro-RO" w:eastAsia="en-US"/>
        </w:rPr>
        <w:t xml:space="preserve">de către organul central de specialitate al administrației publice în domeniul energeticii, cu asistența instituției publice de suport, </w:t>
      </w:r>
      <w:r w:rsidR="008C0E18" w:rsidRPr="00A244AE">
        <w:rPr>
          <w:lang w:val="ro-RO" w:eastAsia="en-US"/>
        </w:rPr>
        <w:t>reieșind din</w:t>
      </w:r>
      <w:r w:rsidR="00081096" w:rsidRPr="00A244AE">
        <w:rPr>
          <w:lang w:val="ro-RO" w:eastAsia="en-US"/>
        </w:rPr>
        <w:t xml:space="preserve"> </w:t>
      </w:r>
      <w:r w:rsidR="00126C49" w:rsidRPr="00A244AE">
        <w:rPr>
          <w:lang w:val="ro-RO" w:eastAsia="en-US"/>
        </w:rPr>
        <w:t xml:space="preserve">cantitatea totală cumulată a economiilor de energie </w:t>
      </w:r>
      <w:r w:rsidR="00850DDD" w:rsidRPr="00A244AE">
        <w:rPr>
          <w:lang w:val="ro-RO" w:eastAsia="en-US"/>
        </w:rPr>
        <w:t xml:space="preserve">ce trebuie realizate </w:t>
      </w:r>
      <w:r w:rsidR="00802154" w:rsidRPr="00A244AE">
        <w:rPr>
          <w:lang w:val="ro-RO" w:eastAsia="en-US"/>
        </w:rPr>
        <w:t>în cadrul obligațiilor privind economiile de energie</w:t>
      </w:r>
      <w:r w:rsidR="00802154" w:rsidRPr="00A244AE">
        <w:rPr>
          <w:lang w:val="ro-RO"/>
        </w:rPr>
        <w:t>, în conformitate cu art. 7</w:t>
      </w:r>
      <w:r w:rsidR="00802154" w:rsidRPr="00A244AE">
        <w:rPr>
          <w:vertAlign w:val="superscript"/>
          <w:lang w:val="ro-RO"/>
        </w:rPr>
        <w:t>1</w:t>
      </w:r>
      <w:r w:rsidR="00650B29" w:rsidRPr="00A244AE">
        <w:rPr>
          <w:lang w:val="ro-RO"/>
        </w:rPr>
        <w:t xml:space="preserve"> </w:t>
      </w:r>
      <w:r w:rsidR="00650B29" w:rsidRPr="00A244AE">
        <w:rPr>
          <w:lang w:val="ro-RO" w:eastAsia="en-US"/>
        </w:rPr>
        <w:t>din Legea nr. 139/2018 cu privire la eficiența energetică</w:t>
      </w:r>
      <w:r w:rsidR="00787D43" w:rsidRPr="00A244AE">
        <w:rPr>
          <w:lang w:val="ro-RO" w:eastAsia="en-US"/>
        </w:rPr>
        <w:t xml:space="preserve">, </w:t>
      </w:r>
      <w:r w:rsidR="003C61AE" w:rsidRPr="00A244AE">
        <w:rPr>
          <w:lang w:val="ro-RO" w:eastAsia="en-US"/>
        </w:rPr>
        <w:t xml:space="preserve">măsurile de eficiență energetică și de valorificare a surselor </w:t>
      </w:r>
      <w:r w:rsidR="00310524" w:rsidRPr="00A244AE">
        <w:rPr>
          <w:lang w:val="ro-RO" w:eastAsia="en-US"/>
        </w:rPr>
        <w:t>regenerabile de energie, și sectorul</w:t>
      </w:r>
      <w:r w:rsidR="00F01BFD" w:rsidRPr="00A244AE">
        <w:rPr>
          <w:lang w:val="ro-RO" w:eastAsia="en-US"/>
        </w:rPr>
        <w:t>/sectoarele</w:t>
      </w:r>
      <w:r w:rsidR="00310524" w:rsidRPr="00A244AE">
        <w:rPr>
          <w:lang w:val="ro-RO" w:eastAsia="en-US"/>
        </w:rPr>
        <w:t xml:space="preserve"> în </w:t>
      </w:r>
      <w:r w:rsidR="00F01BFD" w:rsidRPr="00A244AE">
        <w:rPr>
          <w:lang w:val="ro-RO" w:eastAsia="en-US"/>
        </w:rPr>
        <w:t>care acestea vor fi implementate</w:t>
      </w:r>
      <w:r w:rsidR="0002003D" w:rsidRPr="00A244AE">
        <w:rPr>
          <w:lang w:val="ro-RO" w:eastAsia="en-US"/>
        </w:rPr>
        <w:t>, în mii tone echivalent petrol (</w:t>
      </w:r>
      <w:proofErr w:type="spellStart"/>
      <w:r w:rsidR="0002003D" w:rsidRPr="00A244AE">
        <w:rPr>
          <w:lang w:val="ro-RO" w:eastAsia="en-US"/>
        </w:rPr>
        <w:t>ktep</w:t>
      </w:r>
      <w:proofErr w:type="spellEnd"/>
      <w:r w:rsidR="0002003D" w:rsidRPr="00A244AE">
        <w:rPr>
          <w:lang w:val="ro-RO" w:eastAsia="en-US"/>
        </w:rPr>
        <w:t>)</w:t>
      </w:r>
      <w:r w:rsidR="00FE4A33" w:rsidRPr="00A244AE">
        <w:rPr>
          <w:bCs/>
          <w:lang w:val="ro-RO"/>
        </w:rPr>
        <w:t>;</w:t>
      </w:r>
    </w:p>
    <w:p w14:paraId="593B0CF4" w14:textId="54F4756C" w:rsidR="003761F2" w:rsidRPr="00A244AE" w:rsidRDefault="00845D58" w:rsidP="00373F58">
      <w:pPr>
        <w:pStyle w:val="a7"/>
        <w:spacing w:before="120" w:beforeAutospacing="0" w:after="120" w:afterAutospacing="0" w:line="276" w:lineRule="auto"/>
        <w:jc w:val="both"/>
        <w:rPr>
          <w:lang w:val="ro-RO" w:eastAsia="en-US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lang w:val="ro-RO"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s,t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ro-RO"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 w:eastAsia="en-US"/>
                  </w:rPr>
                  <m:t>lei</m:t>
                </m:r>
                <m:ctrlPr>
                  <w:rPr>
                    <w:rFonts w:ascii="Cambria Math" w:hAnsi="Cambria Math"/>
                    <w:b/>
                    <w:i/>
                    <w:lang w:val="ro-RO" w:eastAsia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ro-RO" w:eastAsia="en-US"/>
                  </w:rPr>
                  <m:t>ktep</m:t>
                </m:r>
              </m:den>
            </m:f>
          </m:sup>
        </m:sSubSup>
      </m:oMath>
      <w:r w:rsidR="00FE4A33" w:rsidRPr="00A244AE">
        <w:rPr>
          <w:bCs/>
          <w:lang w:val="ro-RO"/>
        </w:rPr>
        <w:t xml:space="preserve"> </w:t>
      </w:r>
      <w:r w:rsidR="00037C80" w:rsidRPr="00A244AE">
        <w:rPr>
          <w:bCs/>
          <w:lang w:val="ro-RO" w:eastAsia="en-US"/>
        </w:rPr>
        <w:t xml:space="preserve">– </w:t>
      </w:r>
      <w:r w:rsidR="000A17A2" w:rsidRPr="00A244AE">
        <w:rPr>
          <w:bCs/>
          <w:lang w:val="ro-RO"/>
        </w:rPr>
        <w:t xml:space="preserve">cheltuielile specifice </w:t>
      </w:r>
      <w:r w:rsidR="00DD4FB1" w:rsidRPr="00A244AE">
        <w:rPr>
          <w:bCs/>
          <w:lang w:val="ro-RO"/>
        </w:rPr>
        <w:t>medii</w:t>
      </w:r>
      <w:r w:rsidR="00DD0235" w:rsidRPr="00A244AE">
        <w:rPr>
          <w:bCs/>
          <w:lang w:val="ro-RO"/>
        </w:rPr>
        <w:t xml:space="preserve"> </w:t>
      </w:r>
      <w:r w:rsidR="0047474B" w:rsidRPr="00A244AE">
        <w:rPr>
          <w:bCs/>
          <w:lang w:val="ro-RO"/>
        </w:rPr>
        <w:t xml:space="preserve">estimate </w:t>
      </w:r>
      <w:r w:rsidR="00A8264A" w:rsidRPr="00A244AE">
        <w:rPr>
          <w:bCs/>
          <w:lang w:val="ro-RO"/>
        </w:rPr>
        <w:t>pentru realizarea 1</w:t>
      </w:r>
      <w:r w:rsidR="009F2DE1" w:rsidRPr="00A244AE">
        <w:rPr>
          <w:bCs/>
          <w:lang w:val="ro-RO"/>
        </w:rPr>
        <w:t xml:space="preserve"> </w:t>
      </w:r>
      <w:proofErr w:type="spellStart"/>
      <w:r w:rsidR="00A8264A" w:rsidRPr="00A244AE">
        <w:rPr>
          <w:bCs/>
          <w:lang w:val="ro-RO"/>
        </w:rPr>
        <w:t>ktep</w:t>
      </w:r>
      <w:proofErr w:type="spellEnd"/>
      <w:r w:rsidR="00A8264A" w:rsidRPr="00A244AE">
        <w:rPr>
          <w:bCs/>
          <w:lang w:val="ro-RO"/>
        </w:rPr>
        <w:t xml:space="preserve"> </w:t>
      </w:r>
      <w:r w:rsidR="00301723" w:rsidRPr="00A244AE">
        <w:rPr>
          <w:bCs/>
          <w:lang w:val="ro-RO"/>
        </w:rPr>
        <w:t xml:space="preserve">economii de energie </w:t>
      </w:r>
      <w:r w:rsidR="00B02280" w:rsidRPr="00A244AE">
        <w:rPr>
          <w:lang w:val="ro-RO"/>
        </w:rPr>
        <w:t>în anul calendaristic „</w:t>
      </w:r>
      <w:r w:rsidR="00B02280" w:rsidRPr="00A244AE">
        <w:rPr>
          <w:i/>
          <w:iCs/>
          <w:lang w:val="ro-RO"/>
        </w:rPr>
        <w:t>t</w:t>
      </w:r>
      <w:r w:rsidR="00B02280" w:rsidRPr="00A244AE">
        <w:rPr>
          <w:lang w:val="ro-RO"/>
        </w:rPr>
        <w:t xml:space="preserve">”, </w:t>
      </w:r>
      <w:r w:rsidR="00301723" w:rsidRPr="00A244AE">
        <w:rPr>
          <w:bCs/>
          <w:lang w:val="ro-RO"/>
        </w:rPr>
        <w:t xml:space="preserve">prin </w:t>
      </w:r>
      <w:r w:rsidR="00232240" w:rsidRPr="00A244AE">
        <w:rPr>
          <w:lang w:val="ro-RO"/>
        </w:rPr>
        <w:t>implementarea măsurilor de eficiență energetică</w:t>
      </w:r>
      <w:r w:rsidR="00CE276A" w:rsidRPr="00A244AE">
        <w:rPr>
          <w:lang w:val="ro-RO"/>
        </w:rPr>
        <w:t xml:space="preserve"> </w:t>
      </w:r>
      <w:r w:rsidR="00A75C50" w:rsidRPr="00A244AE">
        <w:rPr>
          <w:lang w:val="ro-RO" w:eastAsia="en-US"/>
        </w:rPr>
        <w:t xml:space="preserve">și de valorificare a surselor regenerabile de energie </w:t>
      </w:r>
      <w:r w:rsidR="00CE276A" w:rsidRPr="00A244AE">
        <w:rPr>
          <w:lang w:val="ro-RO"/>
        </w:rPr>
        <w:t xml:space="preserve">pe durata </w:t>
      </w:r>
      <w:r w:rsidR="004D564A" w:rsidRPr="00A244AE">
        <w:rPr>
          <w:lang w:val="ro-RO" w:eastAsia="en-US"/>
        </w:rPr>
        <w:t xml:space="preserve">Programului privind </w:t>
      </w:r>
      <w:r w:rsidR="00251C42" w:rsidRPr="00A244AE">
        <w:rPr>
          <w:lang w:val="ro-RO" w:eastAsia="en-US"/>
        </w:rPr>
        <w:t>SOEE</w:t>
      </w:r>
      <w:r w:rsidR="00232240" w:rsidRPr="00A244AE">
        <w:rPr>
          <w:lang w:val="ro-RO"/>
        </w:rPr>
        <w:t xml:space="preserve">, </w:t>
      </w:r>
      <w:r w:rsidR="00EA308A" w:rsidRPr="00A244AE">
        <w:rPr>
          <w:lang w:val="ro-RO"/>
        </w:rPr>
        <w:t xml:space="preserve">determinate de </w:t>
      </w:r>
      <w:r w:rsidR="00045467" w:rsidRPr="00A244AE">
        <w:rPr>
          <w:lang w:val="ro-RO"/>
        </w:rPr>
        <w:t>c</w:t>
      </w:r>
      <w:r w:rsidR="00EA308A" w:rsidRPr="00A244AE">
        <w:rPr>
          <w:lang w:val="ro-RO"/>
        </w:rPr>
        <w:t>ătre</w:t>
      </w:r>
      <w:r w:rsidR="00587EAA" w:rsidRPr="00A244AE">
        <w:rPr>
          <w:lang w:val="ro-RO" w:eastAsia="en-US"/>
        </w:rPr>
        <w:t xml:space="preserve"> organul central de specialitate al administrației publice în domeniul energeticii</w:t>
      </w:r>
      <w:r w:rsidR="00763FDE" w:rsidRPr="00A244AE">
        <w:rPr>
          <w:lang w:val="ro-RO" w:eastAsia="en-US"/>
        </w:rPr>
        <w:t>,</w:t>
      </w:r>
      <w:r w:rsidR="00587EAA" w:rsidRPr="00A244AE">
        <w:rPr>
          <w:lang w:val="ro-RO" w:eastAsia="en-US"/>
        </w:rPr>
        <w:t xml:space="preserve"> </w:t>
      </w:r>
      <w:r w:rsidR="00763FDE" w:rsidRPr="00A244AE">
        <w:rPr>
          <w:lang w:val="ro-RO" w:eastAsia="en-US"/>
        </w:rPr>
        <w:t>cu asistența instituției publice de suport</w:t>
      </w:r>
      <w:r w:rsidR="004319E0" w:rsidRPr="00A244AE">
        <w:rPr>
          <w:lang w:val="ro-RO" w:eastAsia="en-US"/>
        </w:rPr>
        <w:t>, în lei/</w:t>
      </w:r>
      <w:proofErr w:type="spellStart"/>
      <w:r w:rsidR="004319E0" w:rsidRPr="00A244AE">
        <w:rPr>
          <w:lang w:val="ro-RO" w:eastAsia="en-US"/>
        </w:rPr>
        <w:t>ktep</w:t>
      </w:r>
      <w:proofErr w:type="spellEnd"/>
      <w:r w:rsidR="00735C1C" w:rsidRPr="00A244AE">
        <w:rPr>
          <w:lang w:val="ro-RO" w:eastAsia="en-US"/>
        </w:rPr>
        <w:t>;</w:t>
      </w:r>
    </w:p>
    <w:p w14:paraId="4B450A45" w14:textId="40034016" w:rsidR="00735C1C" w:rsidRPr="00A244AE" w:rsidRDefault="00845D58" w:rsidP="00373F58">
      <w:pPr>
        <w:pStyle w:val="a7"/>
        <w:spacing w:before="120" w:beforeAutospacing="0" w:after="120" w:afterAutospacing="0" w:line="276" w:lineRule="auto"/>
        <w:jc w:val="both"/>
        <w:rPr>
          <w:lang w:val="ro-RO" w:eastAsia="en-US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lang w:val="ro-RO"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GD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SOEE</m:t>
            </m:r>
          </m:sup>
        </m:sSubSup>
      </m:oMath>
      <w:r w:rsidR="00037C80" w:rsidRPr="00A244AE">
        <w:rPr>
          <w:bCs/>
          <w:lang w:val="ro-RO" w:eastAsia="en-US"/>
        </w:rPr>
        <w:t xml:space="preserve"> –</w:t>
      </w:r>
      <w:r w:rsidR="004C05FB" w:rsidRPr="00A244AE">
        <w:rPr>
          <w:lang w:val="ro-RO"/>
        </w:rPr>
        <w:t xml:space="preserve"> valoarea </w:t>
      </w:r>
      <w:r w:rsidR="002F7E51" w:rsidRPr="00A244AE">
        <w:rPr>
          <w:lang w:val="ro-RO"/>
        </w:rPr>
        <w:t xml:space="preserve">resurselor financiare din surse externe, </w:t>
      </w:r>
      <w:r w:rsidR="004B1B3B" w:rsidRPr="00A244AE">
        <w:rPr>
          <w:lang w:val="ro-RO"/>
        </w:rPr>
        <w:t>atrase în anul calendaristic „</w:t>
      </w:r>
      <w:r w:rsidR="004B1B3B" w:rsidRPr="00A244AE">
        <w:rPr>
          <w:i/>
          <w:iCs/>
          <w:lang w:val="ro-RO"/>
        </w:rPr>
        <w:t>t</w:t>
      </w:r>
      <w:r w:rsidR="004B1B3B" w:rsidRPr="00A244AE">
        <w:rPr>
          <w:lang w:val="ro-RO"/>
        </w:rPr>
        <w:t>”</w:t>
      </w:r>
      <w:r w:rsidR="00A71369" w:rsidRPr="00A244AE">
        <w:rPr>
          <w:lang w:val="ro-RO"/>
        </w:rPr>
        <w:t xml:space="preserve">, </w:t>
      </w:r>
      <w:r w:rsidR="002F7E51" w:rsidRPr="00A244AE">
        <w:rPr>
          <w:lang w:val="ro-RO"/>
        </w:rPr>
        <w:t xml:space="preserve">sub formă de donații sau granturi în calitate de contribuții financiare pentru </w:t>
      </w:r>
      <w:r w:rsidR="00BA0008" w:rsidRPr="00A244AE">
        <w:rPr>
          <w:lang w:val="ro-RO"/>
        </w:rPr>
        <w:t xml:space="preserve">totalul </w:t>
      </w:r>
      <w:r w:rsidR="002F7E51" w:rsidRPr="00A244AE">
        <w:rPr>
          <w:lang w:val="ro-RO"/>
        </w:rPr>
        <w:t>cheltuielil</w:t>
      </w:r>
      <w:r w:rsidR="00BA0008" w:rsidRPr="00A244AE">
        <w:rPr>
          <w:lang w:val="ro-RO"/>
        </w:rPr>
        <w:t>or</w:t>
      </w:r>
      <w:r w:rsidR="002F7E51" w:rsidRPr="00A244AE">
        <w:rPr>
          <w:lang w:val="ro-RO"/>
        </w:rPr>
        <w:t xml:space="preserve"> necesare pentru măsurile de eficiență energetică și de valorificare a surselor regenerabile de energie ce urmează a fi întreprinse în scopul realizării noilor economii anuale de energie</w:t>
      </w:r>
      <w:r w:rsidR="002F7E51" w:rsidRPr="00A244AE">
        <w:rPr>
          <w:lang w:val="ro-RO" w:eastAsia="en-US"/>
        </w:rPr>
        <w:t xml:space="preserve"> stabilite în cadrul schemei de obligații de eficiență energetică</w:t>
      </w:r>
      <w:r w:rsidR="00E60AAE" w:rsidRPr="00A244AE">
        <w:rPr>
          <w:lang w:val="ro-RO" w:eastAsia="en-US"/>
        </w:rPr>
        <w:t>, în lei;</w:t>
      </w:r>
    </w:p>
    <w:p w14:paraId="7199E860" w14:textId="3E0DF94C" w:rsidR="00E60AAE" w:rsidRPr="00A244AE" w:rsidRDefault="00D52FD8" w:rsidP="00373F58">
      <w:pPr>
        <w:pStyle w:val="a7"/>
        <w:spacing w:before="120" w:beforeAutospacing="0" w:after="120" w:afterAutospacing="0" w:line="276" w:lineRule="auto"/>
        <w:jc w:val="both"/>
        <w:rPr>
          <w:lang w:val="ro-RO" w:eastAsia="en-US"/>
        </w:rPr>
      </w:pPr>
      <m:oMath>
        <m:r>
          <m:rPr>
            <m:sty m:val="bi"/>
          </m:rPr>
          <w:rPr>
            <w:rFonts w:ascii="Cambria Math" w:hAnsi="Cambria Math"/>
            <w:lang w:val="ro-RO"/>
          </w:rPr>
          <m:t>nR</m:t>
        </m:r>
      </m:oMath>
      <w:r w:rsidR="003453F2" w:rsidRPr="00A244AE">
        <w:rPr>
          <w:bCs/>
          <w:lang w:val="ro-RO" w:eastAsia="en-US"/>
        </w:rPr>
        <w:t xml:space="preserve"> </w:t>
      </w:r>
      <w:r w:rsidR="00012FFF" w:rsidRPr="00A244AE">
        <w:rPr>
          <w:bCs/>
          <w:lang w:val="ro-RO" w:eastAsia="en-US"/>
        </w:rPr>
        <w:t>–</w:t>
      </w:r>
      <w:r w:rsidR="00012FFF" w:rsidRPr="00A244AE">
        <w:rPr>
          <w:lang w:val="ro-RO"/>
        </w:rPr>
        <w:t xml:space="preserve"> ponderea </w:t>
      </w:r>
      <w:r w:rsidR="0005483B" w:rsidRPr="00A244AE">
        <w:rPr>
          <w:lang w:val="ro-RO"/>
        </w:rPr>
        <w:t xml:space="preserve">componentei </w:t>
      </w:r>
      <w:r w:rsidR="00126AB2" w:rsidRPr="00A244AE">
        <w:rPr>
          <w:lang w:val="ro-RO"/>
        </w:rPr>
        <w:t>cheltuielilor</w:t>
      </w:r>
      <w:r w:rsidR="002511A1" w:rsidRPr="00A244AE">
        <w:rPr>
          <w:lang w:val="ro-RO"/>
        </w:rPr>
        <w:t xml:space="preserve"> </w:t>
      </w:r>
      <w:r w:rsidRPr="00A244AE">
        <w:rPr>
          <w:lang w:val="ro-RO"/>
        </w:rPr>
        <w:t xml:space="preserve">nerambursabile </w:t>
      </w:r>
      <w:r w:rsidR="000C63A2" w:rsidRPr="00A244AE">
        <w:rPr>
          <w:lang w:val="ro-RO"/>
        </w:rPr>
        <w:t xml:space="preserve">stabilită în condițiile de finanțare </w:t>
      </w:r>
      <w:r w:rsidR="004774E8" w:rsidRPr="00A244AE">
        <w:rPr>
          <w:lang w:val="ro-RO"/>
        </w:rPr>
        <w:t>ale</w:t>
      </w:r>
      <w:r w:rsidR="000C63A2" w:rsidRPr="00A244AE">
        <w:rPr>
          <w:lang w:val="ro-RO"/>
        </w:rPr>
        <w:t xml:space="preserve"> </w:t>
      </w:r>
      <w:r w:rsidR="00E42053" w:rsidRPr="00A244AE">
        <w:rPr>
          <w:lang w:val="ro-RO"/>
        </w:rPr>
        <w:t>proiectelor</w:t>
      </w:r>
      <w:r w:rsidR="00D32ED5" w:rsidRPr="00A244AE">
        <w:rPr>
          <w:lang w:val="ro-RO" w:eastAsia="en-US"/>
        </w:rPr>
        <w:t xml:space="preserve">, în </w:t>
      </w:r>
      <w:r w:rsidR="00843740" w:rsidRPr="00A244AE">
        <w:rPr>
          <w:lang w:val="ro-RO" w:eastAsia="en-US"/>
        </w:rPr>
        <w:t>%</w:t>
      </w:r>
      <w:r w:rsidR="00A65A5E" w:rsidRPr="00A244AE">
        <w:rPr>
          <w:lang w:val="ro-RO" w:eastAsia="en-US"/>
        </w:rPr>
        <w:t>.</w:t>
      </w:r>
    </w:p>
    <w:p w14:paraId="70D9F728" w14:textId="2057F428" w:rsidR="00496C90" w:rsidRPr="00A244AE" w:rsidRDefault="007D23BA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 w:eastAsia="en-US"/>
        </w:rPr>
      </w:pPr>
      <w:r w:rsidRPr="00A244AE">
        <w:rPr>
          <w:lang w:val="ro-RO" w:eastAsia="en-US"/>
        </w:rPr>
        <w:t>Valoarea cheltuielilor</w:t>
      </w:r>
      <w:r w:rsidR="005B19E6" w:rsidRPr="00A244AE">
        <w:rPr>
          <w:lang w:val="ro-RO" w:eastAsia="en-US"/>
        </w:rPr>
        <w:t xml:space="preserve"> </w:t>
      </w:r>
      <w:r w:rsidR="00124EE4" w:rsidRPr="00A244AE">
        <w:rPr>
          <w:lang w:val="ro-RO" w:eastAsia="en-US"/>
        </w:rPr>
        <w:t xml:space="preserve">specifice 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s,t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ro-RO"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 w:eastAsia="en-US"/>
                  </w:rPr>
                  <m:t>lei</m:t>
                </m:r>
                <m:ctrlPr>
                  <w:rPr>
                    <w:rFonts w:ascii="Cambria Math" w:hAnsi="Cambria Math"/>
                    <w:b/>
                    <w:i/>
                    <w:lang w:val="ro-RO" w:eastAsia="en-US"/>
                  </w:rPr>
                </m:ctrlP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ro-RO" w:eastAsia="en-US"/>
                  </w:rPr>
                  <m:t>ktep</m:t>
                </m:r>
              </m:den>
            </m:f>
          </m:sup>
        </m:sSubSup>
      </m:oMath>
      <w:r w:rsidR="00E972F4" w:rsidRPr="00A244AE">
        <w:rPr>
          <w:bCs/>
          <w:lang w:val="ro-RO" w:eastAsia="en-US"/>
        </w:rPr>
        <w:t xml:space="preserve"> </w:t>
      </w:r>
      <w:r w:rsidRPr="00A244AE">
        <w:rPr>
          <w:bCs/>
          <w:lang w:val="ro-RO" w:eastAsia="en-US"/>
        </w:rPr>
        <w:t>este revizuită</w:t>
      </w:r>
      <w:r w:rsidR="00347B01" w:rsidRPr="00A244AE">
        <w:rPr>
          <w:bCs/>
          <w:lang w:val="ro-RO" w:eastAsia="en-US"/>
        </w:rPr>
        <w:t>, la necesitate,</w:t>
      </w:r>
      <w:r w:rsidRPr="00A244AE">
        <w:rPr>
          <w:bCs/>
          <w:lang w:val="ro-RO" w:eastAsia="en-US"/>
        </w:rPr>
        <w:t xml:space="preserve"> de către organul central de </w:t>
      </w:r>
      <w:r w:rsidRPr="00A244AE">
        <w:rPr>
          <w:lang w:val="ro-RO" w:eastAsia="en-US"/>
        </w:rPr>
        <w:t>specialitate</w:t>
      </w:r>
      <w:r w:rsidRPr="00A244AE">
        <w:rPr>
          <w:bCs/>
          <w:lang w:val="ro-RO" w:eastAsia="en-US"/>
        </w:rPr>
        <w:t xml:space="preserve"> al administrației publice în domeniul energeticii</w:t>
      </w:r>
      <w:r w:rsidR="00B55E86" w:rsidRPr="00A244AE">
        <w:rPr>
          <w:lang w:val="ro-RO" w:eastAsia="en-US"/>
        </w:rPr>
        <w:t>, cu asistența instituției publice de suport</w:t>
      </w:r>
      <w:r w:rsidRPr="00A244AE">
        <w:rPr>
          <w:lang w:val="ro-RO" w:eastAsia="en-US"/>
        </w:rPr>
        <w:t xml:space="preserve"> în</w:t>
      </w:r>
      <w:r w:rsidR="00F770D9" w:rsidRPr="00A244AE">
        <w:rPr>
          <w:bCs/>
          <w:lang w:val="ro-RO" w:eastAsia="en-US"/>
        </w:rPr>
        <w:t xml:space="preserve"> funcție de evoluția costurilor și </w:t>
      </w:r>
      <w:r w:rsidR="009367D0" w:rsidRPr="00A244AE">
        <w:rPr>
          <w:bCs/>
          <w:lang w:val="ro-RO" w:eastAsia="en-US"/>
        </w:rPr>
        <w:t>progresele tehnologice</w:t>
      </w:r>
      <w:r w:rsidR="00F63C78" w:rsidRPr="00A244AE">
        <w:rPr>
          <w:bCs/>
          <w:lang w:val="ro-RO" w:eastAsia="en-US"/>
        </w:rPr>
        <w:t xml:space="preserve">, și </w:t>
      </w:r>
      <w:r w:rsidR="007301D1" w:rsidRPr="00A244AE">
        <w:rPr>
          <w:bCs/>
          <w:lang w:val="ro-RO" w:eastAsia="en-US"/>
        </w:rPr>
        <w:t xml:space="preserve">este luată în considerare la elaborarea și actualizarea Programului privind </w:t>
      </w:r>
      <w:r w:rsidR="00014246" w:rsidRPr="00A244AE">
        <w:rPr>
          <w:bCs/>
          <w:lang w:val="ro-RO" w:eastAsia="en-US"/>
        </w:rPr>
        <w:t>SOEE</w:t>
      </w:r>
      <w:r w:rsidR="009367D0" w:rsidRPr="00A244AE">
        <w:rPr>
          <w:bCs/>
          <w:lang w:val="ro-RO" w:eastAsia="en-US"/>
        </w:rPr>
        <w:t>.</w:t>
      </w:r>
    </w:p>
    <w:p w14:paraId="57F7C7BA" w14:textId="77777777" w:rsidR="00B838AA" w:rsidRPr="00A244AE" w:rsidRDefault="00B838AA" w:rsidP="00B838AA">
      <w:pPr>
        <w:pStyle w:val="a3"/>
        <w:spacing w:before="120" w:line="276" w:lineRule="auto"/>
        <w:ind w:left="0"/>
        <w:contextualSpacing w:val="0"/>
        <w:jc w:val="both"/>
        <w:rPr>
          <w:bCs/>
          <w:lang w:val="ro-RO" w:eastAsia="en-US"/>
        </w:rPr>
      </w:pPr>
    </w:p>
    <w:p w14:paraId="7BEB2C4A" w14:textId="77777777" w:rsidR="00B838AA" w:rsidRPr="00A244AE" w:rsidRDefault="00B838AA" w:rsidP="00B838AA">
      <w:pPr>
        <w:pStyle w:val="a3"/>
        <w:spacing w:before="120" w:line="276" w:lineRule="auto"/>
        <w:ind w:left="0"/>
        <w:contextualSpacing w:val="0"/>
        <w:jc w:val="both"/>
        <w:rPr>
          <w:bCs/>
          <w:lang w:val="ro-RO" w:eastAsia="en-US"/>
        </w:rPr>
      </w:pPr>
    </w:p>
    <w:p w14:paraId="4392F93A" w14:textId="77777777" w:rsidR="00B838AA" w:rsidRPr="00A244AE" w:rsidRDefault="00B838AA" w:rsidP="00B838AA">
      <w:pPr>
        <w:pStyle w:val="a3"/>
        <w:spacing w:before="120" w:line="276" w:lineRule="auto"/>
        <w:ind w:left="0"/>
        <w:contextualSpacing w:val="0"/>
        <w:jc w:val="both"/>
        <w:rPr>
          <w:lang w:val="ro-RO" w:eastAsia="en-US"/>
        </w:rPr>
      </w:pPr>
    </w:p>
    <w:p w14:paraId="58255D72" w14:textId="5EA366AF" w:rsidR="00F56B2E" w:rsidRPr="00A244AE" w:rsidRDefault="00F56B2E" w:rsidP="00404E25">
      <w:pPr>
        <w:tabs>
          <w:tab w:val="left" w:pos="0"/>
        </w:tabs>
        <w:spacing w:line="276" w:lineRule="auto"/>
        <w:jc w:val="center"/>
        <w:rPr>
          <w:b/>
          <w:bCs/>
          <w:lang w:val="en-US"/>
        </w:rPr>
      </w:pPr>
      <w:r w:rsidRPr="00A244AE">
        <w:rPr>
          <w:b/>
          <w:bCs/>
          <w:lang w:val="ro-RO"/>
        </w:rPr>
        <w:t xml:space="preserve">Secțiunea </w:t>
      </w:r>
      <w:r w:rsidR="00AD5792" w:rsidRPr="00A244AE">
        <w:rPr>
          <w:b/>
          <w:bCs/>
          <w:lang w:val="ro-RO"/>
        </w:rPr>
        <w:t>3</w:t>
      </w:r>
    </w:p>
    <w:p w14:paraId="4F0D84DD" w14:textId="15062941" w:rsidR="00D744F1" w:rsidRPr="00A244AE" w:rsidRDefault="00404E25" w:rsidP="00404E25">
      <w:pPr>
        <w:tabs>
          <w:tab w:val="left" w:pos="0"/>
        </w:tabs>
        <w:spacing w:line="276" w:lineRule="auto"/>
        <w:jc w:val="center"/>
        <w:rPr>
          <w:b/>
          <w:bCs/>
          <w:lang w:val="en-US"/>
        </w:rPr>
      </w:pPr>
      <w:r w:rsidRPr="00A244AE">
        <w:rPr>
          <w:b/>
          <w:bCs/>
          <w:lang w:val="ro-RO" w:eastAsia="en-US"/>
        </w:rPr>
        <w:t xml:space="preserve">DETERMINAREA </w:t>
      </w:r>
      <w:r w:rsidR="00F712AB" w:rsidRPr="00A244AE">
        <w:rPr>
          <w:b/>
          <w:bCs/>
          <w:lang w:val="ro-RO" w:eastAsia="en-US"/>
        </w:rPr>
        <w:t>CANTITĂȚII</w:t>
      </w:r>
      <w:r w:rsidRPr="00A244AE">
        <w:rPr>
          <w:b/>
          <w:bCs/>
          <w:lang w:val="ro-RO" w:eastAsia="en-US"/>
        </w:rPr>
        <w:t xml:space="preserve"> ECONOMIILOR DE ENERGIE</w:t>
      </w:r>
      <w:r w:rsidR="00C9774B" w:rsidRPr="00A244AE">
        <w:rPr>
          <w:b/>
          <w:bCs/>
          <w:lang w:val="ro-RO" w:eastAsia="en-US"/>
        </w:rPr>
        <w:br/>
      </w:r>
      <w:r w:rsidRPr="00A244AE">
        <w:rPr>
          <w:b/>
          <w:bCs/>
          <w:lang w:val="ro-RO" w:eastAsia="en-US"/>
        </w:rPr>
        <w:t>LA CARE TREBUIE SĂ CONTRIBUIE FIECARE PARTE OBLIGATĂ</w:t>
      </w:r>
    </w:p>
    <w:p w14:paraId="54AEEE99" w14:textId="07D8381D" w:rsidR="00D744F1" w:rsidRPr="00A244AE" w:rsidRDefault="00520E27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jc w:val="both"/>
        <w:rPr>
          <w:lang w:val="ro-RO" w:eastAsia="en-US"/>
        </w:rPr>
      </w:pPr>
      <w:r w:rsidRPr="00A244AE">
        <w:rPr>
          <w:lang w:val="ro-RO" w:eastAsia="en-US"/>
        </w:rPr>
        <w:t>Cantitatea</w:t>
      </w:r>
      <w:r w:rsidR="00D744F1" w:rsidRPr="00A244AE">
        <w:rPr>
          <w:lang w:val="ro-RO" w:eastAsia="en-US"/>
        </w:rPr>
        <w:t xml:space="preserve"> economiilor</w:t>
      </w:r>
      <w:r w:rsidR="00D3073D" w:rsidRPr="00A244AE">
        <w:rPr>
          <w:lang w:val="ro-RO" w:eastAsia="en-US"/>
        </w:rPr>
        <w:t xml:space="preserve"> </w:t>
      </w:r>
      <w:r w:rsidR="00361A4D">
        <w:rPr>
          <w:lang w:val="ro-RO" w:eastAsia="en-US"/>
        </w:rPr>
        <w:t xml:space="preserve">noi </w:t>
      </w:r>
      <w:r w:rsidR="00D3073D" w:rsidRPr="00A244AE">
        <w:rPr>
          <w:lang w:val="ro-RO" w:eastAsia="en-US"/>
        </w:rPr>
        <w:t>anuale</w:t>
      </w:r>
      <w:r w:rsidR="00D744F1" w:rsidRPr="00A244AE">
        <w:rPr>
          <w:lang w:val="ro-RO" w:eastAsia="en-US"/>
        </w:rPr>
        <w:t xml:space="preserve"> d</w:t>
      </w:r>
      <w:r w:rsidR="00FC58CB" w:rsidRPr="00A244AE">
        <w:rPr>
          <w:lang w:val="ro-RO" w:eastAsia="en-US"/>
        </w:rPr>
        <w:t>e energie, la a căror realizare</w:t>
      </w:r>
      <w:r w:rsidR="00446C62" w:rsidRPr="00A244AE">
        <w:rPr>
          <w:lang w:val="ro-RO" w:eastAsia="en-US"/>
        </w:rPr>
        <w:t xml:space="preserve"> trebuie să contribuie </w:t>
      </w:r>
      <w:r w:rsidR="00D744F1" w:rsidRPr="00A244AE">
        <w:rPr>
          <w:lang w:val="ro-RO" w:eastAsia="en-US"/>
        </w:rPr>
        <w:t xml:space="preserve">fiecare parte obligată </w:t>
      </w:r>
      <w:r w:rsidR="00E83FB1" w:rsidRPr="00A244AE">
        <w:rPr>
          <w:lang w:val="ro-RO" w:eastAsia="en-US"/>
        </w:rPr>
        <w:t xml:space="preserve">pentru realizarea cantității totale </w:t>
      </w:r>
      <w:r w:rsidR="003F0AC9" w:rsidRPr="00A244AE">
        <w:rPr>
          <w:lang w:val="ro-RO" w:eastAsia="en-US"/>
        </w:rPr>
        <w:t xml:space="preserve">anuale </w:t>
      </w:r>
      <w:r w:rsidR="00E83FB1" w:rsidRPr="00A244AE">
        <w:rPr>
          <w:lang w:val="ro-RO" w:eastAsia="en-US"/>
        </w:rPr>
        <w:t>a economiilor de energie</w:t>
      </w:r>
      <w:r w:rsidR="00446C62" w:rsidRPr="00A244AE">
        <w:rPr>
          <w:lang w:val="ro-RO" w:eastAsia="en-US"/>
        </w:rPr>
        <w:t xml:space="preserve">, se determină </w:t>
      </w:r>
      <w:r w:rsidRPr="00A244AE">
        <w:rPr>
          <w:lang w:val="ro-RO" w:eastAsia="en-US"/>
        </w:rPr>
        <w:t xml:space="preserve">reieșind </w:t>
      </w:r>
      <w:r w:rsidR="00134653" w:rsidRPr="00A244AE">
        <w:rPr>
          <w:lang w:val="ro-RO" w:eastAsia="en-US"/>
        </w:rPr>
        <w:t xml:space="preserve">din </w:t>
      </w:r>
      <w:r w:rsidRPr="00A244AE">
        <w:rPr>
          <w:lang w:val="ro-RO" w:eastAsia="en-US"/>
        </w:rPr>
        <w:t xml:space="preserve">ponderea luată în calcul a </w:t>
      </w:r>
      <w:r w:rsidR="009D4346" w:rsidRPr="00A244AE">
        <w:rPr>
          <w:lang w:val="ro-RO" w:eastAsia="en-US"/>
        </w:rPr>
        <w:t>valori</w:t>
      </w:r>
      <w:r w:rsidR="00DF09B9" w:rsidRPr="00A244AE">
        <w:rPr>
          <w:lang w:val="ro-RO" w:eastAsia="en-US"/>
        </w:rPr>
        <w:t>lor</w:t>
      </w:r>
      <w:r w:rsidR="009D4346" w:rsidRPr="00A244AE">
        <w:rPr>
          <w:lang w:val="ro-RO" w:eastAsia="en-US"/>
        </w:rPr>
        <w:t xml:space="preserve"> </w:t>
      </w:r>
      <w:r w:rsidR="00275753" w:rsidRPr="00A244AE">
        <w:rPr>
          <w:lang w:val="ro-RO" w:eastAsia="en-US"/>
        </w:rPr>
        <w:t xml:space="preserve">medii pentru perioada de 3 ani anterioară datei de 1 ianuarie </w:t>
      </w:r>
      <w:r w:rsidR="006E72EC" w:rsidRPr="00A244AE">
        <w:rPr>
          <w:lang w:val="ro-RO" w:eastAsia="en-US"/>
        </w:rPr>
        <w:t xml:space="preserve">2022 </w:t>
      </w:r>
      <w:r w:rsidR="002360F6" w:rsidRPr="00A244AE">
        <w:rPr>
          <w:lang w:val="ro-RO" w:eastAsia="en-US"/>
        </w:rPr>
        <w:t xml:space="preserve">a </w:t>
      </w:r>
      <w:r w:rsidRPr="00A244AE">
        <w:rPr>
          <w:lang w:val="ro-RO" w:eastAsia="en-US"/>
        </w:rPr>
        <w:t xml:space="preserve">consumului </w:t>
      </w:r>
      <w:r w:rsidR="007274AE" w:rsidRPr="00A244AE">
        <w:rPr>
          <w:lang w:val="ro-RO" w:eastAsia="en-US"/>
        </w:rPr>
        <w:t xml:space="preserve">final </w:t>
      </w:r>
      <w:r w:rsidRPr="00A244AE">
        <w:rPr>
          <w:lang w:val="ro-RO" w:eastAsia="en-US"/>
        </w:rPr>
        <w:t>de energie electrică, gaze naturale</w:t>
      </w:r>
      <w:r w:rsidR="00E77146" w:rsidRPr="00A244AE">
        <w:rPr>
          <w:lang w:val="ro-RO" w:eastAsia="en-US"/>
        </w:rPr>
        <w:t>,</w:t>
      </w:r>
      <w:r w:rsidRPr="00A244AE">
        <w:rPr>
          <w:lang w:val="ro-RO" w:eastAsia="en-US"/>
        </w:rPr>
        <w:t xml:space="preserve"> produse petroliere </w:t>
      </w:r>
      <w:r w:rsidR="00E77146" w:rsidRPr="00A244AE">
        <w:rPr>
          <w:lang w:val="ro-RO" w:eastAsia="en-US"/>
        </w:rPr>
        <w:t xml:space="preserve">sau energie termică </w:t>
      </w:r>
      <w:r w:rsidRPr="00A244AE">
        <w:rPr>
          <w:lang w:val="ro-RO" w:eastAsia="en-US"/>
        </w:rPr>
        <w:t xml:space="preserve">în consumul final </w:t>
      </w:r>
      <w:r w:rsidR="00D466B4" w:rsidRPr="00A244AE">
        <w:rPr>
          <w:lang w:val="ro-RO" w:eastAsia="en-US"/>
        </w:rPr>
        <w:t xml:space="preserve">cumulativ </w:t>
      </w:r>
      <w:r w:rsidRPr="00A244AE">
        <w:rPr>
          <w:lang w:val="ro-RO" w:eastAsia="en-US"/>
        </w:rPr>
        <w:t>de energie electrică, gaze naturale</w:t>
      </w:r>
      <w:r w:rsidR="00E77146" w:rsidRPr="00A244AE">
        <w:rPr>
          <w:lang w:val="ro-RO" w:eastAsia="en-US"/>
        </w:rPr>
        <w:t>,</w:t>
      </w:r>
      <w:r w:rsidRPr="00A244AE">
        <w:rPr>
          <w:lang w:val="ro-RO" w:eastAsia="en-US"/>
        </w:rPr>
        <w:t xml:space="preserve"> produse petroliere</w:t>
      </w:r>
      <w:r w:rsidR="00E77146" w:rsidRPr="00A244AE">
        <w:rPr>
          <w:lang w:val="ro-RO" w:eastAsia="en-US"/>
        </w:rPr>
        <w:t xml:space="preserve"> și energie termică</w:t>
      </w:r>
      <w:r w:rsidR="00C72DAF" w:rsidRPr="00A244AE">
        <w:rPr>
          <w:lang w:val="ro-RO" w:eastAsia="en-US"/>
        </w:rPr>
        <w:t>,</w:t>
      </w:r>
      <w:r w:rsidRPr="00A244AE">
        <w:rPr>
          <w:lang w:val="ro-RO" w:eastAsia="en-US"/>
        </w:rPr>
        <w:t xml:space="preserve"> din </w:t>
      </w:r>
      <w:r w:rsidR="00EE04B3" w:rsidRPr="00A244AE">
        <w:rPr>
          <w:lang w:val="ro-RO" w:eastAsia="en-US"/>
        </w:rPr>
        <w:t>cantitatea totală anuală a economiilor de energie la care trebuie să contribuie toate părțile</w:t>
      </w:r>
      <w:r w:rsidR="00EE04B3" w:rsidRPr="00A244AE">
        <w:rPr>
          <w:bCs/>
          <w:lang w:val="ro-RO"/>
        </w:rPr>
        <w:t xml:space="preserve"> obligate</w:t>
      </w:r>
      <w:r w:rsidR="00EE04B3" w:rsidRPr="00A244AE">
        <w:rPr>
          <w:lang w:val="ro-RO" w:eastAsia="en-US"/>
        </w:rPr>
        <w:t xml:space="preserve"> pe durata Programului privind </w:t>
      </w:r>
      <w:r w:rsidR="00790333" w:rsidRPr="00A244AE">
        <w:rPr>
          <w:lang w:val="ro-RO" w:eastAsia="en-US"/>
        </w:rPr>
        <w:t>SOEE</w:t>
      </w:r>
      <w:r w:rsidR="00206805" w:rsidRPr="00A244AE">
        <w:rPr>
          <w:bCs/>
          <w:lang w:val="ro-RO" w:eastAsia="en-US"/>
        </w:rPr>
        <w:t>,</w:t>
      </w:r>
      <w:r w:rsidR="00206805" w:rsidRPr="00A244AE">
        <w:rPr>
          <w:lang w:val="ro-RO" w:eastAsia="en-US"/>
        </w:rPr>
        <w:t xml:space="preserve"> </w:t>
      </w:r>
      <w:r w:rsidR="00F7236F" w:rsidRPr="00A244AE">
        <w:rPr>
          <w:lang w:val="ro-RO" w:eastAsia="en-US"/>
        </w:rPr>
        <w:t xml:space="preserve">și din </w:t>
      </w:r>
      <w:r w:rsidR="008F25EC" w:rsidRPr="00A244AE">
        <w:rPr>
          <w:lang w:val="ro-RO" w:eastAsia="en-US"/>
        </w:rPr>
        <w:t xml:space="preserve">ponderea </w:t>
      </w:r>
      <w:r w:rsidR="00792FC4" w:rsidRPr="00A244AE">
        <w:rPr>
          <w:lang w:val="ro-RO" w:eastAsia="en-US"/>
        </w:rPr>
        <w:t xml:space="preserve">luată în calcul a valorilor medii pentru perioada de 3 ani anterioară datei de 1 ianuarie 2022 </w:t>
      </w:r>
      <w:r w:rsidR="00D52946" w:rsidRPr="00A244AE">
        <w:rPr>
          <w:lang w:val="ro-RO" w:eastAsia="en-US"/>
        </w:rPr>
        <w:t xml:space="preserve">a </w:t>
      </w:r>
      <w:r w:rsidR="00F0349B" w:rsidRPr="00A244AE">
        <w:rPr>
          <w:lang w:val="ro-RO" w:eastAsia="en-US"/>
        </w:rPr>
        <w:t xml:space="preserve">volumului </w:t>
      </w:r>
      <w:r w:rsidR="00102EC7" w:rsidRPr="00A244AE">
        <w:rPr>
          <w:lang w:val="ro-RO" w:eastAsia="en-US"/>
        </w:rPr>
        <w:t xml:space="preserve">anual al vânzărilor de energie către consumatorii finali </w:t>
      </w:r>
      <w:r w:rsidR="00F0349B" w:rsidRPr="00A244AE">
        <w:rPr>
          <w:lang w:val="ro-RO" w:eastAsia="en-US"/>
        </w:rPr>
        <w:t xml:space="preserve">a fiecărei părți obligate în </w:t>
      </w:r>
      <w:r w:rsidR="00C57E1A" w:rsidRPr="00A244AE">
        <w:rPr>
          <w:lang w:val="ro-RO" w:eastAsia="en-US"/>
        </w:rPr>
        <w:t>volumul total anual al vânzărilor de energie către consumatorii finali</w:t>
      </w:r>
      <w:r w:rsidR="00B83EC8" w:rsidRPr="00A244AE">
        <w:rPr>
          <w:lang w:val="ro-RO" w:eastAsia="en-US"/>
        </w:rPr>
        <w:t>,</w:t>
      </w:r>
      <w:r w:rsidR="00C57E1A" w:rsidRPr="00A244AE">
        <w:rPr>
          <w:lang w:val="ro-RO" w:eastAsia="en-US"/>
        </w:rPr>
        <w:t xml:space="preserve"> </w:t>
      </w:r>
      <w:r w:rsidR="00D744F1" w:rsidRPr="00A244AE">
        <w:rPr>
          <w:lang w:val="ro-RO" w:eastAsia="en-US"/>
        </w:rPr>
        <w:t>în conformitate cu următoarele formule:</w:t>
      </w:r>
    </w:p>
    <w:p w14:paraId="6182A6A8" w14:textId="159B8537" w:rsidR="005F3BF9" w:rsidRPr="00A244AE" w:rsidRDefault="00842DF6" w:rsidP="007941FE">
      <w:pPr>
        <w:pStyle w:val="a3"/>
        <w:numPr>
          <w:ilvl w:val="0"/>
          <w:numId w:val="4"/>
        </w:numPr>
        <w:spacing w:before="120" w:line="276" w:lineRule="auto"/>
        <w:ind w:left="360"/>
        <w:contextualSpacing w:val="0"/>
        <w:jc w:val="both"/>
        <w:rPr>
          <w:bCs/>
          <w:i/>
          <w:lang w:val="ro-RO" w:eastAsia="en-US"/>
        </w:rPr>
      </w:pPr>
      <w:bookmarkStart w:id="4" w:name="_Hlk525554119"/>
      <w:r w:rsidRPr="00A244AE">
        <w:rPr>
          <w:bCs/>
          <w:i/>
          <w:lang w:val="ro-RO" w:eastAsia="en-US"/>
        </w:rPr>
        <w:t>Pentru părțile obligate din sectorul electroenergetic (operatorii sistemelor de distribuție a energie</w:t>
      </w:r>
      <w:r w:rsidR="00424102" w:rsidRPr="00A244AE">
        <w:rPr>
          <w:bCs/>
          <w:i/>
          <w:lang w:val="ro-RO" w:eastAsia="en-US"/>
        </w:rPr>
        <w:t>i</w:t>
      </w:r>
      <w:r w:rsidRPr="00A244AE">
        <w:rPr>
          <w:bCs/>
          <w:i/>
          <w:lang w:val="ro-RO" w:eastAsia="en-US"/>
        </w:rPr>
        <w:t xml:space="preserve"> electrice):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81"/>
        <w:gridCol w:w="556"/>
      </w:tblGrid>
      <w:tr w:rsidR="0059426C" w:rsidRPr="00A244AE" w14:paraId="1B501C36" w14:textId="77777777" w:rsidTr="00F1502C"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3FD48F9D" w14:textId="61DD93B1" w:rsidR="0059426C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EL,i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EL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 xml:space="preserve">EcT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ktep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EL,tot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58965BE4" w14:textId="5B96182E" w:rsidR="0059426C" w:rsidRPr="00A244AE" w:rsidRDefault="0059426C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(2),</w:t>
            </w:r>
          </w:p>
        </w:tc>
      </w:tr>
    </w:tbl>
    <w:p w14:paraId="12DFB814" w14:textId="3148D65E" w:rsidR="00427925" w:rsidRPr="00A244AE" w:rsidRDefault="00427925" w:rsidP="001E363E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174CFCEE" w14:textId="63B52CEC" w:rsidR="00731CD7" w:rsidRPr="00A244AE" w:rsidRDefault="00845D58" w:rsidP="00373F58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Ec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EL,i</m:t>
            </m:r>
          </m:sup>
        </m:sSubSup>
      </m:oMath>
      <w:r w:rsidR="00731CD7" w:rsidRPr="00A244AE">
        <w:rPr>
          <w:bCs/>
          <w:lang w:val="ro-RO"/>
        </w:rPr>
        <w:t xml:space="preserve"> - </w:t>
      </w:r>
      <w:r w:rsidR="00520E27" w:rsidRPr="00A244AE">
        <w:rPr>
          <w:bCs/>
          <w:lang w:val="ro-RO"/>
        </w:rPr>
        <w:t>cantitatea</w:t>
      </w:r>
      <w:r w:rsidR="00731CD7" w:rsidRPr="00A244AE">
        <w:rPr>
          <w:bCs/>
          <w:lang w:val="ro-RO"/>
        </w:rPr>
        <w:t xml:space="preserve"> </w:t>
      </w:r>
      <w:r w:rsidR="00037399" w:rsidRPr="00A244AE">
        <w:rPr>
          <w:bCs/>
          <w:lang w:val="ro-RO"/>
        </w:rPr>
        <w:t>anual</w:t>
      </w:r>
      <w:r w:rsidR="00C166F9" w:rsidRPr="00A244AE">
        <w:rPr>
          <w:bCs/>
          <w:lang w:val="ro-RO"/>
        </w:rPr>
        <w:t xml:space="preserve">ă a </w:t>
      </w:r>
      <w:r w:rsidR="00731CD7" w:rsidRPr="00A244AE">
        <w:rPr>
          <w:bCs/>
          <w:lang w:val="ro-RO"/>
        </w:rPr>
        <w:t>economiilor de energie</w:t>
      </w:r>
      <w:r w:rsidR="008E1794" w:rsidRPr="00A244AE">
        <w:rPr>
          <w:bCs/>
          <w:lang w:val="ro-RO"/>
        </w:rPr>
        <w:t>,</w:t>
      </w:r>
      <w:r w:rsidR="00731CD7" w:rsidRPr="00A244AE">
        <w:rPr>
          <w:bCs/>
          <w:lang w:val="ro-RO"/>
        </w:rPr>
        <w:t xml:space="preserve"> la a căror realizare</w:t>
      </w:r>
      <w:r w:rsidR="00F26F80" w:rsidRPr="00A244AE">
        <w:rPr>
          <w:bCs/>
          <w:lang w:val="ro-RO"/>
        </w:rPr>
        <w:t xml:space="preserve"> </w:t>
      </w:r>
      <w:r w:rsidR="00731CD7" w:rsidRPr="00A244AE">
        <w:rPr>
          <w:bCs/>
          <w:lang w:val="ro-RO"/>
        </w:rPr>
        <w:t xml:space="preserve">trebuie să contribuie </w:t>
      </w:r>
      <w:r w:rsidR="00520E27" w:rsidRPr="00A244AE">
        <w:rPr>
          <w:bCs/>
          <w:lang w:val="ro-RO"/>
        </w:rPr>
        <w:t>operator</w:t>
      </w:r>
      <w:r w:rsidR="004E7052" w:rsidRPr="00A244AE">
        <w:rPr>
          <w:bCs/>
          <w:lang w:val="ro-RO"/>
        </w:rPr>
        <w:t xml:space="preserve">ul </w:t>
      </w:r>
      <w:r w:rsidR="00E55036" w:rsidRPr="00A244AE">
        <w:rPr>
          <w:bCs/>
          <w:lang w:val="ro-RO"/>
        </w:rPr>
        <w:t>„</w:t>
      </w:r>
      <w:r w:rsidR="004E7052" w:rsidRPr="00A244AE">
        <w:rPr>
          <w:bCs/>
          <w:i/>
          <w:iCs/>
          <w:lang w:val="ro-RO"/>
        </w:rPr>
        <w:t>i</w:t>
      </w:r>
      <w:r w:rsidR="004E7052" w:rsidRPr="00A244AE">
        <w:rPr>
          <w:bCs/>
          <w:lang w:val="ro-RO"/>
        </w:rPr>
        <w:t>”</w:t>
      </w:r>
      <w:r w:rsidR="00520E27" w:rsidRPr="00A244AE">
        <w:rPr>
          <w:bCs/>
          <w:lang w:val="ro-RO"/>
        </w:rPr>
        <w:t xml:space="preserve"> </w:t>
      </w:r>
      <w:r w:rsidR="00E55036" w:rsidRPr="00A244AE">
        <w:rPr>
          <w:bCs/>
          <w:lang w:val="ro-RO"/>
        </w:rPr>
        <w:t xml:space="preserve">al </w:t>
      </w:r>
      <w:r w:rsidR="00520E27" w:rsidRPr="00A244AE">
        <w:rPr>
          <w:bCs/>
          <w:lang w:val="ro-RO"/>
        </w:rPr>
        <w:t>sistem</w:t>
      </w:r>
      <w:r w:rsidR="00CF3FBB" w:rsidRPr="00A244AE">
        <w:rPr>
          <w:bCs/>
          <w:lang w:val="ro-RO"/>
        </w:rPr>
        <w:t>ului</w:t>
      </w:r>
      <w:r w:rsidR="00520E27" w:rsidRPr="00A244AE">
        <w:rPr>
          <w:bCs/>
          <w:lang w:val="ro-RO"/>
        </w:rPr>
        <w:t xml:space="preserve"> de distribuție a energiei electrice</w:t>
      </w:r>
      <w:r w:rsidR="007572C7" w:rsidRPr="00A244AE">
        <w:rPr>
          <w:bCs/>
          <w:lang w:val="ro-RO"/>
        </w:rPr>
        <w:t xml:space="preserve">, </w:t>
      </w:r>
      <w:proofErr w:type="spellStart"/>
      <w:r w:rsidR="007572C7" w:rsidRPr="00A244AE">
        <w:rPr>
          <w:bCs/>
          <w:lang w:val="ro-RO"/>
        </w:rPr>
        <w:t>ktep</w:t>
      </w:r>
      <w:proofErr w:type="spellEnd"/>
      <w:r w:rsidR="00731CD7" w:rsidRPr="00A244AE">
        <w:rPr>
          <w:bCs/>
          <w:lang w:val="ro-RO"/>
        </w:rPr>
        <w:t>;</w:t>
      </w:r>
    </w:p>
    <w:p w14:paraId="568268BA" w14:textId="19614475" w:rsidR="00D12D0F" w:rsidRPr="00A244AE" w:rsidRDefault="00845D58" w:rsidP="00373F58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EL,i</m:t>
            </m:r>
          </m:sup>
        </m:sSubSup>
      </m:oMath>
      <w:r w:rsidR="00D12D0F" w:rsidRPr="00A244AE">
        <w:rPr>
          <w:b/>
          <w:bCs/>
          <w:lang w:val="ro-RO"/>
        </w:rPr>
        <w:t xml:space="preserve"> </w:t>
      </w:r>
      <w:r w:rsidR="00D12D0F" w:rsidRPr="00A244AE">
        <w:rPr>
          <w:bCs/>
          <w:lang w:val="ro-RO"/>
        </w:rPr>
        <w:t xml:space="preserve">- </w:t>
      </w:r>
      <w:r w:rsidR="00D12D0F" w:rsidRPr="00A244AE">
        <w:rPr>
          <w:lang w:val="ro-RO" w:eastAsia="en-US"/>
        </w:rPr>
        <w:t xml:space="preserve">volumul anual al </w:t>
      </w:r>
      <w:r w:rsidR="00602FB1" w:rsidRPr="00A244AE">
        <w:rPr>
          <w:lang w:val="ro-RO" w:eastAsia="en-US"/>
        </w:rPr>
        <w:t xml:space="preserve">energiei electrice distribuite </w:t>
      </w:r>
      <w:r w:rsidR="00563B98" w:rsidRPr="00A244AE">
        <w:rPr>
          <w:lang w:val="ro-RO" w:eastAsia="en-US"/>
        </w:rPr>
        <w:t xml:space="preserve">de </w:t>
      </w:r>
      <w:r w:rsidR="000A598E" w:rsidRPr="00A244AE">
        <w:rPr>
          <w:lang w:val="ro-RO" w:eastAsia="en-US"/>
        </w:rPr>
        <w:t>operatorul „</w:t>
      </w:r>
      <w:r w:rsidR="000A598E" w:rsidRPr="00A244AE">
        <w:rPr>
          <w:i/>
          <w:iCs/>
          <w:lang w:val="ro-RO" w:eastAsia="en-US"/>
        </w:rPr>
        <w:t>i</w:t>
      </w:r>
      <w:r w:rsidR="000A598E" w:rsidRPr="00A244AE">
        <w:rPr>
          <w:lang w:val="ro-RO" w:eastAsia="en-US"/>
        </w:rPr>
        <w:t>” al</w:t>
      </w:r>
      <w:r w:rsidR="000A598E" w:rsidRPr="00A244AE">
        <w:rPr>
          <w:bCs/>
          <w:lang w:val="ro-RO"/>
        </w:rPr>
        <w:t xml:space="preserve"> sistem</w:t>
      </w:r>
      <w:r w:rsidR="00CF3FBB" w:rsidRPr="00A244AE">
        <w:rPr>
          <w:bCs/>
          <w:lang w:val="ro-RO"/>
        </w:rPr>
        <w:t>ului</w:t>
      </w:r>
      <w:r w:rsidR="000A598E" w:rsidRPr="00A244AE">
        <w:rPr>
          <w:bCs/>
          <w:lang w:val="ro-RO"/>
        </w:rPr>
        <w:t xml:space="preserve"> de distribuție a energiei electrice</w:t>
      </w:r>
      <w:r w:rsidR="00D12D0F" w:rsidRPr="00A244AE">
        <w:rPr>
          <w:bCs/>
          <w:lang w:val="ro-RO"/>
        </w:rPr>
        <w:t xml:space="preserve">, calculat ca </w:t>
      </w:r>
      <w:r w:rsidR="00D12D0F" w:rsidRPr="00A244AE">
        <w:rPr>
          <w:lang w:val="ro-RO" w:eastAsia="en-US"/>
        </w:rPr>
        <w:t>valoare medie pentru perioada de 3</w:t>
      </w:r>
      <w:r w:rsidR="00D12D0F" w:rsidRPr="00A244AE">
        <w:rPr>
          <w:lang w:val="ro-RO"/>
        </w:rPr>
        <w:t> </w:t>
      </w:r>
      <w:r w:rsidR="00D12D0F" w:rsidRPr="00A244AE">
        <w:rPr>
          <w:lang w:val="ro-RO" w:eastAsia="en-US"/>
        </w:rPr>
        <w:t>ani anterioară datei de 1 ianuarie 2022</w:t>
      </w:r>
      <w:r w:rsidR="00D12D0F" w:rsidRPr="00A244AE">
        <w:rPr>
          <w:bCs/>
          <w:lang w:val="ro-RO"/>
        </w:rPr>
        <w:t xml:space="preserve">, </w:t>
      </w:r>
      <w:r w:rsidR="005C11CA" w:rsidRPr="00A244AE">
        <w:rPr>
          <w:bCs/>
          <w:lang w:val="ro-RO"/>
        </w:rPr>
        <w:t>kWh</w:t>
      </w:r>
      <w:r w:rsidR="00D12D0F" w:rsidRPr="00A244AE">
        <w:rPr>
          <w:bCs/>
          <w:lang w:val="ro-RO"/>
        </w:rPr>
        <w:t>;</w:t>
      </w:r>
    </w:p>
    <w:p w14:paraId="4F8E84BF" w14:textId="48E9D14A" w:rsidR="0055742F" w:rsidRPr="00A244AE" w:rsidRDefault="00845D58" w:rsidP="00373F58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EL,tot</m:t>
            </m:r>
          </m:sup>
        </m:sSubSup>
      </m:oMath>
      <w:r w:rsidR="003A28B6" w:rsidRPr="00A244AE">
        <w:rPr>
          <w:b/>
          <w:bCs/>
          <w:lang w:val="ro-RO"/>
        </w:rPr>
        <w:t xml:space="preserve"> </w:t>
      </w:r>
      <w:r w:rsidR="003A28B6" w:rsidRPr="00A244AE">
        <w:rPr>
          <w:bCs/>
          <w:lang w:val="ro-RO"/>
        </w:rPr>
        <w:t xml:space="preserve">- </w:t>
      </w:r>
      <w:r w:rsidR="003A28B6" w:rsidRPr="00A244AE">
        <w:rPr>
          <w:lang w:val="ro-RO" w:eastAsia="en-US"/>
        </w:rPr>
        <w:t xml:space="preserve">volumul total anual al energiei electrice distribuite de </w:t>
      </w:r>
      <w:r w:rsidR="00ED0FB2" w:rsidRPr="00A244AE">
        <w:rPr>
          <w:lang w:val="ro-RO" w:eastAsia="en-US"/>
        </w:rPr>
        <w:t xml:space="preserve">toți </w:t>
      </w:r>
      <w:r w:rsidR="003A28B6" w:rsidRPr="00A244AE">
        <w:rPr>
          <w:lang w:val="ro-RO" w:eastAsia="en-US"/>
        </w:rPr>
        <w:t>operatorii</w:t>
      </w:r>
      <w:r w:rsidR="003A28B6" w:rsidRPr="00A244AE">
        <w:rPr>
          <w:bCs/>
          <w:lang w:val="ro-RO"/>
        </w:rPr>
        <w:t xml:space="preserve"> sistemelor de distribuție a energiei electrice, calculat ca </w:t>
      </w:r>
      <w:r w:rsidR="003A28B6" w:rsidRPr="00A244AE">
        <w:rPr>
          <w:lang w:val="ro-RO" w:eastAsia="en-US"/>
        </w:rPr>
        <w:t>valoare medie pentru perioada de 3</w:t>
      </w:r>
      <w:r w:rsidR="003A28B6" w:rsidRPr="00A244AE">
        <w:rPr>
          <w:lang w:val="ro-RO"/>
        </w:rPr>
        <w:t> </w:t>
      </w:r>
      <w:r w:rsidR="003A28B6" w:rsidRPr="00A244AE">
        <w:rPr>
          <w:lang w:val="ro-RO" w:eastAsia="en-US"/>
        </w:rPr>
        <w:t>ani anterioară datei de 1 ianuarie 2022</w:t>
      </w:r>
      <w:r w:rsidR="003A28B6" w:rsidRPr="00A244AE">
        <w:rPr>
          <w:bCs/>
          <w:lang w:val="ro-RO"/>
        </w:rPr>
        <w:t xml:space="preserve">, </w:t>
      </w:r>
      <w:r w:rsidR="005C11CA" w:rsidRPr="00A244AE">
        <w:rPr>
          <w:bCs/>
          <w:lang w:val="ro-RO"/>
        </w:rPr>
        <w:t>kWh</w:t>
      </w:r>
      <w:r w:rsidR="003A28B6" w:rsidRPr="00A244AE">
        <w:rPr>
          <w:bCs/>
          <w:lang w:val="ro-RO"/>
        </w:rPr>
        <w:t>;</w:t>
      </w:r>
    </w:p>
    <w:p w14:paraId="078DC06F" w14:textId="1EDCC014" w:rsidR="00E17BF6" w:rsidRPr="00A244AE" w:rsidRDefault="00E17BF6" w:rsidP="00EF3062">
      <w:pPr>
        <w:pStyle w:val="a7"/>
        <w:spacing w:before="120" w:beforeAutospacing="0" w:after="0" w:afterAutospacing="0" w:line="276" w:lineRule="auto"/>
        <w:jc w:val="both"/>
        <w:rPr>
          <w:bCs/>
          <w:lang w:val="ro-RO"/>
        </w:rPr>
      </w:pPr>
      <w:r w:rsidRPr="00A244AE">
        <w:rPr>
          <w:bCs/>
          <w:lang w:val="ro-RO"/>
        </w:rPr>
        <w:t xml:space="preserve">Valorile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EL,i</m:t>
            </m:r>
          </m:sup>
        </m:sSubSup>
      </m:oMath>
      <w:r w:rsidR="00BC56FD" w:rsidRPr="00A244AE">
        <w:rPr>
          <w:lang w:val="ro-RO"/>
        </w:rPr>
        <w:t xml:space="preserve"> și</w:t>
      </w:r>
      <w:r w:rsidR="00BC56FD" w:rsidRPr="00A244AE">
        <w:rPr>
          <w:b/>
          <w:bCs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EL,tot</m:t>
            </m:r>
          </m:sup>
        </m:sSubSup>
      </m:oMath>
      <w:r w:rsidRPr="00A244AE">
        <w:rPr>
          <w:lang w:val="ro-RO"/>
        </w:rPr>
        <w:t xml:space="preserve"> sunt calculate în baza datelor </w:t>
      </w:r>
      <w:r w:rsidR="00D76E5A" w:rsidRPr="00A244AE">
        <w:rPr>
          <w:lang w:val="ro-RO"/>
        </w:rPr>
        <w:t xml:space="preserve">prezentate </w:t>
      </w:r>
      <w:r w:rsidR="00DF4ADB" w:rsidRPr="00A244AE">
        <w:rPr>
          <w:lang w:val="ro-RO" w:eastAsia="en-US"/>
        </w:rPr>
        <w:t xml:space="preserve">organului central de specialitate al administrației publice în domeniul energeticii și/sau instituției publice de suport </w:t>
      </w:r>
      <w:r w:rsidRPr="00A244AE">
        <w:rPr>
          <w:lang w:val="ro-RO"/>
        </w:rPr>
        <w:t xml:space="preserve">de către </w:t>
      </w:r>
      <w:r w:rsidR="00E261C7" w:rsidRPr="00A244AE">
        <w:rPr>
          <w:lang w:val="ro-RO"/>
        </w:rPr>
        <w:t>Agenția Națională pentru Reglementare în</w:t>
      </w:r>
      <w:r w:rsidRPr="00A244AE">
        <w:rPr>
          <w:lang w:val="ro-RO"/>
        </w:rPr>
        <w:t xml:space="preserve"> Energetică a Republicii Moldova.</w:t>
      </w:r>
    </w:p>
    <w:p w14:paraId="7F8FFFD0" w14:textId="287AE498" w:rsidR="00731CD7" w:rsidRPr="00A244AE" w:rsidRDefault="00845D58" w:rsidP="003E05A9">
      <w:pPr>
        <w:pStyle w:val="a7"/>
        <w:spacing w:before="120" w:beforeAutospacing="0" w:after="0" w:afterAutospacing="0" w:line="276" w:lineRule="auto"/>
        <w:jc w:val="both"/>
        <w:rPr>
          <w:b/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</m:t>
            </m:r>
          </m:sup>
        </m:sSubSup>
      </m:oMath>
      <w:r w:rsidR="00731CD7" w:rsidRPr="00A244AE">
        <w:rPr>
          <w:bCs/>
          <w:lang w:val="ro-RO"/>
        </w:rPr>
        <w:t xml:space="preserve"> </w:t>
      </w:r>
      <w:r w:rsidR="009C7565" w:rsidRPr="00A244AE">
        <w:rPr>
          <w:bCs/>
          <w:lang w:val="ro-RO"/>
        </w:rPr>
        <w:t xml:space="preserve">- </w:t>
      </w:r>
      <w:r w:rsidR="00346AA8" w:rsidRPr="00A244AE">
        <w:rPr>
          <w:lang w:val="ro-RO" w:eastAsia="en-US"/>
        </w:rPr>
        <w:t>ponderea luată în calcul a valorilor medii pentru perioada de 3 ani anterioară datei de 1 ianuarie 2022 a consumului final de energie electrică</w:t>
      </w:r>
      <w:r w:rsidR="00346AA8" w:rsidRPr="00A244AE" w:rsidDel="00346AA8">
        <w:rPr>
          <w:bCs/>
          <w:lang w:val="ro-RO"/>
        </w:rPr>
        <w:t xml:space="preserve"> </w:t>
      </w:r>
      <w:r w:rsidR="00346AA8" w:rsidRPr="00A244AE">
        <w:rPr>
          <w:lang w:val="ro-RO" w:eastAsia="en-US"/>
        </w:rPr>
        <w:t>în consumul final cumulativ de energie electrică</w:t>
      </w:r>
      <w:r w:rsidR="00183F72" w:rsidRPr="00A244AE">
        <w:rPr>
          <w:lang w:val="ro-RO" w:eastAsia="en-US"/>
        </w:rPr>
        <w:t>, gaze naturale, produse petroliere și energie termică</w:t>
      </w:r>
      <w:r w:rsidR="00F21B66" w:rsidRPr="00A244AE">
        <w:rPr>
          <w:lang w:val="ro-RO" w:eastAsia="en-US"/>
        </w:rPr>
        <w:t>, %</w:t>
      </w:r>
      <w:r w:rsidR="00731CD7" w:rsidRPr="00A244AE">
        <w:rPr>
          <w:bCs/>
          <w:lang w:val="ro-RO"/>
        </w:rPr>
        <w:t>. Această pondere se determină în conformitate cu următoarea formulă: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1"/>
        <w:gridCol w:w="676"/>
      </w:tblGrid>
      <w:tr w:rsidR="002E2306" w:rsidRPr="00A244AE" w14:paraId="3302240F" w14:textId="77777777" w:rsidTr="00373F58">
        <w:tc>
          <w:tcPr>
            <w:tcW w:w="8961" w:type="dxa"/>
            <w:vAlign w:val="center"/>
          </w:tcPr>
          <w:p w14:paraId="7C167B9E" w14:textId="2554013D" w:rsidR="002E2306" w:rsidRPr="00A244AE" w:rsidRDefault="00845D58" w:rsidP="00F1502C">
            <w:pPr>
              <w:pStyle w:val="a7"/>
              <w:spacing w:before="12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EL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x 100</m:t>
                </m:r>
              </m:oMath>
            </m:oMathPara>
          </w:p>
        </w:tc>
        <w:tc>
          <w:tcPr>
            <w:tcW w:w="676" w:type="dxa"/>
            <w:vAlign w:val="center"/>
          </w:tcPr>
          <w:p w14:paraId="059151F7" w14:textId="4D992D96" w:rsidR="002E2306" w:rsidRPr="00A244AE" w:rsidRDefault="002E2306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(3),</w:t>
            </w:r>
          </w:p>
        </w:tc>
      </w:tr>
    </w:tbl>
    <w:p w14:paraId="7FA1E42D" w14:textId="61596279" w:rsidR="00731CD7" w:rsidRPr="00A244AE" w:rsidRDefault="00731CD7" w:rsidP="00373F58">
      <w:pPr>
        <w:pStyle w:val="a7"/>
        <w:spacing w:before="120" w:beforeAutospacing="0" w:after="120" w:afterAutospacing="0" w:line="276" w:lineRule="auto"/>
        <w:rPr>
          <w:bCs/>
          <w:lang w:val="ro-RO"/>
        </w:rPr>
      </w:pPr>
      <w:r w:rsidRPr="00A244AE">
        <w:rPr>
          <w:bCs/>
          <w:lang w:val="ro-RO"/>
        </w:rPr>
        <w:t>unde:</w:t>
      </w:r>
    </w:p>
    <w:p w14:paraId="2738C59E" w14:textId="36C52B9E" w:rsidR="00731CD7" w:rsidRPr="00A244AE" w:rsidRDefault="00845D58" w:rsidP="001E363E">
      <w:pPr>
        <w:pStyle w:val="a7"/>
        <w:spacing w:before="120" w:beforeAutospacing="0" w:after="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</m:t>
            </m:r>
          </m:sup>
        </m:sSubSup>
      </m:oMath>
      <w:r w:rsidR="00F26F80" w:rsidRPr="00A244AE">
        <w:rPr>
          <w:b/>
          <w:bCs/>
          <w:lang w:val="ro-RO"/>
        </w:rPr>
        <w:t xml:space="preserve"> </w:t>
      </w:r>
      <w:r w:rsidR="00731CD7" w:rsidRPr="00A244AE">
        <w:rPr>
          <w:bCs/>
          <w:lang w:val="ro-RO"/>
        </w:rPr>
        <w:t>- consumul final de energie electrică</w:t>
      </w:r>
      <w:r w:rsidR="00E102E1" w:rsidRPr="00A244AE">
        <w:rPr>
          <w:bCs/>
          <w:lang w:val="ro-RO"/>
        </w:rPr>
        <w:t xml:space="preserve">, calculat ca </w:t>
      </w:r>
      <w:r w:rsidR="00E102E1" w:rsidRPr="00A244AE">
        <w:rPr>
          <w:lang w:val="ro-RO" w:eastAsia="en-US"/>
        </w:rPr>
        <w:t>valoare medie pentru perioada de 3</w:t>
      </w:r>
      <w:r w:rsidR="00987D78" w:rsidRPr="00A244AE">
        <w:rPr>
          <w:lang w:val="ro-RO"/>
        </w:rPr>
        <w:t> </w:t>
      </w:r>
      <w:r w:rsidR="00E102E1" w:rsidRPr="00A244AE">
        <w:rPr>
          <w:lang w:val="ro-RO" w:eastAsia="en-US"/>
        </w:rPr>
        <w:t>ani anterioară datei de 1</w:t>
      </w:r>
      <w:r w:rsidR="00987D78" w:rsidRPr="00A244AE">
        <w:rPr>
          <w:lang w:val="ro-RO" w:eastAsia="en-US"/>
        </w:rPr>
        <w:t> </w:t>
      </w:r>
      <w:r w:rsidR="00E102E1" w:rsidRPr="00A244AE">
        <w:rPr>
          <w:lang w:val="ro-RO" w:eastAsia="en-US"/>
        </w:rPr>
        <w:t>ianuarie</w:t>
      </w:r>
      <w:r w:rsidR="00987D78" w:rsidRPr="00A244AE">
        <w:rPr>
          <w:lang w:val="ro-RO" w:eastAsia="en-US"/>
        </w:rPr>
        <w:t> </w:t>
      </w:r>
      <w:r w:rsidR="00E102E1" w:rsidRPr="00A244AE">
        <w:rPr>
          <w:lang w:val="ro-RO" w:eastAsia="en-US"/>
        </w:rPr>
        <w:t>2022</w:t>
      </w:r>
      <w:r w:rsidR="00731CD7" w:rsidRPr="00A244AE">
        <w:rPr>
          <w:bCs/>
          <w:lang w:val="ro-RO"/>
        </w:rPr>
        <w:t xml:space="preserve">, </w:t>
      </w:r>
      <w:proofErr w:type="spellStart"/>
      <w:r w:rsidR="00731CD7" w:rsidRPr="00A244AE">
        <w:rPr>
          <w:bCs/>
          <w:lang w:val="ro-RO"/>
        </w:rPr>
        <w:t>ktep</w:t>
      </w:r>
      <w:proofErr w:type="spellEnd"/>
      <w:r w:rsidR="00731CD7" w:rsidRPr="00A244AE">
        <w:rPr>
          <w:bCs/>
          <w:lang w:val="ro-RO"/>
        </w:rPr>
        <w:t>;</w:t>
      </w:r>
    </w:p>
    <w:p w14:paraId="62129979" w14:textId="7E782A7E" w:rsidR="003C1F4F" w:rsidRPr="00A244AE" w:rsidRDefault="00845D58" w:rsidP="001E363E">
      <w:pPr>
        <w:pStyle w:val="a7"/>
        <w:spacing w:before="120" w:beforeAutospacing="0" w:after="0" w:afterAutospacing="0" w:line="276" w:lineRule="auto"/>
        <w:rPr>
          <w:bCs/>
          <w:lang w:val="en-US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</m:t>
            </m:r>
          </m:sup>
        </m:sSubSup>
      </m:oMath>
      <w:r w:rsidR="003C1F4F" w:rsidRPr="00A244AE">
        <w:rPr>
          <w:b/>
          <w:bCs/>
          <w:lang w:val="ro-RO"/>
        </w:rPr>
        <w:t xml:space="preserve"> </w:t>
      </w:r>
      <w:r w:rsidR="003C1F4F" w:rsidRPr="00A244AE">
        <w:rPr>
          <w:bCs/>
          <w:lang w:val="ro-RO"/>
        </w:rPr>
        <w:t xml:space="preserve">- consumul final de gaze naturale, calculat ca </w:t>
      </w:r>
      <w:r w:rsidR="003C1F4F" w:rsidRPr="00A244AE">
        <w:rPr>
          <w:lang w:val="ro-RO" w:eastAsia="en-US"/>
        </w:rPr>
        <w:t>valoare medie pentru perioada de 3</w:t>
      </w:r>
      <w:r w:rsidR="003C1F4F" w:rsidRPr="00A244AE">
        <w:rPr>
          <w:lang w:val="ro-RO"/>
        </w:rPr>
        <w:t> </w:t>
      </w:r>
      <w:r w:rsidR="003C1F4F" w:rsidRPr="00A244AE">
        <w:rPr>
          <w:lang w:val="ro-RO" w:eastAsia="en-US"/>
        </w:rPr>
        <w:t>ani anterioară datei de 1 ianuarie 2022</w:t>
      </w:r>
      <w:r w:rsidR="003C1F4F" w:rsidRPr="00A244AE">
        <w:rPr>
          <w:bCs/>
          <w:lang w:val="ro-RO"/>
        </w:rPr>
        <w:t xml:space="preserve">, </w:t>
      </w:r>
      <w:proofErr w:type="spellStart"/>
      <w:r w:rsidR="003C1F4F" w:rsidRPr="00A244AE">
        <w:rPr>
          <w:bCs/>
          <w:lang w:val="ro-RO"/>
        </w:rPr>
        <w:t>ktep</w:t>
      </w:r>
      <w:proofErr w:type="spellEnd"/>
      <w:r w:rsidR="003C1F4F" w:rsidRPr="00A244AE">
        <w:rPr>
          <w:bCs/>
          <w:lang w:val="ro-RO"/>
        </w:rPr>
        <w:t>;</w:t>
      </w:r>
    </w:p>
    <w:p w14:paraId="10A34DD8" w14:textId="2BDC9653" w:rsidR="003C1F4F" w:rsidRPr="00A244AE" w:rsidRDefault="00845D58" w:rsidP="003C1F4F">
      <w:pPr>
        <w:pStyle w:val="a7"/>
        <w:spacing w:before="120" w:beforeAutospacing="0" w:after="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</m:t>
            </m:r>
          </m:sup>
        </m:sSubSup>
      </m:oMath>
      <w:r w:rsidR="003C1F4F" w:rsidRPr="00A244AE">
        <w:rPr>
          <w:b/>
          <w:bCs/>
          <w:lang w:val="ro-RO"/>
        </w:rPr>
        <w:t xml:space="preserve"> </w:t>
      </w:r>
      <w:r w:rsidR="003C1F4F" w:rsidRPr="00A244AE">
        <w:rPr>
          <w:bCs/>
          <w:lang w:val="ro-RO"/>
        </w:rPr>
        <w:t xml:space="preserve">- consumul final de produse petroliere, calculat ca </w:t>
      </w:r>
      <w:r w:rsidR="003C1F4F" w:rsidRPr="00A244AE">
        <w:rPr>
          <w:lang w:val="ro-RO" w:eastAsia="en-US"/>
        </w:rPr>
        <w:t>valoare medie pentru perioada de 3</w:t>
      </w:r>
      <w:r w:rsidR="003C1F4F" w:rsidRPr="00A244AE">
        <w:rPr>
          <w:lang w:val="ro-RO"/>
        </w:rPr>
        <w:t> </w:t>
      </w:r>
      <w:r w:rsidR="003C1F4F" w:rsidRPr="00A244AE">
        <w:rPr>
          <w:lang w:val="ro-RO" w:eastAsia="en-US"/>
        </w:rPr>
        <w:t>ani anterioară datei de 1 ianuarie 2022</w:t>
      </w:r>
      <w:r w:rsidR="003C1F4F" w:rsidRPr="00A244AE">
        <w:rPr>
          <w:bCs/>
          <w:lang w:val="ro-RO"/>
        </w:rPr>
        <w:t xml:space="preserve">, </w:t>
      </w:r>
      <w:proofErr w:type="spellStart"/>
      <w:r w:rsidR="003C1F4F" w:rsidRPr="00A244AE">
        <w:rPr>
          <w:bCs/>
          <w:lang w:val="ro-RO"/>
        </w:rPr>
        <w:t>ktep</w:t>
      </w:r>
      <w:proofErr w:type="spellEnd"/>
      <w:r w:rsidR="003C1F4F" w:rsidRPr="00A244AE">
        <w:rPr>
          <w:bCs/>
          <w:lang w:val="ro-RO"/>
        </w:rPr>
        <w:t>;</w:t>
      </w:r>
    </w:p>
    <w:p w14:paraId="67DD91E2" w14:textId="4A3468ED" w:rsidR="00150502" w:rsidRPr="00A244AE" w:rsidRDefault="00845D58" w:rsidP="00150502">
      <w:pPr>
        <w:pStyle w:val="a7"/>
        <w:spacing w:before="120" w:beforeAutospacing="0" w:after="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</m:t>
            </m:r>
          </m:sup>
        </m:sSubSup>
      </m:oMath>
      <w:r w:rsidR="00150502" w:rsidRPr="00A244AE">
        <w:rPr>
          <w:b/>
          <w:bCs/>
          <w:lang w:val="ro-RO"/>
        </w:rPr>
        <w:t xml:space="preserve"> </w:t>
      </w:r>
      <w:r w:rsidR="00150502" w:rsidRPr="00A244AE">
        <w:rPr>
          <w:bCs/>
          <w:lang w:val="ro-RO"/>
        </w:rPr>
        <w:t xml:space="preserve">- consumul final de </w:t>
      </w:r>
      <w:r w:rsidR="00434843" w:rsidRPr="00A244AE">
        <w:rPr>
          <w:bCs/>
          <w:lang w:val="ro-RO"/>
        </w:rPr>
        <w:t>energie termică</w:t>
      </w:r>
      <w:r w:rsidR="00150502" w:rsidRPr="00A244AE">
        <w:rPr>
          <w:bCs/>
          <w:lang w:val="ro-RO"/>
        </w:rPr>
        <w:t xml:space="preserve">, calculat ca </w:t>
      </w:r>
      <w:r w:rsidR="00150502" w:rsidRPr="00A244AE">
        <w:rPr>
          <w:lang w:val="ro-RO" w:eastAsia="en-US"/>
        </w:rPr>
        <w:t>valoare medie pentru perioada de 3</w:t>
      </w:r>
      <w:r w:rsidR="00150502" w:rsidRPr="00A244AE">
        <w:rPr>
          <w:lang w:val="ro-RO"/>
        </w:rPr>
        <w:t> </w:t>
      </w:r>
      <w:r w:rsidR="00150502" w:rsidRPr="00A244AE">
        <w:rPr>
          <w:lang w:val="ro-RO" w:eastAsia="en-US"/>
        </w:rPr>
        <w:t>ani anterioară datei de 1 ianuarie 2022</w:t>
      </w:r>
      <w:r w:rsidR="00150502" w:rsidRPr="00A244AE">
        <w:rPr>
          <w:bCs/>
          <w:lang w:val="ro-RO"/>
        </w:rPr>
        <w:t xml:space="preserve">, </w:t>
      </w:r>
      <w:proofErr w:type="spellStart"/>
      <w:r w:rsidR="00150502" w:rsidRPr="00A244AE">
        <w:rPr>
          <w:bCs/>
          <w:lang w:val="ro-RO"/>
        </w:rPr>
        <w:t>ktep</w:t>
      </w:r>
      <w:proofErr w:type="spellEnd"/>
      <w:r w:rsidR="00E444C0" w:rsidRPr="00A244AE">
        <w:rPr>
          <w:bCs/>
          <w:lang w:val="ro-RO"/>
        </w:rPr>
        <w:t>.</w:t>
      </w:r>
    </w:p>
    <w:p w14:paraId="64D94A3D" w14:textId="5A413329" w:rsidR="00731CD7" w:rsidRPr="00A244AE" w:rsidRDefault="00E444C0" w:rsidP="00790333">
      <w:pPr>
        <w:pStyle w:val="a7"/>
        <w:spacing w:before="120" w:beforeAutospacing="0" w:after="0" w:afterAutospacing="0" w:line="276" w:lineRule="auto"/>
        <w:jc w:val="both"/>
        <w:rPr>
          <w:bCs/>
          <w:lang w:val="ro-RO"/>
        </w:rPr>
      </w:pPr>
      <w:r w:rsidRPr="00A244AE">
        <w:rPr>
          <w:bCs/>
          <w:lang w:val="ro-RO"/>
        </w:rPr>
        <w:t xml:space="preserve">Valorile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</m:t>
            </m:r>
          </m:sup>
        </m:sSubSup>
      </m:oMath>
      <w:r w:rsidR="00911DE8" w:rsidRPr="00A244AE">
        <w:rPr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</m:t>
            </m:r>
          </m:sup>
        </m:sSubSup>
      </m:oMath>
      <w:r w:rsidR="00911DE8" w:rsidRPr="00A244AE">
        <w:rPr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</m:t>
            </m:r>
          </m:sup>
        </m:sSubSup>
      </m:oMath>
      <w:r w:rsidR="00911DE8" w:rsidRPr="00A244AE">
        <w:rPr>
          <w:b/>
          <w:bCs/>
          <w:lang w:val="ro-RO"/>
        </w:rPr>
        <w:t xml:space="preserve"> </w:t>
      </w:r>
      <w:r w:rsidR="00911DE8" w:rsidRPr="00A244AE">
        <w:rPr>
          <w:lang w:val="ro-RO"/>
        </w:rPr>
        <w:t>și</w:t>
      </w:r>
      <w:r w:rsidR="00911DE8" w:rsidRPr="00A244AE">
        <w:rPr>
          <w:b/>
          <w:bCs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</m:t>
            </m:r>
          </m:sup>
        </m:sSubSup>
      </m:oMath>
      <w:r w:rsidR="00911DE8" w:rsidRPr="00A244AE">
        <w:rPr>
          <w:lang w:val="ro-RO"/>
        </w:rPr>
        <w:t xml:space="preserve"> </w:t>
      </w:r>
      <w:r w:rsidR="00505A02" w:rsidRPr="00A244AE">
        <w:rPr>
          <w:lang w:val="ro-RO"/>
        </w:rPr>
        <w:t xml:space="preserve">sunt calculate în baza </w:t>
      </w:r>
      <w:r w:rsidR="00E84BBF" w:rsidRPr="00A244AE">
        <w:rPr>
          <w:lang w:val="ro-RO"/>
        </w:rPr>
        <w:t xml:space="preserve">datelor publicate de </w:t>
      </w:r>
      <w:r w:rsidR="00842DF6" w:rsidRPr="00A244AE">
        <w:rPr>
          <w:lang w:val="ro-RO"/>
        </w:rPr>
        <w:t>către Biroul Național de Statistică în Balanța Energetică a Republicii Moldova</w:t>
      </w:r>
      <w:r w:rsidR="00E84BBF" w:rsidRPr="00A244AE">
        <w:rPr>
          <w:lang w:val="ro-RO"/>
        </w:rPr>
        <w:t>.</w:t>
      </w:r>
    </w:p>
    <w:p w14:paraId="4274CE28" w14:textId="015DD6EF" w:rsidR="00842DF6" w:rsidRPr="00A244AE" w:rsidRDefault="006714C9" w:rsidP="003905CC">
      <w:pPr>
        <w:pStyle w:val="a3"/>
        <w:numPr>
          <w:ilvl w:val="0"/>
          <w:numId w:val="4"/>
        </w:numPr>
        <w:spacing w:before="120" w:line="276" w:lineRule="auto"/>
        <w:ind w:left="360"/>
        <w:contextualSpacing w:val="0"/>
        <w:jc w:val="both"/>
        <w:rPr>
          <w:bCs/>
          <w:i/>
          <w:lang w:val="ro-RO" w:eastAsia="en-US"/>
        </w:rPr>
      </w:pPr>
      <w:r w:rsidRPr="00A244AE">
        <w:rPr>
          <w:bCs/>
          <w:i/>
          <w:lang w:val="ro-RO" w:eastAsia="en-US"/>
        </w:rPr>
        <w:t>Pentru părțile obligate din sectorul gazelor naturale (operatorii sistemelor de distribuție a gazelor naturale):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81"/>
        <w:gridCol w:w="556"/>
      </w:tblGrid>
      <w:tr w:rsidR="00BB1AB0" w:rsidRPr="00A244AE" w14:paraId="181E8535" w14:textId="77777777" w:rsidTr="00373F58"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1F95665C" w14:textId="6B797EEF" w:rsidR="00BB1AB0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GN,i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GN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 xml:space="preserve">EcT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ktep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GN,tot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184A0ED" w14:textId="7E06CAC8" w:rsidR="00BB1AB0" w:rsidRPr="00A244AE" w:rsidRDefault="00BB1AB0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(4),</w:t>
            </w:r>
          </w:p>
        </w:tc>
      </w:tr>
    </w:tbl>
    <w:p w14:paraId="620D85B2" w14:textId="1FBF5178" w:rsidR="00B47DCB" w:rsidRPr="00A244AE" w:rsidRDefault="00B47DCB" w:rsidP="00B47DCB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66A7D869" w14:textId="3E5DE333" w:rsidR="00FF0A44" w:rsidRPr="00A244AE" w:rsidRDefault="00845D58" w:rsidP="00FF0A44">
      <w:pPr>
        <w:pStyle w:val="a7"/>
        <w:spacing w:before="0" w:beforeAutospacing="0" w:after="120" w:afterAutospacing="0" w:line="276" w:lineRule="auto"/>
        <w:jc w:val="both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Ec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GN,i</m:t>
            </m:r>
          </m:sup>
        </m:sSubSup>
      </m:oMath>
      <w:r w:rsidR="00FF0A44" w:rsidRPr="00A244AE">
        <w:rPr>
          <w:bCs/>
          <w:lang w:val="ro-RO"/>
        </w:rPr>
        <w:t xml:space="preserve"> - cantitatea anuală a economiilor</w:t>
      </w:r>
      <w:r w:rsidR="00D72EA4" w:rsidRPr="00A244AE">
        <w:rPr>
          <w:bCs/>
          <w:lang w:val="ro-RO"/>
        </w:rPr>
        <w:t xml:space="preserve"> de energie</w:t>
      </w:r>
      <w:r w:rsidR="00FF0A44" w:rsidRPr="00A244AE">
        <w:rPr>
          <w:bCs/>
          <w:lang w:val="ro-RO"/>
        </w:rPr>
        <w:t xml:space="preserve">, la a căror realizare trebuie să contribuie </w:t>
      </w:r>
      <w:r w:rsidR="002A1328" w:rsidRPr="00A244AE">
        <w:rPr>
          <w:bCs/>
          <w:lang w:val="ro-RO"/>
        </w:rPr>
        <w:t>operatorul „</w:t>
      </w:r>
      <w:r w:rsidR="002A1328" w:rsidRPr="00A244AE">
        <w:rPr>
          <w:bCs/>
          <w:i/>
          <w:iCs/>
          <w:lang w:val="ro-RO"/>
        </w:rPr>
        <w:t>i</w:t>
      </w:r>
      <w:r w:rsidR="002A1328" w:rsidRPr="00A244AE">
        <w:rPr>
          <w:bCs/>
          <w:lang w:val="ro-RO"/>
        </w:rPr>
        <w:t xml:space="preserve">” al sistemului de distribuție </w:t>
      </w:r>
      <w:r w:rsidR="00FF0A44" w:rsidRPr="00A244AE">
        <w:rPr>
          <w:bCs/>
          <w:lang w:val="ro-RO"/>
        </w:rPr>
        <w:t xml:space="preserve">a </w:t>
      </w:r>
      <w:r w:rsidR="00BB5532" w:rsidRPr="00A244AE">
        <w:rPr>
          <w:bCs/>
          <w:lang w:val="ro-RO"/>
        </w:rPr>
        <w:t>gazelor naturale</w:t>
      </w:r>
      <w:r w:rsidR="00380C70" w:rsidRPr="00A244AE">
        <w:rPr>
          <w:bCs/>
          <w:lang w:val="ro-RO"/>
        </w:rPr>
        <w:t xml:space="preserve">, </w:t>
      </w:r>
      <w:proofErr w:type="spellStart"/>
      <w:r w:rsidR="00380C70" w:rsidRPr="00A244AE">
        <w:rPr>
          <w:bCs/>
          <w:lang w:val="ro-RO"/>
        </w:rPr>
        <w:t>ktep</w:t>
      </w:r>
      <w:proofErr w:type="spellEnd"/>
      <w:r w:rsidR="00FF0A44" w:rsidRPr="00A244AE">
        <w:rPr>
          <w:bCs/>
          <w:lang w:val="ro-RO"/>
        </w:rPr>
        <w:t>;</w:t>
      </w:r>
    </w:p>
    <w:p w14:paraId="78362924" w14:textId="462624A1" w:rsidR="005C16E7" w:rsidRPr="00A244AE" w:rsidRDefault="00845D58" w:rsidP="00373F58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GN,i</m:t>
            </m:r>
          </m:sup>
        </m:sSubSup>
      </m:oMath>
      <w:r w:rsidR="005C16E7" w:rsidRPr="00A244AE">
        <w:rPr>
          <w:b/>
          <w:bCs/>
          <w:lang w:val="ro-RO"/>
        </w:rPr>
        <w:t xml:space="preserve"> </w:t>
      </w:r>
      <w:r w:rsidR="005C16E7" w:rsidRPr="00A244AE">
        <w:rPr>
          <w:bCs/>
          <w:lang w:val="ro-RO"/>
        </w:rPr>
        <w:t xml:space="preserve">- </w:t>
      </w:r>
      <w:r w:rsidR="005C16E7" w:rsidRPr="00A244AE">
        <w:rPr>
          <w:lang w:val="ro-RO" w:eastAsia="en-US"/>
        </w:rPr>
        <w:t>volumul anual gazelor</w:t>
      </w:r>
      <w:r w:rsidR="008F4066" w:rsidRPr="00A244AE">
        <w:rPr>
          <w:lang w:val="ro-RO" w:eastAsia="en-US"/>
        </w:rPr>
        <w:t xml:space="preserve"> naturale</w:t>
      </w:r>
      <w:r w:rsidR="005C16E7" w:rsidRPr="00A244AE">
        <w:rPr>
          <w:lang w:val="ro-RO" w:eastAsia="en-US"/>
        </w:rPr>
        <w:t xml:space="preserve"> distribuite de operatorul „</w:t>
      </w:r>
      <w:r w:rsidR="005C16E7" w:rsidRPr="00A244AE">
        <w:rPr>
          <w:i/>
          <w:iCs/>
          <w:lang w:val="ro-RO" w:eastAsia="en-US"/>
        </w:rPr>
        <w:t>i</w:t>
      </w:r>
      <w:r w:rsidR="005C16E7" w:rsidRPr="00A244AE">
        <w:rPr>
          <w:lang w:val="ro-RO" w:eastAsia="en-US"/>
        </w:rPr>
        <w:t>” al</w:t>
      </w:r>
      <w:r w:rsidR="005C16E7" w:rsidRPr="00A244AE">
        <w:rPr>
          <w:bCs/>
          <w:lang w:val="ro-RO"/>
        </w:rPr>
        <w:t xml:space="preserve"> sistemului de distribuție a </w:t>
      </w:r>
      <w:r w:rsidR="008F4066" w:rsidRPr="00A244AE">
        <w:rPr>
          <w:bCs/>
          <w:lang w:val="ro-RO"/>
        </w:rPr>
        <w:t>gazelor naturale</w:t>
      </w:r>
      <w:r w:rsidR="005C16E7" w:rsidRPr="00A244AE">
        <w:rPr>
          <w:bCs/>
          <w:lang w:val="ro-RO"/>
        </w:rPr>
        <w:t xml:space="preserve">, calculat ca </w:t>
      </w:r>
      <w:r w:rsidR="005C16E7" w:rsidRPr="00A244AE">
        <w:rPr>
          <w:lang w:val="ro-RO" w:eastAsia="en-US"/>
        </w:rPr>
        <w:t>valoare medie pentru perioada de 3</w:t>
      </w:r>
      <w:r w:rsidR="005C16E7" w:rsidRPr="00A244AE">
        <w:rPr>
          <w:lang w:val="ro-RO"/>
        </w:rPr>
        <w:t> </w:t>
      </w:r>
      <w:r w:rsidR="005C16E7" w:rsidRPr="00A244AE">
        <w:rPr>
          <w:lang w:val="ro-RO" w:eastAsia="en-US"/>
        </w:rPr>
        <w:t>ani anterioară datei de 1 ianuarie 2022</w:t>
      </w:r>
      <w:r w:rsidR="005C16E7" w:rsidRPr="00A244AE">
        <w:rPr>
          <w:bCs/>
          <w:lang w:val="ro-RO"/>
        </w:rPr>
        <w:t xml:space="preserve">, </w:t>
      </w:r>
      <w:r w:rsidR="005C11CA" w:rsidRPr="00A244AE">
        <w:rPr>
          <w:bCs/>
          <w:lang w:val="ro-RO"/>
        </w:rPr>
        <w:t>m</w:t>
      </w:r>
      <w:r w:rsidR="005C11CA" w:rsidRPr="00A244AE">
        <w:rPr>
          <w:bCs/>
          <w:vertAlign w:val="superscript"/>
          <w:lang w:val="ro-RO"/>
        </w:rPr>
        <w:t>3</w:t>
      </w:r>
      <w:r w:rsidR="005C16E7" w:rsidRPr="00A244AE">
        <w:rPr>
          <w:bCs/>
          <w:lang w:val="ro-RO"/>
        </w:rPr>
        <w:t>;</w:t>
      </w:r>
    </w:p>
    <w:p w14:paraId="50D54FAD" w14:textId="2C8C7C43" w:rsidR="005C16E7" w:rsidRPr="00A244AE" w:rsidRDefault="00845D58" w:rsidP="00373F58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GN,tot</m:t>
            </m:r>
          </m:sup>
        </m:sSubSup>
      </m:oMath>
      <w:r w:rsidR="005C16E7" w:rsidRPr="00A244AE">
        <w:rPr>
          <w:b/>
          <w:bCs/>
          <w:lang w:val="ro-RO"/>
        </w:rPr>
        <w:t xml:space="preserve"> </w:t>
      </w:r>
      <w:r w:rsidR="005C16E7" w:rsidRPr="00A244AE">
        <w:rPr>
          <w:bCs/>
          <w:lang w:val="ro-RO"/>
        </w:rPr>
        <w:t xml:space="preserve">- </w:t>
      </w:r>
      <w:r w:rsidR="005C16E7" w:rsidRPr="00A244AE">
        <w:rPr>
          <w:lang w:val="ro-RO" w:eastAsia="en-US"/>
        </w:rPr>
        <w:t xml:space="preserve">volumul total anual al </w:t>
      </w:r>
      <w:r w:rsidR="00EB45B6" w:rsidRPr="00A244AE">
        <w:rPr>
          <w:lang w:val="ro-RO" w:eastAsia="en-US"/>
        </w:rPr>
        <w:t>gazelor naturale</w:t>
      </w:r>
      <w:r w:rsidR="005C16E7" w:rsidRPr="00A244AE">
        <w:rPr>
          <w:lang w:val="ro-RO" w:eastAsia="en-US"/>
        </w:rPr>
        <w:t xml:space="preserve"> distribuite de</w:t>
      </w:r>
      <w:r w:rsidR="00ED0FB2" w:rsidRPr="00A244AE">
        <w:rPr>
          <w:lang w:val="ro-RO" w:eastAsia="en-US"/>
        </w:rPr>
        <w:t xml:space="preserve"> toți</w:t>
      </w:r>
      <w:r w:rsidR="005C16E7" w:rsidRPr="00A244AE">
        <w:rPr>
          <w:lang w:val="ro-RO" w:eastAsia="en-US"/>
        </w:rPr>
        <w:t xml:space="preserve"> operatorii</w:t>
      </w:r>
      <w:r w:rsidR="005C16E7" w:rsidRPr="00A244AE">
        <w:rPr>
          <w:bCs/>
          <w:lang w:val="ro-RO"/>
        </w:rPr>
        <w:t xml:space="preserve"> sistemelor de distribuție a </w:t>
      </w:r>
      <w:r w:rsidR="00EB45B6" w:rsidRPr="00A244AE">
        <w:rPr>
          <w:bCs/>
          <w:lang w:val="ro-RO"/>
        </w:rPr>
        <w:t>gazelor naturale</w:t>
      </w:r>
      <w:r w:rsidR="005C16E7" w:rsidRPr="00A244AE">
        <w:rPr>
          <w:bCs/>
          <w:lang w:val="ro-RO"/>
        </w:rPr>
        <w:t xml:space="preserve">, calculat ca </w:t>
      </w:r>
      <w:r w:rsidR="005C16E7" w:rsidRPr="00A244AE">
        <w:rPr>
          <w:lang w:val="ro-RO" w:eastAsia="en-US"/>
        </w:rPr>
        <w:t>valoare medie pentru perioada de 3</w:t>
      </w:r>
      <w:r w:rsidR="005C16E7" w:rsidRPr="00A244AE">
        <w:rPr>
          <w:lang w:val="ro-RO"/>
        </w:rPr>
        <w:t> </w:t>
      </w:r>
      <w:r w:rsidR="005C16E7" w:rsidRPr="00A244AE">
        <w:rPr>
          <w:lang w:val="ro-RO" w:eastAsia="en-US"/>
        </w:rPr>
        <w:t>ani anterioară datei</w:t>
      </w:r>
      <w:r w:rsidR="00C7042E" w:rsidRPr="00A244AE">
        <w:rPr>
          <w:lang w:val="ro-RO" w:eastAsia="en-US"/>
        </w:rPr>
        <w:t xml:space="preserve"> </w:t>
      </w:r>
      <w:r w:rsidR="005C16E7" w:rsidRPr="00A244AE">
        <w:rPr>
          <w:lang w:val="ro-RO" w:eastAsia="en-US"/>
        </w:rPr>
        <w:t>de 1 ianuarie 2022</w:t>
      </w:r>
      <w:r w:rsidR="005C16E7" w:rsidRPr="00A244AE">
        <w:rPr>
          <w:bCs/>
          <w:lang w:val="ro-RO"/>
        </w:rPr>
        <w:t xml:space="preserve">, </w:t>
      </w:r>
      <w:r w:rsidR="005C11CA" w:rsidRPr="00A244AE">
        <w:rPr>
          <w:bCs/>
          <w:lang w:val="ro-RO"/>
        </w:rPr>
        <w:t>m</w:t>
      </w:r>
      <w:r w:rsidR="005C11CA" w:rsidRPr="00A244AE">
        <w:rPr>
          <w:bCs/>
          <w:vertAlign w:val="superscript"/>
          <w:lang w:val="ro-RO"/>
        </w:rPr>
        <w:t>3</w:t>
      </w:r>
      <w:r w:rsidR="005C16E7" w:rsidRPr="00A244AE">
        <w:rPr>
          <w:bCs/>
          <w:lang w:val="ro-RO"/>
        </w:rPr>
        <w:t>;</w:t>
      </w:r>
    </w:p>
    <w:p w14:paraId="225E7498" w14:textId="469169EA" w:rsidR="005C16E7" w:rsidRPr="00A244AE" w:rsidRDefault="005C16E7" w:rsidP="005C16E7">
      <w:pPr>
        <w:pStyle w:val="a7"/>
        <w:spacing w:before="120" w:beforeAutospacing="0" w:after="0" w:afterAutospacing="0" w:line="276" w:lineRule="auto"/>
        <w:jc w:val="both"/>
        <w:rPr>
          <w:bCs/>
          <w:lang w:val="ro-RO"/>
        </w:rPr>
      </w:pPr>
      <w:r w:rsidRPr="00A244AE">
        <w:rPr>
          <w:bCs/>
          <w:lang w:val="ro-RO"/>
        </w:rPr>
        <w:t xml:space="preserve">Valorile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GN,i</m:t>
            </m:r>
          </m:sup>
        </m:sSubSup>
      </m:oMath>
      <w:r w:rsidRPr="00A244AE">
        <w:rPr>
          <w:lang w:val="ro-RO"/>
        </w:rPr>
        <w:t xml:space="preserve"> și</w:t>
      </w:r>
      <w:r w:rsidRPr="00A244AE">
        <w:rPr>
          <w:b/>
          <w:bCs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GN,tot</m:t>
            </m:r>
          </m:sup>
        </m:sSubSup>
      </m:oMath>
      <w:r w:rsidRPr="00A244AE">
        <w:rPr>
          <w:lang w:val="ro-RO"/>
        </w:rPr>
        <w:t xml:space="preserve"> sunt calculate în baza datelor prezentate </w:t>
      </w:r>
      <w:r w:rsidRPr="00A244AE">
        <w:rPr>
          <w:lang w:val="ro-RO" w:eastAsia="en-US"/>
        </w:rPr>
        <w:t xml:space="preserve">organului central de specialitate al administrației publice în domeniul energeticii și/sau instituției publice de suport </w:t>
      </w:r>
      <w:r w:rsidRPr="00A244AE">
        <w:rPr>
          <w:lang w:val="ro-RO"/>
        </w:rPr>
        <w:t>de către Agenția Națională pentru Reglementare în Energetică a Republicii Moldova.</w:t>
      </w:r>
    </w:p>
    <w:p w14:paraId="5026189F" w14:textId="2A81DC2A" w:rsidR="00FF0A44" w:rsidRPr="00A244AE" w:rsidRDefault="00845D58" w:rsidP="003E05A9">
      <w:pPr>
        <w:pStyle w:val="a7"/>
        <w:spacing w:before="120" w:beforeAutospacing="0" w:after="0" w:afterAutospacing="0" w:line="276" w:lineRule="auto"/>
        <w:jc w:val="both"/>
        <w:rPr>
          <w:b/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</m:t>
            </m:r>
          </m:sup>
        </m:sSubSup>
      </m:oMath>
      <w:r w:rsidR="00FF0A44" w:rsidRPr="00A244AE">
        <w:rPr>
          <w:bCs/>
          <w:lang w:val="ro-RO"/>
        </w:rPr>
        <w:t xml:space="preserve"> </w:t>
      </w:r>
      <w:r w:rsidR="00D72EA4" w:rsidRPr="00A244AE">
        <w:rPr>
          <w:bCs/>
          <w:lang w:val="ro-RO"/>
        </w:rPr>
        <w:t>–</w:t>
      </w:r>
      <w:r w:rsidR="00FF0A44" w:rsidRPr="00A244AE">
        <w:rPr>
          <w:bCs/>
          <w:lang w:val="ro-RO"/>
        </w:rPr>
        <w:t xml:space="preserve"> </w:t>
      </w:r>
      <w:r w:rsidR="00FF0A44" w:rsidRPr="00A244AE">
        <w:rPr>
          <w:lang w:val="ro-RO" w:eastAsia="en-US"/>
        </w:rPr>
        <w:t xml:space="preserve">ponderea luată în calcul a valorilor medii pentru perioada de 3 ani anterioară datei de </w:t>
      </w:r>
      <w:r w:rsidR="005576F8" w:rsidRPr="00A244AE">
        <w:rPr>
          <w:lang w:val="ro-RO" w:eastAsia="en-US"/>
        </w:rPr>
        <w:t>1</w:t>
      </w:r>
      <w:r w:rsidR="005576F8">
        <w:rPr>
          <w:lang w:val="ro-RO" w:eastAsia="en-US"/>
        </w:rPr>
        <w:t> </w:t>
      </w:r>
      <w:r w:rsidR="00FF0A44" w:rsidRPr="00A244AE">
        <w:rPr>
          <w:lang w:val="ro-RO" w:eastAsia="en-US"/>
        </w:rPr>
        <w:t xml:space="preserve">ianuarie 2022 a consumului final de </w:t>
      </w:r>
      <w:r w:rsidR="00BB5532" w:rsidRPr="00A244AE">
        <w:rPr>
          <w:lang w:val="ro-RO" w:eastAsia="en-US"/>
        </w:rPr>
        <w:t>gaze naturale</w:t>
      </w:r>
      <w:r w:rsidR="00FF0A44" w:rsidRPr="00A244AE" w:rsidDel="00346AA8">
        <w:rPr>
          <w:bCs/>
          <w:lang w:val="ro-RO"/>
        </w:rPr>
        <w:t xml:space="preserve"> </w:t>
      </w:r>
      <w:r w:rsidR="00FF0A44" w:rsidRPr="00A244AE">
        <w:rPr>
          <w:lang w:val="ro-RO" w:eastAsia="en-US"/>
        </w:rPr>
        <w:t>în consumul final cumulativ de energie electrică, gaze naturale, produse petroliere și energie termică</w:t>
      </w:r>
      <w:r w:rsidR="00AC4207" w:rsidRPr="00A244AE">
        <w:rPr>
          <w:lang w:val="ro-RO" w:eastAsia="en-US"/>
        </w:rPr>
        <w:t>, %</w:t>
      </w:r>
      <w:r w:rsidR="00FF0A44" w:rsidRPr="00A244AE">
        <w:rPr>
          <w:bCs/>
          <w:lang w:val="ro-RO"/>
        </w:rPr>
        <w:t>. Această pondere se determină în conformitate cu următoarea formulă: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1"/>
        <w:gridCol w:w="556"/>
      </w:tblGrid>
      <w:tr w:rsidR="00FF0A44" w:rsidRPr="00A244AE" w14:paraId="4CE0DE50" w14:textId="77777777" w:rsidTr="00F1502C">
        <w:tc>
          <w:tcPr>
            <w:tcW w:w="9297" w:type="dxa"/>
            <w:vAlign w:val="center"/>
          </w:tcPr>
          <w:p w14:paraId="608B7BDA" w14:textId="4C524562" w:rsidR="00FF0A44" w:rsidRPr="00A244AE" w:rsidRDefault="00845D58" w:rsidP="00F1502C">
            <w:pPr>
              <w:pStyle w:val="a7"/>
              <w:spacing w:before="12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GN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x 100</m:t>
                </m:r>
              </m:oMath>
            </m:oMathPara>
          </w:p>
        </w:tc>
        <w:tc>
          <w:tcPr>
            <w:tcW w:w="556" w:type="dxa"/>
            <w:vAlign w:val="center"/>
          </w:tcPr>
          <w:p w14:paraId="621B5035" w14:textId="3022ED49" w:rsidR="00FF0A44" w:rsidRPr="00A244AE" w:rsidRDefault="00FF0A44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</w:t>
            </w:r>
            <w:r w:rsidR="001D0057" w:rsidRPr="00A244AE">
              <w:rPr>
                <w:bCs/>
                <w:lang w:val="ro-RO"/>
              </w:rPr>
              <w:t>5</w:t>
            </w:r>
            <w:r w:rsidRPr="00A244AE">
              <w:rPr>
                <w:bCs/>
                <w:lang w:val="ro-RO"/>
              </w:rPr>
              <w:t>)</w:t>
            </w:r>
            <w:r w:rsidR="00B47DCB" w:rsidRPr="00A244AE">
              <w:rPr>
                <w:bCs/>
                <w:lang w:val="ro-RO"/>
              </w:rPr>
              <w:t>.</w:t>
            </w:r>
          </w:p>
        </w:tc>
      </w:tr>
    </w:tbl>
    <w:p w14:paraId="4B70C4F0" w14:textId="7CE34670" w:rsidR="0094242B" w:rsidRPr="00A244AE" w:rsidRDefault="001E724F" w:rsidP="00FE536E">
      <w:pPr>
        <w:pStyle w:val="a3"/>
        <w:numPr>
          <w:ilvl w:val="0"/>
          <w:numId w:val="4"/>
        </w:numPr>
        <w:spacing w:before="240" w:line="276" w:lineRule="auto"/>
        <w:ind w:left="360"/>
        <w:contextualSpacing w:val="0"/>
        <w:jc w:val="both"/>
        <w:rPr>
          <w:bCs/>
          <w:i/>
          <w:lang w:val="ro-RO" w:eastAsia="en-US"/>
        </w:rPr>
      </w:pPr>
      <w:r w:rsidRPr="00A244AE">
        <w:rPr>
          <w:bCs/>
          <w:i/>
          <w:lang w:val="ro-RO" w:eastAsia="en-US"/>
        </w:rPr>
        <w:t>Pentru părțile obligate din sectorul produselor petroliere (importatorii de produse petroliere):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081"/>
        <w:gridCol w:w="556"/>
      </w:tblGrid>
      <w:tr w:rsidR="0094242B" w:rsidRPr="00A244AE" w14:paraId="7AAF3CF7" w14:textId="77777777" w:rsidTr="00F1502C"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40400B78" w14:textId="12F8BBF3" w:rsidR="0094242B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PP,i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 xml:space="preserve">EcT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ktep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PP,tot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7404E417" w14:textId="24DC698C" w:rsidR="0094242B" w:rsidRPr="00A244AE" w:rsidRDefault="0094242B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(6),</w:t>
            </w:r>
          </w:p>
        </w:tc>
      </w:tr>
    </w:tbl>
    <w:p w14:paraId="1115CE5E" w14:textId="1609BA64" w:rsidR="00B47DCB" w:rsidRPr="00A244AE" w:rsidRDefault="00B47DCB" w:rsidP="00B47DCB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2FC2BE40" w14:textId="7951E9D4" w:rsidR="0094242B" w:rsidRPr="00A244AE" w:rsidRDefault="00845D58" w:rsidP="0094242B">
      <w:pPr>
        <w:pStyle w:val="a7"/>
        <w:spacing w:before="0" w:beforeAutospacing="0" w:after="120" w:afterAutospacing="0" w:line="276" w:lineRule="auto"/>
        <w:jc w:val="both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Ec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PP,i</m:t>
            </m:r>
          </m:sup>
        </m:sSubSup>
      </m:oMath>
      <w:r w:rsidR="0094242B" w:rsidRPr="00A244AE">
        <w:rPr>
          <w:bCs/>
          <w:lang w:val="ro-RO"/>
        </w:rPr>
        <w:t xml:space="preserve"> </w:t>
      </w:r>
      <w:r w:rsidR="00D72EA4" w:rsidRPr="00A244AE">
        <w:rPr>
          <w:bCs/>
          <w:lang w:val="ro-RO"/>
        </w:rPr>
        <w:t>–</w:t>
      </w:r>
      <w:r w:rsidR="0094242B" w:rsidRPr="00A244AE">
        <w:rPr>
          <w:bCs/>
          <w:lang w:val="ro-RO"/>
        </w:rPr>
        <w:t xml:space="preserve"> cantitatea anuală a economiilor</w:t>
      </w:r>
      <w:r w:rsidR="00D72EA4" w:rsidRPr="00A244AE">
        <w:rPr>
          <w:bCs/>
          <w:lang w:val="ro-RO"/>
        </w:rPr>
        <w:t xml:space="preserve"> de energie</w:t>
      </w:r>
      <w:r w:rsidR="0094242B" w:rsidRPr="00A244AE">
        <w:rPr>
          <w:bCs/>
          <w:lang w:val="ro-RO"/>
        </w:rPr>
        <w:t xml:space="preserve">, la a căror realizare trebuie să contribuie </w:t>
      </w:r>
      <w:r w:rsidR="00D72EA4" w:rsidRPr="00A244AE">
        <w:rPr>
          <w:bCs/>
          <w:lang w:val="ro-RO"/>
        </w:rPr>
        <w:t>importator</w:t>
      </w:r>
      <w:r w:rsidR="0022524D" w:rsidRPr="00A244AE">
        <w:rPr>
          <w:bCs/>
          <w:lang w:val="ro-RO"/>
        </w:rPr>
        <w:t>ul</w:t>
      </w:r>
      <w:r w:rsidR="00D72EA4" w:rsidRPr="00A244AE">
        <w:rPr>
          <w:bCs/>
          <w:lang w:val="ro-RO"/>
        </w:rPr>
        <w:t xml:space="preserve"> </w:t>
      </w:r>
      <w:r w:rsidR="00192536" w:rsidRPr="00A244AE">
        <w:rPr>
          <w:bCs/>
          <w:lang w:val="ro-RO"/>
        </w:rPr>
        <w:t>„</w:t>
      </w:r>
      <w:r w:rsidR="00192536" w:rsidRPr="00A244AE">
        <w:rPr>
          <w:bCs/>
          <w:i/>
          <w:iCs/>
          <w:lang w:val="ro-RO"/>
        </w:rPr>
        <w:t>i</w:t>
      </w:r>
      <w:r w:rsidR="00192536" w:rsidRPr="00A244AE">
        <w:rPr>
          <w:bCs/>
          <w:lang w:val="ro-RO"/>
        </w:rPr>
        <w:t xml:space="preserve">” </w:t>
      </w:r>
      <w:r w:rsidR="00D72EA4" w:rsidRPr="00A244AE">
        <w:rPr>
          <w:bCs/>
          <w:lang w:val="ro-RO"/>
        </w:rPr>
        <w:t>de produse petroliere</w:t>
      </w:r>
      <w:r w:rsidR="00DB76AF" w:rsidRPr="00A244AE">
        <w:rPr>
          <w:bCs/>
          <w:lang w:val="ro-RO"/>
        </w:rPr>
        <w:t xml:space="preserve">, </w:t>
      </w:r>
      <w:proofErr w:type="spellStart"/>
      <w:r w:rsidR="00DB76AF" w:rsidRPr="00A244AE">
        <w:rPr>
          <w:bCs/>
          <w:lang w:val="ro-RO"/>
        </w:rPr>
        <w:t>ktep</w:t>
      </w:r>
      <w:proofErr w:type="spellEnd"/>
      <w:r w:rsidR="0094242B" w:rsidRPr="00A244AE">
        <w:rPr>
          <w:bCs/>
          <w:lang w:val="ro-RO"/>
        </w:rPr>
        <w:t>;</w:t>
      </w:r>
    </w:p>
    <w:p w14:paraId="45182708" w14:textId="135D5971" w:rsidR="009F11B7" w:rsidRPr="00A244AE" w:rsidRDefault="00845D58" w:rsidP="00A244AE">
      <w:pPr>
        <w:pStyle w:val="a7"/>
        <w:spacing w:before="0" w:beforeAutospacing="0" w:after="120" w:afterAutospacing="0" w:line="276" w:lineRule="auto"/>
        <w:jc w:val="both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PP,i</m:t>
            </m:r>
          </m:sup>
        </m:sSubSup>
      </m:oMath>
      <w:r w:rsidR="009F11B7" w:rsidRPr="00A244AE">
        <w:rPr>
          <w:b/>
          <w:bCs/>
          <w:lang w:val="ro-RO"/>
        </w:rPr>
        <w:t xml:space="preserve"> </w:t>
      </w:r>
      <w:r w:rsidR="009F11B7" w:rsidRPr="00A244AE">
        <w:rPr>
          <w:bCs/>
          <w:lang w:val="ro-RO"/>
        </w:rPr>
        <w:t xml:space="preserve">- </w:t>
      </w:r>
      <w:r w:rsidR="009F11B7" w:rsidRPr="00A244AE">
        <w:rPr>
          <w:lang w:val="ro-RO" w:eastAsia="en-US"/>
        </w:rPr>
        <w:t xml:space="preserve">volumul anual al </w:t>
      </w:r>
      <w:r w:rsidR="0083152E" w:rsidRPr="00A244AE">
        <w:rPr>
          <w:lang w:val="ro-RO" w:eastAsia="en-US"/>
        </w:rPr>
        <w:t xml:space="preserve">produselor petroliere principale </w:t>
      </w:r>
      <w:r w:rsidR="009E0B24" w:rsidRPr="00A244AE">
        <w:rPr>
          <w:lang w:val="ro-RO" w:eastAsia="en-US"/>
        </w:rPr>
        <w:t xml:space="preserve">și/sau </w:t>
      </w:r>
      <w:r w:rsidR="008E080C" w:rsidRPr="00A244AE">
        <w:rPr>
          <w:lang w:val="ro-RO" w:eastAsia="en-US"/>
        </w:rPr>
        <w:t xml:space="preserve">al </w:t>
      </w:r>
      <w:r w:rsidR="009E0B24" w:rsidRPr="00A244AE">
        <w:rPr>
          <w:lang w:val="ro-RO" w:eastAsia="en-US"/>
        </w:rPr>
        <w:t>gaz</w:t>
      </w:r>
      <w:r w:rsidR="003D0A49" w:rsidRPr="00A244AE">
        <w:rPr>
          <w:lang w:val="ro-RO" w:eastAsia="en-US"/>
        </w:rPr>
        <w:t xml:space="preserve">ului </w:t>
      </w:r>
      <w:r w:rsidR="009E0B24" w:rsidRPr="00A244AE">
        <w:rPr>
          <w:lang w:val="ro-RO" w:eastAsia="en-US"/>
        </w:rPr>
        <w:t xml:space="preserve">lichefiat </w:t>
      </w:r>
      <w:r w:rsidR="0083152E" w:rsidRPr="00A244AE">
        <w:rPr>
          <w:lang w:val="ro-RO" w:eastAsia="en-US"/>
        </w:rPr>
        <w:t xml:space="preserve">comercializate </w:t>
      </w:r>
      <w:r w:rsidR="009E0B24" w:rsidRPr="00A244AE">
        <w:rPr>
          <w:lang w:val="ro-RO" w:eastAsia="en-US"/>
        </w:rPr>
        <w:t>de</w:t>
      </w:r>
      <w:r w:rsidR="00CE1531" w:rsidRPr="00A244AE">
        <w:rPr>
          <w:lang w:val="ro-RO" w:eastAsia="en-US"/>
        </w:rPr>
        <w:t xml:space="preserve"> către</w:t>
      </w:r>
      <w:r w:rsidR="009E0B24" w:rsidRPr="00A244AE">
        <w:rPr>
          <w:lang w:val="ro-RO" w:eastAsia="en-US"/>
        </w:rPr>
        <w:t xml:space="preserve"> </w:t>
      </w:r>
      <w:r w:rsidR="009E0B24" w:rsidRPr="00A244AE">
        <w:rPr>
          <w:bCs/>
          <w:lang w:val="ro-RO"/>
        </w:rPr>
        <w:t>importatorul</w:t>
      </w:r>
      <w:r w:rsidR="009F11B7" w:rsidRPr="00A244AE">
        <w:rPr>
          <w:lang w:val="ro-RO" w:eastAsia="en-US"/>
        </w:rPr>
        <w:t xml:space="preserve"> „</w:t>
      </w:r>
      <w:r w:rsidR="009F11B7" w:rsidRPr="00A244AE">
        <w:rPr>
          <w:i/>
          <w:iCs/>
          <w:lang w:val="ro-RO" w:eastAsia="en-US"/>
        </w:rPr>
        <w:t>i</w:t>
      </w:r>
      <w:r w:rsidR="009F11B7" w:rsidRPr="00A244AE">
        <w:rPr>
          <w:lang w:val="ro-RO" w:eastAsia="en-US"/>
        </w:rPr>
        <w:t xml:space="preserve">” </w:t>
      </w:r>
      <w:r w:rsidR="00D81B3D" w:rsidRPr="00A244AE">
        <w:rPr>
          <w:lang w:val="ro-RO" w:eastAsia="en-US"/>
        </w:rPr>
        <w:t>de produse petroliere</w:t>
      </w:r>
      <w:r w:rsidR="009F11B7" w:rsidRPr="00A244AE">
        <w:rPr>
          <w:bCs/>
          <w:lang w:val="ro-RO"/>
        </w:rPr>
        <w:t xml:space="preserve">, calculat ca </w:t>
      </w:r>
      <w:r w:rsidR="009F11B7" w:rsidRPr="00A244AE">
        <w:rPr>
          <w:lang w:val="ro-RO" w:eastAsia="en-US"/>
        </w:rPr>
        <w:t>valoare medie pentru perioada de 3</w:t>
      </w:r>
      <w:r w:rsidR="009F11B7" w:rsidRPr="00A244AE">
        <w:rPr>
          <w:lang w:val="fr-BE"/>
        </w:rPr>
        <w:t> </w:t>
      </w:r>
      <w:r w:rsidR="009F11B7" w:rsidRPr="00A244AE">
        <w:rPr>
          <w:lang w:val="ro-RO" w:eastAsia="en-US"/>
        </w:rPr>
        <w:t xml:space="preserve">ani anterioară datei de </w:t>
      </w:r>
      <w:r w:rsidR="008E080C" w:rsidRPr="00A244AE">
        <w:rPr>
          <w:lang w:val="ro-RO" w:eastAsia="en-US"/>
        </w:rPr>
        <w:tab/>
      </w:r>
      <w:r w:rsidR="009F11B7" w:rsidRPr="00A244AE">
        <w:rPr>
          <w:lang w:val="ro-RO" w:eastAsia="en-US"/>
        </w:rPr>
        <w:t>1 ianuarie 2022</w:t>
      </w:r>
      <w:r w:rsidR="009F11B7" w:rsidRPr="00A244AE">
        <w:rPr>
          <w:bCs/>
          <w:lang w:val="ro-RO"/>
        </w:rPr>
        <w:t xml:space="preserve">, </w:t>
      </w:r>
      <w:r w:rsidR="00C75124" w:rsidRPr="00A244AE">
        <w:rPr>
          <w:bCs/>
          <w:lang w:val="ro-RO"/>
        </w:rPr>
        <w:t>tone</w:t>
      </w:r>
      <w:r w:rsidR="009F11B7" w:rsidRPr="00A244AE">
        <w:rPr>
          <w:bCs/>
          <w:lang w:val="ro-RO"/>
        </w:rPr>
        <w:t>;</w:t>
      </w:r>
    </w:p>
    <w:p w14:paraId="4A9E2922" w14:textId="385EC303" w:rsidR="009F11B7" w:rsidRPr="00A244AE" w:rsidRDefault="00845D58" w:rsidP="00A244AE">
      <w:pPr>
        <w:pStyle w:val="a7"/>
        <w:spacing w:before="0" w:beforeAutospacing="0" w:after="120" w:afterAutospacing="0" w:line="276" w:lineRule="auto"/>
        <w:jc w:val="both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PP,tot</m:t>
            </m:r>
          </m:sup>
        </m:sSubSup>
      </m:oMath>
      <w:r w:rsidR="009F11B7" w:rsidRPr="00A244AE">
        <w:rPr>
          <w:b/>
          <w:bCs/>
          <w:lang w:val="ro-RO"/>
        </w:rPr>
        <w:t xml:space="preserve"> </w:t>
      </w:r>
      <w:r w:rsidR="009F11B7" w:rsidRPr="00A244AE">
        <w:rPr>
          <w:bCs/>
          <w:lang w:val="ro-RO"/>
        </w:rPr>
        <w:t xml:space="preserve">- </w:t>
      </w:r>
      <w:r w:rsidR="009F11B7" w:rsidRPr="00A244AE">
        <w:rPr>
          <w:lang w:val="ro-RO" w:eastAsia="en-US"/>
        </w:rPr>
        <w:t xml:space="preserve">volumul total anual al </w:t>
      </w:r>
      <w:r w:rsidR="009F5DEA" w:rsidRPr="00A244AE">
        <w:rPr>
          <w:lang w:val="ro-RO" w:eastAsia="en-US"/>
        </w:rPr>
        <w:t xml:space="preserve">produselor petroliere principale și al gazului lichefiat comercializate de </w:t>
      </w:r>
      <w:r w:rsidR="000F4CAD" w:rsidRPr="00A244AE">
        <w:rPr>
          <w:lang w:val="ro-RO" w:eastAsia="en-US"/>
        </w:rPr>
        <w:t xml:space="preserve">toți </w:t>
      </w:r>
      <w:r w:rsidR="009F5DEA" w:rsidRPr="00A244AE">
        <w:rPr>
          <w:lang w:val="ro-RO" w:eastAsia="en-US"/>
        </w:rPr>
        <w:t>importator</w:t>
      </w:r>
      <w:r w:rsidR="00EB5CF5" w:rsidRPr="00A244AE">
        <w:rPr>
          <w:lang w:val="ro-RO" w:eastAsia="en-US"/>
        </w:rPr>
        <w:t>ii</w:t>
      </w:r>
      <w:r w:rsidR="009F5DEA" w:rsidRPr="00A244AE">
        <w:rPr>
          <w:lang w:val="ro-RO" w:eastAsia="en-US"/>
        </w:rPr>
        <w:t xml:space="preserve"> </w:t>
      </w:r>
      <w:r w:rsidR="00EB5CF5" w:rsidRPr="00A244AE">
        <w:rPr>
          <w:lang w:val="ro-RO" w:eastAsia="en-US"/>
        </w:rPr>
        <w:t>de produse petroliere</w:t>
      </w:r>
      <w:r w:rsidR="009F11B7" w:rsidRPr="00A244AE">
        <w:rPr>
          <w:bCs/>
          <w:lang w:val="ro-RO"/>
        </w:rPr>
        <w:t xml:space="preserve">, calculat ca </w:t>
      </w:r>
      <w:r w:rsidR="009F11B7" w:rsidRPr="00A244AE">
        <w:rPr>
          <w:lang w:val="ro-RO" w:eastAsia="en-US"/>
        </w:rPr>
        <w:t>valoare medie pentru perioada de 3</w:t>
      </w:r>
      <w:r w:rsidR="009F11B7" w:rsidRPr="00A244AE">
        <w:rPr>
          <w:lang w:val="fr-BE"/>
        </w:rPr>
        <w:t> </w:t>
      </w:r>
      <w:r w:rsidR="009F11B7" w:rsidRPr="00A244AE">
        <w:rPr>
          <w:lang w:val="ro-RO" w:eastAsia="en-US"/>
        </w:rPr>
        <w:t>ani anterioară datei de 1 ianuarie 2022</w:t>
      </w:r>
      <w:r w:rsidR="009F11B7" w:rsidRPr="00A244AE">
        <w:rPr>
          <w:bCs/>
          <w:lang w:val="ro-RO"/>
        </w:rPr>
        <w:t xml:space="preserve">, </w:t>
      </w:r>
      <w:r w:rsidR="00C75124" w:rsidRPr="00A244AE">
        <w:rPr>
          <w:bCs/>
          <w:lang w:val="ro-RO"/>
        </w:rPr>
        <w:t>tone</w:t>
      </w:r>
      <w:r w:rsidR="009F11B7" w:rsidRPr="00A244AE">
        <w:rPr>
          <w:bCs/>
          <w:lang w:val="ro-RO"/>
        </w:rPr>
        <w:t>;</w:t>
      </w:r>
    </w:p>
    <w:p w14:paraId="309CE547" w14:textId="1EE2DFA4" w:rsidR="009F11B7" w:rsidRPr="00A244AE" w:rsidRDefault="009F11B7" w:rsidP="009F11B7">
      <w:pPr>
        <w:pStyle w:val="a7"/>
        <w:spacing w:before="120" w:beforeAutospacing="0" w:after="0" w:afterAutospacing="0" w:line="276" w:lineRule="auto"/>
        <w:jc w:val="both"/>
        <w:rPr>
          <w:bCs/>
          <w:lang w:val="ro-RO"/>
        </w:rPr>
      </w:pPr>
      <w:r w:rsidRPr="00A244AE">
        <w:rPr>
          <w:bCs/>
          <w:lang w:val="ro-RO"/>
        </w:rPr>
        <w:t xml:space="preserve">Valorile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PP,i</m:t>
            </m:r>
          </m:sup>
        </m:sSubSup>
      </m:oMath>
      <w:r w:rsidRPr="00A244AE">
        <w:rPr>
          <w:lang w:val="ro-RO"/>
        </w:rPr>
        <w:t xml:space="preserve"> și</w:t>
      </w:r>
      <w:r w:rsidRPr="00A244AE">
        <w:rPr>
          <w:b/>
          <w:bCs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PP,tot</m:t>
            </m:r>
          </m:sup>
        </m:sSubSup>
      </m:oMath>
      <w:r w:rsidRPr="00A244AE">
        <w:rPr>
          <w:lang w:val="ro-RO"/>
        </w:rPr>
        <w:t xml:space="preserve"> sunt calculate în baza datelor prezentate </w:t>
      </w:r>
      <w:r w:rsidRPr="00A244AE">
        <w:rPr>
          <w:lang w:val="ro-RO" w:eastAsia="en-US"/>
        </w:rPr>
        <w:t xml:space="preserve">organului central de specialitate al administrației publice în domeniul energeticii și/sau instituției publice de suport </w:t>
      </w:r>
      <w:r w:rsidRPr="00A244AE">
        <w:rPr>
          <w:lang w:val="ro-RO"/>
        </w:rPr>
        <w:t>de către Agenția Națională pentru Reglementare în Energetică a Republicii Moldova.</w:t>
      </w:r>
    </w:p>
    <w:p w14:paraId="5D097417" w14:textId="37F2AFB6" w:rsidR="0094242B" w:rsidRPr="00A244AE" w:rsidRDefault="00845D58" w:rsidP="003E05A9">
      <w:pPr>
        <w:pStyle w:val="a7"/>
        <w:spacing w:before="120" w:beforeAutospacing="0" w:after="0" w:afterAutospacing="0" w:line="276" w:lineRule="auto"/>
        <w:jc w:val="both"/>
        <w:rPr>
          <w:b/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</m:t>
            </m:r>
          </m:sup>
        </m:sSubSup>
      </m:oMath>
      <w:r w:rsidR="0094242B" w:rsidRPr="00A244AE">
        <w:rPr>
          <w:bCs/>
          <w:lang w:val="ro-RO"/>
        </w:rPr>
        <w:t xml:space="preserve"> - </w:t>
      </w:r>
      <w:r w:rsidR="0094242B" w:rsidRPr="00A244AE">
        <w:rPr>
          <w:lang w:val="ro-RO" w:eastAsia="en-US"/>
        </w:rPr>
        <w:t xml:space="preserve">ponderea luată în calcul a valorilor medii pentru perioada de 3 ani anterioară datei de 1 ianuarie 2022 a consumului final de </w:t>
      </w:r>
      <w:r w:rsidR="005C77C1" w:rsidRPr="00A244AE">
        <w:rPr>
          <w:lang w:val="ro-RO" w:eastAsia="en-US"/>
        </w:rPr>
        <w:t>produse petroliere</w:t>
      </w:r>
      <w:r w:rsidR="0094242B" w:rsidRPr="00A244AE" w:rsidDel="00346AA8">
        <w:rPr>
          <w:bCs/>
          <w:lang w:val="ro-RO"/>
        </w:rPr>
        <w:t xml:space="preserve"> </w:t>
      </w:r>
      <w:r w:rsidR="0094242B" w:rsidRPr="00A244AE">
        <w:rPr>
          <w:lang w:val="ro-RO" w:eastAsia="en-US"/>
        </w:rPr>
        <w:t>în consumul final cumulativ de energie electrică, gaze naturale, produse petroliere și energie termică</w:t>
      </w:r>
      <w:r w:rsidR="00355357" w:rsidRPr="00A244AE">
        <w:rPr>
          <w:lang w:val="ro-RO" w:eastAsia="en-US"/>
        </w:rPr>
        <w:t>, %</w:t>
      </w:r>
      <w:r w:rsidR="0094242B" w:rsidRPr="00A244AE">
        <w:rPr>
          <w:bCs/>
          <w:lang w:val="ro-RO"/>
        </w:rPr>
        <w:t>. Această pondere se determină în conformitate cu următoarea formulă: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1"/>
        <w:gridCol w:w="556"/>
      </w:tblGrid>
      <w:tr w:rsidR="0094242B" w:rsidRPr="00A244AE" w14:paraId="446EFEF0" w14:textId="77777777" w:rsidTr="00F1502C">
        <w:tc>
          <w:tcPr>
            <w:tcW w:w="9297" w:type="dxa"/>
            <w:vAlign w:val="center"/>
          </w:tcPr>
          <w:p w14:paraId="4EB78433" w14:textId="18F6867E" w:rsidR="0094242B" w:rsidRPr="00A244AE" w:rsidRDefault="00845D58" w:rsidP="00F1502C">
            <w:pPr>
              <w:pStyle w:val="a7"/>
              <w:spacing w:before="12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x 100</m:t>
                </m:r>
              </m:oMath>
            </m:oMathPara>
          </w:p>
        </w:tc>
        <w:tc>
          <w:tcPr>
            <w:tcW w:w="556" w:type="dxa"/>
            <w:vAlign w:val="center"/>
          </w:tcPr>
          <w:p w14:paraId="71577D4E" w14:textId="581BCA8B" w:rsidR="0094242B" w:rsidRPr="00A244AE" w:rsidRDefault="0094242B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(7),</w:t>
            </w:r>
          </w:p>
        </w:tc>
      </w:tr>
    </w:tbl>
    <w:p w14:paraId="4EEE348E" w14:textId="502A94EF" w:rsidR="00DA3CA5" w:rsidRPr="00A244AE" w:rsidRDefault="00DA3CA5" w:rsidP="00FE536E">
      <w:pPr>
        <w:pStyle w:val="a3"/>
        <w:numPr>
          <w:ilvl w:val="0"/>
          <w:numId w:val="4"/>
        </w:numPr>
        <w:spacing w:before="240" w:line="276" w:lineRule="auto"/>
        <w:ind w:left="360"/>
        <w:contextualSpacing w:val="0"/>
        <w:jc w:val="both"/>
        <w:rPr>
          <w:bCs/>
          <w:i/>
          <w:lang w:val="ro-RO" w:eastAsia="en-US"/>
        </w:rPr>
      </w:pPr>
      <w:r w:rsidRPr="00A244AE">
        <w:rPr>
          <w:bCs/>
          <w:i/>
          <w:lang w:val="ro-RO" w:eastAsia="en-US"/>
        </w:rPr>
        <w:t>Pentru părțile obligate din sectorul energiei termice (furnizorii de energie ter</w:t>
      </w:r>
      <w:r w:rsidR="00AC62E5" w:rsidRPr="00A244AE">
        <w:rPr>
          <w:bCs/>
          <w:i/>
          <w:lang w:val="ro-RO" w:eastAsia="en-US"/>
        </w:rPr>
        <w:t>mică</w:t>
      </w:r>
      <w:r w:rsidR="00976B9B" w:rsidRPr="00A244AE">
        <w:rPr>
          <w:bCs/>
          <w:i/>
          <w:lang w:val="ro-RO" w:eastAsia="en-US"/>
        </w:rPr>
        <w:t xml:space="preserve"> </w:t>
      </w:r>
      <w:r w:rsidR="008C6729" w:rsidRPr="00A244AE">
        <w:rPr>
          <w:bCs/>
          <w:i/>
          <w:lang w:val="ro-RO" w:eastAsia="en-US"/>
        </w:rPr>
        <w:t>pentru încălzire și/sau prepararea apei calde menajere, și/sau răcire</w:t>
      </w:r>
      <w:r w:rsidRPr="00A244AE">
        <w:rPr>
          <w:bCs/>
          <w:i/>
          <w:lang w:val="ro-RO" w:eastAsia="en-US"/>
        </w:rPr>
        <w:t>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1"/>
        <w:gridCol w:w="556"/>
      </w:tblGrid>
      <w:tr w:rsidR="00DA3CA5" w:rsidRPr="00A244AE" w14:paraId="457B1D68" w14:textId="77777777" w:rsidTr="00F1502C">
        <w:tc>
          <w:tcPr>
            <w:tcW w:w="9297" w:type="dxa"/>
            <w:vAlign w:val="center"/>
          </w:tcPr>
          <w:p w14:paraId="23630367" w14:textId="19B5811F" w:rsidR="00DA3CA5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ET,i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ET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 xml:space="preserve">EcT 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ktep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ET,tot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556" w:type="dxa"/>
            <w:vAlign w:val="center"/>
          </w:tcPr>
          <w:p w14:paraId="28865BC3" w14:textId="3A6BC096" w:rsidR="00DA3CA5" w:rsidRPr="00A244AE" w:rsidRDefault="00DA3CA5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</w:t>
            </w:r>
            <w:r w:rsidR="005C55F6" w:rsidRPr="00A244AE">
              <w:rPr>
                <w:bCs/>
                <w:lang w:val="ro-RO"/>
              </w:rPr>
              <w:t>8</w:t>
            </w:r>
            <w:r w:rsidRPr="00A244AE">
              <w:rPr>
                <w:bCs/>
                <w:lang w:val="ro-RO"/>
              </w:rPr>
              <w:t>),</w:t>
            </w:r>
          </w:p>
        </w:tc>
      </w:tr>
    </w:tbl>
    <w:p w14:paraId="1F240942" w14:textId="77777777" w:rsidR="00DA3CA5" w:rsidRPr="00A244AE" w:rsidRDefault="00DA3CA5" w:rsidP="00DA3CA5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4483E0B9" w14:textId="39699C92" w:rsidR="00DA3CA5" w:rsidRPr="00A244AE" w:rsidRDefault="00845D58" w:rsidP="00DA3CA5">
      <w:pPr>
        <w:pStyle w:val="a7"/>
        <w:spacing w:before="0" w:beforeAutospacing="0" w:after="120" w:afterAutospacing="0" w:line="276" w:lineRule="auto"/>
        <w:jc w:val="both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Ec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</m:t>
            </m:r>
          </m:sup>
        </m:sSubSup>
      </m:oMath>
      <w:r w:rsidR="00DA3CA5" w:rsidRPr="00A244AE">
        <w:rPr>
          <w:bCs/>
          <w:lang w:val="ro-RO"/>
        </w:rPr>
        <w:t xml:space="preserve"> - cantitatea anuală a economiilor de energie, la a căror realizare trebuie să contribuie </w:t>
      </w:r>
      <w:r w:rsidR="005F2B85" w:rsidRPr="00A244AE">
        <w:rPr>
          <w:bCs/>
          <w:lang w:val="ro-RO"/>
        </w:rPr>
        <w:t>furnizor</w:t>
      </w:r>
      <w:r w:rsidR="00644498" w:rsidRPr="00A244AE">
        <w:rPr>
          <w:bCs/>
          <w:lang w:val="ro-RO"/>
        </w:rPr>
        <w:t>ul</w:t>
      </w:r>
      <w:r w:rsidR="005F2B85" w:rsidRPr="00A244AE">
        <w:rPr>
          <w:bCs/>
          <w:lang w:val="ro-RO"/>
        </w:rPr>
        <w:t xml:space="preserve"> </w:t>
      </w:r>
      <w:r w:rsidR="00644498" w:rsidRPr="00A244AE">
        <w:rPr>
          <w:bCs/>
          <w:lang w:val="ro-RO"/>
        </w:rPr>
        <w:t>„</w:t>
      </w:r>
      <w:r w:rsidR="00644498" w:rsidRPr="00A244AE">
        <w:rPr>
          <w:bCs/>
          <w:i/>
          <w:iCs/>
          <w:lang w:val="ro-RO"/>
        </w:rPr>
        <w:t>i</w:t>
      </w:r>
      <w:r w:rsidR="00644498" w:rsidRPr="00A244AE">
        <w:rPr>
          <w:bCs/>
          <w:lang w:val="ro-RO"/>
        </w:rPr>
        <w:t xml:space="preserve">” </w:t>
      </w:r>
      <w:r w:rsidR="005F2B85" w:rsidRPr="00A244AE">
        <w:rPr>
          <w:bCs/>
          <w:lang w:val="ro-RO"/>
        </w:rPr>
        <w:t>de energie termică pentru încălzire și/sau prepararea apei calde menajere, și/sau răcire</w:t>
      </w:r>
      <w:r w:rsidR="0052326B" w:rsidRPr="00A244AE">
        <w:rPr>
          <w:bCs/>
          <w:lang w:val="ro-RO"/>
        </w:rPr>
        <w:t xml:space="preserve">, </w:t>
      </w:r>
      <w:proofErr w:type="spellStart"/>
      <w:r w:rsidR="0052326B" w:rsidRPr="00A244AE">
        <w:rPr>
          <w:bCs/>
          <w:lang w:val="ro-RO"/>
        </w:rPr>
        <w:t>ktep</w:t>
      </w:r>
      <w:proofErr w:type="spellEnd"/>
      <w:r w:rsidR="00DA3CA5" w:rsidRPr="00A244AE">
        <w:rPr>
          <w:bCs/>
          <w:lang w:val="ro-RO"/>
        </w:rPr>
        <w:t>;</w:t>
      </w:r>
    </w:p>
    <w:p w14:paraId="706B3EED" w14:textId="12AC6D50" w:rsidR="00FF4829" w:rsidRPr="00A244AE" w:rsidRDefault="00845D58" w:rsidP="00373F58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ET,i</m:t>
            </m:r>
          </m:sup>
        </m:sSubSup>
      </m:oMath>
      <w:r w:rsidR="00FF4829" w:rsidRPr="00A244AE">
        <w:rPr>
          <w:b/>
          <w:bCs/>
          <w:lang w:val="ro-RO"/>
        </w:rPr>
        <w:t xml:space="preserve"> </w:t>
      </w:r>
      <w:r w:rsidR="00FF4829" w:rsidRPr="00A244AE">
        <w:rPr>
          <w:bCs/>
          <w:lang w:val="ro-RO"/>
        </w:rPr>
        <w:t xml:space="preserve">- </w:t>
      </w:r>
      <w:r w:rsidR="00FF4829" w:rsidRPr="00A244AE">
        <w:rPr>
          <w:lang w:val="ro-RO" w:eastAsia="en-US"/>
        </w:rPr>
        <w:t xml:space="preserve">volumul anual al energiei </w:t>
      </w:r>
      <w:r w:rsidR="00F90D51" w:rsidRPr="00A244AE">
        <w:rPr>
          <w:lang w:val="ro-RO" w:eastAsia="en-US"/>
        </w:rPr>
        <w:t>termice</w:t>
      </w:r>
      <w:r w:rsidR="00FF4829" w:rsidRPr="00A244AE">
        <w:rPr>
          <w:lang w:val="ro-RO" w:eastAsia="en-US"/>
        </w:rPr>
        <w:t xml:space="preserve"> </w:t>
      </w:r>
      <w:r w:rsidR="00F90D51" w:rsidRPr="00A244AE">
        <w:rPr>
          <w:lang w:val="ro-RO" w:eastAsia="en-US"/>
        </w:rPr>
        <w:t xml:space="preserve">furnizate </w:t>
      </w:r>
      <w:r w:rsidR="00C26ABC" w:rsidRPr="00A244AE">
        <w:rPr>
          <w:lang w:val="ro-RO" w:eastAsia="en-US"/>
        </w:rPr>
        <w:t xml:space="preserve">către </w:t>
      </w:r>
      <w:r w:rsidR="00F90D51" w:rsidRPr="00A244AE">
        <w:rPr>
          <w:lang w:val="ro-RO" w:eastAsia="en-US"/>
        </w:rPr>
        <w:t>consumatori</w:t>
      </w:r>
      <w:r w:rsidR="00C26ABC" w:rsidRPr="00A244AE">
        <w:rPr>
          <w:lang w:val="ro-RO" w:eastAsia="en-US"/>
        </w:rPr>
        <w:t>i</w:t>
      </w:r>
      <w:r w:rsidR="00F90D51" w:rsidRPr="00A244AE">
        <w:rPr>
          <w:lang w:val="ro-RO" w:eastAsia="en-US"/>
        </w:rPr>
        <w:t xml:space="preserve"> finali </w:t>
      </w:r>
      <w:r w:rsidR="00FF4829" w:rsidRPr="00A244AE">
        <w:rPr>
          <w:lang w:val="ro-RO" w:eastAsia="en-US"/>
        </w:rPr>
        <w:t xml:space="preserve">de </w:t>
      </w:r>
      <w:r w:rsidR="00CE1531" w:rsidRPr="00A244AE">
        <w:rPr>
          <w:lang w:val="ro-RO" w:eastAsia="en-US"/>
        </w:rPr>
        <w:t xml:space="preserve">către </w:t>
      </w:r>
      <w:r w:rsidR="00C26ABC" w:rsidRPr="00A244AE">
        <w:rPr>
          <w:lang w:val="ro-RO" w:eastAsia="en-US"/>
        </w:rPr>
        <w:t>furnizorul</w:t>
      </w:r>
      <w:r w:rsidR="00FF4829" w:rsidRPr="00A244AE">
        <w:rPr>
          <w:lang w:val="ro-RO" w:eastAsia="en-US"/>
        </w:rPr>
        <w:t xml:space="preserve"> „</w:t>
      </w:r>
      <w:r w:rsidR="00FF4829" w:rsidRPr="00A244AE">
        <w:rPr>
          <w:i/>
          <w:iCs/>
          <w:lang w:val="ro-RO" w:eastAsia="en-US"/>
        </w:rPr>
        <w:t>i</w:t>
      </w:r>
      <w:r w:rsidR="00FF4829" w:rsidRPr="00A244AE">
        <w:rPr>
          <w:lang w:val="ro-RO" w:eastAsia="en-US"/>
        </w:rPr>
        <w:t xml:space="preserve">” </w:t>
      </w:r>
      <w:r w:rsidR="00C26ABC" w:rsidRPr="00A244AE">
        <w:rPr>
          <w:lang w:val="ro-RO" w:eastAsia="en-US"/>
        </w:rPr>
        <w:t>de energie termică pentru încălzire și/sau prepararea apei calde menajere, și/sau răcire</w:t>
      </w:r>
      <w:r w:rsidR="00FF4829" w:rsidRPr="00A244AE">
        <w:rPr>
          <w:lang w:val="ro-RO" w:eastAsia="en-US"/>
        </w:rPr>
        <w:t>,</w:t>
      </w:r>
      <w:r w:rsidR="00FF4829" w:rsidRPr="00A244AE">
        <w:rPr>
          <w:bCs/>
          <w:lang w:val="ro-RO"/>
        </w:rPr>
        <w:t xml:space="preserve"> calculat ca </w:t>
      </w:r>
      <w:r w:rsidR="00FF4829" w:rsidRPr="00A244AE">
        <w:rPr>
          <w:lang w:val="ro-RO" w:eastAsia="en-US"/>
        </w:rPr>
        <w:t xml:space="preserve">valoare medie pentru </w:t>
      </w:r>
      <w:r w:rsidR="00FF4829" w:rsidRPr="00A244AE">
        <w:rPr>
          <w:bCs/>
          <w:lang w:val="ro-RO"/>
        </w:rPr>
        <w:t>perioada</w:t>
      </w:r>
      <w:r w:rsidR="00FF4829" w:rsidRPr="00A244AE">
        <w:rPr>
          <w:lang w:val="ro-RO" w:eastAsia="en-US"/>
        </w:rPr>
        <w:t xml:space="preserve"> de 3</w:t>
      </w:r>
      <w:r w:rsidR="00FF4829" w:rsidRPr="00A244AE">
        <w:rPr>
          <w:lang w:val="ro-RO"/>
        </w:rPr>
        <w:t> </w:t>
      </w:r>
      <w:r w:rsidR="00FF4829" w:rsidRPr="00A244AE">
        <w:rPr>
          <w:lang w:val="ro-RO" w:eastAsia="en-US"/>
        </w:rPr>
        <w:t>ani anterioară datei de 1 ianuarie 2022</w:t>
      </w:r>
      <w:r w:rsidR="00FF4829" w:rsidRPr="00A244AE">
        <w:rPr>
          <w:bCs/>
          <w:lang w:val="ro-RO"/>
        </w:rPr>
        <w:t xml:space="preserve">, </w:t>
      </w:r>
      <w:r w:rsidR="00680369" w:rsidRPr="00A244AE">
        <w:rPr>
          <w:bCs/>
          <w:lang w:val="ro-RO"/>
        </w:rPr>
        <w:t>Gcal</w:t>
      </w:r>
      <w:r w:rsidR="00FF4829" w:rsidRPr="00A244AE">
        <w:rPr>
          <w:bCs/>
          <w:lang w:val="ro-RO"/>
        </w:rPr>
        <w:t>;</w:t>
      </w:r>
    </w:p>
    <w:p w14:paraId="5D5A03EE" w14:textId="6B66B714" w:rsidR="00FF4829" w:rsidRPr="00A244AE" w:rsidRDefault="00845D58" w:rsidP="00FF4829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ET,tot</m:t>
            </m:r>
          </m:sup>
        </m:sSubSup>
      </m:oMath>
      <w:r w:rsidR="00FF4829" w:rsidRPr="00A244AE">
        <w:rPr>
          <w:b/>
          <w:bCs/>
          <w:lang w:val="ro-RO"/>
        </w:rPr>
        <w:t xml:space="preserve"> </w:t>
      </w:r>
      <w:r w:rsidR="00FF4829" w:rsidRPr="00A244AE">
        <w:rPr>
          <w:bCs/>
          <w:lang w:val="ro-RO"/>
        </w:rPr>
        <w:t xml:space="preserve">- </w:t>
      </w:r>
      <w:r w:rsidR="00FF4829" w:rsidRPr="00A244AE">
        <w:rPr>
          <w:lang w:val="ro-RO" w:eastAsia="en-US"/>
        </w:rPr>
        <w:t xml:space="preserve">volumul total anual al energiei </w:t>
      </w:r>
      <w:r w:rsidR="00F35768" w:rsidRPr="00A244AE">
        <w:rPr>
          <w:lang w:val="ro-RO" w:eastAsia="en-US"/>
        </w:rPr>
        <w:t>termice</w:t>
      </w:r>
      <w:r w:rsidR="00FF4829" w:rsidRPr="00A244AE">
        <w:rPr>
          <w:lang w:val="ro-RO" w:eastAsia="en-US"/>
        </w:rPr>
        <w:t xml:space="preserve"> </w:t>
      </w:r>
      <w:r w:rsidR="00F35768" w:rsidRPr="00A244AE">
        <w:rPr>
          <w:lang w:val="ro-RO" w:eastAsia="en-US"/>
        </w:rPr>
        <w:t>furnizate</w:t>
      </w:r>
      <w:r w:rsidR="00FF4829" w:rsidRPr="00A244AE">
        <w:rPr>
          <w:lang w:val="ro-RO" w:eastAsia="en-US"/>
        </w:rPr>
        <w:t xml:space="preserve"> de </w:t>
      </w:r>
      <w:r w:rsidR="000462E9" w:rsidRPr="00A244AE">
        <w:rPr>
          <w:lang w:val="ro-RO" w:eastAsia="en-US"/>
        </w:rPr>
        <w:t xml:space="preserve">toți </w:t>
      </w:r>
      <w:r w:rsidR="00F35768" w:rsidRPr="00A244AE">
        <w:rPr>
          <w:lang w:val="ro-RO" w:eastAsia="en-US"/>
        </w:rPr>
        <w:t>furnizorii de energie termică pentru încălzire și/sau prepararea apei calde menajere, și/sau răcire</w:t>
      </w:r>
      <w:r w:rsidR="00FF4829" w:rsidRPr="00A244AE">
        <w:rPr>
          <w:bCs/>
          <w:lang w:val="ro-RO"/>
        </w:rPr>
        <w:t xml:space="preserve">, calculat ca </w:t>
      </w:r>
      <w:r w:rsidR="00FF4829" w:rsidRPr="00A244AE">
        <w:rPr>
          <w:lang w:val="ro-RO" w:eastAsia="en-US"/>
        </w:rPr>
        <w:t>valoare medie pentru perioada de 3</w:t>
      </w:r>
      <w:r w:rsidR="00FF4829" w:rsidRPr="00A244AE">
        <w:rPr>
          <w:lang w:val="ro-RO"/>
        </w:rPr>
        <w:t> </w:t>
      </w:r>
      <w:r w:rsidR="00FF4829" w:rsidRPr="00A244AE">
        <w:rPr>
          <w:lang w:val="ro-RO" w:eastAsia="en-US"/>
        </w:rPr>
        <w:t>ani anterioară datei de 1 ianuarie 2022</w:t>
      </w:r>
      <w:r w:rsidR="00FF4829" w:rsidRPr="00A244AE">
        <w:rPr>
          <w:bCs/>
          <w:lang w:val="ro-RO"/>
        </w:rPr>
        <w:t xml:space="preserve">, </w:t>
      </w:r>
      <w:r w:rsidR="00680369" w:rsidRPr="00A244AE">
        <w:rPr>
          <w:bCs/>
          <w:lang w:val="ro-RO"/>
        </w:rPr>
        <w:t>Gcal</w:t>
      </w:r>
      <w:r w:rsidR="00FF4829" w:rsidRPr="00A244AE">
        <w:rPr>
          <w:bCs/>
          <w:lang w:val="ro-RO"/>
        </w:rPr>
        <w:t>;</w:t>
      </w:r>
    </w:p>
    <w:p w14:paraId="6155A8C9" w14:textId="080413EB" w:rsidR="00FF4829" w:rsidRPr="00A244AE" w:rsidRDefault="00FF4829" w:rsidP="00373F58">
      <w:pPr>
        <w:pStyle w:val="a7"/>
        <w:spacing w:before="120" w:beforeAutospacing="0" w:after="0" w:afterAutospacing="0" w:line="276" w:lineRule="auto"/>
        <w:jc w:val="both"/>
        <w:rPr>
          <w:bCs/>
          <w:lang w:val="ro-RO"/>
        </w:rPr>
      </w:pPr>
      <w:r w:rsidRPr="00A244AE">
        <w:rPr>
          <w:bCs/>
          <w:lang w:val="ro-RO"/>
        </w:rPr>
        <w:t xml:space="preserve">Valorile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ET,i</m:t>
            </m:r>
          </m:sup>
        </m:sSubSup>
      </m:oMath>
      <w:r w:rsidRPr="00A244AE">
        <w:rPr>
          <w:lang w:val="ro-RO"/>
        </w:rPr>
        <w:t xml:space="preserve"> și</w:t>
      </w:r>
      <w:r w:rsidRPr="00A244AE">
        <w:rPr>
          <w:b/>
          <w:bCs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ET,tot</m:t>
            </m:r>
          </m:sup>
        </m:sSubSup>
      </m:oMath>
      <w:r w:rsidRPr="00A244AE">
        <w:rPr>
          <w:lang w:val="ro-RO"/>
        </w:rPr>
        <w:t xml:space="preserve"> sunt calculate în baza datelor prezentate </w:t>
      </w:r>
      <w:r w:rsidRPr="00A244AE">
        <w:rPr>
          <w:lang w:val="ro-RO" w:eastAsia="en-US"/>
        </w:rPr>
        <w:t xml:space="preserve">organului central de specialitate al administrației publice în domeniul energeticii și/sau instituției publice de suport </w:t>
      </w:r>
      <w:r w:rsidRPr="00A244AE">
        <w:rPr>
          <w:lang w:val="ro-RO"/>
        </w:rPr>
        <w:t>de către Agenția Națională pentru Reglementare în Energetică a Republicii Moldova.</w:t>
      </w:r>
    </w:p>
    <w:p w14:paraId="1250F872" w14:textId="157878A0" w:rsidR="00DA3CA5" w:rsidRPr="00A244AE" w:rsidRDefault="00845D58" w:rsidP="003E05A9">
      <w:pPr>
        <w:pStyle w:val="a7"/>
        <w:spacing w:before="120" w:beforeAutospacing="0" w:after="0" w:afterAutospacing="0" w:line="276" w:lineRule="auto"/>
        <w:jc w:val="both"/>
        <w:rPr>
          <w:b/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CFE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</m:t>
            </m:r>
          </m:sup>
        </m:sSubSup>
      </m:oMath>
      <w:r w:rsidR="00DA3CA5" w:rsidRPr="00A244AE">
        <w:rPr>
          <w:bCs/>
          <w:lang w:val="ro-RO"/>
        </w:rPr>
        <w:t xml:space="preserve"> - </w:t>
      </w:r>
      <w:r w:rsidR="00DA3CA5" w:rsidRPr="00A244AE">
        <w:rPr>
          <w:lang w:val="ro-RO" w:eastAsia="en-US"/>
        </w:rPr>
        <w:t xml:space="preserve">ponderea luată în calcul a valorilor medii pentru perioada de 3 ani anterioară datei de 1 ianuarie 2022 a consumului final de energie </w:t>
      </w:r>
      <w:r w:rsidR="00B654CB" w:rsidRPr="00A244AE">
        <w:rPr>
          <w:lang w:val="ro-RO" w:eastAsia="en-US"/>
        </w:rPr>
        <w:t>termică</w:t>
      </w:r>
      <w:r w:rsidR="00DA3CA5" w:rsidRPr="00A244AE" w:rsidDel="00346AA8">
        <w:rPr>
          <w:bCs/>
          <w:lang w:val="ro-RO"/>
        </w:rPr>
        <w:t xml:space="preserve"> </w:t>
      </w:r>
      <w:r w:rsidR="00DA3CA5" w:rsidRPr="00A244AE">
        <w:rPr>
          <w:lang w:val="ro-RO" w:eastAsia="en-US"/>
        </w:rPr>
        <w:t>în consumul final cumulativ de energie electrică, gaze naturale, produse petroliere și energie termică</w:t>
      </w:r>
      <w:r w:rsidR="00D1483D" w:rsidRPr="00A244AE">
        <w:rPr>
          <w:lang w:val="ro-RO" w:eastAsia="en-US"/>
        </w:rPr>
        <w:t>, %</w:t>
      </w:r>
      <w:r w:rsidR="00DA3CA5" w:rsidRPr="00A244AE">
        <w:rPr>
          <w:bCs/>
          <w:lang w:val="ro-RO"/>
        </w:rPr>
        <w:t>. Această pondere se determină în conformitate cu următoarea formulă: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1"/>
        <w:gridCol w:w="556"/>
      </w:tblGrid>
      <w:tr w:rsidR="00DA3CA5" w:rsidRPr="00A244AE" w14:paraId="3FFDE96F" w14:textId="77777777" w:rsidTr="00AD5792">
        <w:tc>
          <w:tcPr>
            <w:tcW w:w="9081" w:type="dxa"/>
            <w:vAlign w:val="center"/>
          </w:tcPr>
          <w:p w14:paraId="4757DBB8" w14:textId="4755A181" w:rsidR="00DA3CA5" w:rsidRPr="00A244AE" w:rsidRDefault="00845D58" w:rsidP="00F1502C">
            <w:pPr>
              <w:pStyle w:val="a7"/>
              <w:spacing w:before="12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ET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x 100</m:t>
                </m:r>
              </m:oMath>
            </m:oMathPara>
          </w:p>
        </w:tc>
        <w:tc>
          <w:tcPr>
            <w:tcW w:w="556" w:type="dxa"/>
            <w:vAlign w:val="center"/>
          </w:tcPr>
          <w:p w14:paraId="1095056D" w14:textId="26402A63" w:rsidR="00DA3CA5" w:rsidRPr="00A244AE" w:rsidRDefault="00DA3CA5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</w:t>
            </w:r>
            <w:r w:rsidR="005C55F6" w:rsidRPr="00A244AE">
              <w:rPr>
                <w:bCs/>
                <w:lang w:val="ro-RO"/>
              </w:rPr>
              <w:t>9</w:t>
            </w:r>
            <w:r w:rsidRPr="00A244AE">
              <w:rPr>
                <w:bCs/>
                <w:lang w:val="ro-RO"/>
              </w:rPr>
              <w:t>)</w:t>
            </w:r>
            <w:r w:rsidR="005C55F6" w:rsidRPr="00A244AE">
              <w:rPr>
                <w:bCs/>
                <w:lang w:val="ro-RO"/>
              </w:rPr>
              <w:t>.</w:t>
            </w:r>
          </w:p>
        </w:tc>
      </w:tr>
    </w:tbl>
    <w:p w14:paraId="07C35A18" w14:textId="77777777" w:rsidR="00AD5792" w:rsidRPr="00A244AE" w:rsidRDefault="00AD5792" w:rsidP="00AD5792">
      <w:pPr>
        <w:spacing w:line="276" w:lineRule="auto"/>
        <w:rPr>
          <w:b/>
          <w:bCs/>
          <w:lang w:val="ro-RO" w:eastAsia="en-US"/>
        </w:rPr>
      </w:pPr>
    </w:p>
    <w:p w14:paraId="78D96284" w14:textId="77777777" w:rsidR="007941FE" w:rsidRPr="00A244AE" w:rsidRDefault="007941FE" w:rsidP="00AD5792">
      <w:pPr>
        <w:spacing w:line="276" w:lineRule="auto"/>
        <w:rPr>
          <w:b/>
          <w:bCs/>
          <w:lang w:val="ro-RO" w:eastAsia="en-US"/>
        </w:rPr>
      </w:pPr>
    </w:p>
    <w:p w14:paraId="512C5048" w14:textId="77777777" w:rsidR="007941FE" w:rsidRPr="00A244AE" w:rsidRDefault="007941FE" w:rsidP="00AD5792">
      <w:pPr>
        <w:spacing w:line="276" w:lineRule="auto"/>
        <w:rPr>
          <w:b/>
          <w:bCs/>
          <w:lang w:val="ro-RO" w:eastAsia="en-US"/>
        </w:rPr>
      </w:pPr>
    </w:p>
    <w:p w14:paraId="180CACDB" w14:textId="77777777" w:rsidR="007941FE" w:rsidRPr="00A244AE" w:rsidRDefault="007941FE" w:rsidP="00AD5792">
      <w:pPr>
        <w:spacing w:line="276" w:lineRule="auto"/>
        <w:rPr>
          <w:b/>
          <w:bCs/>
          <w:lang w:val="ro-RO" w:eastAsia="en-US"/>
        </w:rPr>
      </w:pPr>
    </w:p>
    <w:p w14:paraId="4CF6EB6F" w14:textId="77777777" w:rsidR="007941FE" w:rsidRPr="00A244AE" w:rsidRDefault="007941FE" w:rsidP="00AD5792">
      <w:pPr>
        <w:spacing w:line="276" w:lineRule="auto"/>
        <w:rPr>
          <w:b/>
          <w:bCs/>
          <w:lang w:val="ro-RO" w:eastAsia="en-US"/>
        </w:rPr>
      </w:pPr>
    </w:p>
    <w:p w14:paraId="62EAD34D" w14:textId="77777777" w:rsidR="007941FE" w:rsidRPr="00A244AE" w:rsidRDefault="007941FE" w:rsidP="00AD5792">
      <w:pPr>
        <w:spacing w:line="276" w:lineRule="auto"/>
        <w:rPr>
          <w:b/>
          <w:bCs/>
          <w:lang w:val="ro-RO" w:eastAsia="en-US"/>
        </w:rPr>
      </w:pPr>
    </w:p>
    <w:p w14:paraId="285F6CCA" w14:textId="14CE8742" w:rsidR="003C560C" w:rsidRPr="00A244AE" w:rsidRDefault="00AD5792" w:rsidP="00AD5792">
      <w:pPr>
        <w:tabs>
          <w:tab w:val="left" w:pos="0"/>
        </w:tabs>
        <w:spacing w:line="276" w:lineRule="auto"/>
        <w:jc w:val="center"/>
        <w:rPr>
          <w:b/>
          <w:bCs/>
          <w:lang w:val="ro-RO"/>
        </w:rPr>
      </w:pPr>
      <w:r w:rsidRPr="00A244AE">
        <w:rPr>
          <w:b/>
          <w:bCs/>
          <w:lang w:val="ro-RO"/>
        </w:rPr>
        <w:t xml:space="preserve">Secțiunea </w:t>
      </w:r>
      <w:r w:rsidR="003C560C" w:rsidRPr="00A244AE">
        <w:rPr>
          <w:b/>
          <w:bCs/>
          <w:lang w:val="ro-RO"/>
        </w:rPr>
        <w:t>4</w:t>
      </w:r>
    </w:p>
    <w:p w14:paraId="2E5327CA" w14:textId="5926736D" w:rsidR="006B00F7" w:rsidRPr="00A244AE" w:rsidRDefault="003C560C" w:rsidP="00AD5792">
      <w:pPr>
        <w:tabs>
          <w:tab w:val="left" w:pos="0"/>
        </w:tabs>
        <w:spacing w:line="276" w:lineRule="auto"/>
        <w:jc w:val="center"/>
        <w:rPr>
          <w:b/>
          <w:lang w:val="ro-RO"/>
        </w:rPr>
      </w:pPr>
      <w:r w:rsidRPr="00A244AE">
        <w:rPr>
          <w:b/>
          <w:lang w:val="ro-RO"/>
        </w:rPr>
        <w:t>DETERMINAREA MĂRIMII CONTRIBUȚIILOR, PRIN STABILIREA UNEI SUME ANUALE CE URMEAZĂ A FI TRANSFERATĂ DE FIECARE PARTE OBLIGATĂ</w:t>
      </w:r>
    </w:p>
    <w:p w14:paraId="0E92E637" w14:textId="56E05DBE" w:rsidR="00B23292" w:rsidRPr="00A244AE" w:rsidRDefault="00B23292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jc w:val="both"/>
        <w:rPr>
          <w:lang w:val="ro-RO" w:eastAsia="en-US"/>
        </w:rPr>
      </w:pPr>
      <w:r w:rsidRPr="00A244AE">
        <w:rPr>
          <w:lang w:val="ro-RO" w:eastAsia="en-US"/>
        </w:rPr>
        <w:t>Mărimea contribuțiilor</w:t>
      </w:r>
      <w:r w:rsidR="002567E5" w:rsidRPr="00A244AE">
        <w:rPr>
          <w:lang w:val="ro-RO" w:eastAsia="en-US"/>
        </w:rPr>
        <w:t xml:space="preserve"> </w:t>
      </w:r>
      <w:r w:rsidR="00261375" w:rsidRPr="00A244AE">
        <w:rPr>
          <w:lang w:val="ro-RO" w:eastAsia="en-US"/>
        </w:rPr>
        <w:t xml:space="preserve">anuale, </w:t>
      </w:r>
      <w:r w:rsidR="002567E5" w:rsidRPr="00A244AE">
        <w:rPr>
          <w:lang w:val="ro-RO" w:eastAsia="en-US"/>
        </w:rPr>
        <w:t>care urmează</w:t>
      </w:r>
      <w:r w:rsidRPr="00A244AE">
        <w:rPr>
          <w:lang w:val="ro-RO" w:eastAsia="en-US"/>
        </w:rPr>
        <w:t xml:space="preserve"> a fi achitate de fiecare parte obligată</w:t>
      </w:r>
      <w:r w:rsidR="00050A34" w:rsidRPr="00A244AE">
        <w:rPr>
          <w:lang w:val="ro-RO" w:eastAsia="en-US"/>
        </w:rPr>
        <w:t xml:space="preserve"> </w:t>
      </w:r>
      <w:r w:rsidR="00050A34" w:rsidRPr="00A244AE">
        <w:rPr>
          <w:lang w:val="ro-RO"/>
        </w:rPr>
        <w:t>în anul calendaristic „</w:t>
      </w:r>
      <w:r w:rsidR="00050A34" w:rsidRPr="00A244AE">
        <w:rPr>
          <w:i/>
          <w:iCs/>
          <w:lang w:val="ro-RO"/>
        </w:rPr>
        <w:t>t</w:t>
      </w:r>
      <w:r w:rsidR="00050A34" w:rsidRPr="00A244AE">
        <w:rPr>
          <w:lang w:val="ro-RO"/>
        </w:rPr>
        <w:t>”</w:t>
      </w:r>
      <w:r w:rsidR="000E6AEA" w:rsidRPr="00A244AE">
        <w:rPr>
          <w:lang w:val="ro-RO" w:eastAsia="en-US"/>
        </w:rPr>
        <w:t xml:space="preserve">, </w:t>
      </w:r>
      <w:r w:rsidR="000E6AEA" w:rsidRPr="00A244AE">
        <w:rPr>
          <w:bCs/>
          <w:lang w:val="ro-RO"/>
        </w:rPr>
        <w:t>prin stabilirea unei sume anuale ce urmează a fi transferată de fiecare parte obligată</w:t>
      </w:r>
      <w:r w:rsidR="000E6AEA" w:rsidRPr="00A244AE">
        <w:rPr>
          <w:lang w:val="ro-RO" w:eastAsia="en-US"/>
        </w:rPr>
        <w:t>,</w:t>
      </w:r>
      <w:r w:rsidRPr="00A244AE">
        <w:rPr>
          <w:lang w:val="ro-RO" w:eastAsia="en-US"/>
        </w:rPr>
        <w:t xml:space="preserve"> se determină </w:t>
      </w:r>
      <w:r w:rsidR="00990B30" w:rsidRPr="00A244AE">
        <w:rPr>
          <w:lang w:val="ro-RO" w:eastAsia="en-US"/>
        </w:rPr>
        <w:t>ca</w:t>
      </w:r>
      <w:r w:rsidR="002567E5" w:rsidRPr="00A244AE">
        <w:rPr>
          <w:lang w:val="ro-RO" w:eastAsia="en-US"/>
        </w:rPr>
        <w:t xml:space="preserve"> </w:t>
      </w:r>
      <w:r w:rsidR="00A71E72" w:rsidRPr="00A244AE">
        <w:rPr>
          <w:lang w:val="ro-RO" w:eastAsia="en-US"/>
        </w:rPr>
        <w:t xml:space="preserve">produsul </w:t>
      </w:r>
      <w:r w:rsidR="005F7B14" w:rsidRPr="00A244AE">
        <w:rPr>
          <w:lang w:val="ro-RO"/>
        </w:rPr>
        <w:t xml:space="preserve">cheltuielilor totale anuale necesare pe durata Programului privind </w:t>
      </w:r>
      <w:r w:rsidR="00EB5A4D" w:rsidRPr="00A244AE">
        <w:rPr>
          <w:lang w:val="ro-RO"/>
        </w:rPr>
        <w:t>SOEE</w:t>
      </w:r>
      <w:r w:rsidR="005F7B14" w:rsidRPr="00A244AE">
        <w:rPr>
          <w:lang w:val="ro-RO"/>
        </w:rPr>
        <w:t xml:space="preserve"> pentru realizarea măsurilor de eficiență energetică în scopul realizării noilor economii anuale de energie, </w:t>
      </w:r>
      <w:r w:rsidR="00E738F8" w:rsidRPr="00A244AE">
        <w:rPr>
          <w:lang w:val="ro-RO"/>
        </w:rPr>
        <w:t xml:space="preserve">a </w:t>
      </w:r>
      <w:r w:rsidR="00E738F8" w:rsidRPr="00A244AE">
        <w:rPr>
          <w:lang w:val="ro-RO" w:eastAsia="en-US"/>
        </w:rPr>
        <w:t>ponderii luată în calcul a valorilor medii pentru perioada de 3 ani anterioară datei de 1 ianuarie 2022 a consumului final de energie electrică, gaze naturale, produse petroliere sau energie termică</w:t>
      </w:r>
      <w:r w:rsidR="00E738F8" w:rsidRPr="00A244AE" w:rsidDel="00346AA8">
        <w:rPr>
          <w:bCs/>
          <w:lang w:val="ro-RO"/>
        </w:rPr>
        <w:t xml:space="preserve"> </w:t>
      </w:r>
      <w:r w:rsidR="00E738F8" w:rsidRPr="00A244AE">
        <w:rPr>
          <w:lang w:val="ro-RO" w:eastAsia="en-US"/>
        </w:rPr>
        <w:t>în consumul final cumulativ de energie electrică, gaze naturale, produse petroliere și energie termică</w:t>
      </w:r>
      <w:r w:rsidR="00F7047F" w:rsidRPr="00A244AE">
        <w:rPr>
          <w:lang w:val="ro-RO" w:eastAsia="en-US"/>
        </w:rPr>
        <w:t xml:space="preserve"> </w:t>
      </w:r>
      <w:r w:rsidR="00A71E72" w:rsidRPr="00A244AE">
        <w:rPr>
          <w:bCs/>
          <w:lang w:val="ro-RO" w:eastAsia="en-US"/>
        </w:rPr>
        <w:t xml:space="preserve">și </w:t>
      </w:r>
      <w:r w:rsidR="00E738F8" w:rsidRPr="00A244AE">
        <w:rPr>
          <w:bCs/>
          <w:lang w:val="ro-RO" w:eastAsia="en-US"/>
        </w:rPr>
        <w:t xml:space="preserve">a </w:t>
      </w:r>
      <w:r w:rsidR="00D93E9E" w:rsidRPr="00A244AE">
        <w:rPr>
          <w:lang w:val="ro-RO" w:eastAsia="en-US"/>
        </w:rPr>
        <w:t>ponderii luată în calcul a valorilor medii pentru perioada de 3 ani anterioară datei de 1 ianuarie 2022 a volumului anual al vânzărilor de energie către consumatorii finali a fiecărei părți obligate în volumul total anual al vânzărilor de energie către consumatorii finali</w:t>
      </w:r>
      <w:r w:rsidR="00DA3188" w:rsidRPr="00A244AE">
        <w:rPr>
          <w:lang w:val="ro-RO" w:eastAsia="en-US"/>
        </w:rPr>
        <w:t>,</w:t>
      </w:r>
      <w:r w:rsidR="00DD4837" w:rsidRPr="00A244AE">
        <w:rPr>
          <w:lang w:val="ro-RO" w:eastAsia="en-US"/>
        </w:rPr>
        <w:t xml:space="preserve"> </w:t>
      </w:r>
      <w:r w:rsidRPr="00A244AE">
        <w:rPr>
          <w:lang w:val="ro-RO" w:eastAsia="en-US"/>
        </w:rPr>
        <w:t>în conformitate cu următoarele formule:</w:t>
      </w:r>
    </w:p>
    <w:p w14:paraId="0B5EF399" w14:textId="210FF77D" w:rsidR="00731CD7" w:rsidRPr="00A244AE" w:rsidRDefault="006B00F7" w:rsidP="003905CC">
      <w:pPr>
        <w:pStyle w:val="a3"/>
        <w:numPr>
          <w:ilvl w:val="0"/>
          <w:numId w:val="3"/>
        </w:numPr>
        <w:spacing w:before="120" w:line="276" w:lineRule="auto"/>
        <w:ind w:left="360"/>
        <w:contextualSpacing w:val="0"/>
        <w:jc w:val="both"/>
        <w:rPr>
          <w:i/>
          <w:lang w:val="ro-RO"/>
        </w:rPr>
      </w:pPr>
      <w:r w:rsidRPr="00A244AE">
        <w:rPr>
          <w:i/>
          <w:lang w:val="ro-RO"/>
        </w:rPr>
        <w:t>Pentru părțile obligate din sectorul electroenergetic (operatorii sistemelor de distribuție a energiei electrice):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  <w:gridCol w:w="796"/>
      </w:tblGrid>
      <w:tr w:rsidR="006A6470" w:rsidRPr="00A244AE" w14:paraId="6004B2F4" w14:textId="77777777" w:rsidTr="00020C30">
        <w:tc>
          <w:tcPr>
            <w:tcW w:w="8841" w:type="dxa"/>
            <w:vAlign w:val="center"/>
          </w:tcPr>
          <w:p w14:paraId="7BBA1EB6" w14:textId="2298C7FB" w:rsidR="006A6470" w:rsidRPr="00A244AE" w:rsidRDefault="00845D58" w:rsidP="001E363E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Con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EL,i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an,t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SOEE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EL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EL,tot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 </m:t>
                </m:r>
              </m:oMath>
            </m:oMathPara>
          </w:p>
        </w:tc>
        <w:tc>
          <w:tcPr>
            <w:tcW w:w="796" w:type="dxa"/>
            <w:vAlign w:val="center"/>
          </w:tcPr>
          <w:p w14:paraId="2E391C70" w14:textId="6900F53C" w:rsidR="006A6470" w:rsidRPr="00A244AE" w:rsidRDefault="006A6470" w:rsidP="001E363E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</w:t>
            </w:r>
            <w:r w:rsidR="00BE2629" w:rsidRPr="00A244AE">
              <w:rPr>
                <w:bCs/>
                <w:lang w:val="ro-RO"/>
              </w:rPr>
              <w:t>10</w:t>
            </w:r>
            <w:r w:rsidRPr="00A244AE">
              <w:rPr>
                <w:bCs/>
                <w:lang w:val="ro-RO"/>
              </w:rPr>
              <w:t>),</w:t>
            </w:r>
          </w:p>
        </w:tc>
      </w:tr>
    </w:tbl>
    <w:p w14:paraId="30AF1EB0" w14:textId="77777777" w:rsidR="00020C30" w:rsidRPr="00A244AE" w:rsidRDefault="00020C30" w:rsidP="00020C30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4939107E" w14:textId="4165ADED" w:rsidR="00020C30" w:rsidRPr="00A244AE" w:rsidRDefault="00845D58" w:rsidP="00020C30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Con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EL,i</m:t>
            </m:r>
          </m:sup>
        </m:sSubSup>
      </m:oMath>
      <w:r w:rsidR="00020C30" w:rsidRPr="00A244AE">
        <w:rPr>
          <w:bCs/>
          <w:lang w:val="ro-RO"/>
        </w:rPr>
        <w:t xml:space="preserve"> – mărimea contribuției financiare anuale</w:t>
      </w:r>
      <w:r w:rsidR="00261375" w:rsidRPr="00A244AE">
        <w:rPr>
          <w:lang w:val="ro-RO" w:eastAsia="en-US"/>
        </w:rPr>
        <w:t>, care urmează a fi achitat</w:t>
      </w:r>
      <w:r w:rsidR="00972C9D" w:rsidRPr="00A244AE">
        <w:rPr>
          <w:lang w:val="ro-RO" w:eastAsia="en-US"/>
        </w:rPr>
        <w:t>ă</w:t>
      </w:r>
      <w:r w:rsidR="00092B2A" w:rsidRPr="00A244AE">
        <w:rPr>
          <w:lang w:val="ro-RO" w:eastAsia="en-US"/>
        </w:rPr>
        <w:t xml:space="preserve"> </w:t>
      </w:r>
      <w:r w:rsidR="00092B2A" w:rsidRPr="00A244AE">
        <w:rPr>
          <w:lang w:val="ro-RO"/>
        </w:rPr>
        <w:t>în anul calendaristic „</w:t>
      </w:r>
      <w:r w:rsidR="00092B2A" w:rsidRPr="00A244AE">
        <w:rPr>
          <w:i/>
          <w:iCs/>
          <w:lang w:val="ro-RO"/>
        </w:rPr>
        <w:t>t</w:t>
      </w:r>
      <w:r w:rsidR="00092B2A" w:rsidRPr="00A244AE">
        <w:rPr>
          <w:lang w:val="ro-RO"/>
        </w:rPr>
        <w:t>”</w:t>
      </w:r>
      <w:r w:rsidR="00261375" w:rsidRPr="00A244AE">
        <w:rPr>
          <w:lang w:val="ro-RO" w:eastAsia="en-US"/>
        </w:rPr>
        <w:t xml:space="preserve"> de </w:t>
      </w:r>
      <w:r w:rsidR="00020C30" w:rsidRPr="00A244AE">
        <w:rPr>
          <w:bCs/>
          <w:lang w:val="ro-RO"/>
        </w:rPr>
        <w:t>operatorul „</w:t>
      </w:r>
      <w:r w:rsidR="00020C30" w:rsidRPr="00A244AE">
        <w:rPr>
          <w:bCs/>
          <w:i/>
          <w:iCs/>
          <w:lang w:val="ro-RO"/>
        </w:rPr>
        <w:t>i</w:t>
      </w:r>
      <w:r w:rsidR="00020C30" w:rsidRPr="00A244AE">
        <w:rPr>
          <w:bCs/>
          <w:lang w:val="ro-RO"/>
        </w:rPr>
        <w:t>” al sistemului de distribuție a energiei electrice</w:t>
      </w:r>
      <w:r w:rsidR="00940CF7" w:rsidRPr="00A244AE">
        <w:rPr>
          <w:bCs/>
          <w:lang w:val="ro-RO"/>
        </w:rPr>
        <w:t>, lei</w:t>
      </w:r>
      <w:r w:rsidR="00CD51A4" w:rsidRPr="00A244AE">
        <w:rPr>
          <w:bCs/>
          <w:lang w:val="ro-RO"/>
        </w:rPr>
        <w:t>.</w:t>
      </w:r>
    </w:p>
    <w:p w14:paraId="242B8DC1" w14:textId="213F55FC" w:rsidR="00B23292" w:rsidRPr="00A244AE" w:rsidRDefault="00B23292" w:rsidP="00FE536E">
      <w:pPr>
        <w:pStyle w:val="a3"/>
        <w:numPr>
          <w:ilvl w:val="0"/>
          <w:numId w:val="3"/>
        </w:numPr>
        <w:spacing w:line="276" w:lineRule="auto"/>
        <w:ind w:left="360"/>
        <w:jc w:val="both"/>
        <w:rPr>
          <w:i/>
          <w:lang w:val="ro-RO"/>
        </w:rPr>
      </w:pPr>
      <w:r w:rsidRPr="00A244AE">
        <w:rPr>
          <w:i/>
          <w:lang w:val="ro-RO"/>
        </w:rPr>
        <w:t>Pentru părțile obligate din sectorul gazelor naturale (operatorii sistemelor de distribuție al gazelor naturale):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  <w:gridCol w:w="727"/>
      </w:tblGrid>
      <w:tr w:rsidR="00BE2629" w:rsidRPr="00A244AE" w14:paraId="4E91C260" w14:textId="77777777" w:rsidTr="00373F58">
        <w:tc>
          <w:tcPr>
            <w:tcW w:w="8910" w:type="dxa"/>
            <w:vAlign w:val="center"/>
          </w:tcPr>
          <w:p w14:paraId="2D4D88FE" w14:textId="4832EB3D" w:rsidR="00BE2629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Con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GN,i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SOEE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GN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GN,tot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</m:t>
                </m:r>
              </m:oMath>
            </m:oMathPara>
          </w:p>
        </w:tc>
        <w:tc>
          <w:tcPr>
            <w:tcW w:w="727" w:type="dxa"/>
            <w:vAlign w:val="center"/>
          </w:tcPr>
          <w:p w14:paraId="128D375E" w14:textId="7BD885BA" w:rsidR="00BE2629" w:rsidRPr="00A244AE" w:rsidRDefault="00BE2629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(11),</w:t>
            </w:r>
          </w:p>
        </w:tc>
      </w:tr>
    </w:tbl>
    <w:p w14:paraId="6E957ADB" w14:textId="77777777" w:rsidR="009F1A3C" w:rsidRPr="00A244AE" w:rsidRDefault="009F1A3C" w:rsidP="009F1A3C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2F5EE5D7" w14:textId="2FF43F1C" w:rsidR="0044409D" w:rsidRPr="00A244AE" w:rsidRDefault="00845D58" w:rsidP="00373F58">
      <w:pPr>
        <w:pStyle w:val="a7"/>
        <w:spacing w:before="0" w:beforeAutospacing="0" w:after="120" w:afterAutospacing="0" w:line="276" w:lineRule="auto"/>
        <w:rPr>
          <w:i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Con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GN,i</m:t>
            </m:r>
          </m:sup>
        </m:sSubSup>
      </m:oMath>
      <w:r w:rsidR="009F1A3C" w:rsidRPr="00A244AE">
        <w:rPr>
          <w:bCs/>
          <w:lang w:val="ro-RO"/>
        </w:rPr>
        <w:t xml:space="preserve"> – mărimea contribuției financiare anuale</w:t>
      </w:r>
      <w:r w:rsidR="009F1A3C" w:rsidRPr="00A244AE">
        <w:rPr>
          <w:lang w:val="ro-RO" w:eastAsia="en-US"/>
        </w:rPr>
        <w:t xml:space="preserve">, care urmează a </w:t>
      </w:r>
      <w:r w:rsidR="009F1A3C" w:rsidRPr="00A244AE">
        <w:rPr>
          <w:bCs/>
          <w:lang w:val="ro-RO"/>
        </w:rPr>
        <w:t>fi</w:t>
      </w:r>
      <w:r w:rsidR="009F1A3C" w:rsidRPr="00A244AE">
        <w:rPr>
          <w:lang w:val="ro-RO" w:eastAsia="en-US"/>
        </w:rPr>
        <w:t xml:space="preserve"> achitată </w:t>
      </w:r>
      <w:r w:rsidR="00092B2A" w:rsidRPr="00A244AE">
        <w:rPr>
          <w:lang w:val="ro-RO"/>
        </w:rPr>
        <w:t>în anul calendaristic „</w:t>
      </w:r>
      <w:r w:rsidR="00092B2A" w:rsidRPr="00A244AE">
        <w:rPr>
          <w:i/>
          <w:iCs/>
          <w:lang w:val="ro-RO"/>
        </w:rPr>
        <w:t>t</w:t>
      </w:r>
      <w:r w:rsidR="00092B2A" w:rsidRPr="00A244AE">
        <w:rPr>
          <w:lang w:val="ro-RO"/>
        </w:rPr>
        <w:t xml:space="preserve">” </w:t>
      </w:r>
      <w:r w:rsidR="009F1A3C" w:rsidRPr="00A244AE">
        <w:rPr>
          <w:lang w:val="ro-RO" w:eastAsia="en-US"/>
        </w:rPr>
        <w:t xml:space="preserve">de </w:t>
      </w:r>
      <w:r w:rsidR="00407B32" w:rsidRPr="00A244AE">
        <w:rPr>
          <w:bCs/>
          <w:lang w:val="ro-RO"/>
        </w:rPr>
        <w:t>operatorul „</w:t>
      </w:r>
      <w:r w:rsidR="00407B32" w:rsidRPr="00A244AE">
        <w:rPr>
          <w:bCs/>
          <w:i/>
          <w:iCs/>
          <w:lang w:val="ro-RO"/>
        </w:rPr>
        <w:t>i</w:t>
      </w:r>
      <w:r w:rsidR="00407B32" w:rsidRPr="00A244AE">
        <w:rPr>
          <w:bCs/>
          <w:lang w:val="ro-RO"/>
        </w:rPr>
        <w:t>” al sistemului de distribuție a gazelor naturale</w:t>
      </w:r>
      <w:r w:rsidR="000D37AD" w:rsidRPr="00A244AE">
        <w:rPr>
          <w:bCs/>
          <w:lang w:val="ro-RO"/>
        </w:rPr>
        <w:t>, lei</w:t>
      </w:r>
      <w:r w:rsidR="00407B32" w:rsidRPr="00A244AE">
        <w:rPr>
          <w:bCs/>
          <w:lang w:val="ro-RO"/>
        </w:rPr>
        <w:t>.</w:t>
      </w:r>
    </w:p>
    <w:p w14:paraId="062FCAF6" w14:textId="4D01B8CF" w:rsidR="00B23292" w:rsidRPr="00A244AE" w:rsidRDefault="00B23292" w:rsidP="00FE536E">
      <w:pPr>
        <w:pStyle w:val="a3"/>
        <w:numPr>
          <w:ilvl w:val="0"/>
          <w:numId w:val="3"/>
        </w:numPr>
        <w:spacing w:before="240" w:line="276" w:lineRule="auto"/>
        <w:ind w:left="360"/>
        <w:jc w:val="both"/>
        <w:rPr>
          <w:i/>
          <w:lang w:val="ro-RO"/>
        </w:rPr>
      </w:pPr>
      <w:r w:rsidRPr="00A244AE">
        <w:rPr>
          <w:bCs/>
          <w:i/>
          <w:lang w:val="ro-RO" w:eastAsia="en-US"/>
        </w:rPr>
        <w:t>Pentru părțile obligate din sectorul produselor petroliere (importatorii de produse petroliere</w:t>
      </w:r>
      <w:r w:rsidR="005E12D7" w:rsidRPr="00A244AE">
        <w:rPr>
          <w:bCs/>
          <w:i/>
          <w:lang w:val="ro-RO" w:eastAsia="en-US"/>
        </w:rPr>
        <w:t>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  <w:gridCol w:w="727"/>
      </w:tblGrid>
      <w:tr w:rsidR="005E12D7" w:rsidRPr="00A244AE" w14:paraId="1D4E42A2" w14:textId="77777777" w:rsidTr="00F1502C">
        <w:tc>
          <w:tcPr>
            <w:tcW w:w="8910" w:type="dxa"/>
            <w:vAlign w:val="center"/>
          </w:tcPr>
          <w:bookmarkEnd w:id="0"/>
          <w:bookmarkEnd w:id="4"/>
          <w:p w14:paraId="6BD8B4D6" w14:textId="3B1070C5" w:rsidR="005E12D7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Con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PP,i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SOEE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PP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PP,tot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 </m:t>
                </m:r>
              </m:oMath>
            </m:oMathPara>
          </w:p>
        </w:tc>
        <w:tc>
          <w:tcPr>
            <w:tcW w:w="727" w:type="dxa"/>
            <w:vAlign w:val="center"/>
          </w:tcPr>
          <w:p w14:paraId="739E5C77" w14:textId="4B144042" w:rsidR="005E12D7" w:rsidRPr="00A244AE" w:rsidRDefault="005E12D7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</w:t>
            </w:r>
            <w:r w:rsidR="00CA7D80" w:rsidRPr="00A244AE">
              <w:rPr>
                <w:bCs/>
                <w:lang w:val="ro-RO"/>
              </w:rPr>
              <w:t>2</w:t>
            </w:r>
            <w:r w:rsidRPr="00A244AE">
              <w:rPr>
                <w:bCs/>
                <w:lang w:val="ro-RO"/>
              </w:rPr>
              <w:t>),</w:t>
            </w:r>
          </w:p>
        </w:tc>
      </w:tr>
    </w:tbl>
    <w:p w14:paraId="53870A77" w14:textId="77777777" w:rsidR="009F1A3C" w:rsidRPr="00A244AE" w:rsidRDefault="009F1A3C" w:rsidP="009F1A3C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7EA96AFE" w14:textId="225C2B88" w:rsidR="009F1A3C" w:rsidRPr="00A244AE" w:rsidRDefault="00845D58" w:rsidP="009F1A3C">
      <w:pPr>
        <w:pStyle w:val="a7"/>
        <w:spacing w:before="0" w:beforeAutospacing="0" w:after="120" w:afterAutospacing="0" w:line="276" w:lineRule="auto"/>
        <w:rPr>
          <w:i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Con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PP,i</m:t>
            </m:r>
          </m:sup>
        </m:sSubSup>
      </m:oMath>
      <w:r w:rsidR="009F1A3C" w:rsidRPr="00A244AE">
        <w:rPr>
          <w:bCs/>
          <w:lang w:val="ro-RO"/>
        </w:rPr>
        <w:t xml:space="preserve"> – mărimea contribuției financiare anuale</w:t>
      </w:r>
      <w:r w:rsidR="009F1A3C" w:rsidRPr="00A244AE">
        <w:rPr>
          <w:lang w:val="ro-RO" w:eastAsia="en-US"/>
        </w:rPr>
        <w:t xml:space="preserve">, care urmează a </w:t>
      </w:r>
      <w:r w:rsidR="009F1A3C" w:rsidRPr="00A244AE">
        <w:rPr>
          <w:bCs/>
          <w:lang w:val="ro-RO"/>
        </w:rPr>
        <w:t>fi</w:t>
      </w:r>
      <w:r w:rsidR="009F1A3C" w:rsidRPr="00A244AE">
        <w:rPr>
          <w:lang w:val="ro-RO" w:eastAsia="en-US"/>
        </w:rPr>
        <w:t xml:space="preserve"> achitată </w:t>
      </w:r>
      <w:r w:rsidR="00092B2A" w:rsidRPr="00A244AE">
        <w:rPr>
          <w:lang w:val="ro-RO"/>
        </w:rPr>
        <w:t>în anul calendaristic „</w:t>
      </w:r>
      <w:r w:rsidR="00092B2A" w:rsidRPr="00A244AE">
        <w:rPr>
          <w:i/>
          <w:iCs/>
          <w:lang w:val="ro-RO"/>
        </w:rPr>
        <w:t>t</w:t>
      </w:r>
      <w:r w:rsidR="00092B2A" w:rsidRPr="00A244AE">
        <w:rPr>
          <w:lang w:val="ro-RO"/>
        </w:rPr>
        <w:t xml:space="preserve">” </w:t>
      </w:r>
      <w:r w:rsidR="009F1A3C" w:rsidRPr="00A244AE">
        <w:rPr>
          <w:lang w:val="ro-RO" w:eastAsia="en-US"/>
        </w:rPr>
        <w:t xml:space="preserve">de </w:t>
      </w:r>
      <w:r w:rsidR="0061079F" w:rsidRPr="00A244AE">
        <w:rPr>
          <w:bCs/>
          <w:lang w:val="ro-RO"/>
        </w:rPr>
        <w:t>importatorul „</w:t>
      </w:r>
      <w:r w:rsidR="0061079F" w:rsidRPr="00A244AE">
        <w:rPr>
          <w:bCs/>
          <w:i/>
          <w:iCs/>
          <w:lang w:val="ro-RO"/>
        </w:rPr>
        <w:t>i</w:t>
      </w:r>
      <w:r w:rsidR="0061079F" w:rsidRPr="00A244AE">
        <w:rPr>
          <w:bCs/>
          <w:lang w:val="ro-RO"/>
        </w:rPr>
        <w:t>” de produse petroliere</w:t>
      </w:r>
      <w:r w:rsidR="000D37AD" w:rsidRPr="00A244AE">
        <w:rPr>
          <w:bCs/>
          <w:lang w:val="ro-RO"/>
        </w:rPr>
        <w:t>, lei</w:t>
      </w:r>
      <w:r w:rsidR="007141F3" w:rsidRPr="00A244AE">
        <w:rPr>
          <w:bCs/>
          <w:lang w:val="ro-RO"/>
        </w:rPr>
        <w:t>.</w:t>
      </w:r>
    </w:p>
    <w:p w14:paraId="4270B7DD" w14:textId="01734B24" w:rsidR="0043715C" w:rsidRPr="00A244AE" w:rsidRDefault="0043715C" w:rsidP="00FE536E">
      <w:pPr>
        <w:pStyle w:val="a3"/>
        <w:numPr>
          <w:ilvl w:val="0"/>
          <w:numId w:val="3"/>
        </w:numPr>
        <w:spacing w:before="240" w:line="276" w:lineRule="auto"/>
        <w:ind w:left="360"/>
        <w:jc w:val="both"/>
        <w:rPr>
          <w:i/>
          <w:lang w:val="ro-RO"/>
        </w:rPr>
      </w:pPr>
      <w:r w:rsidRPr="00A244AE">
        <w:rPr>
          <w:bCs/>
          <w:i/>
          <w:lang w:val="ro-RO" w:eastAsia="en-US"/>
        </w:rPr>
        <w:t>Pentru părțile obligate din sectorul energiei termice (furnizorii de energie termică pentru încălzire și/sau prepararea apei calde menajere, și/sau răcire):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  <w:gridCol w:w="727"/>
      </w:tblGrid>
      <w:tr w:rsidR="0043715C" w:rsidRPr="00A244AE" w14:paraId="31A302BF" w14:textId="77777777" w:rsidTr="00F1502C">
        <w:tc>
          <w:tcPr>
            <w:tcW w:w="8910" w:type="dxa"/>
            <w:vAlign w:val="center"/>
          </w:tcPr>
          <w:p w14:paraId="35F35E09" w14:textId="773DD328" w:rsidR="0043715C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Con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ET,i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an,t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SOEE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CFE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ET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ET,i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ET,tot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 xml:space="preserve">  </m:t>
                </m:r>
              </m:oMath>
            </m:oMathPara>
          </w:p>
        </w:tc>
        <w:tc>
          <w:tcPr>
            <w:tcW w:w="727" w:type="dxa"/>
            <w:vAlign w:val="center"/>
          </w:tcPr>
          <w:p w14:paraId="546B40D5" w14:textId="0052CEA2" w:rsidR="0043715C" w:rsidRPr="00A244AE" w:rsidRDefault="0043715C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</w:t>
            </w:r>
            <w:r w:rsidR="00D41419" w:rsidRPr="00A244AE">
              <w:rPr>
                <w:bCs/>
                <w:lang w:val="ro-RO"/>
              </w:rPr>
              <w:t>3</w:t>
            </w:r>
            <w:r w:rsidRPr="00A244AE">
              <w:rPr>
                <w:bCs/>
                <w:lang w:val="ro-RO"/>
              </w:rPr>
              <w:t>)</w:t>
            </w:r>
            <w:r w:rsidR="00C40BEB" w:rsidRPr="00A244AE">
              <w:rPr>
                <w:bCs/>
                <w:lang w:val="ro-RO"/>
              </w:rPr>
              <w:t>,</w:t>
            </w:r>
          </w:p>
        </w:tc>
      </w:tr>
    </w:tbl>
    <w:p w14:paraId="573D4D04" w14:textId="77777777" w:rsidR="009F1A3C" w:rsidRPr="00A244AE" w:rsidRDefault="009F1A3C" w:rsidP="009F1A3C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7A783135" w14:textId="0685692E" w:rsidR="003E05A9" w:rsidRPr="00A244AE" w:rsidRDefault="00845D58" w:rsidP="00695DED">
      <w:pPr>
        <w:spacing w:line="276" w:lineRule="auto"/>
        <w:rPr>
          <w:b/>
          <w:bCs/>
          <w:lang w:val="ro-RO" w:eastAsia="en-US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Con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an,t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ET,i</m:t>
            </m:r>
          </m:sup>
        </m:sSubSup>
      </m:oMath>
      <w:r w:rsidR="009F1A3C" w:rsidRPr="00A244AE">
        <w:rPr>
          <w:bCs/>
          <w:lang w:val="ro-RO"/>
        </w:rPr>
        <w:t xml:space="preserve"> – mărimea contribuției financiare anuale</w:t>
      </w:r>
      <w:r w:rsidR="009F1A3C" w:rsidRPr="00A244AE">
        <w:rPr>
          <w:lang w:val="ro-RO" w:eastAsia="en-US"/>
        </w:rPr>
        <w:t xml:space="preserve">, care urmează a </w:t>
      </w:r>
      <w:r w:rsidR="009F1A3C" w:rsidRPr="00A244AE">
        <w:rPr>
          <w:bCs/>
          <w:lang w:val="ro-RO"/>
        </w:rPr>
        <w:t>fi</w:t>
      </w:r>
      <w:r w:rsidR="009F1A3C" w:rsidRPr="00A244AE">
        <w:rPr>
          <w:lang w:val="ro-RO" w:eastAsia="en-US"/>
        </w:rPr>
        <w:t xml:space="preserve"> achitată </w:t>
      </w:r>
      <w:r w:rsidR="00E8439B" w:rsidRPr="00A244AE">
        <w:rPr>
          <w:lang w:val="ro-RO"/>
        </w:rPr>
        <w:t>în anul calendaristic „</w:t>
      </w:r>
      <w:r w:rsidR="00E8439B" w:rsidRPr="00A244AE">
        <w:rPr>
          <w:i/>
          <w:iCs/>
          <w:lang w:val="ro-RO"/>
        </w:rPr>
        <w:t>t</w:t>
      </w:r>
      <w:r w:rsidR="00E8439B" w:rsidRPr="00A244AE">
        <w:rPr>
          <w:lang w:val="ro-RO"/>
        </w:rPr>
        <w:t xml:space="preserve">” </w:t>
      </w:r>
      <w:r w:rsidR="009F1A3C" w:rsidRPr="00A244AE">
        <w:rPr>
          <w:lang w:val="ro-RO" w:eastAsia="en-US"/>
        </w:rPr>
        <w:t xml:space="preserve">de </w:t>
      </w:r>
      <w:r w:rsidR="00886749" w:rsidRPr="00A244AE">
        <w:rPr>
          <w:bCs/>
          <w:lang w:val="ro-RO"/>
        </w:rPr>
        <w:t>furnizorul „</w:t>
      </w:r>
      <w:r w:rsidR="00886749" w:rsidRPr="00A244AE">
        <w:rPr>
          <w:bCs/>
          <w:i/>
          <w:iCs/>
          <w:lang w:val="ro-RO"/>
        </w:rPr>
        <w:t>i</w:t>
      </w:r>
      <w:r w:rsidR="00886749" w:rsidRPr="00A244AE">
        <w:rPr>
          <w:bCs/>
          <w:lang w:val="ro-RO"/>
        </w:rPr>
        <w:t>” de energie termică pentru încălzire și/sau prepararea apei calde menajere, și/sau răcire</w:t>
      </w:r>
      <w:r w:rsidR="000D37AD" w:rsidRPr="00A244AE">
        <w:rPr>
          <w:bCs/>
          <w:lang w:val="ro-RO"/>
        </w:rPr>
        <w:t>, lei</w:t>
      </w:r>
      <w:r w:rsidR="001C169D" w:rsidRPr="00A244AE">
        <w:rPr>
          <w:bCs/>
          <w:lang w:val="ro-RO"/>
        </w:rPr>
        <w:t>.</w:t>
      </w:r>
    </w:p>
    <w:p w14:paraId="4EC83617" w14:textId="3F10AABF" w:rsidR="00695DED" w:rsidRPr="00A244AE" w:rsidRDefault="00695DED" w:rsidP="00695DED">
      <w:pPr>
        <w:tabs>
          <w:tab w:val="left" w:pos="0"/>
        </w:tabs>
        <w:spacing w:line="276" w:lineRule="auto"/>
        <w:jc w:val="center"/>
        <w:rPr>
          <w:b/>
          <w:bCs/>
          <w:lang w:val="ro-RO"/>
        </w:rPr>
      </w:pPr>
      <w:r w:rsidRPr="00A244AE">
        <w:rPr>
          <w:b/>
          <w:bCs/>
          <w:lang w:val="ro-RO"/>
        </w:rPr>
        <w:t xml:space="preserve">Secțiunea </w:t>
      </w:r>
      <w:r w:rsidR="007A566D" w:rsidRPr="00A244AE">
        <w:rPr>
          <w:b/>
          <w:bCs/>
          <w:lang w:val="ro-RO"/>
        </w:rPr>
        <w:t>5</w:t>
      </w:r>
    </w:p>
    <w:p w14:paraId="03FC41B6" w14:textId="3CD67820" w:rsidR="009257B5" w:rsidRPr="00A244AE" w:rsidRDefault="00695DED" w:rsidP="00695DED">
      <w:pPr>
        <w:tabs>
          <w:tab w:val="left" w:pos="0"/>
        </w:tabs>
        <w:spacing w:line="276" w:lineRule="auto"/>
        <w:jc w:val="center"/>
        <w:rPr>
          <w:b/>
          <w:lang w:val="ro-RO"/>
        </w:rPr>
      </w:pPr>
      <w:r w:rsidRPr="00A244AE">
        <w:rPr>
          <w:b/>
          <w:lang w:val="ro-RO"/>
        </w:rPr>
        <w:t>DETERMINAREA MĂRIMII CONTRIBUȚIILOR, PRIN STABILIREA UNEI PLĂȚI FIXE, PE UNITATE DE ENERGIE SAU DE VOLUM DISTRIBUIT, FURNIZAT ȘI/SAU COMERCIALIZAT</w:t>
      </w:r>
    </w:p>
    <w:p w14:paraId="7F719072" w14:textId="7759A176" w:rsidR="009257B5" w:rsidRPr="00A244AE" w:rsidRDefault="009257B5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jc w:val="both"/>
        <w:rPr>
          <w:lang w:val="ro-RO" w:eastAsia="en-US"/>
        </w:rPr>
      </w:pPr>
      <w:r w:rsidRPr="00A244AE">
        <w:rPr>
          <w:lang w:val="ro-RO" w:eastAsia="en-US"/>
        </w:rPr>
        <w:t>Mărimea contribuțiilor anuale, care urmează a fi achitate de fiecare parte obligată</w:t>
      </w:r>
      <w:r w:rsidR="004E3FF0" w:rsidRPr="00A244AE">
        <w:rPr>
          <w:lang w:val="ro-RO" w:eastAsia="en-US"/>
        </w:rPr>
        <w:t>, prin stabilirea unei plăți fixe</w:t>
      </w:r>
      <w:r w:rsidR="00DA5FA7" w:rsidRPr="00A244AE">
        <w:rPr>
          <w:lang w:val="ro-RO" w:eastAsia="en-US"/>
        </w:rPr>
        <w:t xml:space="preserve"> </w:t>
      </w:r>
      <w:r w:rsidR="00DA5FA7" w:rsidRPr="00A244AE">
        <w:rPr>
          <w:lang w:val="ro-RO"/>
        </w:rPr>
        <w:t>în anul calendaristic „</w:t>
      </w:r>
      <w:r w:rsidR="00DA5FA7" w:rsidRPr="00A244AE">
        <w:rPr>
          <w:i/>
          <w:iCs/>
          <w:lang w:val="ro-RO"/>
        </w:rPr>
        <w:t>t</w:t>
      </w:r>
      <w:r w:rsidR="00DA5FA7" w:rsidRPr="00A244AE">
        <w:rPr>
          <w:lang w:val="ro-RO"/>
        </w:rPr>
        <w:t>”</w:t>
      </w:r>
      <w:r w:rsidR="004E3FF0" w:rsidRPr="00A244AE">
        <w:rPr>
          <w:lang w:val="ro-RO" w:eastAsia="en-US"/>
        </w:rPr>
        <w:t>, pe unitate de energie sau de volum distribuit, furnizat și/sau comercializat,</w:t>
      </w:r>
      <w:r w:rsidRPr="00A244AE">
        <w:rPr>
          <w:lang w:val="ro-RO" w:eastAsia="en-US"/>
        </w:rPr>
        <w:t xml:space="preserve"> se determină ca </w:t>
      </w:r>
      <w:r w:rsidR="00267D55" w:rsidRPr="00A244AE">
        <w:rPr>
          <w:lang w:val="ro-RO" w:eastAsia="en-US"/>
        </w:rPr>
        <w:t>produs</w:t>
      </w:r>
      <w:r w:rsidR="004B7112" w:rsidRPr="00A244AE">
        <w:rPr>
          <w:lang w:val="ro-RO" w:eastAsia="en-US"/>
        </w:rPr>
        <w:t xml:space="preserve"> al </w:t>
      </w:r>
      <w:r w:rsidR="0045457F" w:rsidRPr="00A244AE">
        <w:rPr>
          <w:lang w:val="ro-RO" w:eastAsia="en-US"/>
        </w:rPr>
        <w:t xml:space="preserve">contribuțiilor </w:t>
      </w:r>
      <w:r w:rsidR="00845112" w:rsidRPr="00A244AE">
        <w:rPr>
          <w:lang w:val="ro-RO" w:eastAsia="en-US"/>
        </w:rPr>
        <w:t xml:space="preserve">totale anuale echivalente cu </w:t>
      </w:r>
      <w:r w:rsidR="00C2517C" w:rsidRPr="00A244AE">
        <w:rPr>
          <w:lang w:val="ro-RO" w:eastAsia="en-US"/>
        </w:rPr>
        <w:t>cheltuielil</w:t>
      </w:r>
      <w:r w:rsidR="00845112" w:rsidRPr="00A244AE">
        <w:rPr>
          <w:lang w:val="ro-RO" w:eastAsia="en-US"/>
        </w:rPr>
        <w:t>e</w:t>
      </w:r>
      <w:r w:rsidR="00C2517C" w:rsidRPr="00A244AE">
        <w:rPr>
          <w:bCs/>
          <w:lang w:val="ro-RO" w:eastAsia="en-US"/>
        </w:rPr>
        <w:t xml:space="preserve"> totale „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CT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an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 w:eastAsia="en-US"/>
              </w:rPr>
              <m:t>SOEE</m:t>
            </m:r>
          </m:sup>
        </m:sSubSup>
      </m:oMath>
      <w:r w:rsidR="00C2517C" w:rsidRPr="00A244AE">
        <w:rPr>
          <w:bCs/>
          <w:lang w:val="ro-RO" w:eastAsia="en-US"/>
        </w:rPr>
        <w:t xml:space="preserve">” </w:t>
      </w:r>
      <w:r w:rsidR="00C2517C" w:rsidRPr="00A244AE">
        <w:rPr>
          <w:lang w:val="ro-RO" w:eastAsia="en-US"/>
        </w:rPr>
        <w:t>necesare</w:t>
      </w:r>
      <w:r w:rsidR="00C033FB" w:rsidRPr="00A244AE">
        <w:rPr>
          <w:lang w:val="ro-RO" w:eastAsia="en-US"/>
        </w:rPr>
        <w:t xml:space="preserve"> </w:t>
      </w:r>
      <w:r w:rsidR="00C033FB" w:rsidRPr="00A244AE">
        <w:rPr>
          <w:lang w:val="ro-MD" w:eastAsia="en-US"/>
        </w:rPr>
        <w:t xml:space="preserve">în anul calendaristic </w:t>
      </w:r>
      <w:r w:rsidR="00C033FB" w:rsidRPr="00A244AE">
        <w:rPr>
          <w:i/>
          <w:iCs/>
          <w:lang w:val="ro-MD" w:eastAsia="en-US"/>
        </w:rPr>
        <w:t>„t”</w:t>
      </w:r>
      <w:r w:rsidR="00C033FB" w:rsidRPr="00A244AE">
        <w:rPr>
          <w:lang w:val="ro-RO" w:eastAsia="en-US"/>
        </w:rPr>
        <w:t>, pe durata Programului privind SOEE</w:t>
      </w:r>
      <w:r w:rsidR="00C2517C" w:rsidRPr="00A244AE">
        <w:rPr>
          <w:lang w:val="ro-RO" w:eastAsia="en-US"/>
        </w:rPr>
        <w:t xml:space="preserve"> pentru realizare</w:t>
      </w:r>
      <w:r w:rsidR="003816E5" w:rsidRPr="00A244AE">
        <w:rPr>
          <w:lang w:val="ro-RO" w:eastAsia="en-US"/>
        </w:rPr>
        <w:t>a măsurilor de eficiență energetică</w:t>
      </w:r>
      <w:r w:rsidR="00C033FB" w:rsidRPr="00A244AE">
        <w:rPr>
          <w:lang w:val="ro-RO" w:eastAsia="en-US"/>
        </w:rPr>
        <w:t xml:space="preserve"> în scopul realizării noilor economii anuale de energie stabilite în cadrul SOEE</w:t>
      </w:r>
      <w:r w:rsidR="003816E5" w:rsidRPr="00A244AE">
        <w:rPr>
          <w:lang w:val="fr-BE"/>
        </w:rPr>
        <w:t xml:space="preserve"> </w:t>
      </w:r>
      <w:r w:rsidR="00763E1E" w:rsidRPr="00A244AE">
        <w:rPr>
          <w:lang w:val="ro-RO" w:eastAsia="en-US"/>
        </w:rPr>
        <w:t xml:space="preserve">și ponderea luată în calcul a valorilor medii pentru perioada de 3 ani anterioară datei de 1 ianuarie 2022 a consumului final de energie electrică, gaze naturale, produse petroliere sau energie termică în consumul final cumulativ de energie electrică, gaze naturale, produse petroliere și energie termică, </w:t>
      </w:r>
      <w:r w:rsidR="00EE343F" w:rsidRPr="00A244AE">
        <w:rPr>
          <w:lang w:val="ro-RO" w:eastAsia="en-US"/>
        </w:rPr>
        <w:t xml:space="preserve">raportat la </w:t>
      </w:r>
      <w:r w:rsidR="00095EDE" w:rsidRPr="00A244AE">
        <w:rPr>
          <w:lang w:val="ro-RO" w:eastAsia="en-US"/>
        </w:rPr>
        <w:t xml:space="preserve">volumul </w:t>
      </w:r>
      <w:r w:rsidR="00F85D31" w:rsidRPr="00A244AE">
        <w:rPr>
          <w:lang w:val="ro-RO" w:eastAsia="en-US"/>
        </w:rPr>
        <w:t xml:space="preserve">total </w:t>
      </w:r>
      <w:r w:rsidR="00191C65" w:rsidRPr="00A244AE">
        <w:rPr>
          <w:lang w:val="ro-RO"/>
        </w:rPr>
        <w:t>distribuit, furnizat și/sau comercializat</w:t>
      </w:r>
      <w:r w:rsidR="00191C65" w:rsidRPr="00A244AE">
        <w:rPr>
          <w:bCs/>
          <w:lang w:val="ro-RO"/>
        </w:rPr>
        <w:t xml:space="preserve"> </w:t>
      </w:r>
      <w:r w:rsidR="00F85D31" w:rsidRPr="00A244AE">
        <w:rPr>
          <w:lang w:val="ro-RO" w:eastAsia="en-US"/>
        </w:rPr>
        <w:t>al de energiei electrice, gaze naturale, produse petroliere sau energie termică</w:t>
      </w:r>
      <w:r w:rsidR="00410095" w:rsidRPr="00A244AE">
        <w:rPr>
          <w:lang w:val="ro-RO" w:eastAsia="en-US"/>
        </w:rPr>
        <w:t xml:space="preserve">, </w:t>
      </w:r>
      <w:r w:rsidR="00182CC9" w:rsidRPr="00A244AE">
        <w:rPr>
          <w:bCs/>
          <w:lang w:val="ro-RO"/>
        </w:rPr>
        <w:t xml:space="preserve">calculat ca </w:t>
      </w:r>
      <w:r w:rsidR="00182CC9" w:rsidRPr="00A244AE">
        <w:rPr>
          <w:lang w:val="ro-RO" w:eastAsia="en-US"/>
        </w:rPr>
        <w:t>valoare medie pentru perioada de 3</w:t>
      </w:r>
      <w:r w:rsidR="00182CC9" w:rsidRPr="00A244AE">
        <w:rPr>
          <w:lang w:val="fr-BE"/>
        </w:rPr>
        <w:t> </w:t>
      </w:r>
      <w:r w:rsidR="00182CC9" w:rsidRPr="00A244AE">
        <w:rPr>
          <w:lang w:val="ro-RO" w:eastAsia="en-US"/>
        </w:rPr>
        <w:t>ani anterioară datei de 1 ianuarie 2022</w:t>
      </w:r>
      <w:r w:rsidRPr="00A244AE">
        <w:rPr>
          <w:lang w:val="ro-RO" w:eastAsia="en-US"/>
        </w:rPr>
        <w:t>, în conformitate cu următoarele formule:</w:t>
      </w:r>
    </w:p>
    <w:p w14:paraId="293B01D1" w14:textId="77777777" w:rsidR="0026311C" w:rsidRPr="00A244AE" w:rsidRDefault="0026311C" w:rsidP="00FE536E">
      <w:pPr>
        <w:pStyle w:val="a3"/>
        <w:numPr>
          <w:ilvl w:val="0"/>
          <w:numId w:val="6"/>
        </w:numPr>
        <w:spacing w:before="240" w:line="276" w:lineRule="auto"/>
        <w:ind w:left="360"/>
        <w:contextualSpacing w:val="0"/>
        <w:jc w:val="both"/>
        <w:rPr>
          <w:i/>
          <w:lang w:val="ro-RO"/>
        </w:rPr>
      </w:pPr>
      <w:r w:rsidRPr="00A244AE">
        <w:rPr>
          <w:i/>
          <w:lang w:val="ro-RO"/>
        </w:rPr>
        <w:t>Pentru părțile obligate din sectorul electroenergetic (operatorii sistemelor de distribuție a energiei electrice):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  <w:gridCol w:w="796"/>
      </w:tblGrid>
      <w:tr w:rsidR="0026311C" w:rsidRPr="00A244AE" w14:paraId="6570435B" w14:textId="77777777" w:rsidTr="00F1502C">
        <w:tc>
          <w:tcPr>
            <w:tcW w:w="8841" w:type="dxa"/>
            <w:vAlign w:val="center"/>
          </w:tcPr>
          <w:p w14:paraId="57C1859E" w14:textId="111D64CC" w:rsidR="0026311C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PF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lei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kWh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EL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an,t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SOEE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EL,tot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796" w:type="dxa"/>
            <w:vAlign w:val="center"/>
          </w:tcPr>
          <w:p w14:paraId="362FDE4F" w14:textId="76328C2E" w:rsidR="0026311C" w:rsidRPr="00A244AE" w:rsidRDefault="0026311C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</w:t>
            </w:r>
            <w:r w:rsidR="00435F3E" w:rsidRPr="00A244AE">
              <w:rPr>
                <w:bCs/>
                <w:lang w:val="ro-RO"/>
              </w:rPr>
              <w:t>4</w:t>
            </w:r>
            <w:r w:rsidRPr="00A244AE">
              <w:rPr>
                <w:bCs/>
                <w:lang w:val="ro-RO"/>
              </w:rPr>
              <w:t>),</w:t>
            </w:r>
          </w:p>
        </w:tc>
      </w:tr>
    </w:tbl>
    <w:p w14:paraId="1ED4DEEA" w14:textId="77777777" w:rsidR="0026311C" w:rsidRPr="00A244AE" w:rsidRDefault="0026311C" w:rsidP="0026311C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67787D37" w14:textId="5C06B0D7" w:rsidR="0026311C" w:rsidRPr="00A244AE" w:rsidRDefault="00845D58" w:rsidP="0026311C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PF</m:t>
            </m:r>
          </m:e>
          <m:sub>
            <m:f>
              <m:fPr>
                <m:ctrlPr>
                  <w:rPr>
                    <w:rFonts w:ascii="Cambria Math" w:hAnsi="Cambria Math"/>
                    <w:b/>
                    <w:i/>
                    <w:lang w:val="ro-R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lei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kWh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lang w:val="ro-RO"/>
              </w:rPr>
              <m:t>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EL</m:t>
            </m:r>
          </m:sup>
        </m:sSubSup>
      </m:oMath>
      <w:r w:rsidR="0026311C" w:rsidRPr="00A244AE">
        <w:rPr>
          <w:bCs/>
          <w:lang w:val="ro-RO"/>
        </w:rPr>
        <w:t xml:space="preserve"> – </w:t>
      </w:r>
      <w:r w:rsidR="00B812CF" w:rsidRPr="00A244AE">
        <w:rPr>
          <w:bCs/>
          <w:lang w:val="ro-RO"/>
        </w:rPr>
        <w:t>plata fixă</w:t>
      </w:r>
      <w:r w:rsidR="00970AE6" w:rsidRPr="00A244AE">
        <w:rPr>
          <w:lang w:val="ro-RO"/>
        </w:rPr>
        <w:t xml:space="preserve"> în anul calendaristic „</w:t>
      </w:r>
      <w:r w:rsidR="00970AE6" w:rsidRPr="00A244AE">
        <w:rPr>
          <w:i/>
          <w:iCs/>
          <w:lang w:val="ro-RO"/>
        </w:rPr>
        <w:t>t</w:t>
      </w:r>
      <w:r w:rsidR="00970AE6" w:rsidRPr="00A244AE">
        <w:rPr>
          <w:lang w:val="ro-RO"/>
        </w:rPr>
        <w:t>”</w:t>
      </w:r>
      <w:r w:rsidR="007E7ACD" w:rsidRPr="00A244AE">
        <w:rPr>
          <w:bCs/>
          <w:lang w:val="ro-RO"/>
        </w:rPr>
        <w:t xml:space="preserve">, </w:t>
      </w:r>
      <w:r w:rsidR="003E788D" w:rsidRPr="00A244AE">
        <w:rPr>
          <w:bCs/>
          <w:lang w:val="ro-RO"/>
        </w:rPr>
        <w:t xml:space="preserve">în </w:t>
      </w:r>
      <w:proofErr w:type="spellStart"/>
      <w:r w:rsidR="003E788D" w:rsidRPr="00A244AE">
        <w:rPr>
          <w:bCs/>
          <w:lang w:val="ro-RO"/>
        </w:rPr>
        <w:t>lei/kWh</w:t>
      </w:r>
      <w:proofErr w:type="spellEnd"/>
      <w:r w:rsidR="003E788D" w:rsidRPr="00A244AE">
        <w:rPr>
          <w:bCs/>
          <w:lang w:val="ro-RO"/>
        </w:rPr>
        <w:t xml:space="preserve"> de energie electrică distribuită </w:t>
      </w:r>
      <w:r w:rsidR="00D12CF2" w:rsidRPr="00A244AE">
        <w:rPr>
          <w:bCs/>
          <w:lang w:val="ro-RO"/>
        </w:rPr>
        <w:t>de operatorii</w:t>
      </w:r>
      <w:r w:rsidR="0026311C" w:rsidRPr="00A244AE">
        <w:rPr>
          <w:bCs/>
          <w:lang w:val="ro-RO"/>
        </w:rPr>
        <w:t xml:space="preserve"> sistem</w:t>
      </w:r>
      <w:r w:rsidR="00D12CF2" w:rsidRPr="00A244AE">
        <w:rPr>
          <w:bCs/>
          <w:lang w:val="ro-RO"/>
        </w:rPr>
        <w:t>elor</w:t>
      </w:r>
      <w:r w:rsidR="0026311C" w:rsidRPr="00A244AE">
        <w:rPr>
          <w:bCs/>
          <w:lang w:val="ro-RO"/>
        </w:rPr>
        <w:t xml:space="preserve"> de distribuție a energiei electrice.</w:t>
      </w:r>
    </w:p>
    <w:p w14:paraId="1D2A4583" w14:textId="29EF023B" w:rsidR="00827DEB" w:rsidRPr="00A244AE" w:rsidRDefault="0026311C" w:rsidP="00FE536E">
      <w:pPr>
        <w:pStyle w:val="a3"/>
        <w:numPr>
          <w:ilvl w:val="0"/>
          <w:numId w:val="6"/>
        </w:numPr>
        <w:spacing w:before="240" w:line="276" w:lineRule="auto"/>
        <w:ind w:left="360"/>
        <w:jc w:val="both"/>
        <w:rPr>
          <w:i/>
          <w:lang w:val="ro-RO"/>
        </w:rPr>
      </w:pPr>
      <w:r w:rsidRPr="00A244AE">
        <w:rPr>
          <w:i/>
          <w:lang w:val="ro-RO"/>
        </w:rPr>
        <w:t xml:space="preserve">Pentru </w:t>
      </w:r>
      <w:r w:rsidRPr="00A244AE">
        <w:rPr>
          <w:bCs/>
          <w:i/>
          <w:lang w:val="ro-RO" w:eastAsia="en-US"/>
        </w:rPr>
        <w:t>părțile</w:t>
      </w:r>
      <w:r w:rsidRPr="00A244AE">
        <w:rPr>
          <w:i/>
          <w:lang w:val="ro-RO"/>
        </w:rPr>
        <w:t xml:space="preserve"> obligate din sectorul gazelor naturale (operatorii sistemelor de distribuție al gazelor naturale):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  <w:gridCol w:w="796"/>
      </w:tblGrid>
      <w:tr w:rsidR="00827DEB" w:rsidRPr="00A244AE" w14:paraId="42B10565" w14:textId="77777777" w:rsidTr="00F1502C">
        <w:tc>
          <w:tcPr>
            <w:tcW w:w="8841" w:type="dxa"/>
            <w:vAlign w:val="center"/>
          </w:tcPr>
          <w:p w14:paraId="5C897ABD" w14:textId="3657C164" w:rsidR="00827DEB" w:rsidRPr="00A244AE" w:rsidRDefault="00845D58" w:rsidP="00F1502C">
            <w:pPr>
              <w:pStyle w:val="a7"/>
              <w:spacing w:before="0" w:beforeAutospacing="0" w:after="0" w:afterAutospacing="0" w:line="276" w:lineRule="auto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PF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lei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ro-RO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GN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an,t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SOEE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GN,tot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796" w:type="dxa"/>
            <w:vAlign w:val="center"/>
          </w:tcPr>
          <w:p w14:paraId="21367EF3" w14:textId="70DB30D1" w:rsidR="00827DEB" w:rsidRPr="00A244AE" w:rsidRDefault="00827DEB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(15),</w:t>
            </w:r>
          </w:p>
        </w:tc>
      </w:tr>
    </w:tbl>
    <w:p w14:paraId="262EF06A" w14:textId="77777777" w:rsidR="0026311C" w:rsidRPr="00A244AE" w:rsidRDefault="0026311C" w:rsidP="0026311C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213832AD" w14:textId="6EFCA427" w:rsidR="007E7AF3" w:rsidRPr="00A244AE" w:rsidRDefault="00845D58" w:rsidP="007E7AF3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PF</m:t>
            </m:r>
          </m:e>
          <m:sub>
            <m:f>
              <m:fPr>
                <m:ctrlPr>
                  <w:rPr>
                    <w:rFonts w:ascii="Cambria Math" w:hAnsi="Cambria Math"/>
                    <w:b/>
                    <w:i/>
                    <w:lang w:val="ro-R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lei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/>
                <w:lang w:val="ro-RO"/>
              </w:rPr>
              <m:t>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GN</m:t>
            </m:r>
          </m:sup>
        </m:sSubSup>
      </m:oMath>
      <w:r w:rsidR="007E7AF3" w:rsidRPr="00A244AE">
        <w:rPr>
          <w:bCs/>
          <w:lang w:val="ro-RO"/>
        </w:rPr>
        <w:t xml:space="preserve"> – plata fixă</w:t>
      </w:r>
      <w:r w:rsidR="006864EE" w:rsidRPr="00A244AE">
        <w:rPr>
          <w:lang w:val="ro-RO"/>
        </w:rPr>
        <w:t xml:space="preserve"> în anul calendaristic „</w:t>
      </w:r>
      <w:r w:rsidR="006864EE" w:rsidRPr="00A244AE">
        <w:rPr>
          <w:i/>
          <w:iCs/>
          <w:lang w:val="ro-RO"/>
        </w:rPr>
        <w:t>t</w:t>
      </w:r>
      <w:r w:rsidR="006864EE" w:rsidRPr="00A244AE">
        <w:rPr>
          <w:lang w:val="ro-RO"/>
        </w:rPr>
        <w:t>”</w:t>
      </w:r>
      <w:r w:rsidR="007E7AF3" w:rsidRPr="00A244AE">
        <w:rPr>
          <w:bCs/>
          <w:lang w:val="ro-RO"/>
        </w:rPr>
        <w:t>, în lei/m</w:t>
      </w:r>
      <w:r w:rsidR="007E7AF3" w:rsidRPr="00A244AE">
        <w:rPr>
          <w:bCs/>
          <w:vertAlign w:val="superscript"/>
          <w:lang w:val="ro-RO"/>
        </w:rPr>
        <w:t>3</w:t>
      </w:r>
      <w:r w:rsidR="007E7AF3" w:rsidRPr="00A244AE">
        <w:rPr>
          <w:bCs/>
          <w:lang w:val="ro-RO"/>
        </w:rPr>
        <w:t xml:space="preserve"> de </w:t>
      </w:r>
      <w:r w:rsidR="003A3BAC" w:rsidRPr="00A244AE">
        <w:rPr>
          <w:bCs/>
          <w:lang w:val="ro-RO"/>
        </w:rPr>
        <w:t>gaze naturale</w:t>
      </w:r>
      <w:r w:rsidR="007E7AF3" w:rsidRPr="00A244AE">
        <w:rPr>
          <w:bCs/>
          <w:lang w:val="ro-RO"/>
        </w:rPr>
        <w:t xml:space="preserve"> distribuit</w:t>
      </w:r>
      <w:r w:rsidR="003A3BAC" w:rsidRPr="00A244AE">
        <w:rPr>
          <w:bCs/>
          <w:lang w:val="ro-RO"/>
        </w:rPr>
        <w:t>e</w:t>
      </w:r>
      <w:r w:rsidR="007E7AF3" w:rsidRPr="00A244AE">
        <w:rPr>
          <w:bCs/>
          <w:lang w:val="ro-RO"/>
        </w:rPr>
        <w:t xml:space="preserve"> de operatorii sistemelor de distribuție a </w:t>
      </w:r>
      <w:r w:rsidR="003A3BAC" w:rsidRPr="00A244AE">
        <w:rPr>
          <w:bCs/>
          <w:lang w:val="ro-RO"/>
        </w:rPr>
        <w:t>gazelor naturale</w:t>
      </w:r>
      <w:r w:rsidR="007E7AF3" w:rsidRPr="00A244AE">
        <w:rPr>
          <w:bCs/>
          <w:lang w:val="ro-RO"/>
        </w:rPr>
        <w:t>.</w:t>
      </w:r>
    </w:p>
    <w:p w14:paraId="66FC0C5A" w14:textId="1C282C92" w:rsidR="0026311C" w:rsidRPr="00A244AE" w:rsidRDefault="0026311C" w:rsidP="00FE536E">
      <w:pPr>
        <w:pStyle w:val="a3"/>
        <w:numPr>
          <w:ilvl w:val="0"/>
          <w:numId w:val="6"/>
        </w:numPr>
        <w:spacing w:before="240" w:line="276" w:lineRule="auto"/>
        <w:ind w:left="360"/>
        <w:jc w:val="both"/>
        <w:rPr>
          <w:i/>
          <w:lang w:val="ro-RO"/>
        </w:rPr>
      </w:pPr>
      <w:r w:rsidRPr="00A244AE">
        <w:rPr>
          <w:bCs/>
          <w:i/>
          <w:lang w:val="ro-RO" w:eastAsia="en-US"/>
        </w:rPr>
        <w:t>Pentru părțile obligate din sectorul produselor petroliere (importatorii de produse petroliere)</w:t>
      </w:r>
      <w:r w:rsidR="00870E70" w:rsidRPr="00A244AE">
        <w:rPr>
          <w:bCs/>
          <w:i/>
          <w:lang w:val="ro-RO" w:eastAsia="en-US"/>
        </w:rPr>
        <w:t>, plata fixă în anul calendaristic „t”, în lei/litru de produse petroliere comercializate de importatorii de produse petroliere, care se stabilește diferențiat pentru benzină, motorină și gazul lichefiat</w:t>
      </w:r>
      <w:r w:rsidRPr="00A244AE">
        <w:rPr>
          <w:bCs/>
          <w:i/>
          <w:lang w:val="ro-RO" w:eastAsia="en-US"/>
        </w:rPr>
        <w:t>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  <w:gridCol w:w="796"/>
      </w:tblGrid>
      <w:tr w:rsidR="0077323A" w:rsidRPr="00A244AE" w14:paraId="56DC97CA" w14:textId="77777777" w:rsidTr="009603DF">
        <w:tc>
          <w:tcPr>
            <w:tcW w:w="8841" w:type="dxa"/>
            <w:vAlign w:val="center"/>
          </w:tcPr>
          <w:p w14:paraId="6A75864A" w14:textId="5D23C35F" w:rsidR="0077323A" w:rsidRPr="00A244AE" w:rsidRDefault="00845D58" w:rsidP="00373F58">
            <w:pPr>
              <w:pStyle w:val="a7"/>
              <w:spacing w:before="0" w:beforeAutospacing="0" w:after="0" w:afterAutospacing="0" w:line="276" w:lineRule="auto"/>
              <w:ind w:left="720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PF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lei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litru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B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an,t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SOEE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lang w:val="ro-RO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2019-2021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PP,tot</m:t>
                            </m:r>
                          </m:sup>
                        </m:sSubSup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B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B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÷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796" w:type="dxa"/>
            <w:vAlign w:val="center"/>
          </w:tcPr>
          <w:p w14:paraId="53E4993B" w14:textId="77777777" w:rsidR="0077323A" w:rsidRPr="00A244AE" w:rsidRDefault="0077323A" w:rsidP="00F1502C">
            <w:pPr>
              <w:spacing w:before="120" w:after="240" w:line="276" w:lineRule="auto"/>
              <w:jc w:val="center"/>
              <w:rPr>
                <w:bCs/>
                <w:lang w:val="ro-RO"/>
              </w:rPr>
            </w:pPr>
            <w:r w:rsidRPr="00A244AE">
              <w:rPr>
                <w:bCs/>
                <w:lang w:val="ro-RO"/>
              </w:rPr>
              <w:t>(16),</w:t>
            </w:r>
          </w:p>
          <w:p w14:paraId="39ADAD42" w14:textId="2DCA7954" w:rsidR="00861DEF" w:rsidRPr="00A244AE" w:rsidRDefault="00861DEF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</w:p>
        </w:tc>
      </w:tr>
      <w:tr w:rsidR="00861DEF" w:rsidRPr="00A244AE" w14:paraId="2620CAE5" w14:textId="77777777" w:rsidTr="009603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41" w:type="dxa"/>
            <w:tcBorders>
              <w:top w:val="nil"/>
              <w:left w:val="nil"/>
              <w:bottom w:val="nil"/>
              <w:right w:val="nil"/>
            </w:tcBorders>
          </w:tcPr>
          <w:p w14:paraId="3A39C438" w14:textId="4BC0889C" w:rsidR="00861DEF" w:rsidRPr="00A244AE" w:rsidRDefault="00845D58" w:rsidP="00F1502C">
            <w:pPr>
              <w:pStyle w:val="a7"/>
              <w:spacing w:before="0" w:beforeAutospacing="0" w:after="0" w:afterAutospacing="0" w:line="276" w:lineRule="auto"/>
              <w:ind w:left="720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PF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lei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litru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M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an,t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SOEE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lang w:val="ro-RO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2019-2021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PP,tot</m:t>
                            </m:r>
                          </m:sup>
                        </m:sSubSup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M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M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÷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FFD5E8B" w14:textId="20B9D744" w:rsidR="00861DEF" w:rsidRPr="00A244AE" w:rsidRDefault="00861DEF" w:rsidP="00861DEF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(17),</w:t>
            </w:r>
          </w:p>
        </w:tc>
      </w:tr>
    </w:tbl>
    <w:p w14:paraId="414975D2" w14:textId="77777777" w:rsidR="00861DEF" w:rsidRPr="00A244AE" w:rsidRDefault="00861DEF" w:rsidP="0077323A">
      <w:pPr>
        <w:spacing w:after="120" w:line="276" w:lineRule="auto"/>
        <w:jc w:val="both"/>
        <w:rPr>
          <w:bCs/>
          <w:lang w:val="ro-RO" w:eastAsia="en-US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  <w:gridCol w:w="796"/>
      </w:tblGrid>
      <w:tr w:rsidR="00954D89" w:rsidRPr="00A244AE" w14:paraId="4F16B845" w14:textId="77777777" w:rsidTr="009603DF">
        <w:tc>
          <w:tcPr>
            <w:tcW w:w="8841" w:type="dxa"/>
          </w:tcPr>
          <w:p w14:paraId="38A4DD54" w14:textId="5AB37938" w:rsidR="00954D89" w:rsidRPr="00A244AE" w:rsidRDefault="00845D58" w:rsidP="00F1502C">
            <w:pPr>
              <w:pStyle w:val="a7"/>
              <w:spacing w:before="0" w:beforeAutospacing="0" w:after="0" w:afterAutospacing="0" w:line="276" w:lineRule="auto"/>
              <w:ind w:left="720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PF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lei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litru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GPL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an,t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SOEE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PP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lang w:val="ro-RO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2019-2021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ro-RO"/>
                              </w:rPr>
                              <m:t>PP,tot</m:t>
                            </m:r>
                          </m:sup>
                        </m:sSubSup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GPL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GPL</m:t>
                        </m:r>
                      </m:sup>
                    </m:sSubSup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÷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GPL</m:t>
                    </m:r>
                  </m:sub>
                </m:sSub>
              </m:oMath>
            </m:oMathPara>
          </w:p>
        </w:tc>
        <w:tc>
          <w:tcPr>
            <w:tcW w:w="796" w:type="dxa"/>
          </w:tcPr>
          <w:p w14:paraId="27CBC379" w14:textId="385178D1" w:rsidR="00954D89" w:rsidRPr="00A244AE" w:rsidRDefault="00954D89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</w:t>
            </w:r>
            <w:r w:rsidR="00104BDC" w:rsidRPr="00A244AE">
              <w:rPr>
                <w:bCs/>
                <w:lang w:val="ro-RO"/>
              </w:rPr>
              <w:t>8</w:t>
            </w:r>
            <w:r w:rsidRPr="00A244AE">
              <w:rPr>
                <w:bCs/>
                <w:lang w:val="ro-RO"/>
              </w:rPr>
              <w:t>),</w:t>
            </w:r>
          </w:p>
        </w:tc>
      </w:tr>
    </w:tbl>
    <w:p w14:paraId="1D84135C" w14:textId="77777777" w:rsidR="00954D89" w:rsidRPr="00A244AE" w:rsidRDefault="00954D89" w:rsidP="0077323A">
      <w:pPr>
        <w:spacing w:after="120" w:line="276" w:lineRule="auto"/>
        <w:jc w:val="both"/>
        <w:rPr>
          <w:bCs/>
          <w:lang w:val="ro-RO" w:eastAsia="en-US"/>
        </w:rPr>
      </w:pPr>
    </w:p>
    <w:p w14:paraId="67B7FFEA" w14:textId="06854234" w:rsidR="0077323A" w:rsidRPr="00A244AE" w:rsidRDefault="0077323A" w:rsidP="0077323A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18E1A48E" w14:textId="31A3B665" w:rsidR="0077323A" w:rsidRPr="00A244AE" w:rsidRDefault="00845D58" w:rsidP="0077323A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PF</m:t>
            </m:r>
          </m:e>
          <m:sub>
            <m:f>
              <m:fPr>
                <m:ctrlPr>
                  <w:rPr>
                    <w:rFonts w:ascii="Cambria Math" w:hAnsi="Cambria Math"/>
                    <w:b/>
                    <w:i/>
                    <w:lang w:val="ro-R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lei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litru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lang w:val="ro-RO"/>
              </w:rPr>
              <m:t>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B</m:t>
            </m:r>
          </m:sup>
        </m:sSubSup>
      </m:oMath>
      <w:r w:rsidR="00886831" w:rsidRPr="00A244AE">
        <w:rPr>
          <w:b/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PF</m:t>
            </m:r>
          </m:e>
          <m:sub>
            <m:f>
              <m:fPr>
                <m:ctrlPr>
                  <w:rPr>
                    <w:rFonts w:ascii="Cambria Math" w:hAnsi="Cambria Math"/>
                    <w:b/>
                    <w:i/>
                    <w:lang w:val="ro-R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lei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litru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lang w:val="ro-RO"/>
              </w:rPr>
              <m:t>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M</m:t>
            </m:r>
          </m:sup>
        </m:sSubSup>
      </m:oMath>
      <w:r w:rsidR="00886831" w:rsidRPr="00A244AE">
        <w:rPr>
          <w:b/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PF</m:t>
            </m:r>
          </m:e>
          <m:sub>
            <m:f>
              <m:fPr>
                <m:ctrlPr>
                  <w:rPr>
                    <w:rFonts w:ascii="Cambria Math" w:hAnsi="Cambria Math"/>
                    <w:b/>
                    <w:i/>
                    <w:lang w:val="ro-R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lei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litru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lang w:val="ro-RO"/>
              </w:rPr>
              <m:t>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GPL</m:t>
            </m:r>
          </m:sup>
        </m:sSubSup>
      </m:oMath>
      <w:r w:rsidR="009227A1" w:rsidRPr="00A244AE">
        <w:rPr>
          <w:b/>
          <w:lang w:val="ro-RO"/>
        </w:rPr>
        <w:t xml:space="preserve"> </w:t>
      </w:r>
      <w:r w:rsidR="0077323A" w:rsidRPr="00A244AE">
        <w:rPr>
          <w:bCs/>
          <w:lang w:val="ro-RO"/>
        </w:rPr>
        <w:t>– plata fixă</w:t>
      </w:r>
      <w:r w:rsidR="008928AA" w:rsidRPr="00A244AE">
        <w:rPr>
          <w:bCs/>
          <w:lang w:val="ro-RO"/>
        </w:rPr>
        <w:t xml:space="preserve"> </w:t>
      </w:r>
      <w:r w:rsidR="008928AA" w:rsidRPr="00A244AE">
        <w:rPr>
          <w:lang w:val="ro-RO"/>
        </w:rPr>
        <w:t>în anul calendaristic „</w:t>
      </w:r>
      <w:r w:rsidR="008928AA" w:rsidRPr="00A244AE">
        <w:rPr>
          <w:i/>
          <w:iCs/>
          <w:lang w:val="ro-RO"/>
        </w:rPr>
        <w:t>t</w:t>
      </w:r>
      <w:r w:rsidR="008928AA" w:rsidRPr="00A244AE">
        <w:rPr>
          <w:lang w:val="ro-RO"/>
        </w:rPr>
        <w:t>”</w:t>
      </w:r>
      <w:r w:rsidR="0077323A" w:rsidRPr="00A244AE">
        <w:rPr>
          <w:bCs/>
          <w:lang w:val="ro-RO"/>
        </w:rPr>
        <w:t>, în lei/</w:t>
      </w:r>
      <w:r w:rsidR="00545AB5" w:rsidRPr="00A244AE">
        <w:rPr>
          <w:bCs/>
          <w:lang w:val="ro-RO"/>
        </w:rPr>
        <w:t>litru</w:t>
      </w:r>
      <w:r w:rsidR="0077323A" w:rsidRPr="00A244AE">
        <w:rPr>
          <w:bCs/>
          <w:lang w:val="ro-RO"/>
        </w:rPr>
        <w:t xml:space="preserve"> de </w:t>
      </w:r>
      <w:r w:rsidR="000A6141" w:rsidRPr="00A244AE">
        <w:rPr>
          <w:bCs/>
          <w:lang w:val="ro-RO"/>
        </w:rPr>
        <w:t xml:space="preserve">benzină, motorină și gazul lichefiat </w:t>
      </w:r>
      <w:r w:rsidR="004C5FD5" w:rsidRPr="00A244AE">
        <w:rPr>
          <w:bCs/>
          <w:lang w:val="ro-RO"/>
        </w:rPr>
        <w:t xml:space="preserve">comercializat de importatorii </w:t>
      </w:r>
      <w:r w:rsidR="00D62E6C" w:rsidRPr="00A244AE">
        <w:rPr>
          <w:bCs/>
          <w:lang w:val="ro-RO"/>
        </w:rPr>
        <w:t xml:space="preserve">de produse petroliere, </w:t>
      </w:r>
      <w:r w:rsidR="000D2ADF" w:rsidRPr="00A244AE">
        <w:rPr>
          <w:bCs/>
          <w:lang w:val="ro-RO"/>
        </w:rPr>
        <w:t xml:space="preserve">în </w:t>
      </w:r>
      <w:r w:rsidR="003B211F" w:rsidRPr="00A244AE">
        <w:rPr>
          <w:bCs/>
          <w:lang w:val="ro-RO"/>
        </w:rPr>
        <w:t xml:space="preserve">raport cu </w:t>
      </w:r>
      <w:r w:rsidR="00D5251A" w:rsidRPr="00A244AE">
        <w:rPr>
          <w:bCs/>
          <w:lang w:val="ro-RO"/>
        </w:rPr>
        <w:t xml:space="preserve">densitatea medie a fiecărui </w:t>
      </w:r>
      <w:r w:rsidR="005C536E" w:rsidRPr="00A244AE">
        <w:rPr>
          <w:bCs/>
          <w:lang w:val="ro-RO"/>
        </w:rPr>
        <w:t>produs petrolier menționat</w:t>
      </w:r>
      <w:r w:rsidR="00EB1D3B" w:rsidRPr="00A244AE">
        <w:rPr>
          <w:bCs/>
          <w:lang w:val="ro-RO"/>
        </w:rPr>
        <w:t>;</w:t>
      </w:r>
    </w:p>
    <w:p w14:paraId="203857F5" w14:textId="7A57F075" w:rsidR="0071693C" w:rsidRPr="00A244AE" w:rsidRDefault="00845D58" w:rsidP="0077323A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e>
          <m:sub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2019-2021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PP,tot</m:t>
                </m:r>
              </m:sup>
            </m:sSubSup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B</m:t>
            </m:r>
          </m:sup>
        </m:sSubSup>
      </m:oMath>
      <w:r w:rsidR="0071693C" w:rsidRPr="00A244AE">
        <w:rPr>
          <w:bCs/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e>
          <m:sub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2019-2021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PP,tot</m:t>
                </m:r>
              </m:sup>
            </m:sSubSup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M</m:t>
            </m:r>
          </m:sup>
        </m:sSubSup>
      </m:oMath>
      <w:r w:rsidR="0071693C" w:rsidRPr="00A244AE">
        <w:rPr>
          <w:bCs/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</m:t>
            </m:r>
          </m:e>
          <m:sub>
            <m:sSubSup>
              <m:sSubSupPr>
                <m:ctrlPr>
                  <w:rPr>
                    <w:rFonts w:ascii="Cambria Math" w:hAnsi="Cambria Math"/>
                    <w:b/>
                    <w:bCs/>
                    <w:i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2019-2021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PP,tot</m:t>
                </m:r>
              </m:sup>
            </m:sSubSup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GPL</m:t>
            </m:r>
          </m:sup>
        </m:sSubSup>
      </m:oMath>
      <w:r w:rsidR="0071693C" w:rsidRPr="00A244AE">
        <w:rPr>
          <w:bCs/>
          <w:lang w:val="ro-RO"/>
        </w:rPr>
        <w:t xml:space="preserve"> – </w:t>
      </w:r>
      <w:r w:rsidR="00D039D7" w:rsidRPr="00A244AE">
        <w:rPr>
          <w:bCs/>
          <w:lang w:val="ro-RO"/>
        </w:rPr>
        <w:t xml:space="preserve">ponderea respectiv a benzinei, motorinei și gazului lichefiat în </w:t>
      </w:r>
      <w:r w:rsidR="00F36E64" w:rsidRPr="00A244AE">
        <w:rPr>
          <w:lang w:val="ro-RO" w:eastAsia="en-US"/>
        </w:rPr>
        <w:t>volumul total anual al</w:t>
      </w:r>
      <w:r w:rsidR="004A4643" w:rsidRPr="00A244AE">
        <w:rPr>
          <w:lang w:val="ro-RO" w:eastAsia="en-US"/>
        </w:rPr>
        <w:t xml:space="preserve"> respectiv</w:t>
      </w:r>
      <w:r w:rsidR="00F36E64" w:rsidRPr="00A244AE">
        <w:rPr>
          <w:lang w:val="ro-RO" w:eastAsia="en-US"/>
        </w:rPr>
        <w:t xml:space="preserve"> benzinei, motorinei și al gazului lichefiat comercializate de toți importatorii de produse petroliere</w:t>
      </w:r>
      <w:r w:rsidR="00292136" w:rsidRPr="00A244AE">
        <w:rPr>
          <w:bCs/>
          <w:lang w:val="ro-RO"/>
        </w:rPr>
        <w:t xml:space="preserve">, calculat ca </w:t>
      </w:r>
      <w:r w:rsidR="00292136" w:rsidRPr="00A244AE">
        <w:rPr>
          <w:lang w:val="ro-RO" w:eastAsia="en-US"/>
        </w:rPr>
        <w:t>valoare medie pentru perioada de 3</w:t>
      </w:r>
      <w:r w:rsidR="00292136" w:rsidRPr="00A244AE">
        <w:rPr>
          <w:lang w:val="ro-RO"/>
        </w:rPr>
        <w:t> </w:t>
      </w:r>
      <w:r w:rsidR="00292136" w:rsidRPr="00A244AE">
        <w:rPr>
          <w:lang w:val="ro-RO" w:eastAsia="en-US"/>
        </w:rPr>
        <w:t>ani anterioară datei de 1 ianuarie 2022</w:t>
      </w:r>
      <w:r w:rsidR="00292136" w:rsidRPr="00A244AE">
        <w:rPr>
          <w:bCs/>
          <w:lang w:val="ro-RO"/>
        </w:rPr>
        <w:t>, tone;</w:t>
      </w:r>
    </w:p>
    <w:p w14:paraId="4FC79EB5" w14:textId="37A92A5D" w:rsidR="00CD7323" w:rsidRPr="00A244AE" w:rsidRDefault="00845D58" w:rsidP="00373F58">
      <w:pPr>
        <w:spacing w:line="276" w:lineRule="auto"/>
        <w:jc w:val="both"/>
        <w:rPr>
          <w:bCs/>
          <w:lang w:val="ro-RO"/>
        </w:rPr>
      </w:pPr>
      <m:oMath>
        <m:sSub>
          <m:sSubPr>
            <m:ctrlPr>
              <w:rPr>
                <w:rFonts w:ascii="Cambria Math" w:hAnsi="Cambria Math"/>
                <w:b/>
                <w:i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B</m:t>
            </m:r>
          </m:sub>
        </m:sSub>
      </m:oMath>
      <w:r w:rsidR="0050274D" w:rsidRPr="00A244AE">
        <w:rPr>
          <w:bCs/>
          <w:lang w:val="ro-RO" w:eastAsia="ro-RO"/>
        </w:rPr>
        <w:t xml:space="preserve"> –</w:t>
      </w:r>
      <w:r w:rsidR="0050274D" w:rsidRPr="00A244AE">
        <w:rPr>
          <w:color w:val="333333"/>
          <w:shd w:val="clear" w:color="auto" w:fill="FFFFFF"/>
          <w:lang w:val="ro-RO"/>
        </w:rPr>
        <w:t xml:space="preserve"> </w:t>
      </w:r>
      <w:r w:rsidR="0050274D" w:rsidRPr="00A244AE">
        <w:rPr>
          <w:bCs/>
          <w:lang w:val="ro-RO"/>
        </w:rPr>
        <w:t xml:space="preserve">densitatea medie pentru benzină </w:t>
      </w:r>
      <w:r w:rsidR="00E9375F" w:rsidRPr="00A244AE">
        <w:rPr>
          <w:bCs/>
          <w:lang w:val="ro-RO"/>
        </w:rPr>
        <w:t>-</w:t>
      </w:r>
      <w:r w:rsidR="0050274D" w:rsidRPr="00A244AE">
        <w:rPr>
          <w:bCs/>
          <w:lang w:val="ro-RO"/>
        </w:rPr>
        <w:t xml:space="preserve"> 1319 litri/tonă,</w:t>
      </w:r>
    </w:p>
    <w:p w14:paraId="0C550669" w14:textId="0CDC3F9F" w:rsidR="00CD7323" w:rsidRPr="00A244AE" w:rsidRDefault="00845D58" w:rsidP="00373F58">
      <w:pPr>
        <w:spacing w:line="276" w:lineRule="auto"/>
        <w:jc w:val="both"/>
        <w:rPr>
          <w:bCs/>
          <w:lang w:val="ro-RO"/>
        </w:rPr>
      </w:pPr>
      <m:oMath>
        <m:sSub>
          <m:sSubPr>
            <m:ctrlPr>
              <w:rPr>
                <w:rFonts w:ascii="Cambria Math" w:hAnsi="Cambria Math"/>
                <w:b/>
                <w:i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M</m:t>
            </m:r>
          </m:sub>
        </m:sSub>
      </m:oMath>
      <w:r w:rsidR="005F1817" w:rsidRPr="00A244AE">
        <w:rPr>
          <w:bCs/>
          <w:lang w:val="ro-RO"/>
        </w:rPr>
        <w:t xml:space="preserve"> </w:t>
      </w:r>
      <w:r w:rsidR="005F1817" w:rsidRPr="00A244AE">
        <w:rPr>
          <w:bCs/>
          <w:lang w:val="ro-RO" w:eastAsia="ro-RO"/>
        </w:rPr>
        <w:t>–</w:t>
      </w:r>
      <w:r w:rsidR="005F1817" w:rsidRPr="00A244AE">
        <w:rPr>
          <w:color w:val="333333"/>
          <w:shd w:val="clear" w:color="auto" w:fill="FFFFFF"/>
          <w:lang w:val="ro-RO"/>
        </w:rPr>
        <w:t xml:space="preserve"> </w:t>
      </w:r>
      <w:r w:rsidR="005F1817" w:rsidRPr="00A244AE">
        <w:rPr>
          <w:bCs/>
          <w:lang w:val="ro-RO"/>
        </w:rPr>
        <w:t>densitatea medie p</w:t>
      </w:r>
      <w:r w:rsidR="0050274D" w:rsidRPr="00A244AE">
        <w:rPr>
          <w:bCs/>
          <w:lang w:val="ro-RO"/>
        </w:rPr>
        <w:t xml:space="preserve">entru motorină </w:t>
      </w:r>
      <w:r w:rsidR="00E9375F" w:rsidRPr="00A244AE">
        <w:rPr>
          <w:bCs/>
          <w:lang w:val="ro-RO"/>
        </w:rPr>
        <w:t>-</w:t>
      </w:r>
      <w:r w:rsidR="0050274D" w:rsidRPr="00A244AE">
        <w:rPr>
          <w:bCs/>
          <w:lang w:val="ro-RO"/>
        </w:rPr>
        <w:t xml:space="preserve"> 1183 litri/tonă și</w:t>
      </w:r>
    </w:p>
    <w:p w14:paraId="3047AA31" w14:textId="6C00D862" w:rsidR="0050274D" w:rsidRPr="00A244AE" w:rsidRDefault="00845D58" w:rsidP="00373F58">
      <w:pPr>
        <w:spacing w:line="276" w:lineRule="auto"/>
        <w:jc w:val="both"/>
        <w:rPr>
          <w:i/>
          <w:iCs/>
          <w:lang w:val="ro-RO" w:eastAsia="ro-RO"/>
        </w:rPr>
      </w:pPr>
      <m:oMath>
        <m:sSub>
          <m:sSubPr>
            <m:ctrlPr>
              <w:rPr>
                <w:rFonts w:ascii="Cambria Math" w:hAnsi="Cambria Math"/>
                <w:b/>
                <w:i/>
                <w:lang w:val="ro-RO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GPL</m:t>
            </m:r>
          </m:sub>
        </m:sSub>
      </m:oMath>
      <w:r w:rsidR="005F1817" w:rsidRPr="00A244AE">
        <w:rPr>
          <w:bCs/>
          <w:lang w:val="ro-RO" w:eastAsia="ro-RO"/>
        </w:rPr>
        <w:t xml:space="preserve"> –</w:t>
      </w:r>
      <w:r w:rsidR="005F1817" w:rsidRPr="00A244AE">
        <w:rPr>
          <w:color w:val="333333"/>
          <w:shd w:val="clear" w:color="auto" w:fill="FFFFFF"/>
          <w:lang w:val="ro-RO"/>
        </w:rPr>
        <w:t xml:space="preserve"> </w:t>
      </w:r>
      <w:r w:rsidR="005F1817" w:rsidRPr="00A244AE">
        <w:rPr>
          <w:bCs/>
          <w:lang w:val="ro-RO"/>
        </w:rPr>
        <w:t xml:space="preserve">densitatea medie </w:t>
      </w:r>
      <w:r w:rsidR="0050274D" w:rsidRPr="00A244AE">
        <w:rPr>
          <w:bCs/>
          <w:lang w:val="ro-RO"/>
        </w:rPr>
        <w:t xml:space="preserve">pentru gazul lichefiat </w:t>
      </w:r>
      <w:r w:rsidR="00E9375F" w:rsidRPr="00A244AE">
        <w:rPr>
          <w:bCs/>
          <w:lang w:val="ro-RO"/>
        </w:rPr>
        <w:t>-</w:t>
      </w:r>
      <w:r w:rsidR="0050274D" w:rsidRPr="00A244AE">
        <w:rPr>
          <w:bCs/>
          <w:lang w:val="ro-RO"/>
        </w:rPr>
        <w:t xml:space="preserve"> 1773 litri/tonă</w:t>
      </w:r>
      <w:r w:rsidR="00EB1D3B" w:rsidRPr="00A244AE">
        <w:rPr>
          <w:i/>
          <w:iCs/>
          <w:lang w:val="ro-RO" w:eastAsia="ro-RO"/>
        </w:rPr>
        <w:t>.</w:t>
      </w:r>
    </w:p>
    <w:p w14:paraId="78C7E802" w14:textId="7F8061E4" w:rsidR="009227A1" w:rsidRPr="00A244AE" w:rsidRDefault="00845D58" w:rsidP="00373F58">
      <w:pPr>
        <w:spacing w:line="276" w:lineRule="auto"/>
        <w:jc w:val="both"/>
        <w:rPr>
          <w:lang w:val="ro-RO" w:eastAsia="ro-RO"/>
        </w:rPr>
      </w:pP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B</m:t>
            </m:r>
          </m:sup>
        </m:sSubSup>
      </m:oMath>
      <w:r w:rsidR="00D9461E" w:rsidRPr="00A244AE">
        <w:rPr>
          <w:bCs/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M</m:t>
            </m:r>
          </m:sup>
        </m:sSubSup>
      </m:oMath>
      <w:r w:rsidR="00D9461E" w:rsidRPr="00A244AE">
        <w:rPr>
          <w:bCs/>
          <w:lang w:val="ro-RO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ro-RO"/>
              </w:rPr>
              <m:t>2019-2021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GPL</m:t>
            </m:r>
          </m:sup>
        </m:sSubSup>
      </m:oMath>
      <w:r w:rsidR="00D9461E" w:rsidRPr="00A244AE">
        <w:rPr>
          <w:bCs/>
          <w:lang w:val="ro-RO"/>
        </w:rPr>
        <w:t xml:space="preserve"> </w:t>
      </w:r>
      <w:r w:rsidR="00FE710A" w:rsidRPr="00A244AE">
        <w:rPr>
          <w:bCs/>
          <w:lang w:val="ro-RO"/>
        </w:rPr>
        <w:t xml:space="preserve">- </w:t>
      </w:r>
      <w:r w:rsidR="00FE710A" w:rsidRPr="00A244AE">
        <w:rPr>
          <w:lang w:val="ro-RO" w:eastAsia="en-US"/>
        </w:rPr>
        <w:t xml:space="preserve">volumul total anual al </w:t>
      </w:r>
      <w:r w:rsidR="008845F1" w:rsidRPr="00A244AE">
        <w:rPr>
          <w:lang w:val="ro-RO" w:eastAsia="en-US"/>
        </w:rPr>
        <w:t xml:space="preserve">benzinei, motorinei și </w:t>
      </w:r>
      <w:r w:rsidR="00FE710A" w:rsidRPr="00A244AE">
        <w:rPr>
          <w:lang w:val="ro-RO" w:eastAsia="en-US"/>
        </w:rPr>
        <w:t>al gazului lichefiat comercializate de toți importatorii de produse petroliere</w:t>
      </w:r>
      <w:r w:rsidR="00FE710A" w:rsidRPr="00A244AE">
        <w:rPr>
          <w:bCs/>
          <w:lang w:val="ro-RO"/>
        </w:rPr>
        <w:t xml:space="preserve">, calculat ca </w:t>
      </w:r>
      <w:r w:rsidR="00FE710A" w:rsidRPr="00A244AE">
        <w:rPr>
          <w:lang w:val="ro-RO" w:eastAsia="en-US"/>
        </w:rPr>
        <w:t>valoare medie pentru perioada de 3</w:t>
      </w:r>
      <w:r w:rsidR="00FE710A" w:rsidRPr="00A244AE">
        <w:rPr>
          <w:lang w:val="ro-RO"/>
        </w:rPr>
        <w:t> </w:t>
      </w:r>
      <w:r w:rsidR="00FE710A" w:rsidRPr="00A244AE">
        <w:rPr>
          <w:lang w:val="ro-RO" w:eastAsia="en-US"/>
        </w:rPr>
        <w:t>ani anterioară datei de 1 ianuarie 2022</w:t>
      </w:r>
      <w:r w:rsidR="00FE710A" w:rsidRPr="00A244AE">
        <w:rPr>
          <w:bCs/>
          <w:lang w:val="ro-RO"/>
        </w:rPr>
        <w:t>, în unități naturale tone;</w:t>
      </w:r>
    </w:p>
    <w:p w14:paraId="093A6DEC" w14:textId="77777777" w:rsidR="0026311C" w:rsidRPr="00A244AE" w:rsidRDefault="0026311C" w:rsidP="00FE536E">
      <w:pPr>
        <w:pStyle w:val="a3"/>
        <w:numPr>
          <w:ilvl w:val="0"/>
          <w:numId w:val="6"/>
        </w:numPr>
        <w:spacing w:before="240" w:line="276" w:lineRule="auto"/>
        <w:ind w:left="360"/>
        <w:jc w:val="both"/>
        <w:rPr>
          <w:i/>
          <w:lang w:val="ro-RO"/>
        </w:rPr>
      </w:pPr>
      <w:r w:rsidRPr="00A244AE">
        <w:rPr>
          <w:bCs/>
          <w:i/>
          <w:lang w:val="ro-RO" w:eastAsia="en-US"/>
        </w:rPr>
        <w:t>Pentru părțile obligate din sectorul energiei termice (furnizorii de energie termică pentru încălzire și/sau prepararea apei calde menajere, și/sau răcire):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1"/>
        <w:gridCol w:w="796"/>
      </w:tblGrid>
      <w:tr w:rsidR="00326554" w:rsidRPr="00A244AE" w14:paraId="579DC382" w14:textId="77777777" w:rsidTr="00F1502C">
        <w:tc>
          <w:tcPr>
            <w:tcW w:w="8841" w:type="dxa"/>
            <w:vAlign w:val="center"/>
          </w:tcPr>
          <w:p w14:paraId="4BDD8E13" w14:textId="0D5012CC" w:rsidR="00326554" w:rsidRPr="00A244AE" w:rsidRDefault="00845D58" w:rsidP="00373F58">
            <w:pPr>
              <w:pStyle w:val="a7"/>
              <w:spacing w:before="0" w:beforeAutospacing="0" w:after="0" w:afterAutospacing="0" w:line="276" w:lineRule="auto"/>
              <w:ind w:left="720"/>
              <w:jc w:val="center"/>
              <w:rPr>
                <w:b/>
                <w:i/>
                <w:lang w:val="ro-RO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lang w:val="ro-RO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PF</m:t>
                    </m:r>
                  </m:e>
                  <m:sub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lang w:val="ro-RO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lei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Gcal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,t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ET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lang w:val="ro-RO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an,t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SOEE</m:t>
                        </m:r>
                      </m:sup>
                    </m:sSubSup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ro-RO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P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CFE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lang w:val="ro-RO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2019-2021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ro-RO"/>
                          </w:rPr>
                          <m:t>ET,tot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796" w:type="dxa"/>
            <w:vAlign w:val="center"/>
          </w:tcPr>
          <w:p w14:paraId="0DA03F01" w14:textId="6A8F3142" w:rsidR="00326554" w:rsidRPr="00A244AE" w:rsidRDefault="00326554" w:rsidP="00F1502C">
            <w:pPr>
              <w:spacing w:before="120" w:after="240" w:line="276" w:lineRule="auto"/>
              <w:jc w:val="center"/>
              <w:rPr>
                <w:bCs/>
                <w:i/>
                <w:lang w:val="ro-RO" w:eastAsia="en-US"/>
              </w:rPr>
            </w:pPr>
            <w:r w:rsidRPr="00A244AE">
              <w:rPr>
                <w:bCs/>
                <w:lang w:val="ro-RO"/>
              </w:rPr>
              <w:t>(1</w:t>
            </w:r>
            <w:r w:rsidR="00104BDC" w:rsidRPr="00A244AE">
              <w:rPr>
                <w:bCs/>
                <w:lang w:val="ro-RO"/>
              </w:rPr>
              <w:t>9</w:t>
            </w:r>
            <w:r w:rsidRPr="00A244AE">
              <w:rPr>
                <w:bCs/>
                <w:lang w:val="ro-RO"/>
              </w:rPr>
              <w:t>),</w:t>
            </w:r>
          </w:p>
        </w:tc>
      </w:tr>
    </w:tbl>
    <w:p w14:paraId="5A622A44" w14:textId="77777777" w:rsidR="00326554" w:rsidRPr="00A244AE" w:rsidRDefault="00326554" w:rsidP="00326554">
      <w:pPr>
        <w:spacing w:after="120" w:line="276" w:lineRule="auto"/>
        <w:jc w:val="both"/>
        <w:rPr>
          <w:bCs/>
          <w:lang w:val="ro-RO" w:eastAsia="en-US"/>
        </w:rPr>
      </w:pPr>
      <w:r w:rsidRPr="00A244AE">
        <w:rPr>
          <w:bCs/>
          <w:lang w:val="ro-RO" w:eastAsia="en-US"/>
        </w:rPr>
        <w:t>unde:</w:t>
      </w:r>
    </w:p>
    <w:p w14:paraId="02FC5CF5" w14:textId="670D7820" w:rsidR="00326554" w:rsidRPr="00A244AE" w:rsidRDefault="00845D58" w:rsidP="00326554">
      <w:pPr>
        <w:pStyle w:val="a7"/>
        <w:spacing w:before="0" w:beforeAutospacing="0" w:after="120" w:afterAutospacing="0" w:line="276" w:lineRule="auto"/>
        <w:rPr>
          <w:bCs/>
          <w:lang w:val="ro-RO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ro-RO"/>
              </w:rPr>
              <m:t>PF</m:t>
            </m:r>
          </m:e>
          <m:sub>
            <m:f>
              <m:fPr>
                <m:ctrlPr>
                  <w:rPr>
                    <w:rFonts w:ascii="Cambria Math" w:hAnsi="Cambria Math"/>
                    <w:b/>
                    <w:i/>
                    <w:lang w:val="ro-RO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lei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lang w:val="ro-RO"/>
                  </w:rPr>
                  <m:t>Gcal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lang w:val="ro-RO"/>
              </w:rPr>
              <m:t>,t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val="ro-RO"/>
              </w:rPr>
              <m:t>ET</m:t>
            </m:r>
          </m:sup>
        </m:sSubSup>
      </m:oMath>
      <w:r w:rsidR="00326554" w:rsidRPr="00A244AE">
        <w:rPr>
          <w:bCs/>
          <w:lang w:val="ro-RO"/>
        </w:rPr>
        <w:t xml:space="preserve"> – plata fixă, în lei/Gcal de energie termică furnizată de </w:t>
      </w:r>
      <w:r w:rsidR="00DA2E75" w:rsidRPr="00A244AE">
        <w:rPr>
          <w:bCs/>
          <w:lang w:val="ro-RO"/>
        </w:rPr>
        <w:t>furnizorii de energie termică pentru încălzire și/sau prepararea apei calde menajere, și/sau răcire</w:t>
      </w:r>
      <w:r w:rsidR="00326554" w:rsidRPr="00A244AE">
        <w:rPr>
          <w:bCs/>
          <w:lang w:val="ro-RO"/>
        </w:rPr>
        <w:t>.</w:t>
      </w:r>
    </w:p>
    <w:p w14:paraId="2ECC336D" w14:textId="550D0310" w:rsidR="00CF205F" w:rsidRPr="00A244AE" w:rsidRDefault="00CF205F" w:rsidP="00CF205F">
      <w:pPr>
        <w:tabs>
          <w:tab w:val="left" w:pos="0"/>
        </w:tabs>
        <w:spacing w:line="276" w:lineRule="auto"/>
        <w:jc w:val="center"/>
        <w:rPr>
          <w:b/>
          <w:bCs/>
          <w:lang w:val="ro-RO"/>
        </w:rPr>
      </w:pPr>
      <w:r w:rsidRPr="00A244AE">
        <w:rPr>
          <w:b/>
          <w:bCs/>
          <w:lang w:val="ro-RO"/>
        </w:rPr>
        <w:t>Secțiunea 6</w:t>
      </w:r>
    </w:p>
    <w:p w14:paraId="567185D1" w14:textId="4A89335F" w:rsidR="0026311C" w:rsidRPr="00A244AE" w:rsidRDefault="00CF205F" w:rsidP="002B1BA4">
      <w:pPr>
        <w:jc w:val="center"/>
        <w:rPr>
          <w:b/>
          <w:lang w:val="ro-RO"/>
        </w:rPr>
      </w:pPr>
      <w:r w:rsidRPr="00A244AE">
        <w:rPr>
          <w:b/>
          <w:lang w:val="ro-RO"/>
        </w:rPr>
        <w:t>D</w:t>
      </w:r>
      <w:r w:rsidR="002B1BA4" w:rsidRPr="00A244AE">
        <w:rPr>
          <w:b/>
          <w:lang w:val="ro-RO"/>
        </w:rPr>
        <w:t>ISPOZIȚII FINALE</w:t>
      </w:r>
    </w:p>
    <w:p w14:paraId="7DF92CE7" w14:textId="2FE92CB3" w:rsidR="00A42412" w:rsidRPr="00A244AE" w:rsidRDefault="000352FA" w:rsidP="00FE536E">
      <w:pPr>
        <w:pStyle w:val="a3"/>
        <w:numPr>
          <w:ilvl w:val="0"/>
          <w:numId w:val="5"/>
        </w:numPr>
        <w:spacing w:before="120" w:line="276" w:lineRule="auto"/>
        <w:ind w:left="0" w:firstLine="0"/>
        <w:contextualSpacing w:val="0"/>
        <w:jc w:val="both"/>
        <w:rPr>
          <w:lang w:val="ro-RO"/>
        </w:rPr>
      </w:pPr>
      <w:r w:rsidRPr="00A244AE">
        <w:rPr>
          <w:lang w:val="ro-RO"/>
        </w:rPr>
        <w:t>M</w:t>
      </w:r>
      <w:r w:rsidR="00686B8F" w:rsidRPr="00A244AE">
        <w:rPr>
          <w:lang w:val="ro-RO"/>
        </w:rPr>
        <w:t>ărim</w:t>
      </w:r>
      <w:r w:rsidRPr="00A244AE">
        <w:rPr>
          <w:lang w:val="ro-RO"/>
        </w:rPr>
        <w:t>ea</w:t>
      </w:r>
      <w:r w:rsidR="00686B8F" w:rsidRPr="00A244AE">
        <w:rPr>
          <w:lang w:val="ro-RO"/>
        </w:rPr>
        <w:t xml:space="preserve"> contribuțiilor ce urmează a fi achitate de către fiecare parte obligată</w:t>
      </w:r>
      <w:r w:rsidR="008039DC" w:rsidRPr="00A244AE">
        <w:rPr>
          <w:lang w:val="ro-RO"/>
        </w:rPr>
        <w:t>,</w:t>
      </w:r>
      <w:r w:rsidR="00CF3E43" w:rsidRPr="00A244AE">
        <w:rPr>
          <w:lang w:val="ro-RO"/>
        </w:rPr>
        <w:t xml:space="preserve"> în conformitate cu prezenta metodologie</w:t>
      </w:r>
      <w:r w:rsidR="004D1072" w:rsidRPr="00A244AE">
        <w:rPr>
          <w:lang w:val="ro-RO"/>
        </w:rPr>
        <w:t>, în procesul de elaborare a Programului privind SOEE</w:t>
      </w:r>
      <w:r w:rsidR="00121A55" w:rsidRPr="00A244AE">
        <w:rPr>
          <w:lang w:val="ro-RO"/>
        </w:rPr>
        <w:t xml:space="preserve"> de către</w:t>
      </w:r>
      <w:r w:rsidR="00E22EAA" w:rsidRPr="00A244AE">
        <w:rPr>
          <w:lang w:val="ro-RO"/>
        </w:rPr>
        <w:t xml:space="preserve"> o</w:t>
      </w:r>
      <w:r w:rsidR="00A42412" w:rsidRPr="00A244AE">
        <w:rPr>
          <w:lang w:val="ro-RO"/>
        </w:rPr>
        <w:t>rganul central de specialitate al administrației în domeniul energeticii și instituția publică de suport</w:t>
      </w:r>
      <w:r w:rsidR="00DA3539" w:rsidRPr="00A244AE">
        <w:rPr>
          <w:lang w:val="ro-RO"/>
        </w:rPr>
        <w:t xml:space="preserve">, </w:t>
      </w:r>
      <w:r w:rsidRPr="00A244AE">
        <w:rPr>
          <w:lang w:val="ro-RO"/>
        </w:rPr>
        <w:t>va fi stabilită</w:t>
      </w:r>
      <w:r w:rsidR="00DA3539" w:rsidRPr="00A244AE">
        <w:rPr>
          <w:lang w:val="ro-RO"/>
        </w:rPr>
        <w:t xml:space="preserve"> </w:t>
      </w:r>
      <w:r w:rsidRPr="00A244AE">
        <w:rPr>
          <w:lang w:val="ro-RO"/>
        </w:rPr>
        <w:t xml:space="preserve">doar </w:t>
      </w:r>
      <w:r w:rsidR="00AF04D8" w:rsidRPr="00A244AE">
        <w:rPr>
          <w:lang w:val="ro-RO"/>
        </w:rPr>
        <w:t xml:space="preserve">în </w:t>
      </w:r>
      <w:r w:rsidR="0026307A" w:rsidRPr="00A244AE">
        <w:rPr>
          <w:lang w:val="ro-RO"/>
        </w:rPr>
        <w:t>un</w:t>
      </w:r>
      <w:r w:rsidR="00CD6231" w:rsidRPr="00A244AE">
        <w:rPr>
          <w:lang w:val="ro-RO"/>
        </w:rPr>
        <w:t xml:space="preserve">ul </w:t>
      </w:r>
      <w:r w:rsidR="0026307A" w:rsidRPr="00A244AE">
        <w:rPr>
          <w:lang w:val="ro-RO"/>
        </w:rPr>
        <w:t xml:space="preserve">din </w:t>
      </w:r>
      <w:r w:rsidR="00CD6231" w:rsidRPr="00A244AE">
        <w:rPr>
          <w:lang w:val="ro-RO"/>
        </w:rPr>
        <w:t xml:space="preserve">modurile </w:t>
      </w:r>
      <w:r w:rsidR="004D1DEF" w:rsidRPr="00A244AE">
        <w:rPr>
          <w:lang w:val="ro-RO"/>
        </w:rPr>
        <w:t xml:space="preserve">prezentate în </w:t>
      </w:r>
      <w:r w:rsidR="00885DAE" w:rsidRPr="00A244AE">
        <w:rPr>
          <w:lang w:val="ro-RO"/>
        </w:rPr>
        <w:t>S</w:t>
      </w:r>
      <w:r w:rsidR="004D1DEF" w:rsidRPr="00A244AE">
        <w:rPr>
          <w:lang w:val="ro-RO"/>
        </w:rPr>
        <w:t>ecți</w:t>
      </w:r>
      <w:r w:rsidR="00885DAE" w:rsidRPr="00A244AE">
        <w:rPr>
          <w:lang w:val="ro-RO"/>
        </w:rPr>
        <w:t>u</w:t>
      </w:r>
      <w:r w:rsidR="004D1DEF" w:rsidRPr="00A244AE">
        <w:rPr>
          <w:lang w:val="ro-RO"/>
        </w:rPr>
        <w:t xml:space="preserve">nea </w:t>
      </w:r>
      <w:r w:rsidR="00885DAE" w:rsidRPr="00A244AE">
        <w:rPr>
          <w:lang w:val="ro-RO"/>
        </w:rPr>
        <w:t>4 sau Secțiunea 5 a prezentei Metodologii.</w:t>
      </w:r>
    </w:p>
    <w:p w14:paraId="595B9A59" w14:textId="28E16212" w:rsidR="00563A3A" w:rsidRPr="00C570EA" w:rsidRDefault="00563A3A" w:rsidP="00855D34">
      <w:pPr>
        <w:pStyle w:val="a3"/>
        <w:spacing w:before="120" w:line="276" w:lineRule="auto"/>
        <w:ind w:left="0"/>
        <w:contextualSpacing w:val="0"/>
        <w:jc w:val="both"/>
        <w:rPr>
          <w:lang w:val="ro-RO"/>
        </w:rPr>
      </w:pPr>
    </w:p>
    <w:p w14:paraId="5D26D648" w14:textId="1D39B914" w:rsidR="00712624" w:rsidRPr="00F1502C" w:rsidRDefault="00712624" w:rsidP="00E12028">
      <w:pPr>
        <w:pStyle w:val="a3"/>
        <w:spacing w:before="120" w:line="276" w:lineRule="auto"/>
        <w:ind w:left="0"/>
        <w:jc w:val="both"/>
        <w:rPr>
          <w:lang w:val="ro-RO"/>
        </w:rPr>
      </w:pPr>
    </w:p>
    <w:sectPr w:rsidR="00712624" w:rsidRPr="00F1502C" w:rsidSect="001E363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6ED10" w14:textId="77777777" w:rsidR="00845D58" w:rsidRDefault="00845D58" w:rsidP="00950247">
      <w:r>
        <w:separator/>
      </w:r>
    </w:p>
  </w:endnote>
  <w:endnote w:type="continuationSeparator" w:id="0">
    <w:p w14:paraId="68CCD66F" w14:textId="77777777" w:rsidR="00845D58" w:rsidRDefault="00845D58" w:rsidP="0095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</w:font>
  <w:font w:name="WenQuanYi Zen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FreeSans">
    <w:charset w:val="CC"/>
    <w:family w:val="swiss"/>
    <w:pitch w:val="variable"/>
    <w:sig w:usb0="E45F8EFF" w:usb1="5007F9FB" w:usb2="000000A0" w:usb3="00000000" w:csb0="0002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DECB0" w14:textId="77777777" w:rsidR="00845D58" w:rsidRDefault="00845D58" w:rsidP="00950247">
      <w:r>
        <w:separator/>
      </w:r>
    </w:p>
  </w:footnote>
  <w:footnote w:type="continuationSeparator" w:id="0">
    <w:p w14:paraId="044CDCF3" w14:textId="77777777" w:rsidR="00845D58" w:rsidRDefault="00845D58" w:rsidP="0095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3F91"/>
    <w:multiLevelType w:val="hybridMultilevel"/>
    <w:tmpl w:val="66C2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93992"/>
    <w:multiLevelType w:val="hybridMultilevel"/>
    <w:tmpl w:val="B28C1A0C"/>
    <w:lvl w:ilvl="0" w:tplc="B13E0D8E">
      <w:start w:val="1"/>
      <w:numFmt w:val="decimal"/>
      <w:lvlText w:val="%1)"/>
      <w:lvlJc w:val="left"/>
      <w:pPr>
        <w:ind w:left="1495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0E3758"/>
    <w:multiLevelType w:val="hybridMultilevel"/>
    <w:tmpl w:val="F3A837EA"/>
    <w:lvl w:ilvl="0" w:tplc="FDA665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B080E7C"/>
    <w:multiLevelType w:val="hybridMultilevel"/>
    <w:tmpl w:val="9684C2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0360"/>
    <w:multiLevelType w:val="hybridMultilevel"/>
    <w:tmpl w:val="3DE03B1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B83060"/>
    <w:multiLevelType w:val="hybridMultilevel"/>
    <w:tmpl w:val="1A8E3532"/>
    <w:lvl w:ilvl="0" w:tplc="1408FC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B6CDF"/>
    <w:multiLevelType w:val="hybridMultilevel"/>
    <w:tmpl w:val="96DC1FC4"/>
    <w:lvl w:ilvl="0" w:tplc="4538F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52C3D"/>
    <w:multiLevelType w:val="hybridMultilevel"/>
    <w:tmpl w:val="8EF49280"/>
    <w:lvl w:ilvl="0" w:tplc="4538F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EA"/>
    <w:rsid w:val="000008EE"/>
    <w:rsid w:val="00001B1A"/>
    <w:rsid w:val="000031D6"/>
    <w:rsid w:val="000046D0"/>
    <w:rsid w:val="000072DD"/>
    <w:rsid w:val="00010A6D"/>
    <w:rsid w:val="00011EF5"/>
    <w:rsid w:val="00012FFF"/>
    <w:rsid w:val="000138E8"/>
    <w:rsid w:val="00014246"/>
    <w:rsid w:val="000148B1"/>
    <w:rsid w:val="00014E29"/>
    <w:rsid w:val="0002003D"/>
    <w:rsid w:val="00020C30"/>
    <w:rsid w:val="000214ED"/>
    <w:rsid w:val="00023F91"/>
    <w:rsid w:val="00024306"/>
    <w:rsid w:val="000245CA"/>
    <w:rsid w:val="00025768"/>
    <w:rsid w:val="00025F92"/>
    <w:rsid w:val="00027080"/>
    <w:rsid w:val="00030869"/>
    <w:rsid w:val="00032E35"/>
    <w:rsid w:val="00033747"/>
    <w:rsid w:val="00034264"/>
    <w:rsid w:val="000352FA"/>
    <w:rsid w:val="000358C6"/>
    <w:rsid w:val="00037399"/>
    <w:rsid w:val="00037581"/>
    <w:rsid w:val="00037C80"/>
    <w:rsid w:val="00041A2B"/>
    <w:rsid w:val="0004205F"/>
    <w:rsid w:val="000427D5"/>
    <w:rsid w:val="00045467"/>
    <w:rsid w:val="000462E9"/>
    <w:rsid w:val="00050A34"/>
    <w:rsid w:val="00052032"/>
    <w:rsid w:val="00052AE4"/>
    <w:rsid w:val="00054037"/>
    <w:rsid w:val="0005483B"/>
    <w:rsid w:val="000554C1"/>
    <w:rsid w:val="00055599"/>
    <w:rsid w:val="00057B61"/>
    <w:rsid w:val="00060631"/>
    <w:rsid w:val="00060CAB"/>
    <w:rsid w:val="00061318"/>
    <w:rsid w:val="00063423"/>
    <w:rsid w:val="0006381F"/>
    <w:rsid w:val="0006403F"/>
    <w:rsid w:val="000665F2"/>
    <w:rsid w:val="00067C8B"/>
    <w:rsid w:val="00070469"/>
    <w:rsid w:val="0007189E"/>
    <w:rsid w:val="00071E9B"/>
    <w:rsid w:val="000729B4"/>
    <w:rsid w:val="00074A92"/>
    <w:rsid w:val="00081096"/>
    <w:rsid w:val="000811B6"/>
    <w:rsid w:val="0008213A"/>
    <w:rsid w:val="0008273E"/>
    <w:rsid w:val="00082D6A"/>
    <w:rsid w:val="00083303"/>
    <w:rsid w:val="00083361"/>
    <w:rsid w:val="000836E5"/>
    <w:rsid w:val="00083742"/>
    <w:rsid w:val="000848FA"/>
    <w:rsid w:val="00084E0C"/>
    <w:rsid w:val="00085FFB"/>
    <w:rsid w:val="00086AB7"/>
    <w:rsid w:val="00086C8A"/>
    <w:rsid w:val="00087827"/>
    <w:rsid w:val="00092700"/>
    <w:rsid w:val="00092A5B"/>
    <w:rsid w:val="00092B2A"/>
    <w:rsid w:val="00093857"/>
    <w:rsid w:val="00093A30"/>
    <w:rsid w:val="00094486"/>
    <w:rsid w:val="00094F3E"/>
    <w:rsid w:val="00095EDE"/>
    <w:rsid w:val="00096CF5"/>
    <w:rsid w:val="00097E97"/>
    <w:rsid w:val="000A0841"/>
    <w:rsid w:val="000A1443"/>
    <w:rsid w:val="000A17A2"/>
    <w:rsid w:val="000A1A5D"/>
    <w:rsid w:val="000A1B1A"/>
    <w:rsid w:val="000A1E09"/>
    <w:rsid w:val="000A4866"/>
    <w:rsid w:val="000A598E"/>
    <w:rsid w:val="000A6141"/>
    <w:rsid w:val="000A6AA1"/>
    <w:rsid w:val="000A6F09"/>
    <w:rsid w:val="000A6FB7"/>
    <w:rsid w:val="000B151D"/>
    <w:rsid w:val="000B157F"/>
    <w:rsid w:val="000B29DC"/>
    <w:rsid w:val="000B3013"/>
    <w:rsid w:val="000B412B"/>
    <w:rsid w:val="000B5DC5"/>
    <w:rsid w:val="000B7377"/>
    <w:rsid w:val="000C0088"/>
    <w:rsid w:val="000C19C6"/>
    <w:rsid w:val="000C1CAA"/>
    <w:rsid w:val="000C3E9F"/>
    <w:rsid w:val="000C49B4"/>
    <w:rsid w:val="000C63A2"/>
    <w:rsid w:val="000D2741"/>
    <w:rsid w:val="000D2ADF"/>
    <w:rsid w:val="000D2AFE"/>
    <w:rsid w:val="000D2B36"/>
    <w:rsid w:val="000D37AD"/>
    <w:rsid w:val="000D458A"/>
    <w:rsid w:val="000D5BAF"/>
    <w:rsid w:val="000E2B14"/>
    <w:rsid w:val="000E5DC5"/>
    <w:rsid w:val="000E6AEA"/>
    <w:rsid w:val="000E7209"/>
    <w:rsid w:val="000E7C94"/>
    <w:rsid w:val="000F0D80"/>
    <w:rsid w:val="000F0E94"/>
    <w:rsid w:val="000F3B5E"/>
    <w:rsid w:val="000F4215"/>
    <w:rsid w:val="000F4CAD"/>
    <w:rsid w:val="000F5AF9"/>
    <w:rsid w:val="000F5DA4"/>
    <w:rsid w:val="000F664D"/>
    <w:rsid w:val="000F7059"/>
    <w:rsid w:val="00101B43"/>
    <w:rsid w:val="00102EC7"/>
    <w:rsid w:val="00104BDC"/>
    <w:rsid w:val="00105386"/>
    <w:rsid w:val="001061FD"/>
    <w:rsid w:val="00107013"/>
    <w:rsid w:val="00107373"/>
    <w:rsid w:val="001109B0"/>
    <w:rsid w:val="001109B5"/>
    <w:rsid w:val="00115A46"/>
    <w:rsid w:val="00116C1B"/>
    <w:rsid w:val="00116EA9"/>
    <w:rsid w:val="0011708E"/>
    <w:rsid w:val="001176C6"/>
    <w:rsid w:val="00117773"/>
    <w:rsid w:val="001206C9"/>
    <w:rsid w:val="001208D2"/>
    <w:rsid w:val="00121592"/>
    <w:rsid w:val="00121A55"/>
    <w:rsid w:val="0012282C"/>
    <w:rsid w:val="00124EE4"/>
    <w:rsid w:val="00125946"/>
    <w:rsid w:val="0012643A"/>
    <w:rsid w:val="00126AB2"/>
    <w:rsid w:val="00126C49"/>
    <w:rsid w:val="00126FB5"/>
    <w:rsid w:val="00127E22"/>
    <w:rsid w:val="00132A14"/>
    <w:rsid w:val="00133C4D"/>
    <w:rsid w:val="001342F4"/>
    <w:rsid w:val="00134653"/>
    <w:rsid w:val="00134E29"/>
    <w:rsid w:val="00141B34"/>
    <w:rsid w:val="00142C36"/>
    <w:rsid w:val="00143665"/>
    <w:rsid w:val="00143C2A"/>
    <w:rsid w:val="001444B8"/>
    <w:rsid w:val="00144D49"/>
    <w:rsid w:val="00150502"/>
    <w:rsid w:val="00150D30"/>
    <w:rsid w:val="0015176A"/>
    <w:rsid w:val="00151CA7"/>
    <w:rsid w:val="00154DFE"/>
    <w:rsid w:val="001552F0"/>
    <w:rsid w:val="00155543"/>
    <w:rsid w:val="00156D8D"/>
    <w:rsid w:val="00162F92"/>
    <w:rsid w:val="00163439"/>
    <w:rsid w:val="0016352D"/>
    <w:rsid w:val="001636DB"/>
    <w:rsid w:val="001658F6"/>
    <w:rsid w:val="001662D2"/>
    <w:rsid w:val="00167DBA"/>
    <w:rsid w:val="00171783"/>
    <w:rsid w:val="001779EF"/>
    <w:rsid w:val="00180F10"/>
    <w:rsid w:val="0018116B"/>
    <w:rsid w:val="00181314"/>
    <w:rsid w:val="00181EEF"/>
    <w:rsid w:val="00182CC9"/>
    <w:rsid w:val="001835AA"/>
    <w:rsid w:val="00183F72"/>
    <w:rsid w:val="00184D8D"/>
    <w:rsid w:val="00185E10"/>
    <w:rsid w:val="0018741C"/>
    <w:rsid w:val="00187E19"/>
    <w:rsid w:val="00191C65"/>
    <w:rsid w:val="00192536"/>
    <w:rsid w:val="00193F87"/>
    <w:rsid w:val="00197178"/>
    <w:rsid w:val="001A013D"/>
    <w:rsid w:val="001A16E2"/>
    <w:rsid w:val="001A6957"/>
    <w:rsid w:val="001A7026"/>
    <w:rsid w:val="001A769A"/>
    <w:rsid w:val="001A7823"/>
    <w:rsid w:val="001B0F0A"/>
    <w:rsid w:val="001B2B14"/>
    <w:rsid w:val="001B6548"/>
    <w:rsid w:val="001C169D"/>
    <w:rsid w:val="001C2BC7"/>
    <w:rsid w:val="001C6D84"/>
    <w:rsid w:val="001C7338"/>
    <w:rsid w:val="001C7AFE"/>
    <w:rsid w:val="001C7DA9"/>
    <w:rsid w:val="001C7E2F"/>
    <w:rsid w:val="001D0057"/>
    <w:rsid w:val="001D1372"/>
    <w:rsid w:val="001D22F4"/>
    <w:rsid w:val="001D30F7"/>
    <w:rsid w:val="001D4249"/>
    <w:rsid w:val="001D48EA"/>
    <w:rsid w:val="001D613B"/>
    <w:rsid w:val="001E098D"/>
    <w:rsid w:val="001E103F"/>
    <w:rsid w:val="001E1E20"/>
    <w:rsid w:val="001E22D7"/>
    <w:rsid w:val="001E363E"/>
    <w:rsid w:val="001E45D1"/>
    <w:rsid w:val="001E4D27"/>
    <w:rsid w:val="001E5AF1"/>
    <w:rsid w:val="001E5D09"/>
    <w:rsid w:val="001E61F4"/>
    <w:rsid w:val="001E62F7"/>
    <w:rsid w:val="001E682A"/>
    <w:rsid w:val="001E724F"/>
    <w:rsid w:val="001F05BF"/>
    <w:rsid w:val="001F49BD"/>
    <w:rsid w:val="001F4BB5"/>
    <w:rsid w:val="001F6486"/>
    <w:rsid w:val="001F6592"/>
    <w:rsid w:val="001F7A6E"/>
    <w:rsid w:val="00203BD3"/>
    <w:rsid w:val="0020604E"/>
    <w:rsid w:val="00206805"/>
    <w:rsid w:val="00207D8B"/>
    <w:rsid w:val="00207D8F"/>
    <w:rsid w:val="0021003D"/>
    <w:rsid w:val="00210FAB"/>
    <w:rsid w:val="00211355"/>
    <w:rsid w:val="0021234F"/>
    <w:rsid w:val="0021243B"/>
    <w:rsid w:val="00214A91"/>
    <w:rsid w:val="00217003"/>
    <w:rsid w:val="00217422"/>
    <w:rsid w:val="002176E4"/>
    <w:rsid w:val="00220BF3"/>
    <w:rsid w:val="00221C04"/>
    <w:rsid w:val="002226F6"/>
    <w:rsid w:val="00222B7F"/>
    <w:rsid w:val="0022380C"/>
    <w:rsid w:val="0022524D"/>
    <w:rsid w:val="0022545C"/>
    <w:rsid w:val="00225A79"/>
    <w:rsid w:val="002266BF"/>
    <w:rsid w:val="00226BB8"/>
    <w:rsid w:val="00227FCC"/>
    <w:rsid w:val="00230F63"/>
    <w:rsid w:val="002320E6"/>
    <w:rsid w:val="00232240"/>
    <w:rsid w:val="0023265D"/>
    <w:rsid w:val="002349E1"/>
    <w:rsid w:val="002360F6"/>
    <w:rsid w:val="00240887"/>
    <w:rsid w:val="00240C30"/>
    <w:rsid w:val="002443F9"/>
    <w:rsid w:val="002449FD"/>
    <w:rsid w:val="00244A7C"/>
    <w:rsid w:val="00246F08"/>
    <w:rsid w:val="00247893"/>
    <w:rsid w:val="0025006C"/>
    <w:rsid w:val="002501D0"/>
    <w:rsid w:val="002504B7"/>
    <w:rsid w:val="002511A1"/>
    <w:rsid w:val="00251814"/>
    <w:rsid w:val="00251C42"/>
    <w:rsid w:val="00251E5D"/>
    <w:rsid w:val="002549FE"/>
    <w:rsid w:val="0025518B"/>
    <w:rsid w:val="002567E5"/>
    <w:rsid w:val="00256DCC"/>
    <w:rsid w:val="0025732B"/>
    <w:rsid w:val="002606C9"/>
    <w:rsid w:val="00261375"/>
    <w:rsid w:val="00262864"/>
    <w:rsid w:val="00262FAD"/>
    <w:rsid w:val="0026307A"/>
    <w:rsid w:val="0026311C"/>
    <w:rsid w:val="002636C6"/>
    <w:rsid w:val="00263973"/>
    <w:rsid w:val="0026576A"/>
    <w:rsid w:val="00267D55"/>
    <w:rsid w:val="00271162"/>
    <w:rsid w:val="00272177"/>
    <w:rsid w:val="00272A85"/>
    <w:rsid w:val="00272E5D"/>
    <w:rsid w:val="00275753"/>
    <w:rsid w:val="00276663"/>
    <w:rsid w:val="002766D7"/>
    <w:rsid w:val="00276A63"/>
    <w:rsid w:val="00276F40"/>
    <w:rsid w:val="002821BA"/>
    <w:rsid w:val="00282583"/>
    <w:rsid w:val="00285C35"/>
    <w:rsid w:val="002862CF"/>
    <w:rsid w:val="0028727C"/>
    <w:rsid w:val="00292136"/>
    <w:rsid w:val="00295C74"/>
    <w:rsid w:val="002A08DA"/>
    <w:rsid w:val="002A11C0"/>
    <w:rsid w:val="002A1328"/>
    <w:rsid w:val="002A16EB"/>
    <w:rsid w:val="002A1E29"/>
    <w:rsid w:val="002A263A"/>
    <w:rsid w:val="002A4766"/>
    <w:rsid w:val="002A5DD1"/>
    <w:rsid w:val="002B17C6"/>
    <w:rsid w:val="002B1B57"/>
    <w:rsid w:val="002B1BA4"/>
    <w:rsid w:val="002B3698"/>
    <w:rsid w:val="002B527C"/>
    <w:rsid w:val="002B6EC3"/>
    <w:rsid w:val="002B7F70"/>
    <w:rsid w:val="002C178A"/>
    <w:rsid w:val="002C3235"/>
    <w:rsid w:val="002C3617"/>
    <w:rsid w:val="002D0CEA"/>
    <w:rsid w:val="002D4EC2"/>
    <w:rsid w:val="002E091D"/>
    <w:rsid w:val="002E1855"/>
    <w:rsid w:val="002E2306"/>
    <w:rsid w:val="002E2419"/>
    <w:rsid w:val="002E365C"/>
    <w:rsid w:val="002E4099"/>
    <w:rsid w:val="002E587E"/>
    <w:rsid w:val="002E5B77"/>
    <w:rsid w:val="002E7445"/>
    <w:rsid w:val="002F0482"/>
    <w:rsid w:val="002F13B0"/>
    <w:rsid w:val="002F1D38"/>
    <w:rsid w:val="002F1D91"/>
    <w:rsid w:val="002F4150"/>
    <w:rsid w:val="002F7E51"/>
    <w:rsid w:val="003001A4"/>
    <w:rsid w:val="0030100E"/>
    <w:rsid w:val="00301723"/>
    <w:rsid w:val="003028ED"/>
    <w:rsid w:val="00304BD8"/>
    <w:rsid w:val="003063F0"/>
    <w:rsid w:val="00306D58"/>
    <w:rsid w:val="00306F7E"/>
    <w:rsid w:val="00310524"/>
    <w:rsid w:val="0031153E"/>
    <w:rsid w:val="00313296"/>
    <w:rsid w:val="0031504B"/>
    <w:rsid w:val="003164C2"/>
    <w:rsid w:val="00316E1E"/>
    <w:rsid w:val="00320E88"/>
    <w:rsid w:val="00321BC1"/>
    <w:rsid w:val="00321D1D"/>
    <w:rsid w:val="00321E8C"/>
    <w:rsid w:val="00322ED4"/>
    <w:rsid w:val="0032386C"/>
    <w:rsid w:val="003244BA"/>
    <w:rsid w:val="0032465E"/>
    <w:rsid w:val="00326554"/>
    <w:rsid w:val="0032668C"/>
    <w:rsid w:val="00327C20"/>
    <w:rsid w:val="0033085B"/>
    <w:rsid w:val="00330C8F"/>
    <w:rsid w:val="003324E1"/>
    <w:rsid w:val="003340D6"/>
    <w:rsid w:val="00335EF8"/>
    <w:rsid w:val="0034050E"/>
    <w:rsid w:val="0034148D"/>
    <w:rsid w:val="00343C7E"/>
    <w:rsid w:val="00344C98"/>
    <w:rsid w:val="0034517F"/>
    <w:rsid w:val="003453F2"/>
    <w:rsid w:val="0034595B"/>
    <w:rsid w:val="00346AA8"/>
    <w:rsid w:val="003478AA"/>
    <w:rsid w:val="00347AA3"/>
    <w:rsid w:val="00347B01"/>
    <w:rsid w:val="003523F4"/>
    <w:rsid w:val="00355357"/>
    <w:rsid w:val="00355DEF"/>
    <w:rsid w:val="00356E68"/>
    <w:rsid w:val="00360001"/>
    <w:rsid w:val="003619F5"/>
    <w:rsid w:val="00361A4D"/>
    <w:rsid w:val="00364A5F"/>
    <w:rsid w:val="0036535E"/>
    <w:rsid w:val="00366127"/>
    <w:rsid w:val="003667E7"/>
    <w:rsid w:val="00367228"/>
    <w:rsid w:val="00370A56"/>
    <w:rsid w:val="00371CA8"/>
    <w:rsid w:val="003730C4"/>
    <w:rsid w:val="00373F58"/>
    <w:rsid w:val="00375BE1"/>
    <w:rsid w:val="00375EB6"/>
    <w:rsid w:val="003761F2"/>
    <w:rsid w:val="00376303"/>
    <w:rsid w:val="00380C70"/>
    <w:rsid w:val="003816E5"/>
    <w:rsid w:val="0038217F"/>
    <w:rsid w:val="0038355D"/>
    <w:rsid w:val="003838AB"/>
    <w:rsid w:val="00384573"/>
    <w:rsid w:val="003859F2"/>
    <w:rsid w:val="003905CC"/>
    <w:rsid w:val="00391467"/>
    <w:rsid w:val="00391B67"/>
    <w:rsid w:val="00395AF3"/>
    <w:rsid w:val="00396A02"/>
    <w:rsid w:val="003A28B6"/>
    <w:rsid w:val="003A386F"/>
    <w:rsid w:val="003A3BAC"/>
    <w:rsid w:val="003A4016"/>
    <w:rsid w:val="003A49FB"/>
    <w:rsid w:val="003A5220"/>
    <w:rsid w:val="003A7F46"/>
    <w:rsid w:val="003B07A0"/>
    <w:rsid w:val="003B0E2F"/>
    <w:rsid w:val="003B148A"/>
    <w:rsid w:val="003B20B2"/>
    <w:rsid w:val="003B211F"/>
    <w:rsid w:val="003B29A6"/>
    <w:rsid w:val="003B2EC8"/>
    <w:rsid w:val="003B2F9D"/>
    <w:rsid w:val="003B7B8F"/>
    <w:rsid w:val="003C097F"/>
    <w:rsid w:val="003C1F4F"/>
    <w:rsid w:val="003C560C"/>
    <w:rsid w:val="003C61AE"/>
    <w:rsid w:val="003D0A49"/>
    <w:rsid w:val="003D154F"/>
    <w:rsid w:val="003D1E2D"/>
    <w:rsid w:val="003D27BD"/>
    <w:rsid w:val="003D32C4"/>
    <w:rsid w:val="003D3332"/>
    <w:rsid w:val="003D5530"/>
    <w:rsid w:val="003D619F"/>
    <w:rsid w:val="003D7867"/>
    <w:rsid w:val="003E05A9"/>
    <w:rsid w:val="003E1872"/>
    <w:rsid w:val="003E2444"/>
    <w:rsid w:val="003E3563"/>
    <w:rsid w:val="003E3A6E"/>
    <w:rsid w:val="003E4032"/>
    <w:rsid w:val="003E441A"/>
    <w:rsid w:val="003E4CAD"/>
    <w:rsid w:val="003E5175"/>
    <w:rsid w:val="003E5202"/>
    <w:rsid w:val="003E56AC"/>
    <w:rsid w:val="003E6989"/>
    <w:rsid w:val="003E788D"/>
    <w:rsid w:val="003E7893"/>
    <w:rsid w:val="003E7F8D"/>
    <w:rsid w:val="003F0AC9"/>
    <w:rsid w:val="003F1F61"/>
    <w:rsid w:val="003F24E2"/>
    <w:rsid w:val="003F4EDC"/>
    <w:rsid w:val="003F4F3E"/>
    <w:rsid w:val="003F5A2D"/>
    <w:rsid w:val="003F60E0"/>
    <w:rsid w:val="003F786F"/>
    <w:rsid w:val="00400982"/>
    <w:rsid w:val="0040145E"/>
    <w:rsid w:val="004016B6"/>
    <w:rsid w:val="00404E25"/>
    <w:rsid w:val="00407885"/>
    <w:rsid w:val="00407B32"/>
    <w:rsid w:val="00410095"/>
    <w:rsid w:val="00410A08"/>
    <w:rsid w:val="004117E2"/>
    <w:rsid w:val="00413C2A"/>
    <w:rsid w:val="004143ED"/>
    <w:rsid w:val="0041473F"/>
    <w:rsid w:val="004175F7"/>
    <w:rsid w:val="00417A75"/>
    <w:rsid w:val="0042168B"/>
    <w:rsid w:val="00421A86"/>
    <w:rsid w:val="00421E56"/>
    <w:rsid w:val="00424102"/>
    <w:rsid w:val="00424F91"/>
    <w:rsid w:val="00426EAC"/>
    <w:rsid w:val="00427925"/>
    <w:rsid w:val="004319E0"/>
    <w:rsid w:val="00434843"/>
    <w:rsid w:val="00435D04"/>
    <w:rsid w:val="00435F3E"/>
    <w:rsid w:val="0043715C"/>
    <w:rsid w:val="004409A6"/>
    <w:rsid w:val="00441FC4"/>
    <w:rsid w:val="004422A9"/>
    <w:rsid w:val="0044409D"/>
    <w:rsid w:val="00446C62"/>
    <w:rsid w:val="0045457F"/>
    <w:rsid w:val="00455EF1"/>
    <w:rsid w:val="004571C6"/>
    <w:rsid w:val="004572E2"/>
    <w:rsid w:val="004608EE"/>
    <w:rsid w:val="0046104E"/>
    <w:rsid w:val="0046111E"/>
    <w:rsid w:val="00463054"/>
    <w:rsid w:val="0046497A"/>
    <w:rsid w:val="00464996"/>
    <w:rsid w:val="00464BC2"/>
    <w:rsid w:val="0046500E"/>
    <w:rsid w:val="00466A97"/>
    <w:rsid w:val="00467241"/>
    <w:rsid w:val="004703E5"/>
    <w:rsid w:val="0047049D"/>
    <w:rsid w:val="00473728"/>
    <w:rsid w:val="004741E1"/>
    <w:rsid w:val="0047474B"/>
    <w:rsid w:val="004755FA"/>
    <w:rsid w:val="00475AE2"/>
    <w:rsid w:val="004774E8"/>
    <w:rsid w:val="00480A99"/>
    <w:rsid w:val="00482732"/>
    <w:rsid w:val="004850C3"/>
    <w:rsid w:val="00490561"/>
    <w:rsid w:val="00491B0A"/>
    <w:rsid w:val="00493346"/>
    <w:rsid w:val="00496C90"/>
    <w:rsid w:val="00497550"/>
    <w:rsid w:val="00497B22"/>
    <w:rsid w:val="004A1110"/>
    <w:rsid w:val="004A4107"/>
    <w:rsid w:val="004A4643"/>
    <w:rsid w:val="004A549C"/>
    <w:rsid w:val="004A55C1"/>
    <w:rsid w:val="004A6737"/>
    <w:rsid w:val="004B0C52"/>
    <w:rsid w:val="004B140F"/>
    <w:rsid w:val="004B1443"/>
    <w:rsid w:val="004B1B3B"/>
    <w:rsid w:val="004B1F6F"/>
    <w:rsid w:val="004B33F9"/>
    <w:rsid w:val="004B4B81"/>
    <w:rsid w:val="004B7112"/>
    <w:rsid w:val="004B7190"/>
    <w:rsid w:val="004B7D74"/>
    <w:rsid w:val="004C05FB"/>
    <w:rsid w:val="004C0D1A"/>
    <w:rsid w:val="004C0DE3"/>
    <w:rsid w:val="004C1F62"/>
    <w:rsid w:val="004C34D7"/>
    <w:rsid w:val="004C4C66"/>
    <w:rsid w:val="004C54AC"/>
    <w:rsid w:val="004C5FD5"/>
    <w:rsid w:val="004D06F2"/>
    <w:rsid w:val="004D0C96"/>
    <w:rsid w:val="004D1072"/>
    <w:rsid w:val="004D1569"/>
    <w:rsid w:val="004D1DEF"/>
    <w:rsid w:val="004D31F3"/>
    <w:rsid w:val="004D39FE"/>
    <w:rsid w:val="004D497A"/>
    <w:rsid w:val="004D564A"/>
    <w:rsid w:val="004D64EC"/>
    <w:rsid w:val="004D698F"/>
    <w:rsid w:val="004E1ED4"/>
    <w:rsid w:val="004E215D"/>
    <w:rsid w:val="004E2486"/>
    <w:rsid w:val="004E279E"/>
    <w:rsid w:val="004E348F"/>
    <w:rsid w:val="004E37B9"/>
    <w:rsid w:val="004E3D5C"/>
    <w:rsid w:val="004E3FF0"/>
    <w:rsid w:val="004E6D65"/>
    <w:rsid w:val="004E7052"/>
    <w:rsid w:val="004F3390"/>
    <w:rsid w:val="004F52B4"/>
    <w:rsid w:val="004F7533"/>
    <w:rsid w:val="004F7C0A"/>
    <w:rsid w:val="00501954"/>
    <w:rsid w:val="0050274D"/>
    <w:rsid w:val="00503287"/>
    <w:rsid w:val="0050510A"/>
    <w:rsid w:val="00505A02"/>
    <w:rsid w:val="00506331"/>
    <w:rsid w:val="0050679F"/>
    <w:rsid w:val="00506E04"/>
    <w:rsid w:val="00506FFC"/>
    <w:rsid w:val="005077FF"/>
    <w:rsid w:val="00510B16"/>
    <w:rsid w:val="00512C00"/>
    <w:rsid w:val="00513C81"/>
    <w:rsid w:val="005159D3"/>
    <w:rsid w:val="005162A4"/>
    <w:rsid w:val="0051653A"/>
    <w:rsid w:val="005206CC"/>
    <w:rsid w:val="00520E27"/>
    <w:rsid w:val="005217F7"/>
    <w:rsid w:val="0052267A"/>
    <w:rsid w:val="00523250"/>
    <w:rsid w:val="0052326B"/>
    <w:rsid w:val="0052450B"/>
    <w:rsid w:val="00524555"/>
    <w:rsid w:val="0052505D"/>
    <w:rsid w:val="005258CE"/>
    <w:rsid w:val="0052670A"/>
    <w:rsid w:val="00530578"/>
    <w:rsid w:val="00531067"/>
    <w:rsid w:val="0053198D"/>
    <w:rsid w:val="00537C52"/>
    <w:rsid w:val="00544556"/>
    <w:rsid w:val="00545AB5"/>
    <w:rsid w:val="00547725"/>
    <w:rsid w:val="005516EF"/>
    <w:rsid w:val="005521AD"/>
    <w:rsid w:val="00552605"/>
    <w:rsid w:val="00553120"/>
    <w:rsid w:val="00555CFE"/>
    <w:rsid w:val="00556492"/>
    <w:rsid w:val="00557265"/>
    <w:rsid w:val="0055742F"/>
    <w:rsid w:val="005576F8"/>
    <w:rsid w:val="00560AF4"/>
    <w:rsid w:val="00561152"/>
    <w:rsid w:val="0056185C"/>
    <w:rsid w:val="00563A3A"/>
    <w:rsid w:val="00563B98"/>
    <w:rsid w:val="00564C0F"/>
    <w:rsid w:val="0056566C"/>
    <w:rsid w:val="005701EE"/>
    <w:rsid w:val="0057057F"/>
    <w:rsid w:val="00570C1B"/>
    <w:rsid w:val="005736B8"/>
    <w:rsid w:val="00573956"/>
    <w:rsid w:val="005754F0"/>
    <w:rsid w:val="00575AFE"/>
    <w:rsid w:val="00580869"/>
    <w:rsid w:val="0058241B"/>
    <w:rsid w:val="00582B85"/>
    <w:rsid w:val="005845FC"/>
    <w:rsid w:val="00584E94"/>
    <w:rsid w:val="00585012"/>
    <w:rsid w:val="00586099"/>
    <w:rsid w:val="005860D6"/>
    <w:rsid w:val="00586813"/>
    <w:rsid w:val="00586AF7"/>
    <w:rsid w:val="0058719C"/>
    <w:rsid w:val="00587EAA"/>
    <w:rsid w:val="00591A4B"/>
    <w:rsid w:val="00591D2E"/>
    <w:rsid w:val="00592B48"/>
    <w:rsid w:val="00592B72"/>
    <w:rsid w:val="0059426C"/>
    <w:rsid w:val="00594435"/>
    <w:rsid w:val="00595A49"/>
    <w:rsid w:val="00596C79"/>
    <w:rsid w:val="00597B71"/>
    <w:rsid w:val="005A1FF0"/>
    <w:rsid w:val="005A22DA"/>
    <w:rsid w:val="005A3334"/>
    <w:rsid w:val="005A6FF0"/>
    <w:rsid w:val="005A7393"/>
    <w:rsid w:val="005A763C"/>
    <w:rsid w:val="005A7C76"/>
    <w:rsid w:val="005B006F"/>
    <w:rsid w:val="005B19E6"/>
    <w:rsid w:val="005B4A46"/>
    <w:rsid w:val="005B502A"/>
    <w:rsid w:val="005B58E2"/>
    <w:rsid w:val="005B6897"/>
    <w:rsid w:val="005C03BB"/>
    <w:rsid w:val="005C11CA"/>
    <w:rsid w:val="005C147B"/>
    <w:rsid w:val="005C16E7"/>
    <w:rsid w:val="005C1C68"/>
    <w:rsid w:val="005C249D"/>
    <w:rsid w:val="005C264D"/>
    <w:rsid w:val="005C389B"/>
    <w:rsid w:val="005C536E"/>
    <w:rsid w:val="005C55F6"/>
    <w:rsid w:val="005C5640"/>
    <w:rsid w:val="005C5875"/>
    <w:rsid w:val="005C67C8"/>
    <w:rsid w:val="005C757F"/>
    <w:rsid w:val="005C77C1"/>
    <w:rsid w:val="005C7E45"/>
    <w:rsid w:val="005D1775"/>
    <w:rsid w:val="005D2492"/>
    <w:rsid w:val="005D2FF4"/>
    <w:rsid w:val="005D408B"/>
    <w:rsid w:val="005D44C3"/>
    <w:rsid w:val="005E0721"/>
    <w:rsid w:val="005E12D7"/>
    <w:rsid w:val="005E1ED6"/>
    <w:rsid w:val="005E2916"/>
    <w:rsid w:val="005E29EE"/>
    <w:rsid w:val="005E3BA8"/>
    <w:rsid w:val="005E3CE1"/>
    <w:rsid w:val="005E45A2"/>
    <w:rsid w:val="005E7FA2"/>
    <w:rsid w:val="005F0DDE"/>
    <w:rsid w:val="005F1817"/>
    <w:rsid w:val="005F243F"/>
    <w:rsid w:val="005F2466"/>
    <w:rsid w:val="005F2B85"/>
    <w:rsid w:val="005F3BF9"/>
    <w:rsid w:val="005F3D72"/>
    <w:rsid w:val="005F6655"/>
    <w:rsid w:val="005F6B13"/>
    <w:rsid w:val="005F70A8"/>
    <w:rsid w:val="005F7B14"/>
    <w:rsid w:val="0060051A"/>
    <w:rsid w:val="00601508"/>
    <w:rsid w:val="00602FB1"/>
    <w:rsid w:val="00606827"/>
    <w:rsid w:val="0061079F"/>
    <w:rsid w:val="00610E0A"/>
    <w:rsid w:val="006119FC"/>
    <w:rsid w:val="006120F0"/>
    <w:rsid w:val="00613313"/>
    <w:rsid w:val="006138CD"/>
    <w:rsid w:val="006144DC"/>
    <w:rsid w:val="00614951"/>
    <w:rsid w:val="006178C4"/>
    <w:rsid w:val="0062171B"/>
    <w:rsid w:val="00622333"/>
    <w:rsid w:val="00625EF3"/>
    <w:rsid w:val="00626890"/>
    <w:rsid w:val="00626F50"/>
    <w:rsid w:val="006273CF"/>
    <w:rsid w:val="006307C2"/>
    <w:rsid w:val="00633F18"/>
    <w:rsid w:val="00634087"/>
    <w:rsid w:val="00634D90"/>
    <w:rsid w:val="00634F1E"/>
    <w:rsid w:val="00635130"/>
    <w:rsid w:val="0063554B"/>
    <w:rsid w:val="00640BB7"/>
    <w:rsid w:val="00642E9A"/>
    <w:rsid w:val="00643792"/>
    <w:rsid w:val="0064407A"/>
    <w:rsid w:val="00644498"/>
    <w:rsid w:val="00644875"/>
    <w:rsid w:val="00644947"/>
    <w:rsid w:val="006452B7"/>
    <w:rsid w:val="00650B29"/>
    <w:rsid w:val="00651846"/>
    <w:rsid w:val="00652113"/>
    <w:rsid w:val="00656A3C"/>
    <w:rsid w:val="00656EB6"/>
    <w:rsid w:val="0066090A"/>
    <w:rsid w:val="0066330E"/>
    <w:rsid w:val="0066384F"/>
    <w:rsid w:val="0066395E"/>
    <w:rsid w:val="0066433A"/>
    <w:rsid w:val="00664352"/>
    <w:rsid w:val="0066493B"/>
    <w:rsid w:val="00664E18"/>
    <w:rsid w:val="00665901"/>
    <w:rsid w:val="006659D2"/>
    <w:rsid w:val="006670CA"/>
    <w:rsid w:val="006714C9"/>
    <w:rsid w:val="0067178B"/>
    <w:rsid w:val="00673484"/>
    <w:rsid w:val="00675F85"/>
    <w:rsid w:val="00680369"/>
    <w:rsid w:val="006804A0"/>
    <w:rsid w:val="00680F6A"/>
    <w:rsid w:val="00681956"/>
    <w:rsid w:val="00684734"/>
    <w:rsid w:val="00685340"/>
    <w:rsid w:val="006864EE"/>
    <w:rsid w:val="00686B8F"/>
    <w:rsid w:val="00687B0A"/>
    <w:rsid w:val="00690348"/>
    <w:rsid w:val="00694D10"/>
    <w:rsid w:val="00695DED"/>
    <w:rsid w:val="00697E5D"/>
    <w:rsid w:val="006A0B1B"/>
    <w:rsid w:val="006A21DB"/>
    <w:rsid w:val="006A3A8A"/>
    <w:rsid w:val="006A5D47"/>
    <w:rsid w:val="006A63C7"/>
    <w:rsid w:val="006A6470"/>
    <w:rsid w:val="006A664C"/>
    <w:rsid w:val="006A6766"/>
    <w:rsid w:val="006B00F7"/>
    <w:rsid w:val="006B0364"/>
    <w:rsid w:val="006B07CA"/>
    <w:rsid w:val="006B1AC9"/>
    <w:rsid w:val="006B1DB3"/>
    <w:rsid w:val="006B3ABE"/>
    <w:rsid w:val="006B424D"/>
    <w:rsid w:val="006B474D"/>
    <w:rsid w:val="006B4E18"/>
    <w:rsid w:val="006C0BD8"/>
    <w:rsid w:val="006C0C45"/>
    <w:rsid w:val="006C127C"/>
    <w:rsid w:val="006C34E1"/>
    <w:rsid w:val="006C3FA8"/>
    <w:rsid w:val="006C5A31"/>
    <w:rsid w:val="006C5AF9"/>
    <w:rsid w:val="006C5BE4"/>
    <w:rsid w:val="006C626D"/>
    <w:rsid w:val="006D0876"/>
    <w:rsid w:val="006D0AF2"/>
    <w:rsid w:val="006D1A73"/>
    <w:rsid w:val="006D290D"/>
    <w:rsid w:val="006D2D28"/>
    <w:rsid w:val="006D4E03"/>
    <w:rsid w:val="006D6E11"/>
    <w:rsid w:val="006D76E6"/>
    <w:rsid w:val="006E25F7"/>
    <w:rsid w:val="006E4E7B"/>
    <w:rsid w:val="006E60C2"/>
    <w:rsid w:val="006E72EC"/>
    <w:rsid w:val="006F0BC9"/>
    <w:rsid w:val="006F253D"/>
    <w:rsid w:val="006F3B5E"/>
    <w:rsid w:val="006F5005"/>
    <w:rsid w:val="006F50EC"/>
    <w:rsid w:val="006F549A"/>
    <w:rsid w:val="006F5530"/>
    <w:rsid w:val="007000F5"/>
    <w:rsid w:val="00700434"/>
    <w:rsid w:val="00702C33"/>
    <w:rsid w:val="00703713"/>
    <w:rsid w:val="007054AF"/>
    <w:rsid w:val="0070704A"/>
    <w:rsid w:val="00707B22"/>
    <w:rsid w:val="007101B6"/>
    <w:rsid w:val="00710521"/>
    <w:rsid w:val="007110FD"/>
    <w:rsid w:val="00712134"/>
    <w:rsid w:val="00712624"/>
    <w:rsid w:val="0071381F"/>
    <w:rsid w:val="007141F3"/>
    <w:rsid w:val="00715DEF"/>
    <w:rsid w:val="007163A7"/>
    <w:rsid w:val="0071693C"/>
    <w:rsid w:val="00716DEF"/>
    <w:rsid w:val="0072096E"/>
    <w:rsid w:val="0072152C"/>
    <w:rsid w:val="00724A11"/>
    <w:rsid w:val="007253A9"/>
    <w:rsid w:val="0072583A"/>
    <w:rsid w:val="007259D2"/>
    <w:rsid w:val="007274AE"/>
    <w:rsid w:val="00727F01"/>
    <w:rsid w:val="007301D1"/>
    <w:rsid w:val="00731CD7"/>
    <w:rsid w:val="00732552"/>
    <w:rsid w:val="00732CE4"/>
    <w:rsid w:val="00734DA4"/>
    <w:rsid w:val="0073514C"/>
    <w:rsid w:val="0073525A"/>
    <w:rsid w:val="00735C1C"/>
    <w:rsid w:val="00735DA8"/>
    <w:rsid w:val="007360C9"/>
    <w:rsid w:val="0073685C"/>
    <w:rsid w:val="007378DA"/>
    <w:rsid w:val="00741FF1"/>
    <w:rsid w:val="00742B66"/>
    <w:rsid w:val="00742BF9"/>
    <w:rsid w:val="0074301A"/>
    <w:rsid w:val="00744909"/>
    <w:rsid w:val="00744BEC"/>
    <w:rsid w:val="00747EAE"/>
    <w:rsid w:val="007533B0"/>
    <w:rsid w:val="00754232"/>
    <w:rsid w:val="007548DF"/>
    <w:rsid w:val="00756388"/>
    <w:rsid w:val="007572C7"/>
    <w:rsid w:val="007602EB"/>
    <w:rsid w:val="0076383C"/>
    <w:rsid w:val="00763E1E"/>
    <w:rsid w:val="00763FDE"/>
    <w:rsid w:val="007645CE"/>
    <w:rsid w:val="00764D58"/>
    <w:rsid w:val="00767F9D"/>
    <w:rsid w:val="00770DE7"/>
    <w:rsid w:val="00772E4A"/>
    <w:rsid w:val="0077323A"/>
    <w:rsid w:val="0077335E"/>
    <w:rsid w:val="007737B1"/>
    <w:rsid w:val="00774B2B"/>
    <w:rsid w:val="0077739E"/>
    <w:rsid w:val="0078240E"/>
    <w:rsid w:val="00782A32"/>
    <w:rsid w:val="007831FC"/>
    <w:rsid w:val="007854BC"/>
    <w:rsid w:val="00785546"/>
    <w:rsid w:val="0078698A"/>
    <w:rsid w:val="00787D43"/>
    <w:rsid w:val="00790333"/>
    <w:rsid w:val="00790BFA"/>
    <w:rsid w:val="00792FC4"/>
    <w:rsid w:val="00792FEF"/>
    <w:rsid w:val="007931B3"/>
    <w:rsid w:val="007941FE"/>
    <w:rsid w:val="00796CA8"/>
    <w:rsid w:val="007A0651"/>
    <w:rsid w:val="007A413E"/>
    <w:rsid w:val="007A4D12"/>
    <w:rsid w:val="007A566D"/>
    <w:rsid w:val="007B0642"/>
    <w:rsid w:val="007B5290"/>
    <w:rsid w:val="007B6B28"/>
    <w:rsid w:val="007C28F9"/>
    <w:rsid w:val="007C3C7F"/>
    <w:rsid w:val="007D149F"/>
    <w:rsid w:val="007D23BA"/>
    <w:rsid w:val="007D2C9E"/>
    <w:rsid w:val="007D374B"/>
    <w:rsid w:val="007D4CB6"/>
    <w:rsid w:val="007D54D3"/>
    <w:rsid w:val="007D58BB"/>
    <w:rsid w:val="007D6178"/>
    <w:rsid w:val="007D6226"/>
    <w:rsid w:val="007D7230"/>
    <w:rsid w:val="007E0D4E"/>
    <w:rsid w:val="007E0FFF"/>
    <w:rsid w:val="007E2A2E"/>
    <w:rsid w:val="007E2AAA"/>
    <w:rsid w:val="007E3335"/>
    <w:rsid w:val="007E645F"/>
    <w:rsid w:val="007E79EC"/>
    <w:rsid w:val="007E7ACD"/>
    <w:rsid w:val="007E7AF3"/>
    <w:rsid w:val="007E7E9A"/>
    <w:rsid w:val="007F07F0"/>
    <w:rsid w:val="007F0840"/>
    <w:rsid w:val="007F282E"/>
    <w:rsid w:val="007F574D"/>
    <w:rsid w:val="007F5DC0"/>
    <w:rsid w:val="007F7493"/>
    <w:rsid w:val="008014D5"/>
    <w:rsid w:val="00802154"/>
    <w:rsid w:val="00803671"/>
    <w:rsid w:val="008039DC"/>
    <w:rsid w:val="00804AE7"/>
    <w:rsid w:val="00804BA5"/>
    <w:rsid w:val="008055EB"/>
    <w:rsid w:val="0080575C"/>
    <w:rsid w:val="00805D65"/>
    <w:rsid w:val="008060A5"/>
    <w:rsid w:val="00806A64"/>
    <w:rsid w:val="008108FA"/>
    <w:rsid w:val="00810FCF"/>
    <w:rsid w:val="00815577"/>
    <w:rsid w:val="00815770"/>
    <w:rsid w:val="00815A22"/>
    <w:rsid w:val="0082065B"/>
    <w:rsid w:val="00820689"/>
    <w:rsid w:val="00822CC9"/>
    <w:rsid w:val="008250FF"/>
    <w:rsid w:val="00825ED1"/>
    <w:rsid w:val="00826425"/>
    <w:rsid w:val="00827DEB"/>
    <w:rsid w:val="00831333"/>
    <w:rsid w:val="0083152E"/>
    <w:rsid w:val="00831ACA"/>
    <w:rsid w:val="0083315A"/>
    <w:rsid w:val="0083335E"/>
    <w:rsid w:val="00835AA9"/>
    <w:rsid w:val="008404E4"/>
    <w:rsid w:val="00841851"/>
    <w:rsid w:val="00842DF6"/>
    <w:rsid w:val="00843740"/>
    <w:rsid w:val="00844742"/>
    <w:rsid w:val="00845112"/>
    <w:rsid w:val="008459C6"/>
    <w:rsid w:val="00845D58"/>
    <w:rsid w:val="00850DDD"/>
    <w:rsid w:val="00852113"/>
    <w:rsid w:val="00852B3A"/>
    <w:rsid w:val="0085525C"/>
    <w:rsid w:val="00855C83"/>
    <w:rsid w:val="00855D34"/>
    <w:rsid w:val="0086144B"/>
    <w:rsid w:val="00861DEF"/>
    <w:rsid w:val="008633F9"/>
    <w:rsid w:val="008640ED"/>
    <w:rsid w:val="008648C9"/>
    <w:rsid w:val="00866660"/>
    <w:rsid w:val="00870E70"/>
    <w:rsid w:val="00872010"/>
    <w:rsid w:val="008732BD"/>
    <w:rsid w:val="008741FA"/>
    <w:rsid w:val="008759A1"/>
    <w:rsid w:val="008809AF"/>
    <w:rsid w:val="0088121C"/>
    <w:rsid w:val="00881239"/>
    <w:rsid w:val="00883E97"/>
    <w:rsid w:val="008845F1"/>
    <w:rsid w:val="00885B19"/>
    <w:rsid w:val="00885DAE"/>
    <w:rsid w:val="00886749"/>
    <w:rsid w:val="00886831"/>
    <w:rsid w:val="0088732A"/>
    <w:rsid w:val="00891B1B"/>
    <w:rsid w:val="008927B0"/>
    <w:rsid w:val="008928AA"/>
    <w:rsid w:val="00894590"/>
    <w:rsid w:val="00894630"/>
    <w:rsid w:val="00895DB4"/>
    <w:rsid w:val="008967D3"/>
    <w:rsid w:val="008A2BC2"/>
    <w:rsid w:val="008A2E71"/>
    <w:rsid w:val="008A3030"/>
    <w:rsid w:val="008A3DA5"/>
    <w:rsid w:val="008A47F8"/>
    <w:rsid w:val="008B0EAA"/>
    <w:rsid w:val="008B2BFB"/>
    <w:rsid w:val="008B3B50"/>
    <w:rsid w:val="008B3D16"/>
    <w:rsid w:val="008B42AA"/>
    <w:rsid w:val="008B478D"/>
    <w:rsid w:val="008B5CF4"/>
    <w:rsid w:val="008B5E9C"/>
    <w:rsid w:val="008B78A5"/>
    <w:rsid w:val="008C00A2"/>
    <w:rsid w:val="008C0E18"/>
    <w:rsid w:val="008C1F1A"/>
    <w:rsid w:val="008C39BC"/>
    <w:rsid w:val="008C3D29"/>
    <w:rsid w:val="008C4359"/>
    <w:rsid w:val="008C5A8A"/>
    <w:rsid w:val="008C5BBE"/>
    <w:rsid w:val="008C6729"/>
    <w:rsid w:val="008C798D"/>
    <w:rsid w:val="008C7C75"/>
    <w:rsid w:val="008D1569"/>
    <w:rsid w:val="008D4355"/>
    <w:rsid w:val="008D490C"/>
    <w:rsid w:val="008D54B3"/>
    <w:rsid w:val="008D586C"/>
    <w:rsid w:val="008D5B51"/>
    <w:rsid w:val="008D70A2"/>
    <w:rsid w:val="008D7B5F"/>
    <w:rsid w:val="008E0502"/>
    <w:rsid w:val="008E0767"/>
    <w:rsid w:val="008E080C"/>
    <w:rsid w:val="008E1794"/>
    <w:rsid w:val="008E1B80"/>
    <w:rsid w:val="008E1C83"/>
    <w:rsid w:val="008E3D45"/>
    <w:rsid w:val="008E3E65"/>
    <w:rsid w:val="008E3F11"/>
    <w:rsid w:val="008E707F"/>
    <w:rsid w:val="008F25EC"/>
    <w:rsid w:val="008F315C"/>
    <w:rsid w:val="008F38A6"/>
    <w:rsid w:val="008F4066"/>
    <w:rsid w:val="008F4604"/>
    <w:rsid w:val="008F4967"/>
    <w:rsid w:val="008F4F9D"/>
    <w:rsid w:val="008F53F7"/>
    <w:rsid w:val="008F59FE"/>
    <w:rsid w:val="008F6AD9"/>
    <w:rsid w:val="008F78C1"/>
    <w:rsid w:val="009004D6"/>
    <w:rsid w:val="00903651"/>
    <w:rsid w:val="00903BDD"/>
    <w:rsid w:val="00904C18"/>
    <w:rsid w:val="009078AB"/>
    <w:rsid w:val="0091060A"/>
    <w:rsid w:val="0091128F"/>
    <w:rsid w:val="00911DE8"/>
    <w:rsid w:val="0091531A"/>
    <w:rsid w:val="00921245"/>
    <w:rsid w:val="009227A1"/>
    <w:rsid w:val="00923492"/>
    <w:rsid w:val="009257B5"/>
    <w:rsid w:val="009267CE"/>
    <w:rsid w:val="00932E26"/>
    <w:rsid w:val="009339AE"/>
    <w:rsid w:val="00933E95"/>
    <w:rsid w:val="0093442C"/>
    <w:rsid w:val="00935F57"/>
    <w:rsid w:val="009367D0"/>
    <w:rsid w:val="00937AB0"/>
    <w:rsid w:val="00940CF7"/>
    <w:rsid w:val="0094242B"/>
    <w:rsid w:val="009425D3"/>
    <w:rsid w:val="009429BD"/>
    <w:rsid w:val="009467C4"/>
    <w:rsid w:val="0094739E"/>
    <w:rsid w:val="009474FB"/>
    <w:rsid w:val="00950247"/>
    <w:rsid w:val="00952B2D"/>
    <w:rsid w:val="00952D4B"/>
    <w:rsid w:val="00953621"/>
    <w:rsid w:val="009536D0"/>
    <w:rsid w:val="00954D89"/>
    <w:rsid w:val="00955834"/>
    <w:rsid w:val="009563ED"/>
    <w:rsid w:val="009603DF"/>
    <w:rsid w:val="00960A6E"/>
    <w:rsid w:val="0096469C"/>
    <w:rsid w:val="00965DBF"/>
    <w:rsid w:val="009707E3"/>
    <w:rsid w:val="00970AE6"/>
    <w:rsid w:val="00970B1B"/>
    <w:rsid w:val="009713D6"/>
    <w:rsid w:val="009719BB"/>
    <w:rsid w:val="00971D78"/>
    <w:rsid w:val="00972C9D"/>
    <w:rsid w:val="009736FF"/>
    <w:rsid w:val="00973768"/>
    <w:rsid w:val="00973858"/>
    <w:rsid w:val="00975180"/>
    <w:rsid w:val="00976B9B"/>
    <w:rsid w:val="009771ED"/>
    <w:rsid w:val="00977D76"/>
    <w:rsid w:val="00977F27"/>
    <w:rsid w:val="00982E1F"/>
    <w:rsid w:val="00983C1C"/>
    <w:rsid w:val="009847ED"/>
    <w:rsid w:val="00985CDF"/>
    <w:rsid w:val="0098619F"/>
    <w:rsid w:val="009864AA"/>
    <w:rsid w:val="00986EB2"/>
    <w:rsid w:val="00987314"/>
    <w:rsid w:val="009879EE"/>
    <w:rsid w:val="00987D78"/>
    <w:rsid w:val="009907F0"/>
    <w:rsid w:val="00990B30"/>
    <w:rsid w:val="00991562"/>
    <w:rsid w:val="00992354"/>
    <w:rsid w:val="009931CE"/>
    <w:rsid w:val="009935BD"/>
    <w:rsid w:val="009937F7"/>
    <w:rsid w:val="0099674D"/>
    <w:rsid w:val="00996CCC"/>
    <w:rsid w:val="00997B5F"/>
    <w:rsid w:val="009A11C3"/>
    <w:rsid w:val="009A1E27"/>
    <w:rsid w:val="009A7E27"/>
    <w:rsid w:val="009B0017"/>
    <w:rsid w:val="009B43FF"/>
    <w:rsid w:val="009B4CE9"/>
    <w:rsid w:val="009B64D4"/>
    <w:rsid w:val="009B65D2"/>
    <w:rsid w:val="009B7504"/>
    <w:rsid w:val="009C090E"/>
    <w:rsid w:val="009C2E72"/>
    <w:rsid w:val="009C63CA"/>
    <w:rsid w:val="009C6729"/>
    <w:rsid w:val="009C7161"/>
    <w:rsid w:val="009C7565"/>
    <w:rsid w:val="009C7B5B"/>
    <w:rsid w:val="009D0910"/>
    <w:rsid w:val="009D2F50"/>
    <w:rsid w:val="009D4346"/>
    <w:rsid w:val="009D4C11"/>
    <w:rsid w:val="009D54E6"/>
    <w:rsid w:val="009D5F26"/>
    <w:rsid w:val="009D6A7D"/>
    <w:rsid w:val="009D740D"/>
    <w:rsid w:val="009D7F13"/>
    <w:rsid w:val="009E0B24"/>
    <w:rsid w:val="009E2237"/>
    <w:rsid w:val="009E3DDA"/>
    <w:rsid w:val="009E4B5A"/>
    <w:rsid w:val="009E4E69"/>
    <w:rsid w:val="009E72EA"/>
    <w:rsid w:val="009F0974"/>
    <w:rsid w:val="009F099A"/>
    <w:rsid w:val="009F11B7"/>
    <w:rsid w:val="009F1A3C"/>
    <w:rsid w:val="009F1B05"/>
    <w:rsid w:val="009F1D7B"/>
    <w:rsid w:val="009F2DE1"/>
    <w:rsid w:val="009F39C7"/>
    <w:rsid w:val="009F4DA9"/>
    <w:rsid w:val="009F5DEA"/>
    <w:rsid w:val="009F7066"/>
    <w:rsid w:val="009F768E"/>
    <w:rsid w:val="00A00952"/>
    <w:rsid w:val="00A012B2"/>
    <w:rsid w:val="00A02100"/>
    <w:rsid w:val="00A0318F"/>
    <w:rsid w:val="00A05A8C"/>
    <w:rsid w:val="00A07266"/>
    <w:rsid w:val="00A075F5"/>
    <w:rsid w:val="00A1376B"/>
    <w:rsid w:val="00A1422A"/>
    <w:rsid w:val="00A15629"/>
    <w:rsid w:val="00A172DA"/>
    <w:rsid w:val="00A210CB"/>
    <w:rsid w:val="00A23C46"/>
    <w:rsid w:val="00A244AE"/>
    <w:rsid w:val="00A2585B"/>
    <w:rsid w:val="00A2649C"/>
    <w:rsid w:val="00A26644"/>
    <w:rsid w:val="00A26943"/>
    <w:rsid w:val="00A27406"/>
    <w:rsid w:val="00A30A7E"/>
    <w:rsid w:val="00A30F45"/>
    <w:rsid w:val="00A31F3C"/>
    <w:rsid w:val="00A32F8F"/>
    <w:rsid w:val="00A3347C"/>
    <w:rsid w:val="00A33A2E"/>
    <w:rsid w:val="00A34A9B"/>
    <w:rsid w:val="00A36D35"/>
    <w:rsid w:val="00A3717A"/>
    <w:rsid w:val="00A40798"/>
    <w:rsid w:val="00A411ED"/>
    <w:rsid w:val="00A414DA"/>
    <w:rsid w:val="00A419C3"/>
    <w:rsid w:val="00A42412"/>
    <w:rsid w:val="00A43D1C"/>
    <w:rsid w:val="00A503A1"/>
    <w:rsid w:val="00A503B2"/>
    <w:rsid w:val="00A5072B"/>
    <w:rsid w:val="00A5189A"/>
    <w:rsid w:val="00A5286A"/>
    <w:rsid w:val="00A52ADD"/>
    <w:rsid w:val="00A532E7"/>
    <w:rsid w:val="00A53DB7"/>
    <w:rsid w:val="00A55A92"/>
    <w:rsid w:val="00A56067"/>
    <w:rsid w:val="00A60502"/>
    <w:rsid w:val="00A6572F"/>
    <w:rsid w:val="00A65A5E"/>
    <w:rsid w:val="00A65D97"/>
    <w:rsid w:val="00A65FA3"/>
    <w:rsid w:val="00A67C93"/>
    <w:rsid w:val="00A70145"/>
    <w:rsid w:val="00A71369"/>
    <w:rsid w:val="00A7152E"/>
    <w:rsid w:val="00A71E72"/>
    <w:rsid w:val="00A75938"/>
    <w:rsid w:val="00A75C50"/>
    <w:rsid w:val="00A8264A"/>
    <w:rsid w:val="00A834B0"/>
    <w:rsid w:val="00A84043"/>
    <w:rsid w:val="00A849B3"/>
    <w:rsid w:val="00A85674"/>
    <w:rsid w:val="00A85E96"/>
    <w:rsid w:val="00A86721"/>
    <w:rsid w:val="00A87496"/>
    <w:rsid w:val="00A9282E"/>
    <w:rsid w:val="00A94B54"/>
    <w:rsid w:val="00A952FB"/>
    <w:rsid w:val="00A9645E"/>
    <w:rsid w:val="00A96F41"/>
    <w:rsid w:val="00A971EE"/>
    <w:rsid w:val="00AA03A4"/>
    <w:rsid w:val="00AA17C3"/>
    <w:rsid w:val="00AA3B85"/>
    <w:rsid w:val="00AA573F"/>
    <w:rsid w:val="00AA5781"/>
    <w:rsid w:val="00AA5BE0"/>
    <w:rsid w:val="00AA677B"/>
    <w:rsid w:val="00AA7EAF"/>
    <w:rsid w:val="00AA7F6A"/>
    <w:rsid w:val="00AB48AD"/>
    <w:rsid w:val="00AB4F04"/>
    <w:rsid w:val="00AB624F"/>
    <w:rsid w:val="00AB651F"/>
    <w:rsid w:val="00AB6FC4"/>
    <w:rsid w:val="00AB7ED0"/>
    <w:rsid w:val="00AC0676"/>
    <w:rsid w:val="00AC2480"/>
    <w:rsid w:val="00AC341F"/>
    <w:rsid w:val="00AC37DB"/>
    <w:rsid w:val="00AC4207"/>
    <w:rsid w:val="00AC56A6"/>
    <w:rsid w:val="00AC62E5"/>
    <w:rsid w:val="00AD006D"/>
    <w:rsid w:val="00AD0E47"/>
    <w:rsid w:val="00AD4E21"/>
    <w:rsid w:val="00AD5792"/>
    <w:rsid w:val="00AE015F"/>
    <w:rsid w:val="00AE0314"/>
    <w:rsid w:val="00AE185A"/>
    <w:rsid w:val="00AE20DF"/>
    <w:rsid w:val="00AE3578"/>
    <w:rsid w:val="00AE42B9"/>
    <w:rsid w:val="00AE468F"/>
    <w:rsid w:val="00AE4E30"/>
    <w:rsid w:val="00AE4E93"/>
    <w:rsid w:val="00AE5423"/>
    <w:rsid w:val="00AE5572"/>
    <w:rsid w:val="00AE5CB5"/>
    <w:rsid w:val="00AE6A2B"/>
    <w:rsid w:val="00AE7F03"/>
    <w:rsid w:val="00AE7F5A"/>
    <w:rsid w:val="00AF04D8"/>
    <w:rsid w:val="00AF0ADC"/>
    <w:rsid w:val="00AF0C7C"/>
    <w:rsid w:val="00AF2E86"/>
    <w:rsid w:val="00AF4315"/>
    <w:rsid w:val="00AF59A5"/>
    <w:rsid w:val="00AF7CCE"/>
    <w:rsid w:val="00B01C7C"/>
    <w:rsid w:val="00B02280"/>
    <w:rsid w:val="00B0272F"/>
    <w:rsid w:val="00B0384F"/>
    <w:rsid w:val="00B05C2B"/>
    <w:rsid w:val="00B13E4B"/>
    <w:rsid w:val="00B17D44"/>
    <w:rsid w:val="00B17FA7"/>
    <w:rsid w:val="00B2018E"/>
    <w:rsid w:val="00B202A0"/>
    <w:rsid w:val="00B204F9"/>
    <w:rsid w:val="00B21EF3"/>
    <w:rsid w:val="00B23292"/>
    <w:rsid w:val="00B23D9D"/>
    <w:rsid w:val="00B252BD"/>
    <w:rsid w:val="00B25A68"/>
    <w:rsid w:val="00B2775D"/>
    <w:rsid w:val="00B304F7"/>
    <w:rsid w:val="00B31435"/>
    <w:rsid w:val="00B315A4"/>
    <w:rsid w:val="00B319EB"/>
    <w:rsid w:val="00B3426E"/>
    <w:rsid w:val="00B344EA"/>
    <w:rsid w:val="00B37345"/>
    <w:rsid w:val="00B40C77"/>
    <w:rsid w:val="00B41C25"/>
    <w:rsid w:val="00B43443"/>
    <w:rsid w:val="00B434C8"/>
    <w:rsid w:val="00B47DCB"/>
    <w:rsid w:val="00B5010E"/>
    <w:rsid w:val="00B5052C"/>
    <w:rsid w:val="00B50AC2"/>
    <w:rsid w:val="00B523C0"/>
    <w:rsid w:val="00B55E86"/>
    <w:rsid w:val="00B57171"/>
    <w:rsid w:val="00B61760"/>
    <w:rsid w:val="00B61D43"/>
    <w:rsid w:val="00B623BE"/>
    <w:rsid w:val="00B654CB"/>
    <w:rsid w:val="00B67898"/>
    <w:rsid w:val="00B7071A"/>
    <w:rsid w:val="00B72179"/>
    <w:rsid w:val="00B72AC9"/>
    <w:rsid w:val="00B73D5D"/>
    <w:rsid w:val="00B77B6B"/>
    <w:rsid w:val="00B80571"/>
    <w:rsid w:val="00B81164"/>
    <w:rsid w:val="00B812CF"/>
    <w:rsid w:val="00B81F63"/>
    <w:rsid w:val="00B8250B"/>
    <w:rsid w:val="00B8328C"/>
    <w:rsid w:val="00B838AA"/>
    <w:rsid w:val="00B83997"/>
    <w:rsid w:val="00B83D89"/>
    <w:rsid w:val="00B83EC8"/>
    <w:rsid w:val="00B85683"/>
    <w:rsid w:val="00B86932"/>
    <w:rsid w:val="00B86C07"/>
    <w:rsid w:val="00B9058E"/>
    <w:rsid w:val="00B91B64"/>
    <w:rsid w:val="00B93F4D"/>
    <w:rsid w:val="00B9451C"/>
    <w:rsid w:val="00B965B1"/>
    <w:rsid w:val="00B96BCB"/>
    <w:rsid w:val="00B9781E"/>
    <w:rsid w:val="00BA0008"/>
    <w:rsid w:val="00BA04A3"/>
    <w:rsid w:val="00BA27E7"/>
    <w:rsid w:val="00BA4100"/>
    <w:rsid w:val="00BA4A58"/>
    <w:rsid w:val="00BA74FD"/>
    <w:rsid w:val="00BB1545"/>
    <w:rsid w:val="00BB1A9E"/>
    <w:rsid w:val="00BB1AB0"/>
    <w:rsid w:val="00BB2E35"/>
    <w:rsid w:val="00BB5532"/>
    <w:rsid w:val="00BB6076"/>
    <w:rsid w:val="00BC0A7A"/>
    <w:rsid w:val="00BC10F6"/>
    <w:rsid w:val="00BC279B"/>
    <w:rsid w:val="00BC56FD"/>
    <w:rsid w:val="00BC5B0F"/>
    <w:rsid w:val="00BC79B6"/>
    <w:rsid w:val="00BD07C7"/>
    <w:rsid w:val="00BD0F3B"/>
    <w:rsid w:val="00BD1672"/>
    <w:rsid w:val="00BD2FD8"/>
    <w:rsid w:val="00BD3702"/>
    <w:rsid w:val="00BD372F"/>
    <w:rsid w:val="00BD3C10"/>
    <w:rsid w:val="00BD40BB"/>
    <w:rsid w:val="00BD4363"/>
    <w:rsid w:val="00BD5E89"/>
    <w:rsid w:val="00BE2629"/>
    <w:rsid w:val="00BE3439"/>
    <w:rsid w:val="00BE413E"/>
    <w:rsid w:val="00BF096F"/>
    <w:rsid w:val="00BF0A21"/>
    <w:rsid w:val="00BF0C2D"/>
    <w:rsid w:val="00BF1BA3"/>
    <w:rsid w:val="00BF3539"/>
    <w:rsid w:val="00BF64D3"/>
    <w:rsid w:val="00BF6563"/>
    <w:rsid w:val="00C027B9"/>
    <w:rsid w:val="00C033FB"/>
    <w:rsid w:val="00C03C79"/>
    <w:rsid w:val="00C03D7D"/>
    <w:rsid w:val="00C03F64"/>
    <w:rsid w:val="00C05644"/>
    <w:rsid w:val="00C11C15"/>
    <w:rsid w:val="00C159F9"/>
    <w:rsid w:val="00C166F9"/>
    <w:rsid w:val="00C20AC7"/>
    <w:rsid w:val="00C2517C"/>
    <w:rsid w:val="00C26ABC"/>
    <w:rsid w:val="00C273BC"/>
    <w:rsid w:val="00C31CB1"/>
    <w:rsid w:val="00C340A9"/>
    <w:rsid w:val="00C3499B"/>
    <w:rsid w:val="00C36F2B"/>
    <w:rsid w:val="00C40A43"/>
    <w:rsid w:val="00C40A4B"/>
    <w:rsid w:val="00C40BEB"/>
    <w:rsid w:val="00C40E3C"/>
    <w:rsid w:val="00C42556"/>
    <w:rsid w:val="00C427A2"/>
    <w:rsid w:val="00C43C26"/>
    <w:rsid w:val="00C44FC2"/>
    <w:rsid w:val="00C4637E"/>
    <w:rsid w:val="00C4727D"/>
    <w:rsid w:val="00C47A3C"/>
    <w:rsid w:val="00C50185"/>
    <w:rsid w:val="00C52C58"/>
    <w:rsid w:val="00C5497E"/>
    <w:rsid w:val="00C56A7E"/>
    <w:rsid w:val="00C570EA"/>
    <w:rsid w:val="00C5759A"/>
    <w:rsid w:val="00C57BBC"/>
    <w:rsid w:val="00C57E1A"/>
    <w:rsid w:val="00C604AD"/>
    <w:rsid w:val="00C6105C"/>
    <w:rsid w:val="00C6281D"/>
    <w:rsid w:val="00C6388C"/>
    <w:rsid w:val="00C63910"/>
    <w:rsid w:val="00C64619"/>
    <w:rsid w:val="00C64AA5"/>
    <w:rsid w:val="00C65083"/>
    <w:rsid w:val="00C6601B"/>
    <w:rsid w:val="00C664A0"/>
    <w:rsid w:val="00C677D4"/>
    <w:rsid w:val="00C702D6"/>
    <w:rsid w:val="00C7042E"/>
    <w:rsid w:val="00C707AE"/>
    <w:rsid w:val="00C70802"/>
    <w:rsid w:val="00C70877"/>
    <w:rsid w:val="00C72DAF"/>
    <w:rsid w:val="00C73268"/>
    <w:rsid w:val="00C75124"/>
    <w:rsid w:val="00C769B3"/>
    <w:rsid w:val="00C76D06"/>
    <w:rsid w:val="00C816ED"/>
    <w:rsid w:val="00C81AB5"/>
    <w:rsid w:val="00C829E0"/>
    <w:rsid w:val="00C84E1C"/>
    <w:rsid w:val="00C84EA8"/>
    <w:rsid w:val="00C86FF2"/>
    <w:rsid w:val="00C87196"/>
    <w:rsid w:val="00C87A02"/>
    <w:rsid w:val="00C87EAE"/>
    <w:rsid w:val="00C87F8C"/>
    <w:rsid w:val="00C917A7"/>
    <w:rsid w:val="00C9492B"/>
    <w:rsid w:val="00C95401"/>
    <w:rsid w:val="00C9647A"/>
    <w:rsid w:val="00C96FF0"/>
    <w:rsid w:val="00C97205"/>
    <w:rsid w:val="00C9750C"/>
    <w:rsid w:val="00C9774B"/>
    <w:rsid w:val="00CA0D79"/>
    <w:rsid w:val="00CA2A95"/>
    <w:rsid w:val="00CA2EA5"/>
    <w:rsid w:val="00CA6FAB"/>
    <w:rsid w:val="00CA7983"/>
    <w:rsid w:val="00CA7D80"/>
    <w:rsid w:val="00CB0E8B"/>
    <w:rsid w:val="00CB4910"/>
    <w:rsid w:val="00CB569E"/>
    <w:rsid w:val="00CB6560"/>
    <w:rsid w:val="00CB6F0C"/>
    <w:rsid w:val="00CB78D6"/>
    <w:rsid w:val="00CB7A26"/>
    <w:rsid w:val="00CC0A51"/>
    <w:rsid w:val="00CC1057"/>
    <w:rsid w:val="00CC2341"/>
    <w:rsid w:val="00CC2CD7"/>
    <w:rsid w:val="00CC3152"/>
    <w:rsid w:val="00CC3912"/>
    <w:rsid w:val="00CC41A4"/>
    <w:rsid w:val="00CC46AC"/>
    <w:rsid w:val="00CC7E37"/>
    <w:rsid w:val="00CD0666"/>
    <w:rsid w:val="00CD0B28"/>
    <w:rsid w:val="00CD29B9"/>
    <w:rsid w:val="00CD4F6B"/>
    <w:rsid w:val="00CD51A4"/>
    <w:rsid w:val="00CD6231"/>
    <w:rsid w:val="00CD662C"/>
    <w:rsid w:val="00CD7323"/>
    <w:rsid w:val="00CE0469"/>
    <w:rsid w:val="00CE1531"/>
    <w:rsid w:val="00CE276A"/>
    <w:rsid w:val="00CE5B81"/>
    <w:rsid w:val="00CE5BCA"/>
    <w:rsid w:val="00CE6511"/>
    <w:rsid w:val="00CE7110"/>
    <w:rsid w:val="00CE7FED"/>
    <w:rsid w:val="00CF0BAE"/>
    <w:rsid w:val="00CF1BFE"/>
    <w:rsid w:val="00CF1D7A"/>
    <w:rsid w:val="00CF1EDF"/>
    <w:rsid w:val="00CF205F"/>
    <w:rsid w:val="00CF3E43"/>
    <w:rsid w:val="00CF3FBB"/>
    <w:rsid w:val="00CF6E35"/>
    <w:rsid w:val="00D007AF"/>
    <w:rsid w:val="00D00BE2"/>
    <w:rsid w:val="00D01AD3"/>
    <w:rsid w:val="00D01B7C"/>
    <w:rsid w:val="00D01D77"/>
    <w:rsid w:val="00D03781"/>
    <w:rsid w:val="00D039D7"/>
    <w:rsid w:val="00D0453A"/>
    <w:rsid w:val="00D04F55"/>
    <w:rsid w:val="00D11A47"/>
    <w:rsid w:val="00D12CF2"/>
    <w:rsid w:val="00D12D0F"/>
    <w:rsid w:val="00D12DBE"/>
    <w:rsid w:val="00D140A5"/>
    <w:rsid w:val="00D142C3"/>
    <w:rsid w:val="00D1483D"/>
    <w:rsid w:val="00D149CA"/>
    <w:rsid w:val="00D171DD"/>
    <w:rsid w:val="00D209D3"/>
    <w:rsid w:val="00D20E0E"/>
    <w:rsid w:val="00D21BB8"/>
    <w:rsid w:val="00D24010"/>
    <w:rsid w:val="00D24364"/>
    <w:rsid w:val="00D248EE"/>
    <w:rsid w:val="00D2573E"/>
    <w:rsid w:val="00D26745"/>
    <w:rsid w:val="00D2699E"/>
    <w:rsid w:val="00D26E70"/>
    <w:rsid w:val="00D273EA"/>
    <w:rsid w:val="00D30304"/>
    <w:rsid w:val="00D3073D"/>
    <w:rsid w:val="00D31153"/>
    <w:rsid w:val="00D3137D"/>
    <w:rsid w:val="00D32540"/>
    <w:rsid w:val="00D32ED5"/>
    <w:rsid w:val="00D34BD3"/>
    <w:rsid w:val="00D3558B"/>
    <w:rsid w:val="00D368BF"/>
    <w:rsid w:val="00D3791E"/>
    <w:rsid w:val="00D37C89"/>
    <w:rsid w:val="00D40EEF"/>
    <w:rsid w:val="00D410A3"/>
    <w:rsid w:val="00D41419"/>
    <w:rsid w:val="00D41EC4"/>
    <w:rsid w:val="00D42B09"/>
    <w:rsid w:val="00D42FB3"/>
    <w:rsid w:val="00D43EB7"/>
    <w:rsid w:val="00D4431E"/>
    <w:rsid w:val="00D45EA1"/>
    <w:rsid w:val="00D46594"/>
    <w:rsid w:val="00D466B4"/>
    <w:rsid w:val="00D50446"/>
    <w:rsid w:val="00D51082"/>
    <w:rsid w:val="00D51F35"/>
    <w:rsid w:val="00D5251A"/>
    <w:rsid w:val="00D52946"/>
    <w:rsid w:val="00D52FD8"/>
    <w:rsid w:val="00D53491"/>
    <w:rsid w:val="00D556D2"/>
    <w:rsid w:val="00D55EA8"/>
    <w:rsid w:val="00D55EE0"/>
    <w:rsid w:val="00D575D9"/>
    <w:rsid w:val="00D57B98"/>
    <w:rsid w:val="00D602AC"/>
    <w:rsid w:val="00D604D5"/>
    <w:rsid w:val="00D61857"/>
    <w:rsid w:val="00D61A2F"/>
    <w:rsid w:val="00D62E6C"/>
    <w:rsid w:val="00D63712"/>
    <w:rsid w:val="00D6410E"/>
    <w:rsid w:val="00D6490A"/>
    <w:rsid w:val="00D651B7"/>
    <w:rsid w:val="00D72526"/>
    <w:rsid w:val="00D72EA4"/>
    <w:rsid w:val="00D744F1"/>
    <w:rsid w:val="00D75302"/>
    <w:rsid w:val="00D75841"/>
    <w:rsid w:val="00D75A86"/>
    <w:rsid w:val="00D760B2"/>
    <w:rsid w:val="00D76E5A"/>
    <w:rsid w:val="00D818F7"/>
    <w:rsid w:val="00D81B3D"/>
    <w:rsid w:val="00D82ED3"/>
    <w:rsid w:val="00D833F6"/>
    <w:rsid w:val="00D85598"/>
    <w:rsid w:val="00D876AC"/>
    <w:rsid w:val="00D90359"/>
    <w:rsid w:val="00D90687"/>
    <w:rsid w:val="00D91836"/>
    <w:rsid w:val="00D92672"/>
    <w:rsid w:val="00D92742"/>
    <w:rsid w:val="00D93E9E"/>
    <w:rsid w:val="00D9461E"/>
    <w:rsid w:val="00D95468"/>
    <w:rsid w:val="00D9554D"/>
    <w:rsid w:val="00D96FBE"/>
    <w:rsid w:val="00D97EB8"/>
    <w:rsid w:val="00DA1365"/>
    <w:rsid w:val="00DA2C5A"/>
    <w:rsid w:val="00DA2E75"/>
    <w:rsid w:val="00DA3188"/>
    <w:rsid w:val="00DA3539"/>
    <w:rsid w:val="00DA3CA5"/>
    <w:rsid w:val="00DA5FA7"/>
    <w:rsid w:val="00DA6119"/>
    <w:rsid w:val="00DA654C"/>
    <w:rsid w:val="00DA7BA6"/>
    <w:rsid w:val="00DA7C6A"/>
    <w:rsid w:val="00DB1AE5"/>
    <w:rsid w:val="00DB22EC"/>
    <w:rsid w:val="00DB3AAE"/>
    <w:rsid w:val="00DB4E93"/>
    <w:rsid w:val="00DB6255"/>
    <w:rsid w:val="00DB7677"/>
    <w:rsid w:val="00DB76AF"/>
    <w:rsid w:val="00DB7B78"/>
    <w:rsid w:val="00DC0E38"/>
    <w:rsid w:val="00DC3331"/>
    <w:rsid w:val="00DC54BF"/>
    <w:rsid w:val="00DC54CB"/>
    <w:rsid w:val="00DC5517"/>
    <w:rsid w:val="00DD0235"/>
    <w:rsid w:val="00DD0935"/>
    <w:rsid w:val="00DD1BF3"/>
    <w:rsid w:val="00DD4837"/>
    <w:rsid w:val="00DD490C"/>
    <w:rsid w:val="00DD4FB1"/>
    <w:rsid w:val="00DE2C0F"/>
    <w:rsid w:val="00DE475A"/>
    <w:rsid w:val="00DE4788"/>
    <w:rsid w:val="00DE4AF0"/>
    <w:rsid w:val="00DE5A10"/>
    <w:rsid w:val="00DE6026"/>
    <w:rsid w:val="00DF06CF"/>
    <w:rsid w:val="00DF09B9"/>
    <w:rsid w:val="00DF339D"/>
    <w:rsid w:val="00DF3E3D"/>
    <w:rsid w:val="00DF4929"/>
    <w:rsid w:val="00DF4ADB"/>
    <w:rsid w:val="00DF5FDD"/>
    <w:rsid w:val="00DF704F"/>
    <w:rsid w:val="00E004A5"/>
    <w:rsid w:val="00E020C6"/>
    <w:rsid w:val="00E040C2"/>
    <w:rsid w:val="00E059D1"/>
    <w:rsid w:val="00E0646E"/>
    <w:rsid w:val="00E066C8"/>
    <w:rsid w:val="00E102E1"/>
    <w:rsid w:val="00E10B3E"/>
    <w:rsid w:val="00E11791"/>
    <w:rsid w:val="00E12028"/>
    <w:rsid w:val="00E1280F"/>
    <w:rsid w:val="00E12BFC"/>
    <w:rsid w:val="00E16873"/>
    <w:rsid w:val="00E17BF6"/>
    <w:rsid w:val="00E2070C"/>
    <w:rsid w:val="00E212B0"/>
    <w:rsid w:val="00E22EAA"/>
    <w:rsid w:val="00E246E4"/>
    <w:rsid w:val="00E258DB"/>
    <w:rsid w:val="00E261C7"/>
    <w:rsid w:val="00E2718B"/>
    <w:rsid w:val="00E30B54"/>
    <w:rsid w:val="00E30EBE"/>
    <w:rsid w:val="00E33E7A"/>
    <w:rsid w:val="00E34F05"/>
    <w:rsid w:val="00E36C6D"/>
    <w:rsid w:val="00E37C77"/>
    <w:rsid w:val="00E4025E"/>
    <w:rsid w:val="00E4102B"/>
    <w:rsid w:val="00E411A1"/>
    <w:rsid w:val="00E42053"/>
    <w:rsid w:val="00E42487"/>
    <w:rsid w:val="00E4411F"/>
    <w:rsid w:val="00E444C0"/>
    <w:rsid w:val="00E46AC3"/>
    <w:rsid w:val="00E47498"/>
    <w:rsid w:val="00E50596"/>
    <w:rsid w:val="00E509B7"/>
    <w:rsid w:val="00E541B6"/>
    <w:rsid w:val="00E546B7"/>
    <w:rsid w:val="00E55036"/>
    <w:rsid w:val="00E5505B"/>
    <w:rsid w:val="00E55154"/>
    <w:rsid w:val="00E56CF1"/>
    <w:rsid w:val="00E575A9"/>
    <w:rsid w:val="00E57EA8"/>
    <w:rsid w:val="00E60073"/>
    <w:rsid w:val="00E60AAE"/>
    <w:rsid w:val="00E61AA5"/>
    <w:rsid w:val="00E61F06"/>
    <w:rsid w:val="00E62D1D"/>
    <w:rsid w:val="00E70D77"/>
    <w:rsid w:val="00E738F8"/>
    <w:rsid w:val="00E74974"/>
    <w:rsid w:val="00E77146"/>
    <w:rsid w:val="00E77B61"/>
    <w:rsid w:val="00E8217F"/>
    <w:rsid w:val="00E824F0"/>
    <w:rsid w:val="00E82D7F"/>
    <w:rsid w:val="00E82EE9"/>
    <w:rsid w:val="00E83FB1"/>
    <w:rsid w:val="00E8439B"/>
    <w:rsid w:val="00E84BBF"/>
    <w:rsid w:val="00E86894"/>
    <w:rsid w:val="00E8695D"/>
    <w:rsid w:val="00E86BDA"/>
    <w:rsid w:val="00E86F54"/>
    <w:rsid w:val="00E9075B"/>
    <w:rsid w:val="00E91AAB"/>
    <w:rsid w:val="00E92774"/>
    <w:rsid w:val="00E932B9"/>
    <w:rsid w:val="00E9375F"/>
    <w:rsid w:val="00E94E01"/>
    <w:rsid w:val="00E953AB"/>
    <w:rsid w:val="00E96300"/>
    <w:rsid w:val="00E970C1"/>
    <w:rsid w:val="00E972F4"/>
    <w:rsid w:val="00E97395"/>
    <w:rsid w:val="00EA0103"/>
    <w:rsid w:val="00EA03A2"/>
    <w:rsid w:val="00EA308A"/>
    <w:rsid w:val="00EA36F4"/>
    <w:rsid w:val="00EA43B8"/>
    <w:rsid w:val="00EA5544"/>
    <w:rsid w:val="00EA7A1C"/>
    <w:rsid w:val="00EB18D1"/>
    <w:rsid w:val="00EB1D3B"/>
    <w:rsid w:val="00EB2D5F"/>
    <w:rsid w:val="00EB30B0"/>
    <w:rsid w:val="00EB3110"/>
    <w:rsid w:val="00EB3C00"/>
    <w:rsid w:val="00EB45B6"/>
    <w:rsid w:val="00EB4DEF"/>
    <w:rsid w:val="00EB5A4D"/>
    <w:rsid w:val="00EB5CF5"/>
    <w:rsid w:val="00EB6454"/>
    <w:rsid w:val="00EB6D23"/>
    <w:rsid w:val="00EB7D61"/>
    <w:rsid w:val="00EC0534"/>
    <w:rsid w:val="00EC2213"/>
    <w:rsid w:val="00EC39EF"/>
    <w:rsid w:val="00EC6494"/>
    <w:rsid w:val="00EC7739"/>
    <w:rsid w:val="00ED0E49"/>
    <w:rsid w:val="00ED0FB2"/>
    <w:rsid w:val="00ED1598"/>
    <w:rsid w:val="00ED161B"/>
    <w:rsid w:val="00ED4782"/>
    <w:rsid w:val="00ED4AF0"/>
    <w:rsid w:val="00EE04B3"/>
    <w:rsid w:val="00EE1729"/>
    <w:rsid w:val="00EE2F1B"/>
    <w:rsid w:val="00EE3419"/>
    <w:rsid w:val="00EE343F"/>
    <w:rsid w:val="00EE3D9F"/>
    <w:rsid w:val="00EE5898"/>
    <w:rsid w:val="00EE75D0"/>
    <w:rsid w:val="00EF16EF"/>
    <w:rsid w:val="00EF208D"/>
    <w:rsid w:val="00EF3062"/>
    <w:rsid w:val="00EF3F11"/>
    <w:rsid w:val="00EF44C5"/>
    <w:rsid w:val="00EF5CA6"/>
    <w:rsid w:val="00F00068"/>
    <w:rsid w:val="00F00DFC"/>
    <w:rsid w:val="00F014A4"/>
    <w:rsid w:val="00F01BFD"/>
    <w:rsid w:val="00F0349B"/>
    <w:rsid w:val="00F0511A"/>
    <w:rsid w:val="00F0538F"/>
    <w:rsid w:val="00F055F6"/>
    <w:rsid w:val="00F05AEB"/>
    <w:rsid w:val="00F05CF3"/>
    <w:rsid w:val="00F05F71"/>
    <w:rsid w:val="00F06610"/>
    <w:rsid w:val="00F07B9D"/>
    <w:rsid w:val="00F10878"/>
    <w:rsid w:val="00F1208D"/>
    <w:rsid w:val="00F12289"/>
    <w:rsid w:val="00F12AC4"/>
    <w:rsid w:val="00F14114"/>
    <w:rsid w:val="00F1502C"/>
    <w:rsid w:val="00F1567B"/>
    <w:rsid w:val="00F15971"/>
    <w:rsid w:val="00F16AE0"/>
    <w:rsid w:val="00F16D2E"/>
    <w:rsid w:val="00F171A9"/>
    <w:rsid w:val="00F2051B"/>
    <w:rsid w:val="00F20826"/>
    <w:rsid w:val="00F21541"/>
    <w:rsid w:val="00F215D3"/>
    <w:rsid w:val="00F21B66"/>
    <w:rsid w:val="00F241E2"/>
    <w:rsid w:val="00F25695"/>
    <w:rsid w:val="00F260C5"/>
    <w:rsid w:val="00F26168"/>
    <w:rsid w:val="00F26F80"/>
    <w:rsid w:val="00F317DB"/>
    <w:rsid w:val="00F320F6"/>
    <w:rsid w:val="00F34562"/>
    <w:rsid w:val="00F351AC"/>
    <w:rsid w:val="00F35768"/>
    <w:rsid w:val="00F36E64"/>
    <w:rsid w:val="00F37350"/>
    <w:rsid w:val="00F37DE3"/>
    <w:rsid w:val="00F404A1"/>
    <w:rsid w:val="00F41D38"/>
    <w:rsid w:val="00F460BF"/>
    <w:rsid w:val="00F50F31"/>
    <w:rsid w:val="00F525EB"/>
    <w:rsid w:val="00F533B6"/>
    <w:rsid w:val="00F5512C"/>
    <w:rsid w:val="00F56B2E"/>
    <w:rsid w:val="00F61DA6"/>
    <w:rsid w:val="00F61ED7"/>
    <w:rsid w:val="00F62D3E"/>
    <w:rsid w:val="00F63C78"/>
    <w:rsid w:val="00F64BE3"/>
    <w:rsid w:val="00F64F46"/>
    <w:rsid w:val="00F65D6A"/>
    <w:rsid w:val="00F7047F"/>
    <w:rsid w:val="00F70757"/>
    <w:rsid w:val="00F712AB"/>
    <w:rsid w:val="00F71CCE"/>
    <w:rsid w:val="00F7236F"/>
    <w:rsid w:val="00F7327D"/>
    <w:rsid w:val="00F751AC"/>
    <w:rsid w:val="00F76026"/>
    <w:rsid w:val="00F76FEA"/>
    <w:rsid w:val="00F770D9"/>
    <w:rsid w:val="00F80B07"/>
    <w:rsid w:val="00F81650"/>
    <w:rsid w:val="00F818FC"/>
    <w:rsid w:val="00F81AF5"/>
    <w:rsid w:val="00F81F0F"/>
    <w:rsid w:val="00F85D31"/>
    <w:rsid w:val="00F860E2"/>
    <w:rsid w:val="00F8654E"/>
    <w:rsid w:val="00F86CFF"/>
    <w:rsid w:val="00F87DF7"/>
    <w:rsid w:val="00F90D51"/>
    <w:rsid w:val="00F96627"/>
    <w:rsid w:val="00FA0670"/>
    <w:rsid w:val="00FA559D"/>
    <w:rsid w:val="00FA6FB8"/>
    <w:rsid w:val="00FA6FBA"/>
    <w:rsid w:val="00FB3C1B"/>
    <w:rsid w:val="00FB5F24"/>
    <w:rsid w:val="00FB6387"/>
    <w:rsid w:val="00FB7923"/>
    <w:rsid w:val="00FC0589"/>
    <w:rsid w:val="00FC5648"/>
    <w:rsid w:val="00FC58CB"/>
    <w:rsid w:val="00FC5F5A"/>
    <w:rsid w:val="00FC606F"/>
    <w:rsid w:val="00FC6354"/>
    <w:rsid w:val="00FD112B"/>
    <w:rsid w:val="00FD12C8"/>
    <w:rsid w:val="00FD1341"/>
    <w:rsid w:val="00FD3EAA"/>
    <w:rsid w:val="00FD45CA"/>
    <w:rsid w:val="00FD563E"/>
    <w:rsid w:val="00FD69F0"/>
    <w:rsid w:val="00FE023D"/>
    <w:rsid w:val="00FE0A7F"/>
    <w:rsid w:val="00FE0EA8"/>
    <w:rsid w:val="00FE1CC1"/>
    <w:rsid w:val="00FE30EA"/>
    <w:rsid w:val="00FE4A33"/>
    <w:rsid w:val="00FE536E"/>
    <w:rsid w:val="00FE5E88"/>
    <w:rsid w:val="00FE706D"/>
    <w:rsid w:val="00FE710A"/>
    <w:rsid w:val="00FE7BCE"/>
    <w:rsid w:val="00FF0365"/>
    <w:rsid w:val="00FF0A44"/>
    <w:rsid w:val="00FF0C9F"/>
    <w:rsid w:val="00FF2A18"/>
    <w:rsid w:val="00FF4829"/>
    <w:rsid w:val="00FF4CCE"/>
    <w:rsid w:val="00FF59DC"/>
    <w:rsid w:val="00FF5EE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43A0F"/>
  <w15:docId w15:val="{2436A85A-910B-4E27-A17E-671A550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E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4EA"/>
    <w:pPr>
      <w:ind w:left="720"/>
      <w:contextualSpacing/>
    </w:pPr>
  </w:style>
  <w:style w:type="character" w:customStyle="1" w:styleId="2">
    <w:name w:val="Основной текст (2)"/>
    <w:uiPriority w:val="99"/>
    <w:rsid w:val="00B344EA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o-RO" w:eastAsia="ro-RO"/>
    </w:rPr>
  </w:style>
  <w:style w:type="paragraph" w:customStyle="1" w:styleId="cn">
    <w:name w:val="cn"/>
    <w:basedOn w:val="a"/>
    <w:uiPriority w:val="99"/>
    <w:rsid w:val="00B344EA"/>
    <w:pPr>
      <w:jc w:val="center"/>
    </w:pPr>
  </w:style>
  <w:style w:type="paragraph" w:styleId="a4">
    <w:name w:val="Balloon Text"/>
    <w:basedOn w:val="a"/>
    <w:link w:val="a5"/>
    <w:uiPriority w:val="99"/>
    <w:semiHidden/>
    <w:rsid w:val="00B344EA"/>
    <w:rPr>
      <w:rFonts w:ascii="Tahoma" w:eastAsia="Calibri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locked/>
    <w:rsid w:val="00B344EA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652113"/>
    <w:rPr>
      <w:rFonts w:cs="Times New Roman"/>
    </w:rPr>
  </w:style>
  <w:style w:type="paragraph" w:styleId="a6">
    <w:name w:val="No Spacing"/>
    <w:uiPriority w:val="99"/>
    <w:qFormat/>
    <w:rsid w:val="00321BC1"/>
    <w:rPr>
      <w:rFonts w:ascii="Times New Roman" w:eastAsia="MS Mincho" w:hAnsi="Times New Roman"/>
      <w:sz w:val="24"/>
      <w:szCs w:val="24"/>
      <w:lang w:val="ru-RU" w:eastAsia="ja-JP"/>
    </w:rPr>
  </w:style>
  <w:style w:type="paragraph" w:customStyle="1" w:styleId="Standard">
    <w:name w:val="Standard"/>
    <w:uiPriority w:val="99"/>
    <w:rsid w:val="00375EB6"/>
    <w:pPr>
      <w:widowControl w:val="0"/>
      <w:suppressAutoHyphens/>
      <w:autoSpaceDN w:val="0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rsid w:val="00690348"/>
    <w:pPr>
      <w:spacing w:before="100" w:beforeAutospacing="1" w:after="100" w:afterAutospacing="1"/>
    </w:pPr>
  </w:style>
  <w:style w:type="paragraph" w:customStyle="1" w:styleId="cb">
    <w:name w:val="cb"/>
    <w:basedOn w:val="a"/>
    <w:uiPriority w:val="99"/>
    <w:rsid w:val="005217F7"/>
    <w:pPr>
      <w:jc w:val="center"/>
    </w:pPr>
    <w:rPr>
      <w:b/>
      <w:bCs/>
      <w:lang w:val="en-US" w:eastAsia="en-US"/>
    </w:rPr>
  </w:style>
  <w:style w:type="paragraph" w:customStyle="1" w:styleId="rg">
    <w:name w:val="rg"/>
    <w:basedOn w:val="a"/>
    <w:uiPriority w:val="99"/>
    <w:rsid w:val="005217F7"/>
    <w:pPr>
      <w:jc w:val="right"/>
    </w:pPr>
    <w:rPr>
      <w:lang w:val="en-US" w:eastAsia="en-US"/>
    </w:rPr>
  </w:style>
  <w:style w:type="paragraph" w:customStyle="1" w:styleId="Default">
    <w:name w:val="Default"/>
    <w:rsid w:val="005217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table" w:styleId="a8">
    <w:name w:val="Table Grid"/>
    <w:basedOn w:val="a1"/>
    <w:uiPriority w:val="59"/>
    <w:locked/>
    <w:rsid w:val="008F78C1"/>
    <w:rPr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071E9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50247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024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950247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0247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A65A5E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F1502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1502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F1502C"/>
    <w:rPr>
      <w:rFonts w:ascii="Times New Roman" w:eastAsia="Times New Roman" w:hAnsi="Times New Roman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502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1502C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B597-2061-43FD-AF9C-57380746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3540</Words>
  <Characters>20184</Characters>
  <Application>Microsoft Office Word</Application>
  <DocSecurity>0</DocSecurity>
  <Lines>168</Lines>
  <Paragraphs>47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SPecialiST RePack</Company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IDanii</dc:creator>
  <cp:lastModifiedBy>Valerian</cp:lastModifiedBy>
  <cp:revision>11</cp:revision>
  <cp:lastPrinted>2020-03-10T11:59:00Z</cp:lastPrinted>
  <dcterms:created xsi:type="dcterms:W3CDTF">2023-06-23T07:49:00Z</dcterms:created>
  <dcterms:modified xsi:type="dcterms:W3CDTF">2023-09-13T12:31:00Z</dcterms:modified>
</cp:coreProperties>
</file>