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EB" w:rsidRPr="002B1B1F" w:rsidRDefault="00486FEB" w:rsidP="002B417F">
      <w:pPr>
        <w:pStyle w:val="Frspaiere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1B1F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A30B52" w:rsidRPr="00047EA8" w:rsidRDefault="00047EA8" w:rsidP="00DE79CC">
      <w:pPr>
        <w:tabs>
          <w:tab w:val="left" w:pos="884"/>
          <w:tab w:val="left" w:pos="1196"/>
        </w:tabs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047EA8">
        <w:rPr>
          <w:rFonts w:ascii="Times New Roman" w:hAnsi="Times New Roman"/>
          <w:sz w:val="27"/>
          <w:szCs w:val="27"/>
        </w:rPr>
        <w:t>la proiectul de hotărâre a Guvernului</w:t>
      </w:r>
      <w:r w:rsidR="00A30B52" w:rsidRPr="00047EA8">
        <w:rPr>
          <w:rFonts w:ascii="Times New Roman" w:hAnsi="Times New Roman"/>
          <w:sz w:val="27"/>
          <w:szCs w:val="27"/>
        </w:rPr>
        <w:t xml:space="preserve"> cu privire </w:t>
      </w:r>
      <w:r w:rsidRPr="00047EA8">
        <w:rPr>
          <w:rFonts w:ascii="Times New Roman" w:eastAsia="Times New Roman" w:hAnsi="Times New Roman" w:cs="Times New Roman"/>
          <w:sz w:val="27"/>
          <w:szCs w:val="27"/>
          <w:lang w:eastAsia="ro-RO"/>
        </w:rPr>
        <w:t xml:space="preserve">la aprobarea </w:t>
      </w:r>
      <w:r w:rsidR="00C57B3D" w:rsidRPr="00C57B3D">
        <w:rPr>
          <w:rFonts w:ascii="Times New Roman" w:eastAsia="Times New Roman" w:hAnsi="Times New Roman" w:cs="Times New Roman"/>
          <w:sz w:val="27"/>
          <w:szCs w:val="27"/>
          <w:lang w:eastAsia="ro-RO"/>
        </w:rPr>
        <w:t>Cerințelor de calitate și comercializare pentru produse tartinabile pe bază de grăsimi de origine vegetală și/sau animală, destinate consumului uman</w:t>
      </w:r>
    </w:p>
    <w:tbl>
      <w:tblPr>
        <w:tblStyle w:val="Tabelgril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Listparagraf"/>
              <w:numPr>
                <w:ilvl w:val="0"/>
                <w:numId w:val="9"/>
              </w:numPr>
              <w:tabs>
                <w:tab w:val="left" w:pos="317"/>
              </w:tabs>
              <w:spacing w:after="0"/>
              <w:ind w:left="0" w:firstLine="0"/>
            </w:pP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Denumirea autorului </w:t>
            </w:r>
            <w:r w:rsidR="00DE79CC"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și</w:t>
            </w: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, după caz, a </w:t>
            </w:r>
            <w:r w:rsidR="00A30B52"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participanților</w:t>
            </w:r>
            <w:r w:rsidRPr="00DE79CC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la elaborarea proiectului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4F1C6C" w:rsidP="00821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Ministerul Agricu</w:t>
            </w:r>
            <w:r w:rsidR="00DE79CC">
              <w:rPr>
                <w:rFonts w:ascii="Times New Roman" w:hAnsi="Times New Roman" w:cs="Times New Roman"/>
                <w:sz w:val="27"/>
                <w:szCs w:val="27"/>
              </w:rPr>
              <w:t>lturii și Industriei Alimentare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Condițiile ce au impus elaborarea proiectului de act normativ și finalitățile urmărite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B5783" w:rsidRDefault="008B5783" w:rsidP="005E2C61">
            <w:pPr>
              <w:pStyle w:val="Frspaiere"/>
              <w:ind w:firstLine="567"/>
              <w:jc w:val="both"/>
              <w:rPr>
                <w:rFonts w:ascii="Times New Roman" w:eastAsiaTheme="majorEastAsia" w:hAnsi="Times New Roman" w:cs="Times New Roman"/>
                <w:sz w:val="27"/>
                <w:szCs w:val="27"/>
                <w:lang w:eastAsia="ro-RO" w:bidi="ro-RO"/>
              </w:rPr>
            </w:pP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Ca urmare a modificărilor operate</w:t>
            </w:r>
            <w:r w:rsidR="002B1427"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la unele acte normative: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Legii nr. 420 2006 privind activitatea de reglementare tehnică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Legii 10/2009 privind supravegherea de stat a sănătății publice precum 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și abrogării unor acte normative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precum Legea 78/2004 privind produsele alimentare, 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Legea 113/2012 cu privire la stabilirea principiilor </w:t>
            </w:r>
            <w:proofErr w:type="spellStart"/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şi</w:t>
            </w:r>
            <w:proofErr w:type="spellEnd"/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cerințelor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generale ale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legislației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privind </w:t>
            </w:r>
            <w:r w:rsidR="000D21C1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siguranța</w:t>
            </w:r>
            <w:r w:rsidR="00AC7944" w:rsidRP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alimentelor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="00AC7944">
              <w:rPr>
                <w:rStyle w:val="2"/>
                <w:rFonts w:eastAsiaTheme="majorEastAsia"/>
                <w:color w:val="auto"/>
                <w:sz w:val="27"/>
                <w:szCs w:val="27"/>
              </w:rPr>
              <w:t>Legea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nr. 186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/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2003 cu privire la evaluarea conformității produselor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Nomenclatorul produselor din domeniul reglementat, supuse certificării conformității obligatorii, aprobat pri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n Hotărârea Guvernului nr. 1469/</w:t>
            </w:r>
            <w:r w:rsidRPr="00EE20ED">
              <w:rPr>
                <w:rStyle w:val="2"/>
                <w:rFonts w:eastAsiaTheme="majorEastAsia"/>
                <w:color w:val="auto"/>
                <w:sz w:val="27"/>
                <w:szCs w:val="27"/>
              </w:rPr>
              <w:t>2004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,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Hotărârii Guvernului nr. 384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/2010 </w:t>
            </w:r>
            <w:r w:rsidRPr="00A559AF">
              <w:rPr>
                <w:rStyle w:val="2"/>
                <w:rFonts w:eastAsiaTheme="majorEastAsia"/>
                <w:color w:val="auto"/>
                <w:sz w:val="27"/>
                <w:szCs w:val="27"/>
              </w:rPr>
              <w:t>„Cu privire la Serviciul de Supraveghere de Stat a Sănătății Publice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,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din partea mediului de afaceri și a Agenției Naționale pentru Siguranța Alimentelor, în adresa Ministerului au fost înainte solicitări privind revizuirea 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Hotărârii Guvernului </w:t>
            </w: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nr.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/2009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c</w:t>
            </w:r>
            <w:r w:rsidRPr="008B5783">
              <w:rPr>
                <w:rStyle w:val="2"/>
                <w:rFonts w:eastAsiaTheme="majorEastAsia"/>
                <w:color w:val="auto"/>
                <w:sz w:val="27"/>
                <w:szCs w:val="27"/>
              </w:rPr>
              <w:t>u privire la aprobarea Reglementării tehnice „Produse pe bază de grăsimi vegetale”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, în vederea</w:t>
            </w:r>
            <w:r w:rsidR="002B1427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aduce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rii</w:t>
            </w:r>
            <w:r w:rsidR="002B1427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în concordanță actul normativ, 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cu prevederile actuale</w:t>
            </w:r>
            <w:r w:rsidR="002B1427"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.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Listparagraf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C57B3D">
            <w:pPr>
              <w:pStyle w:val="Frspaiere"/>
              <w:spacing w:after="240"/>
              <w:ind w:firstLine="56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 xml:space="preserve">Proiectul nominalizat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transpune</w:t>
            </w:r>
            <w:r w:rsidR="00AC794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Anexa VII, partea VII</w:t>
            </w:r>
            <w:r w:rsidR="00EE20ED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din Regulamentul (UE) nr. 1308/2013 al Parlamentului European și al Consiliului din 17 decembrie 2013 de instituire a unei organizări comune a piețelor produselor agricole și de abrogare a Regulamentelor (CEE) nr. 922/72, (CEE) nr. 234/79, (CE) nr. 1037/2001 și (CE) nr. 1234/2007 ale Consiliului (JO L 347, 20.12.2013, p. 671-854)</w:t>
            </w:r>
            <w:r w:rsidR="008B5783">
              <w:rPr>
                <w:rFonts w:ascii="Times New Roman" w:eastAsia="Times New Roman" w:hAnsi="Times New Roman" w:cs="Times New Roman"/>
                <w:sz w:val="27"/>
                <w:szCs w:val="27"/>
              </w:rPr>
              <w:t>, precum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și</w:t>
            </w:r>
            <w:r w:rsidR="008B578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EE20ED" w:rsidRPr="0086513E">
              <w:rPr>
                <w:rFonts w:ascii="Times New Roman" w:eastAsia="Times New Roman" w:hAnsi="Times New Roman" w:cs="Times New Roman"/>
                <w:sz w:val="27"/>
                <w:szCs w:val="27"/>
              </w:rPr>
              <w:t>Regulamentul (CE) nr. 445/2007 al Comisiei din 23 aprilie 2007 de stabilire a anumitor norme de aplicare a Regulamentului (CE) nr. 2991/94 al Consiliului de stabilire a standardelor pentru grăsimile tartinabile și a Regulamentului (CEE) nr. 1898/87 al Consiliului privind protecția denumirilor laptelui și produselor lactate folosite pentru comercializare.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B404B6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Principalele prevederi ale proiectului și evidențierea elementelor noi</w:t>
            </w:r>
          </w:p>
        </w:tc>
      </w:tr>
      <w:tr w:rsidR="008A26FE" w:rsidRPr="008E3470" w:rsidTr="00C57B3D">
        <w:trPr>
          <w:trHeight w:val="699"/>
        </w:trPr>
        <w:tc>
          <w:tcPr>
            <w:tcW w:w="9356" w:type="dxa"/>
          </w:tcPr>
          <w:p w:rsidR="00154FDA" w:rsidRDefault="00154FDA" w:rsidP="00720305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4FDA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Actul normativ urmează a fi expus în redacție nouă și </w:t>
            </w:r>
            <w:r w:rsidRPr="00154F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stabilește cerințele de calitate, ambalare, etichetare, transportare pentru margarină, maioneză, produsele pe bază de grăsimi de origine vegetală și/sau animală pentru industria culinară, de cofetărie și de panificație (în continuare – produse), cu un conținut de 10% - 90% grăsimi provenite atât din producția autohtonă, cât și din import. </w:t>
            </w:r>
          </w:p>
          <w:p w:rsidR="00C57B3D" w:rsidRPr="007C397F" w:rsidRDefault="00720305" w:rsidP="00C57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Astfel va dispărea termenul de reglementarea tehnică, în text se vor face trimiteri la cadrul normativ in vigoare, </w:t>
            </w:r>
            <w:r w:rsidR="00C57B3D">
              <w:rPr>
                <w:rFonts w:ascii="Times New Roman" w:eastAsia="Times New Roman" w:hAnsi="Times New Roman" w:cs="Times New Roman"/>
                <w:sz w:val="27"/>
                <w:szCs w:val="27"/>
              </w:rPr>
              <w:t>Cerințele pentru produse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</w:t>
            </w:r>
            <w:r w:rsidR="00C57B3D">
              <w:rPr>
                <w:rFonts w:ascii="Times New Roman" w:eastAsia="Times New Roman" w:hAnsi="Times New Roman" w:cs="Times New Roman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fost completat</w:t>
            </w:r>
            <w:r w:rsidR="00C57B3D">
              <w:rPr>
                <w:rFonts w:ascii="Times New Roman" w:eastAsia="Times New Roman" w:hAnsi="Times New Roman" w:cs="Times New Roman"/>
                <w:sz w:val="27"/>
                <w:szCs w:val="27"/>
              </w:rPr>
              <w:t>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cu prevederi din </w:t>
            </w:r>
            <w:r w:rsidR="00C57B3D" w:rsidRPr="007C397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Codex STAN 32-1911 Standard pentru margarină (actualizat 1989), Codex STAN 168-1989 Standard pentru maioneze, precum și Codex Stan 256-2007 </w:t>
            </w:r>
            <w:r w:rsidR="00C57B3D" w:rsidRPr="009224F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standard pentru </w:t>
            </w:r>
            <w:proofErr w:type="spellStart"/>
            <w:r w:rsidR="00C57B3D" w:rsidRPr="009224FD">
              <w:rPr>
                <w:rFonts w:ascii="Times New Roman" w:eastAsia="Times New Roman" w:hAnsi="Times New Roman" w:cs="Times New Roman"/>
                <w:sz w:val="27"/>
                <w:szCs w:val="27"/>
              </w:rPr>
              <w:t>spreaduri</w:t>
            </w:r>
            <w:proofErr w:type="spellEnd"/>
            <w:r w:rsidR="00C57B3D" w:rsidRPr="009224F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pe bază de </w:t>
            </w:r>
            <w:r w:rsidR="00C57B3D" w:rsidRPr="007C397F">
              <w:rPr>
                <w:rFonts w:ascii="Times New Roman" w:eastAsia="Times New Roman" w:hAnsi="Times New Roman" w:cs="Times New Roman"/>
                <w:sz w:val="27"/>
                <w:szCs w:val="27"/>
              </w:rPr>
              <w:t>grăsimi și amestec</w:t>
            </w:r>
            <w:r w:rsidR="00C57B3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uri de </w:t>
            </w:r>
            <w:proofErr w:type="spellStart"/>
            <w:r w:rsidR="00C57B3D">
              <w:rPr>
                <w:rFonts w:ascii="Times New Roman" w:eastAsia="Times New Roman" w:hAnsi="Times New Roman" w:cs="Times New Roman"/>
                <w:sz w:val="27"/>
                <w:szCs w:val="27"/>
              </w:rPr>
              <w:t>spreaduri</w:t>
            </w:r>
            <w:proofErr w:type="spellEnd"/>
            <w:r w:rsidR="00C57B3D" w:rsidRPr="007C397F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720305" w:rsidRPr="00720305" w:rsidRDefault="00720305" w:rsidP="00C16786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Totodată, proiectul conține elemente de armonizare menționate la compartimentul </w:t>
            </w:r>
            <w:r w:rsidR="00C1678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8E3470" w:rsidTr="00DE79CC">
        <w:trPr>
          <w:trHeight w:val="426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Fundamentarea </w:t>
            </w:r>
            <w:proofErr w:type="spellStart"/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8A26FE" w:rsidRPr="008E3470" w:rsidTr="00DE79CC">
        <w:trPr>
          <w:trHeight w:val="702"/>
        </w:trPr>
        <w:tc>
          <w:tcPr>
            <w:tcW w:w="9356" w:type="dxa"/>
          </w:tcPr>
          <w:p w:rsidR="008A26FE" w:rsidRPr="00821F18" w:rsidRDefault="007B777A" w:rsidP="000D21C1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</w:t>
            </w:r>
            <w:r w:rsidR="008D1FD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întrucât A</w:t>
            </w:r>
            <w:r w:rsidR="000D21C1">
              <w:rPr>
                <w:rFonts w:ascii="Times New Roman" w:hAnsi="Times New Roman" w:cs="Times New Roman"/>
                <w:sz w:val="27"/>
                <w:szCs w:val="27"/>
              </w:rPr>
              <w:t>genția Națională pentru siguranța alimentelor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 xml:space="preserve"> planifică anual controalele oficiale, precum și mijloacele financiare pentru efectuarea acestora</w:t>
            </w: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A26FE" w:rsidRPr="008E3470" w:rsidTr="00DE79CC">
        <w:trPr>
          <w:trHeight w:val="472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Frspaiere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3470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8A26FE" w:rsidRPr="008E3470" w:rsidTr="00DE79CC">
        <w:tc>
          <w:tcPr>
            <w:tcW w:w="9356" w:type="dxa"/>
          </w:tcPr>
          <w:p w:rsidR="008A26FE" w:rsidRPr="00821F18" w:rsidRDefault="00FF56E7" w:rsidP="00FF56E7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Odată cu aprobarea hotărârii, urmează a fi abrogată 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Hotărâr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ea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Guvernului </w:t>
            </w:r>
            <w:r w:rsidRPr="008E3470">
              <w:rPr>
                <w:rFonts w:ascii="Times New Roman" w:hAnsi="Times New Roman" w:cs="Times New Roman"/>
                <w:sz w:val="27"/>
                <w:szCs w:val="27"/>
              </w:rPr>
              <w:t>nr.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Pr="008E3470">
              <w:rPr>
                <w:rStyle w:val="2"/>
                <w:rFonts w:eastAsiaTheme="majorEastAsia"/>
                <w:color w:val="auto"/>
                <w:sz w:val="27"/>
                <w:szCs w:val="27"/>
              </w:rPr>
              <w:t>/2009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 xml:space="preserve"> c</w:t>
            </w:r>
            <w:r w:rsidRPr="008B5783">
              <w:rPr>
                <w:rStyle w:val="2"/>
                <w:rFonts w:eastAsiaTheme="majorEastAsia"/>
                <w:color w:val="auto"/>
                <w:sz w:val="27"/>
                <w:szCs w:val="27"/>
              </w:rPr>
              <w:t>u privire la aprobarea Reglementării tehnice „Produse pe bază de grăsimi vegetale”</w:t>
            </w:r>
            <w:r>
              <w:rPr>
                <w:rStyle w:val="2"/>
                <w:rFonts w:eastAsiaTheme="majorEastAsia"/>
                <w:color w:val="auto"/>
                <w:sz w:val="27"/>
                <w:szCs w:val="27"/>
              </w:rPr>
              <w:t>.</w:t>
            </w:r>
          </w:p>
        </w:tc>
      </w:tr>
      <w:tr w:rsidR="008A26FE" w:rsidRPr="008E3470" w:rsidTr="00DE79CC">
        <w:trPr>
          <w:trHeight w:val="459"/>
        </w:trPr>
        <w:tc>
          <w:tcPr>
            <w:tcW w:w="9356" w:type="dxa"/>
            <w:vAlign w:val="center"/>
          </w:tcPr>
          <w:p w:rsidR="008A26FE" w:rsidRPr="00821F18" w:rsidRDefault="007B777A" w:rsidP="00DE79CC">
            <w:pPr>
              <w:pStyle w:val="Listparagraf"/>
              <w:numPr>
                <w:ilvl w:val="0"/>
                <w:numId w:val="8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Avizarea </w:t>
            </w:r>
            <w:proofErr w:type="spellStart"/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consultarea publică a proiectului</w:t>
            </w:r>
          </w:p>
        </w:tc>
      </w:tr>
      <w:tr w:rsidR="008A26FE" w:rsidRPr="008E3470" w:rsidTr="00DE79CC">
        <w:tc>
          <w:tcPr>
            <w:tcW w:w="9356" w:type="dxa"/>
          </w:tcPr>
          <w:p w:rsidR="0031384D" w:rsidRPr="006860DF" w:rsidRDefault="0031384D" w:rsidP="0031384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 conformitate cu art. 32 din Legea nr. 100/2017 cu privire la actele normative, anunțul privind inițierea elaborării proiectului de act normativ a fost plasat pe                  pagina web a Ministerului și pe portalul particip.gov.md</w:t>
            </w: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</w:t>
            </w:r>
            <w:r w:rsidRPr="006860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</w:p>
          <w:p w:rsidR="008A26FE" w:rsidRPr="00821F18" w:rsidRDefault="0031384D" w:rsidP="0031384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860DF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Analiza Impactului de Reglementare a fost transmisă pentru examinare și opinie către Agenția Națională pentru Siguranța Alimentelor și Asociațiilor de producători agricoli prin email. Totodată, documentul a fost plasat și pe pagina web a Ministerului</w:t>
            </w:r>
            <w:r w:rsidRPr="0031384D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.</w:t>
            </w:r>
            <w:r w:rsidRPr="0031384D">
              <w:rPr>
                <w:rStyle w:val="Hyperlink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  <w:lang w:eastAsia="ro-RO"/>
              </w:rPr>
              <w:t xml:space="preserve"> </w:t>
            </w:r>
            <w:r w:rsidRPr="0031384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Proiectul </w:t>
            </w:r>
            <w:r w:rsidR="007B777A" w:rsidRPr="0031384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 fost transmis </w:t>
            </w:r>
            <w:r w:rsidRPr="0031384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și </w:t>
            </w:r>
            <w:r w:rsidR="007B777A" w:rsidRPr="0031384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Asociațiilor de profil pentru examinare și </w:t>
            </w:r>
            <w:r w:rsidRPr="0031384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expunere pe marginea acestuia.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DE79CC" w:rsidRDefault="00D371A8" w:rsidP="00DE79CC">
            <w:pPr>
              <w:pStyle w:val="Listparagraf"/>
              <w:numPr>
                <w:ilvl w:val="0"/>
                <w:numId w:val="8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79CC">
              <w:rPr>
                <w:rFonts w:ascii="Times New Roman" w:hAnsi="Times New Roman" w:cs="Times New Roman"/>
                <w:b/>
                <w:sz w:val="27"/>
                <w:szCs w:val="27"/>
              </w:rPr>
              <w:t>Constatările expertizei anticorupție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035CE3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În temeiul art. 34 </w:t>
            </w:r>
            <w:proofErr w:type="spellStart"/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35 din Legea nr. 100/2017 cu privire la actele normative, proiectul </w:t>
            </w:r>
            <w:r w:rsidR="00035CE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urmează a fi</w:t>
            </w:r>
            <w:r w:rsidRPr="00821F1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supus expertizei anticorupție,</w:t>
            </w:r>
            <w:r w:rsidR="00E53D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D371A8" w:rsidRPr="008E3470" w:rsidTr="00035CE3">
        <w:trPr>
          <w:trHeight w:val="231"/>
        </w:trPr>
        <w:tc>
          <w:tcPr>
            <w:tcW w:w="9356" w:type="dxa"/>
          </w:tcPr>
          <w:p w:rsidR="00D371A8" w:rsidRPr="00821F18" w:rsidRDefault="0031384D" w:rsidP="00821F18">
            <w:pPr>
              <w:tabs>
                <w:tab w:val="left" w:pos="884"/>
                <w:tab w:val="left" w:pos="1196"/>
              </w:tabs>
              <w:spacing w:after="8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Proiectul urmează a fi transmis Centrului de Armonizare a Legislației pentru expertiza de compatibilitate.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035CE3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În temeiul art. 34 </w:t>
            </w:r>
            <w:proofErr w:type="spellStart"/>
            <w:r w:rsidRPr="00821F18">
              <w:rPr>
                <w:rFonts w:ascii="Times New Roman" w:hAnsi="Times New Roman" w:cs="Times New Roman"/>
                <w:sz w:val="27"/>
                <w:szCs w:val="27"/>
              </w:rPr>
              <w:t>şi</w:t>
            </w:r>
            <w:proofErr w:type="spellEnd"/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 37 din Legea nr. 100/2017 cu privire la actele normative, proiectul 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va fi</w:t>
            </w:r>
            <w:r w:rsidRPr="00821F18">
              <w:rPr>
                <w:rFonts w:ascii="Times New Roman" w:hAnsi="Times New Roman" w:cs="Times New Roman"/>
                <w:sz w:val="27"/>
                <w:szCs w:val="27"/>
              </w:rPr>
              <w:t xml:space="preserve"> supus expertizei juridice</w:t>
            </w:r>
            <w:r w:rsidR="00035CE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71A8" w:rsidRPr="008E3470" w:rsidTr="00DE79CC">
        <w:tc>
          <w:tcPr>
            <w:tcW w:w="9356" w:type="dxa"/>
          </w:tcPr>
          <w:p w:rsidR="00D371A8" w:rsidRPr="00821F18" w:rsidRDefault="00D371A8" w:rsidP="00821F18">
            <w:pPr>
              <w:tabs>
                <w:tab w:val="left" w:pos="884"/>
                <w:tab w:val="left" w:pos="1196"/>
              </w:tabs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1F18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D371A8" w:rsidRPr="008E3470" w:rsidTr="00DE79CC">
        <w:tc>
          <w:tcPr>
            <w:tcW w:w="9356" w:type="dxa"/>
          </w:tcPr>
          <w:p w:rsidR="004A291F" w:rsidRDefault="004A291F" w:rsidP="004A29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În conformitate prevederile pct.11 </w:t>
            </w:r>
            <w:proofErr w:type="spellStart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>sbp</w:t>
            </w:r>
            <w:proofErr w:type="spellEnd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. 21 lit. a) </w:t>
            </w:r>
            <w:proofErr w:type="spellStart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>şi</w:t>
            </w:r>
            <w:proofErr w:type="spellEnd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lit. b) din Metodologia de analiză a impactului în procesul de fundamentare a proiectelor de acte normative, aprobată prin Hotărârea Guvernului nr. 23/2019, a fost elaborată Analiza impactului de reglementare la proiectul hotărârii Guvernului cu privire </w:t>
            </w:r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>Cerințelor de calitate și comercializare pentru produse tartinabile pe bază de grăsimi de origine vegetală și/sau animală, destinate consumului uman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.</w:t>
            </w:r>
          </w:p>
          <w:p w:rsidR="00D371A8" w:rsidRPr="00821F18" w:rsidRDefault="004A291F" w:rsidP="004A29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>AIR-</w:t>
            </w:r>
            <w:proofErr w:type="spellStart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>ul</w:t>
            </w:r>
            <w:proofErr w:type="spellEnd"/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a fost susținut condiționat în cadrul Ședinței Grupului de Lucru al Comisiei de Stat pentru reglementarea activității de întreprinzător din data de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15 august</w:t>
            </w:r>
            <w:r w:rsidRPr="004A291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2023.</w:t>
            </w:r>
          </w:p>
        </w:tc>
      </w:tr>
    </w:tbl>
    <w:p w:rsidR="00C37015" w:rsidRPr="002B1B1F" w:rsidRDefault="00C37015" w:rsidP="00821F18">
      <w:pPr>
        <w:pStyle w:val="Frspaiere"/>
        <w:rPr>
          <w:rFonts w:ascii="Times New Roman" w:hAnsi="Times New Roman" w:cs="Times New Roman"/>
          <w:sz w:val="27"/>
          <w:szCs w:val="27"/>
        </w:rPr>
      </w:pPr>
    </w:p>
    <w:p w:rsidR="00C37015" w:rsidRPr="002B1B1F" w:rsidRDefault="00C37015" w:rsidP="00486FEB">
      <w:pPr>
        <w:pStyle w:val="Frspaiere"/>
        <w:ind w:firstLine="426"/>
        <w:rPr>
          <w:rFonts w:ascii="Times New Roman" w:hAnsi="Times New Roman" w:cs="Times New Roman"/>
          <w:sz w:val="27"/>
          <w:szCs w:val="27"/>
        </w:rPr>
      </w:pPr>
    </w:p>
    <w:p w:rsidR="00C90E6D" w:rsidRPr="00821F18" w:rsidRDefault="00C90E6D" w:rsidP="00821F18">
      <w:pPr>
        <w:spacing w:after="0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5CE3" w:rsidRPr="00035CE3" w:rsidRDefault="00B86785" w:rsidP="00035CE3">
      <w:pPr>
        <w:pStyle w:val="Frspaiere"/>
        <w:ind w:firstLine="426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Secretar de stat</w:t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>Iurii SCRIPNIC</w:t>
      </w:r>
    </w:p>
    <w:p w:rsidR="00EA36CA" w:rsidRDefault="00EA36CA" w:rsidP="006774F1">
      <w:pPr>
        <w:pStyle w:val="Frspaiere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B86785" w:rsidRDefault="00B86785" w:rsidP="006774F1">
      <w:pPr>
        <w:pStyle w:val="Frspaiere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B86785" w:rsidRDefault="00B86785" w:rsidP="006774F1">
      <w:pPr>
        <w:pStyle w:val="Frspaiere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</w:p>
    <w:p w:rsidR="00B86785" w:rsidRDefault="00B86785" w:rsidP="006774F1">
      <w:pPr>
        <w:pStyle w:val="Frspaiere"/>
        <w:ind w:firstLine="426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6774F1" w:rsidRPr="006A5B29" w:rsidRDefault="006774F1" w:rsidP="00821F18">
      <w:pPr>
        <w:pStyle w:val="Frspaiere"/>
        <w:rPr>
          <w:rFonts w:ascii="Times New Roman" w:hAnsi="Times New Roman" w:cs="Times New Roman"/>
          <w:i/>
          <w:sz w:val="20"/>
          <w:szCs w:val="20"/>
        </w:rPr>
      </w:pPr>
      <w:r w:rsidRPr="006A5B29">
        <w:rPr>
          <w:rFonts w:ascii="Times New Roman" w:hAnsi="Times New Roman" w:cs="Times New Roman"/>
          <w:i/>
          <w:sz w:val="20"/>
          <w:szCs w:val="20"/>
        </w:rPr>
        <w:t>Ex.: Maria Leahu,</w:t>
      </w:r>
    </w:p>
    <w:p w:rsidR="00FB5B07" w:rsidRPr="006A5B29" w:rsidRDefault="006774F1" w:rsidP="00821F18">
      <w:pPr>
        <w:pStyle w:val="Frspaiere"/>
        <w:rPr>
          <w:rFonts w:ascii="Times New Roman" w:hAnsi="Times New Roman" w:cs="Times New Roman"/>
          <w:i/>
          <w:sz w:val="26"/>
          <w:szCs w:val="26"/>
        </w:rPr>
      </w:pPr>
      <w:r w:rsidRPr="006A5B29">
        <w:rPr>
          <w:rFonts w:ascii="Times New Roman" w:hAnsi="Times New Roman" w:cs="Times New Roman"/>
          <w:i/>
          <w:sz w:val="20"/>
          <w:szCs w:val="20"/>
        </w:rPr>
        <w:t>Tel.: 022 204 5</w:t>
      </w:r>
      <w:r w:rsidR="00035CE3">
        <w:rPr>
          <w:rFonts w:ascii="Times New Roman" w:hAnsi="Times New Roman" w:cs="Times New Roman"/>
          <w:i/>
          <w:sz w:val="20"/>
          <w:szCs w:val="20"/>
        </w:rPr>
        <w:t>40</w:t>
      </w:r>
      <w:r w:rsidR="00052A52" w:rsidRPr="006A5B29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B5B07" w:rsidRPr="006A5B29" w:rsidSect="00B86785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CC4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83B9A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FF6B1A"/>
    <w:multiLevelType w:val="hybridMultilevel"/>
    <w:tmpl w:val="C7E07400"/>
    <w:lvl w:ilvl="0" w:tplc="38BE4E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02AED7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2572FCD0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843553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1F5877"/>
    <w:multiLevelType w:val="hybridMultilevel"/>
    <w:tmpl w:val="D7F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71A6"/>
    <w:multiLevelType w:val="hybridMultilevel"/>
    <w:tmpl w:val="098A4F7C"/>
    <w:lvl w:ilvl="0" w:tplc="B85054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817CB1"/>
    <w:multiLevelType w:val="hybridMultilevel"/>
    <w:tmpl w:val="58AAD444"/>
    <w:lvl w:ilvl="0" w:tplc="D15C69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D62E38"/>
    <w:multiLevelType w:val="hybridMultilevel"/>
    <w:tmpl w:val="7C822472"/>
    <w:lvl w:ilvl="0" w:tplc="5AB09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45920"/>
    <w:multiLevelType w:val="hybridMultilevel"/>
    <w:tmpl w:val="5A7803EE"/>
    <w:lvl w:ilvl="0" w:tplc="2AB6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55E2"/>
    <w:rsid w:val="00016AA5"/>
    <w:rsid w:val="00031639"/>
    <w:rsid w:val="0003270B"/>
    <w:rsid w:val="00034C9B"/>
    <w:rsid w:val="0003558E"/>
    <w:rsid w:val="00035CE3"/>
    <w:rsid w:val="00044542"/>
    <w:rsid w:val="00047EA8"/>
    <w:rsid w:val="00052A52"/>
    <w:rsid w:val="00053074"/>
    <w:rsid w:val="000978E5"/>
    <w:rsid w:val="000A3406"/>
    <w:rsid w:val="000C3060"/>
    <w:rsid w:val="000D21C1"/>
    <w:rsid w:val="000D64D4"/>
    <w:rsid w:val="000E002E"/>
    <w:rsid w:val="000E5022"/>
    <w:rsid w:val="00105262"/>
    <w:rsid w:val="0010699A"/>
    <w:rsid w:val="00110364"/>
    <w:rsid w:val="00135DD3"/>
    <w:rsid w:val="00154FDA"/>
    <w:rsid w:val="00190770"/>
    <w:rsid w:val="00191A6B"/>
    <w:rsid w:val="001A1FD3"/>
    <w:rsid w:val="001A5E50"/>
    <w:rsid w:val="001B7229"/>
    <w:rsid w:val="001D716B"/>
    <w:rsid w:val="001E0F4C"/>
    <w:rsid w:val="001E6616"/>
    <w:rsid w:val="00200CC9"/>
    <w:rsid w:val="002029FC"/>
    <w:rsid w:val="002035B2"/>
    <w:rsid w:val="00203D22"/>
    <w:rsid w:val="00212AFF"/>
    <w:rsid w:val="00251BC0"/>
    <w:rsid w:val="00253CEA"/>
    <w:rsid w:val="002652BE"/>
    <w:rsid w:val="00265C11"/>
    <w:rsid w:val="00283C2A"/>
    <w:rsid w:val="00286037"/>
    <w:rsid w:val="00293C9D"/>
    <w:rsid w:val="002B1427"/>
    <w:rsid w:val="002B1B1F"/>
    <w:rsid w:val="002B417F"/>
    <w:rsid w:val="002B6BF6"/>
    <w:rsid w:val="002C4C9D"/>
    <w:rsid w:val="00302A18"/>
    <w:rsid w:val="00304449"/>
    <w:rsid w:val="00305C2F"/>
    <w:rsid w:val="0031384D"/>
    <w:rsid w:val="003442C2"/>
    <w:rsid w:val="003443AE"/>
    <w:rsid w:val="003519B6"/>
    <w:rsid w:val="00354205"/>
    <w:rsid w:val="00354650"/>
    <w:rsid w:val="00357054"/>
    <w:rsid w:val="00373F63"/>
    <w:rsid w:val="003936B7"/>
    <w:rsid w:val="00396A80"/>
    <w:rsid w:val="003C0EEB"/>
    <w:rsid w:val="003C3EA3"/>
    <w:rsid w:val="003D127B"/>
    <w:rsid w:val="003F5E92"/>
    <w:rsid w:val="00401DDF"/>
    <w:rsid w:val="00404DA4"/>
    <w:rsid w:val="00423BE9"/>
    <w:rsid w:val="00435AAF"/>
    <w:rsid w:val="0043721C"/>
    <w:rsid w:val="00442B64"/>
    <w:rsid w:val="00455D77"/>
    <w:rsid w:val="00461DB3"/>
    <w:rsid w:val="004742EF"/>
    <w:rsid w:val="00477ED5"/>
    <w:rsid w:val="00484DB2"/>
    <w:rsid w:val="00485C66"/>
    <w:rsid w:val="00486FEB"/>
    <w:rsid w:val="00487303"/>
    <w:rsid w:val="004A291F"/>
    <w:rsid w:val="004C52A2"/>
    <w:rsid w:val="004F1C6C"/>
    <w:rsid w:val="00505E22"/>
    <w:rsid w:val="00514EFA"/>
    <w:rsid w:val="0051551A"/>
    <w:rsid w:val="00531757"/>
    <w:rsid w:val="00533C65"/>
    <w:rsid w:val="00552F9B"/>
    <w:rsid w:val="005570BB"/>
    <w:rsid w:val="0056775B"/>
    <w:rsid w:val="0058012A"/>
    <w:rsid w:val="00583356"/>
    <w:rsid w:val="0059069A"/>
    <w:rsid w:val="00592F8C"/>
    <w:rsid w:val="005A6C93"/>
    <w:rsid w:val="005A70E2"/>
    <w:rsid w:val="005B2FA4"/>
    <w:rsid w:val="005C4F7F"/>
    <w:rsid w:val="005D3913"/>
    <w:rsid w:val="005E2C61"/>
    <w:rsid w:val="005E2CE8"/>
    <w:rsid w:val="005F232D"/>
    <w:rsid w:val="005F345D"/>
    <w:rsid w:val="005F4DA9"/>
    <w:rsid w:val="00600FD2"/>
    <w:rsid w:val="006135A2"/>
    <w:rsid w:val="006312E9"/>
    <w:rsid w:val="00633DD2"/>
    <w:rsid w:val="006445BE"/>
    <w:rsid w:val="00651AB5"/>
    <w:rsid w:val="00674B35"/>
    <w:rsid w:val="006774F1"/>
    <w:rsid w:val="0068747B"/>
    <w:rsid w:val="00694383"/>
    <w:rsid w:val="006966FD"/>
    <w:rsid w:val="006A4773"/>
    <w:rsid w:val="006A583F"/>
    <w:rsid w:val="006A5B29"/>
    <w:rsid w:val="006B64CF"/>
    <w:rsid w:val="006D1EC1"/>
    <w:rsid w:val="006E154F"/>
    <w:rsid w:val="006E619E"/>
    <w:rsid w:val="006F271A"/>
    <w:rsid w:val="00714139"/>
    <w:rsid w:val="00714EBC"/>
    <w:rsid w:val="00720305"/>
    <w:rsid w:val="0075681E"/>
    <w:rsid w:val="007A5C64"/>
    <w:rsid w:val="007B777A"/>
    <w:rsid w:val="007C34C7"/>
    <w:rsid w:val="007C79C0"/>
    <w:rsid w:val="007D75C9"/>
    <w:rsid w:val="007E7138"/>
    <w:rsid w:val="007E7A6F"/>
    <w:rsid w:val="007F0028"/>
    <w:rsid w:val="007F3DCB"/>
    <w:rsid w:val="007F5C63"/>
    <w:rsid w:val="007F784B"/>
    <w:rsid w:val="00801F3B"/>
    <w:rsid w:val="00816506"/>
    <w:rsid w:val="00817BAD"/>
    <w:rsid w:val="008214CC"/>
    <w:rsid w:val="00821F18"/>
    <w:rsid w:val="0083664F"/>
    <w:rsid w:val="00840FFD"/>
    <w:rsid w:val="00841E4B"/>
    <w:rsid w:val="00843CE1"/>
    <w:rsid w:val="00852165"/>
    <w:rsid w:val="00862533"/>
    <w:rsid w:val="00876D54"/>
    <w:rsid w:val="0088003E"/>
    <w:rsid w:val="00882E93"/>
    <w:rsid w:val="00883880"/>
    <w:rsid w:val="008A26FE"/>
    <w:rsid w:val="008A5B0A"/>
    <w:rsid w:val="008A7513"/>
    <w:rsid w:val="008B1819"/>
    <w:rsid w:val="008B3D9C"/>
    <w:rsid w:val="008B5783"/>
    <w:rsid w:val="008C5B79"/>
    <w:rsid w:val="008D0D76"/>
    <w:rsid w:val="008D1FD6"/>
    <w:rsid w:val="008D560C"/>
    <w:rsid w:val="008E3470"/>
    <w:rsid w:val="008F0A61"/>
    <w:rsid w:val="009007B8"/>
    <w:rsid w:val="00901294"/>
    <w:rsid w:val="00902038"/>
    <w:rsid w:val="009165BE"/>
    <w:rsid w:val="00933BE2"/>
    <w:rsid w:val="0095752E"/>
    <w:rsid w:val="00981C5B"/>
    <w:rsid w:val="009A0E0D"/>
    <w:rsid w:val="009A2E7D"/>
    <w:rsid w:val="009B6AAD"/>
    <w:rsid w:val="009D20BD"/>
    <w:rsid w:val="009D2CA8"/>
    <w:rsid w:val="009D5F96"/>
    <w:rsid w:val="009D734B"/>
    <w:rsid w:val="009E6C16"/>
    <w:rsid w:val="009F3015"/>
    <w:rsid w:val="009F6832"/>
    <w:rsid w:val="00A23DF2"/>
    <w:rsid w:val="00A30B52"/>
    <w:rsid w:val="00A3217D"/>
    <w:rsid w:val="00A538C6"/>
    <w:rsid w:val="00A54C02"/>
    <w:rsid w:val="00A54CF6"/>
    <w:rsid w:val="00A559AF"/>
    <w:rsid w:val="00A64BF9"/>
    <w:rsid w:val="00A74930"/>
    <w:rsid w:val="00A76EC4"/>
    <w:rsid w:val="00A90F1E"/>
    <w:rsid w:val="00A9689A"/>
    <w:rsid w:val="00AA25DE"/>
    <w:rsid w:val="00AA7650"/>
    <w:rsid w:val="00AB0B42"/>
    <w:rsid w:val="00AC7944"/>
    <w:rsid w:val="00AE366D"/>
    <w:rsid w:val="00AF7676"/>
    <w:rsid w:val="00B01798"/>
    <w:rsid w:val="00B05773"/>
    <w:rsid w:val="00B119CA"/>
    <w:rsid w:val="00B404B6"/>
    <w:rsid w:val="00B506B6"/>
    <w:rsid w:val="00B717B0"/>
    <w:rsid w:val="00B75824"/>
    <w:rsid w:val="00B844E2"/>
    <w:rsid w:val="00B86785"/>
    <w:rsid w:val="00B87A89"/>
    <w:rsid w:val="00BA1D8C"/>
    <w:rsid w:val="00BC5688"/>
    <w:rsid w:val="00BD1209"/>
    <w:rsid w:val="00BE3716"/>
    <w:rsid w:val="00C00D97"/>
    <w:rsid w:val="00C0500F"/>
    <w:rsid w:val="00C05BBC"/>
    <w:rsid w:val="00C151CE"/>
    <w:rsid w:val="00C15DEB"/>
    <w:rsid w:val="00C16786"/>
    <w:rsid w:val="00C37015"/>
    <w:rsid w:val="00C37520"/>
    <w:rsid w:val="00C533A6"/>
    <w:rsid w:val="00C551C9"/>
    <w:rsid w:val="00C57B3D"/>
    <w:rsid w:val="00C61643"/>
    <w:rsid w:val="00C70BA5"/>
    <w:rsid w:val="00C77552"/>
    <w:rsid w:val="00C77F1F"/>
    <w:rsid w:val="00C87DE8"/>
    <w:rsid w:val="00C90E6D"/>
    <w:rsid w:val="00C9635A"/>
    <w:rsid w:val="00CA11A5"/>
    <w:rsid w:val="00CE3264"/>
    <w:rsid w:val="00CE4E30"/>
    <w:rsid w:val="00CF01E2"/>
    <w:rsid w:val="00D06090"/>
    <w:rsid w:val="00D1070B"/>
    <w:rsid w:val="00D17A35"/>
    <w:rsid w:val="00D252CC"/>
    <w:rsid w:val="00D30D2C"/>
    <w:rsid w:val="00D371A8"/>
    <w:rsid w:val="00D57398"/>
    <w:rsid w:val="00D67604"/>
    <w:rsid w:val="00D72B66"/>
    <w:rsid w:val="00D76F35"/>
    <w:rsid w:val="00D856B1"/>
    <w:rsid w:val="00D8590B"/>
    <w:rsid w:val="00D92294"/>
    <w:rsid w:val="00DB20B3"/>
    <w:rsid w:val="00DB25E4"/>
    <w:rsid w:val="00DD5554"/>
    <w:rsid w:val="00DD5ED2"/>
    <w:rsid w:val="00DE6B4B"/>
    <w:rsid w:val="00DE714C"/>
    <w:rsid w:val="00DE79CC"/>
    <w:rsid w:val="00DF0C38"/>
    <w:rsid w:val="00DF5566"/>
    <w:rsid w:val="00E265EC"/>
    <w:rsid w:val="00E41F6B"/>
    <w:rsid w:val="00E43756"/>
    <w:rsid w:val="00E43BF5"/>
    <w:rsid w:val="00E46302"/>
    <w:rsid w:val="00E53DA7"/>
    <w:rsid w:val="00E65901"/>
    <w:rsid w:val="00E84C70"/>
    <w:rsid w:val="00EA36CA"/>
    <w:rsid w:val="00EA5D19"/>
    <w:rsid w:val="00EB6A8A"/>
    <w:rsid w:val="00EC4F71"/>
    <w:rsid w:val="00EC614C"/>
    <w:rsid w:val="00EC649C"/>
    <w:rsid w:val="00EC6634"/>
    <w:rsid w:val="00ED2C77"/>
    <w:rsid w:val="00EE20ED"/>
    <w:rsid w:val="00EE4231"/>
    <w:rsid w:val="00EF5DDA"/>
    <w:rsid w:val="00F06E5F"/>
    <w:rsid w:val="00F07C43"/>
    <w:rsid w:val="00F23432"/>
    <w:rsid w:val="00F3249C"/>
    <w:rsid w:val="00F43C39"/>
    <w:rsid w:val="00F52246"/>
    <w:rsid w:val="00F5404A"/>
    <w:rsid w:val="00F83ACE"/>
    <w:rsid w:val="00F87C82"/>
    <w:rsid w:val="00FA18A5"/>
    <w:rsid w:val="00FA3E03"/>
    <w:rsid w:val="00FB1237"/>
    <w:rsid w:val="00FB5B07"/>
    <w:rsid w:val="00FD1DE0"/>
    <w:rsid w:val="00FE450B"/>
    <w:rsid w:val="00FE4D99"/>
    <w:rsid w:val="00FF1655"/>
    <w:rsid w:val="00FF3937"/>
    <w:rsid w:val="00FF4D6D"/>
    <w:rsid w:val="00FF56E7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B0DA0-68E6-4F57-86E2-2CA5AC6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0">
    <w:name w:val="Font Style20"/>
    <w:basedOn w:val="Fontdeparagrafimplici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Frspaiere">
    <w:name w:val="No Spacing"/>
    <w:link w:val="FrspaiereCaracter"/>
    <w:uiPriority w:val="1"/>
    <w:qFormat/>
    <w:rsid w:val="00486FEB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486FEB"/>
    <w:rPr>
      <w:lang w:val="ro-RO"/>
    </w:rPr>
  </w:style>
  <w:style w:type="character" w:customStyle="1" w:styleId="2">
    <w:name w:val="Основной текст (2)"/>
    <w:basedOn w:val="Fontdeparagrafimplici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B417F"/>
  </w:style>
  <w:style w:type="character" w:customStyle="1" w:styleId="1">
    <w:name w:val="Заголовок №1"/>
    <w:basedOn w:val="Fontdeparagrafimplici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C151C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AF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B176-E6AF-434F-B84A-1A5B851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Maria Leahu</cp:lastModifiedBy>
  <cp:revision>2</cp:revision>
  <cp:lastPrinted>2023-09-11T11:45:00Z</cp:lastPrinted>
  <dcterms:created xsi:type="dcterms:W3CDTF">2023-09-11T11:45:00Z</dcterms:created>
  <dcterms:modified xsi:type="dcterms:W3CDTF">2023-09-11T11:45:00Z</dcterms:modified>
</cp:coreProperties>
</file>