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19C03" w14:textId="77777777" w:rsidR="006F0E04" w:rsidRPr="00010A13" w:rsidRDefault="006F0E04" w:rsidP="006F0E04">
      <w:pPr>
        <w:tabs>
          <w:tab w:val="left" w:pos="884"/>
          <w:tab w:val="left" w:pos="1196"/>
        </w:tabs>
        <w:jc w:val="center"/>
        <w:rPr>
          <w:b/>
          <w:sz w:val="24"/>
          <w:szCs w:val="24"/>
          <w:lang w:val="ro-MD"/>
        </w:rPr>
      </w:pPr>
      <w:r w:rsidRPr="00010A13">
        <w:rPr>
          <w:b/>
          <w:sz w:val="24"/>
          <w:szCs w:val="24"/>
          <w:lang w:val="ro-MD"/>
        </w:rPr>
        <w:t>Nota informativă</w:t>
      </w:r>
    </w:p>
    <w:p w14:paraId="6AFB08F6" w14:textId="77777777" w:rsidR="006F0E04" w:rsidRPr="00010A13" w:rsidRDefault="006F0E04" w:rsidP="006F0E04">
      <w:pPr>
        <w:tabs>
          <w:tab w:val="left" w:pos="884"/>
          <w:tab w:val="left" w:pos="1196"/>
        </w:tabs>
        <w:jc w:val="center"/>
        <w:rPr>
          <w:b/>
          <w:sz w:val="24"/>
          <w:szCs w:val="24"/>
          <w:lang w:val="ro-MD"/>
        </w:rPr>
      </w:pPr>
      <w:r w:rsidRPr="00010A13">
        <w:rPr>
          <w:b/>
          <w:sz w:val="24"/>
          <w:szCs w:val="24"/>
          <w:lang w:val="ro-MD"/>
        </w:rPr>
        <w:t xml:space="preserve">la proiectul dispoziției Guvernului cu privire la aprobarea Regulamentului Comisiei specializate în cadrul Consiliului național pentru drepturile omului coordonată de către Ministerul Muncii și Protecției Sociale </w:t>
      </w:r>
    </w:p>
    <w:p w14:paraId="3B93B875" w14:textId="77777777" w:rsidR="006F0E04" w:rsidRPr="00010A13" w:rsidRDefault="006F0E04" w:rsidP="006F0E04">
      <w:pPr>
        <w:tabs>
          <w:tab w:val="left" w:pos="884"/>
          <w:tab w:val="left" w:pos="1196"/>
        </w:tabs>
        <w:jc w:val="center"/>
        <w:rPr>
          <w:b/>
          <w:sz w:val="24"/>
          <w:szCs w:val="24"/>
          <w:vertAlign w:val="superscript"/>
          <w:lang w:val="ro-MD"/>
        </w:rPr>
      </w:pPr>
    </w:p>
    <w:tbl>
      <w:tblPr>
        <w:tblW w:w="490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88"/>
      </w:tblGrid>
      <w:tr w:rsidR="006F0E04" w:rsidRPr="00010A13" w14:paraId="158313A5" w14:textId="77777777" w:rsidTr="00156B2F">
        <w:tc>
          <w:tcPr>
            <w:tcW w:w="5000" w:type="pct"/>
          </w:tcPr>
          <w:p w14:paraId="2D183A58" w14:textId="237AA55D" w:rsidR="006F0E04" w:rsidRPr="00010A13" w:rsidRDefault="006F0E04" w:rsidP="006F0E04">
            <w:pPr>
              <w:widowControl/>
              <w:numPr>
                <w:ilvl w:val="3"/>
                <w:numId w:val="1"/>
              </w:numPr>
              <w:tabs>
                <w:tab w:val="clear" w:pos="2880"/>
                <w:tab w:val="left" w:pos="284"/>
                <w:tab w:val="left" w:pos="1196"/>
              </w:tabs>
              <w:autoSpaceDE/>
              <w:autoSpaceDN/>
              <w:ind w:left="0" w:firstLine="0"/>
              <w:jc w:val="both"/>
              <w:rPr>
                <w:b/>
                <w:bCs/>
                <w:sz w:val="24"/>
                <w:szCs w:val="24"/>
                <w:lang w:val="ro-MD"/>
              </w:rPr>
            </w:pPr>
            <w:r w:rsidRPr="00010A13">
              <w:rPr>
                <w:b/>
                <w:bCs/>
                <w:sz w:val="24"/>
                <w:szCs w:val="24"/>
                <w:lang w:val="ro-MD"/>
              </w:rPr>
              <w:t xml:space="preserve"> Denumirea autorului </w:t>
            </w:r>
            <w:proofErr w:type="spellStart"/>
            <w:r w:rsidRPr="00010A13">
              <w:rPr>
                <w:b/>
                <w:bCs/>
                <w:sz w:val="24"/>
                <w:szCs w:val="24"/>
                <w:lang w:val="ro-MD"/>
              </w:rPr>
              <w:t>şi</w:t>
            </w:r>
            <w:proofErr w:type="spellEnd"/>
            <w:r w:rsidRPr="00010A13">
              <w:rPr>
                <w:b/>
                <w:bCs/>
                <w:sz w:val="24"/>
                <w:szCs w:val="24"/>
                <w:lang w:val="ro-MD"/>
              </w:rPr>
              <w:t xml:space="preserve">, după caz, a </w:t>
            </w:r>
            <w:r w:rsidRPr="00010A13">
              <w:rPr>
                <w:b/>
                <w:bCs/>
                <w:sz w:val="24"/>
                <w:szCs w:val="24"/>
                <w:lang w:val="ro-MD"/>
              </w:rPr>
              <w:t>participanților</w:t>
            </w:r>
            <w:r w:rsidRPr="00010A13">
              <w:rPr>
                <w:b/>
                <w:bCs/>
                <w:sz w:val="24"/>
                <w:szCs w:val="24"/>
                <w:lang w:val="ro-MD"/>
              </w:rPr>
              <w:t xml:space="preserve"> la elaborarea proiectului</w:t>
            </w:r>
          </w:p>
        </w:tc>
      </w:tr>
      <w:tr w:rsidR="006F0E04" w:rsidRPr="00010A13" w14:paraId="5BC31F51" w14:textId="77777777" w:rsidTr="00156B2F">
        <w:tc>
          <w:tcPr>
            <w:tcW w:w="5000" w:type="pct"/>
          </w:tcPr>
          <w:p w14:paraId="609553F7" w14:textId="77777777" w:rsidR="006F0E04" w:rsidRPr="00010A13" w:rsidRDefault="006F0E04" w:rsidP="00156B2F">
            <w:pPr>
              <w:tabs>
                <w:tab w:val="left" w:pos="884"/>
                <w:tab w:val="left" w:pos="1196"/>
              </w:tabs>
              <w:jc w:val="both"/>
              <w:rPr>
                <w:sz w:val="24"/>
                <w:szCs w:val="24"/>
                <w:lang w:val="ro-MD"/>
              </w:rPr>
            </w:pPr>
            <w:r w:rsidRPr="00010A13">
              <w:rPr>
                <w:bCs/>
                <w:sz w:val="24"/>
                <w:szCs w:val="24"/>
                <w:lang w:val="ro-MD"/>
              </w:rPr>
              <w:t>Proiectul de dispoziție a Guvernului cu privire la aprobarea Regulamentului Comisiei specializate în cadrul Consiliului național pentru drepturile omului coordonată de către Ministerul Muncii și Protecției Sociale, a fost elaborat de către Ministerul Muncii și Protecției Sociale.</w:t>
            </w:r>
          </w:p>
        </w:tc>
      </w:tr>
      <w:tr w:rsidR="006F0E04" w:rsidRPr="00010A13" w14:paraId="67729879" w14:textId="77777777" w:rsidTr="00156B2F">
        <w:tc>
          <w:tcPr>
            <w:tcW w:w="5000" w:type="pct"/>
          </w:tcPr>
          <w:p w14:paraId="6795588A" w14:textId="6CEF9F08" w:rsidR="006F0E04" w:rsidRPr="00010A13" w:rsidRDefault="006F0E04" w:rsidP="00156B2F">
            <w:pPr>
              <w:tabs>
                <w:tab w:val="left" w:pos="884"/>
                <w:tab w:val="left" w:pos="1196"/>
              </w:tabs>
              <w:jc w:val="both"/>
              <w:rPr>
                <w:b/>
                <w:bCs/>
                <w:sz w:val="24"/>
                <w:szCs w:val="24"/>
                <w:lang w:val="ro-MD"/>
              </w:rPr>
            </w:pPr>
            <w:r w:rsidRPr="00010A13">
              <w:rPr>
                <w:b/>
                <w:bCs/>
                <w:sz w:val="24"/>
                <w:szCs w:val="24"/>
                <w:lang w:val="ro-MD"/>
              </w:rPr>
              <w:t xml:space="preserve">2. </w:t>
            </w:r>
            <w:proofErr w:type="spellStart"/>
            <w:r w:rsidRPr="00010A13">
              <w:rPr>
                <w:b/>
                <w:bCs/>
                <w:sz w:val="24"/>
                <w:szCs w:val="24"/>
                <w:lang w:val="ro-MD"/>
              </w:rPr>
              <w:t>Condiţiile</w:t>
            </w:r>
            <w:proofErr w:type="spellEnd"/>
            <w:r w:rsidRPr="00010A13">
              <w:rPr>
                <w:b/>
                <w:bCs/>
                <w:sz w:val="24"/>
                <w:szCs w:val="24"/>
                <w:lang w:val="ro-MD"/>
              </w:rPr>
              <w:t xml:space="preserve"> ce au impus elaborarea proiectului de act normativ </w:t>
            </w:r>
            <w:proofErr w:type="spellStart"/>
            <w:r w:rsidRPr="00010A13">
              <w:rPr>
                <w:b/>
                <w:bCs/>
                <w:sz w:val="24"/>
                <w:szCs w:val="24"/>
                <w:lang w:val="ro-MD"/>
              </w:rPr>
              <w:t>şi</w:t>
            </w:r>
            <w:proofErr w:type="spellEnd"/>
            <w:r w:rsidRPr="00010A13">
              <w:rPr>
                <w:b/>
                <w:bCs/>
                <w:sz w:val="24"/>
                <w:szCs w:val="24"/>
                <w:lang w:val="ro-MD"/>
              </w:rPr>
              <w:t xml:space="preserve"> </w:t>
            </w:r>
            <w:r w:rsidRPr="00010A13">
              <w:rPr>
                <w:b/>
                <w:bCs/>
                <w:sz w:val="24"/>
                <w:szCs w:val="24"/>
                <w:lang w:val="ro-MD"/>
              </w:rPr>
              <w:t>finalitățile</w:t>
            </w:r>
            <w:r w:rsidRPr="00010A13">
              <w:rPr>
                <w:b/>
                <w:bCs/>
                <w:sz w:val="24"/>
                <w:szCs w:val="24"/>
                <w:lang w:val="ro-MD"/>
              </w:rPr>
              <w:t xml:space="preserve"> urmărite</w:t>
            </w:r>
          </w:p>
        </w:tc>
      </w:tr>
      <w:tr w:rsidR="006F0E04" w:rsidRPr="00010A13" w14:paraId="2C19B5C5" w14:textId="77777777" w:rsidTr="00156B2F">
        <w:tc>
          <w:tcPr>
            <w:tcW w:w="5000" w:type="pct"/>
          </w:tcPr>
          <w:p w14:paraId="32503AD7" w14:textId="77777777" w:rsidR="006F0E04" w:rsidRPr="00010A13" w:rsidRDefault="006F0E04" w:rsidP="00156B2F">
            <w:pPr>
              <w:tabs>
                <w:tab w:val="left" w:pos="360"/>
                <w:tab w:val="left" w:pos="694"/>
                <w:tab w:val="left" w:pos="1196"/>
              </w:tabs>
              <w:jc w:val="both"/>
              <w:rPr>
                <w:sz w:val="24"/>
                <w:szCs w:val="24"/>
                <w:lang w:val="ro-MD"/>
              </w:rPr>
            </w:pPr>
            <w:r w:rsidRPr="00010A13">
              <w:rPr>
                <w:sz w:val="24"/>
                <w:szCs w:val="24"/>
                <w:lang w:val="ro-MD"/>
              </w:rPr>
              <w:t xml:space="preserve">Proiectul a fost elaborat în temeiul art.7 </w:t>
            </w:r>
            <w:proofErr w:type="spellStart"/>
            <w:r w:rsidRPr="00010A13">
              <w:rPr>
                <w:sz w:val="24"/>
                <w:szCs w:val="24"/>
                <w:lang w:val="ro-MD"/>
              </w:rPr>
              <w:t>lit.k</w:t>
            </w:r>
            <w:proofErr w:type="spellEnd"/>
            <w:r w:rsidRPr="00010A13">
              <w:rPr>
                <w:sz w:val="24"/>
                <w:szCs w:val="24"/>
                <w:lang w:val="ro-MD"/>
              </w:rPr>
              <w:t>) Din Legea nr.136/2017 cu privire la Guvern și conform Deciziei nr.1 din 25 august 2022 al ședinței Consiliului național pentru drepturile omului.</w:t>
            </w:r>
          </w:p>
          <w:p w14:paraId="4AEE1EA0" w14:textId="77777777" w:rsidR="006F0E04" w:rsidRPr="00010A13" w:rsidRDefault="006F0E04" w:rsidP="00156B2F">
            <w:pPr>
              <w:tabs>
                <w:tab w:val="left" w:pos="360"/>
                <w:tab w:val="left" w:pos="694"/>
                <w:tab w:val="left" w:pos="1196"/>
              </w:tabs>
              <w:jc w:val="both"/>
              <w:rPr>
                <w:sz w:val="24"/>
                <w:szCs w:val="24"/>
                <w:lang w:val="ro-MD"/>
              </w:rPr>
            </w:pPr>
            <w:r w:rsidRPr="00010A13">
              <w:rPr>
                <w:sz w:val="24"/>
                <w:szCs w:val="24"/>
                <w:lang w:val="ro-MD"/>
              </w:rPr>
              <w:t>În acest context, pentru implementarea prevederilor Deciziei nr.1 din 25 august 2022 al ședinței Consiliului național pentru drepturile omului este necesară aprobarea  Regulamentului Comisiei specializate în cadrul Consiliului național pentru drepturile omului coordonată de către Ministerul Muncii și Protecției Sociale.</w:t>
            </w:r>
          </w:p>
        </w:tc>
      </w:tr>
      <w:tr w:rsidR="006F0E04" w:rsidRPr="00010A13" w14:paraId="6734C0EE" w14:textId="77777777" w:rsidTr="00156B2F">
        <w:tc>
          <w:tcPr>
            <w:tcW w:w="5000" w:type="pct"/>
          </w:tcPr>
          <w:p w14:paraId="715F11A4" w14:textId="77777777" w:rsidR="006F0E04" w:rsidRPr="00010A13" w:rsidRDefault="006F0E04" w:rsidP="00156B2F">
            <w:pPr>
              <w:tabs>
                <w:tab w:val="left" w:pos="884"/>
                <w:tab w:val="left" w:pos="1196"/>
              </w:tabs>
              <w:jc w:val="both"/>
              <w:rPr>
                <w:b/>
                <w:bCs/>
                <w:sz w:val="24"/>
                <w:szCs w:val="24"/>
                <w:lang w:val="ro-MD"/>
              </w:rPr>
            </w:pPr>
            <w:r w:rsidRPr="00010A13">
              <w:rPr>
                <w:b/>
                <w:bCs/>
                <w:sz w:val="24"/>
                <w:szCs w:val="24"/>
                <w:lang w:val="ro-MD"/>
              </w:rPr>
              <w:t xml:space="preserve">3. Descrierea gradului de compatibilitate pentru proiectele care au ca scop armonizarea </w:t>
            </w:r>
            <w:proofErr w:type="spellStart"/>
            <w:r w:rsidRPr="00010A13">
              <w:rPr>
                <w:b/>
                <w:bCs/>
                <w:sz w:val="24"/>
                <w:szCs w:val="24"/>
                <w:lang w:val="ro-MD"/>
              </w:rPr>
              <w:t>legislaţiei</w:t>
            </w:r>
            <w:proofErr w:type="spellEnd"/>
            <w:r w:rsidRPr="00010A13">
              <w:rPr>
                <w:b/>
                <w:bCs/>
                <w:sz w:val="24"/>
                <w:szCs w:val="24"/>
                <w:lang w:val="ro-MD"/>
              </w:rPr>
              <w:t xml:space="preserve"> </w:t>
            </w:r>
            <w:proofErr w:type="spellStart"/>
            <w:r w:rsidRPr="00010A13">
              <w:rPr>
                <w:b/>
                <w:bCs/>
                <w:sz w:val="24"/>
                <w:szCs w:val="24"/>
                <w:lang w:val="ro-MD"/>
              </w:rPr>
              <w:t>naţionale</w:t>
            </w:r>
            <w:proofErr w:type="spellEnd"/>
            <w:r w:rsidRPr="00010A13">
              <w:rPr>
                <w:b/>
                <w:bCs/>
                <w:sz w:val="24"/>
                <w:szCs w:val="24"/>
                <w:lang w:val="ro-MD"/>
              </w:rPr>
              <w:t xml:space="preserve"> cu legislația Uniunii Europene</w:t>
            </w:r>
          </w:p>
        </w:tc>
      </w:tr>
      <w:tr w:rsidR="006F0E04" w:rsidRPr="00010A13" w14:paraId="6A5B458E" w14:textId="77777777" w:rsidTr="00156B2F">
        <w:tc>
          <w:tcPr>
            <w:tcW w:w="5000" w:type="pct"/>
          </w:tcPr>
          <w:p w14:paraId="6DDA4A24" w14:textId="77777777" w:rsidR="006F0E04" w:rsidRPr="00010A13" w:rsidRDefault="006F0E04" w:rsidP="00156B2F">
            <w:pPr>
              <w:tabs>
                <w:tab w:val="left" w:pos="884"/>
                <w:tab w:val="left" w:pos="1196"/>
              </w:tabs>
              <w:jc w:val="both"/>
              <w:rPr>
                <w:sz w:val="24"/>
                <w:szCs w:val="24"/>
                <w:lang w:val="ro-MD"/>
              </w:rPr>
            </w:pPr>
            <w:r w:rsidRPr="00010A13">
              <w:rPr>
                <w:sz w:val="24"/>
                <w:szCs w:val="24"/>
                <w:lang w:val="ro-MD"/>
              </w:rPr>
              <w:t xml:space="preserve">Proiectul în cauză nu are drept scop armonizarea legislației naționale cu legislația Uniunii Europene.                                                                                                                                                                                                                                                                                                                                                                                                                                                                                                                                                                                                                                                                                                                                                                                                                                                                                                                                                                                                                                                                                                                                                                                                                                                                                                                                                                                                                                                                                                                                                                                                                                                                                                                                                                                                                                                                                                                                                                                                                                                                                                                                                                                                                                                                                                                                                                                                                                                                                                                                                                                                                                                                                                                                                                                                                                                                                                                                                                                                                                                                                                                                                                                                                                                                                                                                                                                                                                                                                                                                                                                                                                                                                                                                                                                                                                                                                                                                                                                                                                                                                                                                                                                                                                                                                                                                                                                                                                                                                                                                                                                                                                                                                                                                                                                                                                                                                                                                                                                                                                                                                                                                                                                                                                                                                                                                                                                                                                                                                                                                                                                                                                                                                                                                                                                                                                                                                                                                                                                                                                                                                                                                                                                                                                                                                                                                                                                                                                                                                                                                                                                                                                                                                                                                                                                                                                                                                                                                                                                                                                                                                                                                                                                                                                                                                                                                                                                                                                                                                      </w:t>
            </w:r>
          </w:p>
        </w:tc>
      </w:tr>
      <w:tr w:rsidR="006F0E04" w:rsidRPr="00010A13" w14:paraId="698428EB" w14:textId="77777777" w:rsidTr="00156B2F">
        <w:tc>
          <w:tcPr>
            <w:tcW w:w="5000" w:type="pct"/>
          </w:tcPr>
          <w:p w14:paraId="4A8849CD" w14:textId="77777777" w:rsidR="006F0E04" w:rsidRPr="00010A13" w:rsidRDefault="006F0E04" w:rsidP="00156B2F">
            <w:pPr>
              <w:tabs>
                <w:tab w:val="left" w:pos="884"/>
                <w:tab w:val="left" w:pos="1196"/>
              </w:tabs>
              <w:jc w:val="both"/>
              <w:rPr>
                <w:b/>
                <w:bCs/>
                <w:sz w:val="24"/>
                <w:szCs w:val="24"/>
                <w:lang w:val="ro-MD"/>
              </w:rPr>
            </w:pPr>
            <w:r w:rsidRPr="00010A13">
              <w:rPr>
                <w:b/>
                <w:bCs/>
                <w:sz w:val="24"/>
                <w:szCs w:val="24"/>
                <w:lang w:val="ro-MD"/>
              </w:rPr>
              <w:t xml:space="preserve">4. Principalele prevederi ale proiectului </w:t>
            </w:r>
            <w:proofErr w:type="spellStart"/>
            <w:r w:rsidRPr="00010A13">
              <w:rPr>
                <w:b/>
                <w:bCs/>
                <w:sz w:val="24"/>
                <w:szCs w:val="24"/>
                <w:lang w:val="ro-MD"/>
              </w:rPr>
              <w:t>şi</w:t>
            </w:r>
            <w:proofErr w:type="spellEnd"/>
            <w:r w:rsidRPr="00010A13">
              <w:rPr>
                <w:b/>
                <w:bCs/>
                <w:sz w:val="24"/>
                <w:szCs w:val="24"/>
                <w:lang w:val="ro-MD"/>
              </w:rPr>
              <w:t xml:space="preserve"> evidențierea elementelor noi</w:t>
            </w:r>
          </w:p>
        </w:tc>
      </w:tr>
      <w:tr w:rsidR="006F0E04" w:rsidRPr="00010A13" w14:paraId="2546B35C" w14:textId="77777777" w:rsidTr="00156B2F">
        <w:tc>
          <w:tcPr>
            <w:tcW w:w="5000" w:type="pct"/>
          </w:tcPr>
          <w:p w14:paraId="0E22AB59" w14:textId="77777777" w:rsidR="006F0E04" w:rsidRPr="00010A13" w:rsidRDefault="006F0E04" w:rsidP="00156B2F">
            <w:pPr>
              <w:tabs>
                <w:tab w:val="left" w:pos="567"/>
                <w:tab w:val="left" w:pos="1196"/>
              </w:tabs>
              <w:jc w:val="both"/>
              <w:rPr>
                <w:sz w:val="24"/>
                <w:szCs w:val="24"/>
                <w:lang w:val="ro-MD"/>
              </w:rPr>
            </w:pPr>
            <w:r w:rsidRPr="00010A13">
              <w:rPr>
                <w:sz w:val="24"/>
                <w:szCs w:val="24"/>
                <w:lang w:val="ro-MD"/>
              </w:rPr>
              <w:t>Prin intermediul proiectului dat, se propune aprobarea Regulamentului Comisiei specializate în cadrul Consiliului național pentru drepturile omului coordonată de către Ministerul Muncii și Protecției Sociale.</w:t>
            </w:r>
          </w:p>
          <w:p w14:paraId="63141EFE" w14:textId="77777777" w:rsidR="006F0E04" w:rsidRPr="00010A13" w:rsidRDefault="006F0E04" w:rsidP="00156B2F">
            <w:pPr>
              <w:tabs>
                <w:tab w:val="left" w:pos="567"/>
                <w:tab w:val="left" w:pos="1196"/>
              </w:tabs>
              <w:jc w:val="both"/>
              <w:rPr>
                <w:sz w:val="24"/>
                <w:szCs w:val="24"/>
                <w:lang w:val="ro-MD"/>
              </w:rPr>
            </w:pPr>
            <w:r w:rsidRPr="00010A13">
              <w:rPr>
                <w:sz w:val="24"/>
                <w:szCs w:val="24"/>
                <w:lang w:val="ro-MD"/>
              </w:rPr>
              <w:t>Comisia specializată reprezintă mecanismul instituțional pentru coordonarea și monitorizarea implementării următoarelor tratate: Carta Socială Europeană, Convenția Consiliului Europei pentru prevenirea și combaterea violenței împotriva femeilor și a violenței domestice (Convenția de la Istanbul), Pactul Internațional privind drepturile economice, sociale și culturale (ICESCR), Convenția privind Eliminarea tuturor Formelor de discriminare împotriva femeilor (CEDAW), Convenția pentru drepturile persoanelor cu dizabilități (CRPD), Convenția privind drepturile copilului CRC).</w:t>
            </w:r>
          </w:p>
          <w:p w14:paraId="15F5CFD1" w14:textId="421C71F9" w:rsidR="006F0E04" w:rsidRPr="00010A13" w:rsidRDefault="006F0E04" w:rsidP="00156B2F">
            <w:pPr>
              <w:tabs>
                <w:tab w:val="left" w:pos="567"/>
                <w:tab w:val="left" w:pos="1196"/>
              </w:tabs>
              <w:jc w:val="both"/>
              <w:rPr>
                <w:sz w:val="24"/>
                <w:szCs w:val="24"/>
                <w:lang w:val="ro-MD"/>
              </w:rPr>
            </w:pPr>
            <w:r w:rsidRPr="00010A13">
              <w:rPr>
                <w:sz w:val="24"/>
                <w:szCs w:val="24"/>
                <w:lang w:val="ro-MD"/>
              </w:rPr>
              <w:t xml:space="preserve">Regulamentul conține prevederi privind misiunea, obiectivele și atribuțiile Comisiei, stabilind și componența, drepturile  și obligațiile membrilor  precum și procedura de </w:t>
            </w:r>
            <w:r w:rsidRPr="00010A13">
              <w:rPr>
                <w:sz w:val="24"/>
                <w:szCs w:val="24"/>
                <w:lang w:val="ro-MD"/>
              </w:rPr>
              <w:t>desfășurare</w:t>
            </w:r>
            <w:r w:rsidRPr="00010A13">
              <w:rPr>
                <w:sz w:val="24"/>
                <w:szCs w:val="24"/>
                <w:lang w:val="ro-MD"/>
              </w:rPr>
              <w:t xml:space="preserve"> a ședințelor. </w:t>
            </w:r>
          </w:p>
          <w:p w14:paraId="12323ABA" w14:textId="659BE91E" w:rsidR="006F0E04" w:rsidRPr="00010A13" w:rsidRDefault="006F0E04" w:rsidP="00156B2F">
            <w:pPr>
              <w:tabs>
                <w:tab w:val="left" w:pos="567"/>
                <w:tab w:val="left" w:pos="1196"/>
              </w:tabs>
              <w:jc w:val="both"/>
              <w:rPr>
                <w:sz w:val="24"/>
                <w:szCs w:val="24"/>
                <w:lang w:val="ro-MD"/>
              </w:rPr>
            </w:pPr>
            <w:r w:rsidRPr="00010A13">
              <w:rPr>
                <w:sz w:val="24"/>
                <w:szCs w:val="24"/>
                <w:lang w:val="ro-MD"/>
              </w:rPr>
              <w:t xml:space="preserve">Președinția va fi asigurată de Secretarul de stat al Ministerului Muncii și </w:t>
            </w:r>
            <w:r w:rsidRPr="00010A13">
              <w:rPr>
                <w:sz w:val="24"/>
                <w:szCs w:val="24"/>
                <w:lang w:val="ro-MD"/>
              </w:rPr>
              <w:t>Protecției</w:t>
            </w:r>
            <w:r w:rsidRPr="00010A13">
              <w:rPr>
                <w:sz w:val="24"/>
                <w:szCs w:val="24"/>
                <w:lang w:val="ro-MD"/>
              </w:rPr>
              <w:t xml:space="preserve"> Sociale pe domeniul de competență al căruia țin scopurile tratatelor, iar ședințele Comisiei se convoacă la necesitate, dar nu mai rar decât de două ori pe an.</w:t>
            </w:r>
          </w:p>
          <w:p w14:paraId="2C03B515" w14:textId="77777777" w:rsidR="006F0E04" w:rsidRPr="00010A13" w:rsidRDefault="006F0E04" w:rsidP="00156B2F">
            <w:pPr>
              <w:tabs>
                <w:tab w:val="left" w:pos="567"/>
                <w:tab w:val="left" w:pos="1196"/>
              </w:tabs>
              <w:jc w:val="both"/>
              <w:rPr>
                <w:sz w:val="24"/>
                <w:szCs w:val="24"/>
                <w:lang w:val="ro-MD"/>
              </w:rPr>
            </w:pPr>
            <w:r w:rsidRPr="00010A13">
              <w:rPr>
                <w:sz w:val="24"/>
                <w:szCs w:val="24"/>
                <w:lang w:val="ro-MD"/>
              </w:rPr>
              <w:t>Pentru a asigura protecția drepturilor și libertăților fundamentale ale omului și realizarea angajamentelor internaționale ale Republicii Moldov, se propune intrarea în vigoare a actului normativ la data publicării, conform art.56 alin (3) din Legea nr.100/2017 cu privire la actele normative.</w:t>
            </w:r>
          </w:p>
        </w:tc>
      </w:tr>
      <w:tr w:rsidR="006F0E04" w:rsidRPr="00010A13" w14:paraId="65DFE039" w14:textId="77777777" w:rsidTr="00156B2F">
        <w:tc>
          <w:tcPr>
            <w:tcW w:w="5000" w:type="pct"/>
          </w:tcPr>
          <w:p w14:paraId="245B83E6" w14:textId="77777777" w:rsidR="006F0E04" w:rsidRPr="00010A13" w:rsidRDefault="006F0E04" w:rsidP="00156B2F">
            <w:pPr>
              <w:tabs>
                <w:tab w:val="left" w:pos="884"/>
                <w:tab w:val="left" w:pos="1196"/>
              </w:tabs>
              <w:jc w:val="both"/>
              <w:rPr>
                <w:b/>
                <w:bCs/>
                <w:sz w:val="24"/>
                <w:szCs w:val="24"/>
                <w:lang w:val="ro-MD"/>
              </w:rPr>
            </w:pPr>
            <w:r w:rsidRPr="00010A13">
              <w:rPr>
                <w:b/>
                <w:bCs/>
                <w:sz w:val="24"/>
                <w:szCs w:val="24"/>
                <w:lang w:val="ro-MD"/>
              </w:rPr>
              <w:t xml:space="preserve">5. Fundamentarea </w:t>
            </w:r>
            <w:proofErr w:type="spellStart"/>
            <w:r w:rsidRPr="00010A13">
              <w:rPr>
                <w:b/>
                <w:bCs/>
                <w:sz w:val="24"/>
                <w:szCs w:val="24"/>
                <w:lang w:val="ro-MD"/>
              </w:rPr>
              <w:t>economico</w:t>
            </w:r>
            <w:proofErr w:type="spellEnd"/>
            <w:r w:rsidRPr="00010A13">
              <w:rPr>
                <w:b/>
                <w:bCs/>
                <w:sz w:val="24"/>
                <w:szCs w:val="24"/>
                <w:lang w:val="ro-MD"/>
              </w:rPr>
              <w:t>-financiară</w:t>
            </w:r>
          </w:p>
        </w:tc>
      </w:tr>
      <w:tr w:rsidR="006F0E04" w:rsidRPr="00010A13" w14:paraId="09947F19" w14:textId="77777777" w:rsidTr="00156B2F">
        <w:tc>
          <w:tcPr>
            <w:tcW w:w="5000" w:type="pct"/>
          </w:tcPr>
          <w:p w14:paraId="58A9EA75" w14:textId="77777777" w:rsidR="006F0E04" w:rsidRPr="00010A13" w:rsidRDefault="006F0E04" w:rsidP="00156B2F">
            <w:pPr>
              <w:pStyle w:val="NormalWeb"/>
              <w:shd w:val="clear" w:color="auto" w:fill="FFFFFF"/>
              <w:spacing w:before="0" w:beforeAutospacing="0" w:after="0" w:afterAutospacing="0"/>
              <w:jc w:val="both"/>
              <w:rPr>
                <w:lang w:val="ro-MD"/>
              </w:rPr>
            </w:pPr>
            <w:r w:rsidRPr="00010A13">
              <w:rPr>
                <w:lang w:val="ro-MD"/>
              </w:rPr>
              <w:t>Proiectul de dispoziție propus spre examinare nu necesită cheltuieli suplimentare din bugetul de stat.</w:t>
            </w:r>
          </w:p>
        </w:tc>
      </w:tr>
      <w:tr w:rsidR="006F0E04" w:rsidRPr="00010A13" w14:paraId="4745F8EF" w14:textId="77777777" w:rsidTr="00156B2F">
        <w:tc>
          <w:tcPr>
            <w:tcW w:w="5000" w:type="pct"/>
          </w:tcPr>
          <w:p w14:paraId="20DC8779" w14:textId="77777777" w:rsidR="006F0E04" w:rsidRPr="00010A13" w:rsidRDefault="006F0E04" w:rsidP="00156B2F">
            <w:pPr>
              <w:tabs>
                <w:tab w:val="left" w:pos="884"/>
                <w:tab w:val="left" w:pos="1196"/>
              </w:tabs>
              <w:jc w:val="both"/>
              <w:rPr>
                <w:b/>
                <w:bCs/>
                <w:sz w:val="24"/>
                <w:szCs w:val="24"/>
                <w:lang w:val="ro-MD"/>
              </w:rPr>
            </w:pPr>
            <w:r w:rsidRPr="00010A13">
              <w:rPr>
                <w:b/>
                <w:bCs/>
                <w:sz w:val="24"/>
                <w:szCs w:val="24"/>
                <w:lang w:val="ro-MD"/>
              </w:rPr>
              <w:t>6. Modul de încorporare a actului în cadrul normativ în vigoare</w:t>
            </w:r>
          </w:p>
        </w:tc>
      </w:tr>
      <w:tr w:rsidR="006F0E04" w:rsidRPr="00010A13" w14:paraId="5C25F946" w14:textId="77777777" w:rsidTr="00156B2F">
        <w:tc>
          <w:tcPr>
            <w:tcW w:w="5000" w:type="pct"/>
          </w:tcPr>
          <w:p w14:paraId="626BC9B4" w14:textId="77777777" w:rsidR="006F0E04" w:rsidRPr="00010A13" w:rsidRDefault="006F0E04" w:rsidP="00156B2F">
            <w:pPr>
              <w:tabs>
                <w:tab w:val="left" w:pos="884"/>
                <w:tab w:val="left" w:pos="1196"/>
              </w:tabs>
              <w:jc w:val="both"/>
              <w:rPr>
                <w:sz w:val="24"/>
                <w:szCs w:val="24"/>
                <w:lang w:val="ro-MD"/>
              </w:rPr>
            </w:pPr>
            <w:r w:rsidRPr="00010A13">
              <w:rPr>
                <w:sz w:val="24"/>
                <w:szCs w:val="24"/>
                <w:lang w:val="ro-MD"/>
              </w:rPr>
              <w:t>Nu vor fi operate modificări la cadrul normativ în vigoare.</w:t>
            </w:r>
          </w:p>
        </w:tc>
      </w:tr>
      <w:tr w:rsidR="006F0E04" w:rsidRPr="00010A13" w14:paraId="12804BFC" w14:textId="77777777" w:rsidTr="00156B2F">
        <w:tc>
          <w:tcPr>
            <w:tcW w:w="5000" w:type="pct"/>
          </w:tcPr>
          <w:p w14:paraId="37D8C813" w14:textId="77777777" w:rsidR="006F0E04" w:rsidRPr="00010A13" w:rsidRDefault="006F0E04" w:rsidP="00156B2F">
            <w:pPr>
              <w:tabs>
                <w:tab w:val="left" w:pos="884"/>
                <w:tab w:val="left" w:pos="1196"/>
              </w:tabs>
              <w:jc w:val="both"/>
              <w:rPr>
                <w:b/>
                <w:bCs/>
                <w:sz w:val="24"/>
                <w:szCs w:val="24"/>
                <w:lang w:val="ro-MD"/>
              </w:rPr>
            </w:pPr>
            <w:r w:rsidRPr="00010A13">
              <w:rPr>
                <w:b/>
                <w:bCs/>
                <w:sz w:val="24"/>
                <w:szCs w:val="24"/>
                <w:lang w:val="ro-MD"/>
              </w:rPr>
              <w:t xml:space="preserve">7. Avizarea </w:t>
            </w:r>
            <w:proofErr w:type="spellStart"/>
            <w:r w:rsidRPr="00010A13">
              <w:rPr>
                <w:b/>
                <w:bCs/>
                <w:sz w:val="24"/>
                <w:szCs w:val="24"/>
                <w:lang w:val="ro-MD"/>
              </w:rPr>
              <w:t>şi</w:t>
            </w:r>
            <w:proofErr w:type="spellEnd"/>
            <w:r w:rsidRPr="00010A13">
              <w:rPr>
                <w:b/>
                <w:bCs/>
                <w:sz w:val="24"/>
                <w:szCs w:val="24"/>
                <w:lang w:val="ro-MD"/>
              </w:rPr>
              <w:t xml:space="preserve"> consultarea publică a proiectului</w:t>
            </w:r>
          </w:p>
        </w:tc>
      </w:tr>
      <w:tr w:rsidR="006F0E04" w:rsidRPr="00010A13" w14:paraId="2D2C9598" w14:textId="77777777" w:rsidTr="00156B2F">
        <w:trPr>
          <w:trHeight w:val="1478"/>
        </w:trPr>
        <w:tc>
          <w:tcPr>
            <w:tcW w:w="5000" w:type="pct"/>
          </w:tcPr>
          <w:p w14:paraId="5EEFB62C" w14:textId="77777777" w:rsidR="006F0E04" w:rsidRPr="00010A13" w:rsidRDefault="006F0E04" w:rsidP="00156B2F">
            <w:pPr>
              <w:jc w:val="both"/>
              <w:rPr>
                <w:sz w:val="24"/>
                <w:szCs w:val="24"/>
                <w:lang w:val="ro-MD"/>
              </w:rPr>
            </w:pPr>
            <w:r w:rsidRPr="00010A13">
              <w:rPr>
                <w:sz w:val="24"/>
                <w:szCs w:val="24"/>
                <w:lang w:val="ro-MD"/>
              </w:rPr>
              <w:lastRenderedPageBreak/>
              <w:t xml:space="preserve">În vederea respectării prevederilor Legii nr. 239/2008 privind transparența în procesul decizional, și ale Legii nr.100/2017 cu privire la actele normative, Ministerul Muncii și Protecției Sociale a publicat anunțul pentru inițierea elaborării proiectului la data de 06.04.2023, pe platforma guvernamentală </w:t>
            </w:r>
            <w:hyperlink r:id="rId5" w:history="1">
              <w:r w:rsidRPr="00010A13">
                <w:rPr>
                  <w:rStyle w:val="Hyperlink"/>
                  <w:sz w:val="24"/>
                  <w:szCs w:val="24"/>
                  <w:lang w:val="ro-MD"/>
                </w:rPr>
                <w:t>www.particip.gov.md</w:t>
              </w:r>
            </w:hyperlink>
            <w:r w:rsidRPr="00010A13">
              <w:rPr>
                <w:sz w:val="24"/>
                <w:szCs w:val="24"/>
                <w:lang w:val="ro-MD"/>
              </w:rPr>
              <w:t xml:space="preserve"> la linkul:  </w:t>
            </w:r>
            <w:hyperlink r:id="rId6" w:history="1">
              <w:r w:rsidRPr="00010A13">
                <w:rPr>
                  <w:rFonts w:eastAsiaTheme="minorHAnsi"/>
                  <w:color w:val="0563C1" w:themeColor="hyperlink"/>
                  <w:sz w:val="24"/>
                  <w:szCs w:val="24"/>
                  <w:u w:val="single"/>
                  <w:lang w:val="ro-MD"/>
                </w:rPr>
                <w:t>https://particip.gov.md/ro/document/stages/*/10307</w:t>
              </w:r>
            </w:hyperlink>
          </w:p>
        </w:tc>
      </w:tr>
      <w:tr w:rsidR="006F0E04" w:rsidRPr="00010A13" w14:paraId="4C9B1A1F" w14:textId="77777777" w:rsidTr="00156B2F">
        <w:tc>
          <w:tcPr>
            <w:tcW w:w="5000" w:type="pct"/>
          </w:tcPr>
          <w:p w14:paraId="2273B95E" w14:textId="77777777" w:rsidR="006F0E04" w:rsidRPr="00010A13" w:rsidRDefault="006F0E04" w:rsidP="00156B2F">
            <w:pPr>
              <w:tabs>
                <w:tab w:val="left" w:pos="884"/>
                <w:tab w:val="left" w:pos="1196"/>
              </w:tabs>
              <w:jc w:val="both"/>
              <w:rPr>
                <w:b/>
                <w:bCs/>
                <w:sz w:val="24"/>
                <w:szCs w:val="24"/>
                <w:lang w:val="ro-MD"/>
              </w:rPr>
            </w:pPr>
            <w:r w:rsidRPr="00010A13">
              <w:rPr>
                <w:b/>
                <w:bCs/>
                <w:sz w:val="24"/>
                <w:szCs w:val="24"/>
                <w:lang w:val="ro-MD"/>
              </w:rPr>
              <w:t>8. Constatările expertizei anticorupție</w:t>
            </w:r>
          </w:p>
        </w:tc>
      </w:tr>
      <w:tr w:rsidR="006F0E04" w:rsidRPr="00010A13" w14:paraId="19D46660" w14:textId="77777777" w:rsidTr="00156B2F">
        <w:tc>
          <w:tcPr>
            <w:tcW w:w="5000" w:type="pct"/>
          </w:tcPr>
          <w:p w14:paraId="75460255" w14:textId="77777777" w:rsidR="006F0E04" w:rsidRPr="00010A13" w:rsidRDefault="006F0E04" w:rsidP="00156B2F">
            <w:pPr>
              <w:tabs>
                <w:tab w:val="left" w:pos="884"/>
                <w:tab w:val="left" w:pos="1196"/>
              </w:tabs>
              <w:jc w:val="both"/>
              <w:rPr>
                <w:sz w:val="24"/>
                <w:szCs w:val="24"/>
                <w:lang w:val="ro-MD"/>
              </w:rPr>
            </w:pPr>
            <w:r w:rsidRPr="00010A13">
              <w:rPr>
                <w:sz w:val="24"/>
                <w:szCs w:val="24"/>
                <w:lang w:val="ro-MD"/>
              </w:rPr>
              <w:t>Proiectul nu necesită expertiza anticorupție de Centrul Național Anticorupție.</w:t>
            </w:r>
          </w:p>
        </w:tc>
      </w:tr>
      <w:tr w:rsidR="006F0E04" w:rsidRPr="00010A13" w14:paraId="2BE54FBF" w14:textId="77777777" w:rsidTr="00156B2F">
        <w:tc>
          <w:tcPr>
            <w:tcW w:w="5000" w:type="pct"/>
          </w:tcPr>
          <w:p w14:paraId="04682F25" w14:textId="77777777" w:rsidR="006F0E04" w:rsidRPr="00010A13" w:rsidRDefault="006F0E04" w:rsidP="00156B2F">
            <w:pPr>
              <w:tabs>
                <w:tab w:val="left" w:pos="884"/>
                <w:tab w:val="left" w:pos="1196"/>
              </w:tabs>
              <w:jc w:val="both"/>
              <w:rPr>
                <w:b/>
                <w:bCs/>
                <w:sz w:val="24"/>
                <w:szCs w:val="24"/>
                <w:lang w:val="ro-MD"/>
              </w:rPr>
            </w:pPr>
            <w:r w:rsidRPr="00010A13">
              <w:rPr>
                <w:b/>
                <w:bCs/>
                <w:sz w:val="24"/>
                <w:szCs w:val="24"/>
                <w:lang w:val="ro-MD"/>
              </w:rPr>
              <w:t>9. Constatările expertizei de compatibilitate</w:t>
            </w:r>
          </w:p>
        </w:tc>
      </w:tr>
      <w:tr w:rsidR="006F0E04" w:rsidRPr="00010A13" w14:paraId="51B75E8E" w14:textId="77777777" w:rsidTr="00156B2F">
        <w:tc>
          <w:tcPr>
            <w:tcW w:w="5000" w:type="pct"/>
          </w:tcPr>
          <w:p w14:paraId="173119CC" w14:textId="77777777" w:rsidR="006F0E04" w:rsidRPr="00010A13" w:rsidRDefault="006F0E04" w:rsidP="00156B2F">
            <w:pPr>
              <w:tabs>
                <w:tab w:val="left" w:pos="884"/>
                <w:tab w:val="left" w:pos="1196"/>
              </w:tabs>
              <w:jc w:val="both"/>
              <w:rPr>
                <w:sz w:val="24"/>
                <w:szCs w:val="24"/>
                <w:lang w:val="ro-MD"/>
              </w:rPr>
            </w:pPr>
            <w:r w:rsidRPr="00010A13">
              <w:rPr>
                <w:sz w:val="24"/>
                <w:szCs w:val="24"/>
                <w:lang w:val="ro-MD"/>
              </w:rPr>
              <w:t>Proiectul de decizie nu are ca scop armonizarea legislației naționale cu legislația Uniunii Europene, respectiv nu este supus expertizei de compatibilitate.</w:t>
            </w:r>
          </w:p>
        </w:tc>
      </w:tr>
      <w:tr w:rsidR="006F0E04" w:rsidRPr="00010A13" w14:paraId="352956DA" w14:textId="77777777" w:rsidTr="00156B2F">
        <w:tc>
          <w:tcPr>
            <w:tcW w:w="5000" w:type="pct"/>
          </w:tcPr>
          <w:p w14:paraId="02B35750" w14:textId="77777777" w:rsidR="006F0E04" w:rsidRPr="00010A13" w:rsidRDefault="006F0E04" w:rsidP="00156B2F">
            <w:pPr>
              <w:tabs>
                <w:tab w:val="left" w:pos="884"/>
                <w:tab w:val="left" w:pos="1196"/>
              </w:tabs>
              <w:jc w:val="both"/>
              <w:rPr>
                <w:b/>
                <w:bCs/>
                <w:sz w:val="24"/>
                <w:szCs w:val="24"/>
                <w:lang w:val="ro-MD"/>
              </w:rPr>
            </w:pPr>
            <w:r w:rsidRPr="00010A13">
              <w:rPr>
                <w:b/>
                <w:bCs/>
                <w:sz w:val="24"/>
                <w:szCs w:val="24"/>
                <w:lang w:val="ro-MD"/>
              </w:rPr>
              <w:t>10. Constatările expertizei juridice</w:t>
            </w:r>
          </w:p>
        </w:tc>
      </w:tr>
      <w:tr w:rsidR="006F0E04" w:rsidRPr="00010A13" w14:paraId="29844AB8" w14:textId="77777777" w:rsidTr="00156B2F">
        <w:tc>
          <w:tcPr>
            <w:tcW w:w="5000" w:type="pct"/>
          </w:tcPr>
          <w:p w14:paraId="0DF5CB48" w14:textId="77777777" w:rsidR="006F0E04" w:rsidRPr="00010A13" w:rsidRDefault="006F0E04" w:rsidP="00156B2F">
            <w:pPr>
              <w:tabs>
                <w:tab w:val="left" w:pos="884"/>
                <w:tab w:val="left" w:pos="1196"/>
              </w:tabs>
              <w:jc w:val="both"/>
              <w:rPr>
                <w:sz w:val="24"/>
                <w:szCs w:val="24"/>
                <w:lang w:val="ro-MD"/>
              </w:rPr>
            </w:pPr>
            <w:r w:rsidRPr="00010A13">
              <w:rPr>
                <w:sz w:val="24"/>
                <w:szCs w:val="24"/>
                <w:lang w:val="ro-MD"/>
              </w:rPr>
              <w:t>Proiectul va fi supus expertizei juridice de către Ministerul Justiției.</w:t>
            </w:r>
          </w:p>
        </w:tc>
      </w:tr>
      <w:tr w:rsidR="006F0E04" w:rsidRPr="00010A13" w14:paraId="71FF8583" w14:textId="77777777" w:rsidTr="00156B2F">
        <w:tc>
          <w:tcPr>
            <w:tcW w:w="5000" w:type="pct"/>
          </w:tcPr>
          <w:p w14:paraId="53334C36" w14:textId="77777777" w:rsidR="006F0E04" w:rsidRPr="00010A13" w:rsidRDefault="006F0E04" w:rsidP="00156B2F">
            <w:pPr>
              <w:tabs>
                <w:tab w:val="left" w:pos="884"/>
                <w:tab w:val="left" w:pos="1196"/>
              </w:tabs>
              <w:jc w:val="both"/>
              <w:rPr>
                <w:b/>
                <w:bCs/>
                <w:sz w:val="24"/>
                <w:szCs w:val="24"/>
                <w:lang w:val="ro-MD"/>
              </w:rPr>
            </w:pPr>
            <w:r w:rsidRPr="00010A13">
              <w:rPr>
                <w:b/>
                <w:bCs/>
                <w:sz w:val="24"/>
                <w:szCs w:val="24"/>
                <w:lang w:val="ro-MD"/>
              </w:rPr>
              <w:t>11. Constatările altor expertize</w:t>
            </w:r>
          </w:p>
        </w:tc>
      </w:tr>
      <w:tr w:rsidR="006F0E04" w:rsidRPr="00010A13" w14:paraId="2D0D2654" w14:textId="77777777" w:rsidTr="00156B2F">
        <w:tc>
          <w:tcPr>
            <w:tcW w:w="5000" w:type="pct"/>
          </w:tcPr>
          <w:p w14:paraId="72B1E0E2" w14:textId="77777777" w:rsidR="006F0E04" w:rsidRPr="00010A13" w:rsidRDefault="006F0E04" w:rsidP="00156B2F">
            <w:pPr>
              <w:tabs>
                <w:tab w:val="left" w:pos="884"/>
                <w:tab w:val="left" w:pos="1196"/>
              </w:tabs>
              <w:jc w:val="both"/>
              <w:rPr>
                <w:sz w:val="24"/>
                <w:szCs w:val="24"/>
                <w:lang w:val="ro-MD"/>
              </w:rPr>
            </w:pPr>
            <w:r w:rsidRPr="00010A13">
              <w:rPr>
                <w:sz w:val="24"/>
                <w:szCs w:val="24"/>
                <w:lang w:val="ro-MD"/>
              </w:rPr>
              <w:t>Proiectul va fi avizat de autoritățile competente.</w:t>
            </w:r>
          </w:p>
        </w:tc>
      </w:tr>
    </w:tbl>
    <w:p w14:paraId="6C843177" w14:textId="77777777" w:rsidR="006F0E04" w:rsidRPr="00010A13" w:rsidRDefault="006F0E04" w:rsidP="006F0E04">
      <w:pPr>
        <w:tabs>
          <w:tab w:val="left" w:pos="884"/>
          <w:tab w:val="left" w:pos="1196"/>
        </w:tabs>
        <w:jc w:val="both"/>
        <w:rPr>
          <w:bCs/>
          <w:sz w:val="24"/>
          <w:szCs w:val="24"/>
          <w:vertAlign w:val="superscript"/>
          <w:lang w:val="ro-MD"/>
        </w:rPr>
      </w:pPr>
    </w:p>
    <w:p w14:paraId="266A90FA" w14:textId="77777777" w:rsidR="006F0E04" w:rsidRPr="00010A13" w:rsidRDefault="006F0E04" w:rsidP="006F0E04">
      <w:pPr>
        <w:tabs>
          <w:tab w:val="left" w:pos="884"/>
          <w:tab w:val="left" w:pos="1196"/>
        </w:tabs>
        <w:jc w:val="both"/>
        <w:rPr>
          <w:b/>
          <w:sz w:val="24"/>
          <w:szCs w:val="24"/>
          <w:lang w:val="ro-MD"/>
        </w:rPr>
      </w:pPr>
    </w:p>
    <w:p w14:paraId="61488C47" w14:textId="77777777" w:rsidR="006F0E04" w:rsidRPr="00010A13" w:rsidRDefault="006F0E04" w:rsidP="006F0E04">
      <w:pPr>
        <w:tabs>
          <w:tab w:val="left" w:pos="884"/>
          <w:tab w:val="left" w:pos="1196"/>
        </w:tabs>
        <w:jc w:val="both"/>
        <w:rPr>
          <w:b/>
          <w:sz w:val="24"/>
          <w:szCs w:val="24"/>
          <w:lang w:val="ro-MD"/>
        </w:rPr>
      </w:pPr>
    </w:p>
    <w:p w14:paraId="373A683E" w14:textId="77777777" w:rsidR="006F0E04" w:rsidRPr="00010A13" w:rsidRDefault="006F0E04" w:rsidP="006F0E04">
      <w:pPr>
        <w:tabs>
          <w:tab w:val="left" w:pos="884"/>
          <w:tab w:val="left" w:pos="1196"/>
        </w:tabs>
        <w:jc w:val="both"/>
        <w:rPr>
          <w:b/>
          <w:sz w:val="24"/>
          <w:szCs w:val="24"/>
          <w:lang w:val="ro-MD"/>
        </w:rPr>
      </w:pPr>
      <w:r w:rsidRPr="00010A13">
        <w:rPr>
          <w:b/>
          <w:sz w:val="24"/>
          <w:szCs w:val="24"/>
          <w:lang w:val="ro-MD"/>
        </w:rPr>
        <w:t xml:space="preserve">  Secretar General                                                            </w:t>
      </w:r>
      <w:r w:rsidRPr="00010A13">
        <w:rPr>
          <w:b/>
          <w:sz w:val="24"/>
          <w:szCs w:val="24"/>
          <w:lang w:val="ro-MD"/>
        </w:rPr>
        <w:tab/>
      </w:r>
      <w:r w:rsidRPr="00010A13">
        <w:rPr>
          <w:b/>
          <w:sz w:val="24"/>
          <w:szCs w:val="24"/>
          <w:lang w:val="ro-MD"/>
        </w:rPr>
        <w:tab/>
        <w:t xml:space="preserve">       Alexandru IACUB</w:t>
      </w:r>
    </w:p>
    <w:p w14:paraId="56BDF44E" w14:textId="77777777" w:rsidR="006F0E04" w:rsidRPr="00010A13" w:rsidRDefault="006F0E04" w:rsidP="006F0E04">
      <w:pPr>
        <w:pStyle w:val="ListParagraph"/>
        <w:ind w:left="1429" w:firstLine="0"/>
        <w:rPr>
          <w:bCs/>
          <w:sz w:val="24"/>
          <w:szCs w:val="24"/>
          <w:lang w:val="ro-MD"/>
        </w:rPr>
      </w:pPr>
    </w:p>
    <w:p w14:paraId="2683676C" w14:textId="77777777" w:rsidR="00B74136" w:rsidRDefault="00B74136"/>
    <w:sectPr w:rsidR="00B74136" w:rsidSect="00902B4A">
      <w:pgSz w:w="11906" w:h="16838" w:code="9"/>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134751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D1C"/>
    <w:rsid w:val="00235D1C"/>
    <w:rsid w:val="00493D7F"/>
    <w:rsid w:val="006F0E04"/>
    <w:rsid w:val="00B7413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F3F883-CDA0-4326-A745-D8526952C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E04"/>
    <w:pPr>
      <w:widowControl w:val="0"/>
      <w:autoSpaceDE w:val="0"/>
      <w:autoSpaceDN w:val="0"/>
      <w:spacing w:after="0" w:line="240" w:lineRule="auto"/>
    </w:pPr>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0E04"/>
    <w:pPr>
      <w:ind w:left="134" w:firstLine="708"/>
      <w:jc w:val="both"/>
    </w:pPr>
  </w:style>
  <w:style w:type="paragraph" w:styleId="NormalWeb">
    <w:name w:val="Normal (Web)"/>
    <w:basedOn w:val="Normal"/>
    <w:uiPriority w:val="99"/>
    <w:unhideWhenUsed/>
    <w:rsid w:val="006F0E04"/>
    <w:pPr>
      <w:widowControl/>
      <w:autoSpaceDE/>
      <w:autoSpaceDN/>
      <w:spacing w:before="100" w:beforeAutospacing="1" w:after="100" w:afterAutospacing="1"/>
    </w:pPr>
    <w:rPr>
      <w:sz w:val="24"/>
      <w:szCs w:val="24"/>
      <w:lang w:val="en-US"/>
    </w:rPr>
  </w:style>
  <w:style w:type="character" w:styleId="Hyperlink">
    <w:name w:val="Hyperlink"/>
    <w:basedOn w:val="DefaultParagraphFont"/>
    <w:uiPriority w:val="99"/>
    <w:unhideWhenUsed/>
    <w:rsid w:val="006F0E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articip.gov.md/ro/document/stages/*/10307" TargetMode="External"/><Relationship Id="rId5" Type="http://schemas.openxmlformats.org/officeDocument/2006/relationships/hyperlink" Target="http://www.particip.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1719</Words>
  <Characters>9975</Characters>
  <Application>Microsoft Office Word</Application>
  <DocSecurity>0</DocSecurity>
  <Lines>83</Lines>
  <Paragraphs>23</Paragraphs>
  <ScaleCrop>false</ScaleCrop>
  <Company/>
  <LinksUpToDate>false</LinksUpToDate>
  <CharactersWithSpaces>11671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Serviciul  Monitorizare și Evaluare a Politicilor</dc:creator>
  <cp:keywords/>
  <dc:description/>
  <cp:lastModifiedBy>Serviciul  Monitorizare și Evaluare a Politicilor</cp:lastModifiedBy>
  <cp:revision>2</cp:revision>
  <dcterms:created xsi:type="dcterms:W3CDTF">2023-09-12T13:27:00Z</dcterms:created>
  <dcterms:modified xsi:type="dcterms:W3CDTF">2023-09-12T13:28:00Z</dcterms:modified>
</cp:coreProperties>
</file>