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82F48" w:rsidRDefault="00C82F48">
      <w:pPr>
        <w:jc w:val="right"/>
      </w:pPr>
      <w:r>
        <w:rPr>
          <w:rStyle w:val="FontStyle28"/>
          <w:b w:val="0"/>
          <w:sz w:val="28"/>
          <w:szCs w:val="22"/>
          <w:lang w:eastAsia="ro-RO"/>
        </w:rPr>
        <w:t>Ministerul Finanțelor</w:t>
      </w:r>
    </w:p>
    <w:p w:rsidR="00C82F48" w:rsidRDefault="00C82F48"/>
    <w:p w:rsidR="00C82F48" w:rsidRPr="00B27684" w:rsidRDefault="00C82F48">
      <w:pPr>
        <w:pStyle w:val="14"/>
        <w:jc w:val="center"/>
        <w:rPr>
          <w:lang w:val="en-US"/>
        </w:rPr>
      </w:pPr>
    </w:p>
    <w:p w:rsidR="00C82F48" w:rsidRPr="00B27684" w:rsidRDefault="00C82F48">
      <w:pPr>
        <w:pStyle w:val="14"/>
        <w:jc w:val="center"/>
        <w:rPr>
          <w:lang w:val="en-US"/>
        </w:rPr>
      </w:pPr>
    </w:p>
    <w:p w:rsidR="00C82F48" w:rsidRPr="00B27684" w:rsidRDefault="00C82F48">
      <w:pPr>
        <w:pStyle w:val="14"/>
        <w:jc w:val="center"/>
        <w:rPr>
          <w:lang w:val="en-US"/>
        </w:rPr>
      </w:pPr>
    </w:p>
    <w:p w:rsidR="00C82F48" w:rsidRPr="00B27684" w:rsidRDefault="00C82F48">
      <w:pPr>
        <w:pStyle w:val="14"/>
        <w:ind w:firstLine="0"/>
        <w:jc w:val="center"/>
        <w:rPr>
          <w:lang w:val="en-US"/>
        </w:rPr>
      </w:pPr>
      <w:r>
        <w:rPr>
          <w:rStyle w:val="FontStyle28"/>
          <w:b w:val="0"/>
          <w:color w:val="171717"/>
          <w:sz w:val="36"/>
          <w:szCs w:val="36"/>
          <w:lang w:val="ro-RO" w:eastAsia="ro-RO"/>
        </w:rPr>
        <w:t>Raportul</w:t>
      </w:r>
    </w:p>
    <w:p w:rsidR="00C82F48" w:rsidRPr="00B27684" w:rsidRDefault="00C82F48">
      <w:pPr>
        <w:pStyle w:val="14"/>
        <w:jc w:val="center"/>
        <w:rPr>
          <w:lang w:val="en-US"/>
        </w:rPr>
      </w:pPr>
    </w:p>
    <w:p w:rsidR="00C82F48" w:rsidRPr="00B27684" w:rsidRDefault="00C82F48">
      <w:pPr>
        <w:pStyle w:val="14"/>
        <w:ind w:firstLine="0"/>
        <w:jc w:val="center"/>
        <w:rPr>
          <w:lang w:val="en-US"/>
        </w:rPr>
      </w:pPr>
      <w:r>
        <w:rPr>
          <w:rFonts w:ascii="Times New Roman" w:hAnsi="Times New Roman" w:cs="Times New Roman"/>
          <w:color w:val="171717"/>
          <w:sz w:val="36"/>
          <w:szCs w:val="36"/>
          <w:lang w:val="ro-RO" w:eastAsia="ro-RO"/>
        </w:rPr>
        <w:t xml:space="preserve">privind executarea bugetului public național </w:t>
      </w:r>
    </w:p>
    <w:p w:rsidR="00C82F48" w:rsidRPr="00B27684" w:rsidRDefault="00C82F48">
      <w:pPr>
        <w:pStyle w:val="14"/>
        <w:ind w:firstLine="0"/>
        <w:jc w:val="center"/>
        <w:rPr>
          <w:lang w:val="en-US"/>
        </w:rPr>
      </w:pPr>
      <w:r>
        <w:rPr>
          <w:rFonts w:ascii="Times New Roman" w:hAnsi="Times New Roman" w:cs="Times New Roman"/>
          <w:color w:val="171717"/>
          <w:sz w:val="36"/>
          <w:szCs w:val="36"/>
          <w:lang w:val="ro-RO" w:eastAsia="ro-RO"/>
        </w:rPr>
        <w:t xml:space="preserve">și a componentelor acestuia </w:t>
      </w:r>
    </w:p>
    <w:p w:rsidR="00C82F48" w:rsidRPr="00B27684" w:rsidRDefault="00C82F48">
      <w:pPr>
        <w:pStyle w:val="14"/>
        <w:ind w:firstLine="0"/>
        <w:jc w:val="center"/>
        <w:rPr>
          <w:lang w:val="en-US"/>
        </w:rPr>
      </w:pPr>
      <w:r>
        <w:rPr>
          <w:rFonts w:ascii="Times New Roman" w:hAnsi="Times New Roman" w:cs="Times New Roman"/>
          <w:color w:val="171717"/>
          <w:sz w:val="36"/>
          <w:szCs w:val="36"/>
          <w:lang w:val="ro-RO" w:eastAsia="ro-RO"/>
        </w:rPr>
        <w:t>în semestrul I al anului 2023</w:t>
      </w:r>
    </w:p>
    <w:p w:rsidR="00C82F48" w:rsidRDefault="00C82F48">
      <w:pPr>
        <w:rPr>
          <w:rFonts w:ascii="Times New Roman" w:hAnsi="Times New Roman"/>
          <w:color w:val="171717"/>
          <w:sz w:val="36"/>
          <w:szCs w:val="36"/>
          <w:lang w:eastAsia="ro-RO"/>
        </w:rPr>
      </w:pPr>
    </w:p>
    <w:p w:rsidR="00C82F48" w:rsidRDefault="00C82F48">
      <w:pPr>
        <w:spacing w:after="200" w:line="276" w:lineRule="auto"/>
        <w:rPr>
          <w:rFonts w:cs="Calibri"/>
          <w:lang w:eastAsia="ro-RO"/>
        </w:rPr>
      </w:pPr>
    </w:p>
    <w:p w:rsidR="00C82F48" w:rsidRDefault="00C82F48">
      <w:pPr>
        <w:pStyle w:val="Heading1"/>
      </w:pPr>
    </w:p>
    <w:p w:rsidR="00C82F48" w:rsidRDefault="00C82F48"/>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spacing w:after="200" w:line="276" w:lineRule="auto"/>
        <w:jc w:val="center"/>
      </w:pPr>
      <w:r>
        <w:rPr>
          <w:rStyle w:val="FontStyle28"/>
          <w:color w:val="171717"/>
          <w:sz w:val="28"/>
          <w:szCs w:val="22"/>
          <w:lang w:eastAsia="ro-RO"/>
        </w:rPr>
        <w:t>2023</w:t>
      </w:r>
    </w:p>
    <w:p w:rsidR="00C82F48" w:rsidRDefault="00C82F48">
      <w:pPr>
        <w:spacing w:after="200" w:line="276" w:lineRule="auto"/>
        <w:jc w:val="center"/>
      </w:pPr>
      <w:r>
        <w:rPr>
          <w:rStyle w:val="FontStyle28"/>
          <w:color w:val="171717"/>
          <w:sz w:val="28"/>
          <w:szCs w:val="22"/>
          <w:lang w:eastAsia="ro-RO"/>
        </w:rPr>
        <w:t>Chișinău</w:t>
      </w:r>
    </w:p>
    <w:p w:rsidR="00C82F48" w:rsidRDefault="00C82F48">
      <w:pPr>
        <w:pageBreakBefore/>
        <w:spacing w:after="200" w:line="276" w:lineRule="auto"/>
      </w:pPr>
    </w:p>
    <w:p w:rsidR="00C82F48" w:rsidRDefault="00C82F48">
      <w:pPr>
        <w:pStyle w:val="15"/>
        <w:jc w:val="center"/>
      </w:pPr>
      <w:r>
        <w:rPr>
          <w:rFonts w:ascii="Times New Roman" w:hAnsi="Times New Roman"/>
          <w:color w:val="171717"/>
          <w:sz w:val="32"/>
          <w:szCs w:val="22"/>
          <w:lang w:val="ro-RO"/>
        </w:rPr>
        <w:t>Cuprins</w:t>
      </w:r>
    </w:p>
    <w:p w:rsidR="00C82F48" w:rsidRDefault="00C82F48">
      <w:pPr>
        <w:rPr>
          <w:rFonts w:ascii="Times New Roman" w:hAnsi="Times New Roman"/>
          <w:color w:val="171717"/>
          <w:sz w:val="32"/>
        </w:rPr>
      </w:pPr>
    </w:p>
    <w:p w:rsidR="00C82F48" w:rsidRDefault="00C82F48">
      <w:pPr>
        <w:pStyle w:val="TOC1"/>
        <w:spacing w:after="0"/>
      </w:pPr>
      <w:r>
        <w:fldChar w:fldCharType="begin"/>
      </w:r>
      <w:r>
        <w:instrText xml:space="preserve"> TOC \o "1-1" \h \z \u </w:instrText>
      </w:r>
      <w:r>
        <w:fldChar w:fldCharType="separate"/>
      </w:r>
      <w:hyperlink w:anchor="__RefHeading___Toc144793153" w:history="1">
        <w:r>
          <w:rPr>
            <w:rStyle w:val="IndexLink"/>
            <w:rFonts w:ascii="Times New Roman" w:hAnsi="Times New Roman" w:cs="Times New Roman"/>
            <w:lang w:val="en-US" w:eastAsia="en-US"/>
          </w:rPr>
          <w:t>Introducere</w:t>
        </w:r>
        <w:r>
          <w:rPr>
            <w:rStyle w:val="IndexLink"/>
            <w:rFonts w:cs="Times New Roman"/>
            <w:lang w:val="en-US" w:eastAsia="en-US"/>
          </w:rPr>
          <w:tab/>
          <w:t>3</w:t>
        </w:r>
      </w:hyperlink>
    </w:p>
    <w:p w:rsidR="00C82F48" w:rsidRDefault="00C82F48">
      <w:pPr>
        <w:pStyle w:val="TOC1"/>
        <w:spacing w:after="0"/>
      </w:pPr>
      <w:hyperlink w:anchor="__RefHeading___Toc144793154" w:history="1">
        <w:r>
          <w:rPr>
            <w:rStyle w:val="IndexLink"/>
            <w:rFonts w:ascii="Times New Roman" w:hAnsi="Times New Roman" w:cs="Times New Roman"/>
            <w:lang w:val="en-US" w:eastAsia="en-US"/>
          </w:rPr>
          <w:t>Evoluția situației macroeconomice recente a economiei naționale</w:t>
        </w:r>
        <w:r>
          <w:rPr>
            <w:rStyle w:val="IndexLink"/>
            <w:lang w:val="en-US" w:eastAsia="en-US"/>
          </w:rPr>
          <w:tab/>
          <w:t>3</w:t>
        </w:r>
      </w:hyperlink>
    </w:p>
    <w:p w:rsidR="00C82F48" w:rsidRDefault="00C82F48">
      <w:pPr>
        <w:pStyle w:val="TOC1"/>
        <w:spacing w:after="0"/>
      </w:pPr>
      <w:hyperlink w:anchor="__RefHeading___Toc144793155" w:history="1">
        <w:r>
          <w:rPr>
            <w:rStyle w:val="IndexLink"/>
            <w:rFonts w:ascii="Times New Roman" w:hAnsi="Times New Roman" w:cs="Times New Roman"/>
            <w:lang w:val="en-US" w:eastAsia="en-US"/>
          </w:rPr>
          <w:t>Executarea bugetului public național în semestrul I al anului 2023</w:t>
        </w:r>
        <w:r>
          <w:rPr>
            <w:rStyle w:val="IndexLink"/>
            <w:lang w:val="en-US" w:eastAsia="en-US"/>
          </w:rPr>
          <w:tab/>
          <w:t>7</w:t>
        </w:r>
      </w:hyperlink>
    </w:p>
    <w:p w:rsidR="00C82F48" w:rsidRDefault="00C82F48">
      <w:pPr>
        <w:pStyle w:val="TOC1"/>
        <w:spacing w:after="0"/>
      </w:pPr>
      <w:hyperlink w:anchor="__RefHeading___Toc144793156" w:history="1">
        <w:r>
          <w:rPr>
            <w:rStyle w:val="IndexLink"/>
            <w:rFonts w:ascii="Times New Roman" w:hAnsi="Times New Roman" w:cs="Times New Roman"/>
            <w:lang w:val="en-US" w:eastAsia="en-US"/>
          </w:rPr>
          <w:t>Executarea bugetului de stat în semestrul I al anului 2023</w:t>
        </w:r>
        <w:r>
          <w:rPr>
            <w:rStyle w:val="IndexLink"/>
            <w:lang w:val="en-US" w:eastAsia="en-US"/>
          </w:rPr>
          <w:tab/>
          <w:t>12</w:t>
        </w:r>
      </w:hyperlink>
    </w:p>
    <w:p w:rsidR="00C82F48" w:rsidRDefault="00C82F48">
      <w:pPr>
        <w:pStyle w:val="TOC1"/>
        <w:spacing w:after="0"/>
      </w:pPr>
      <w:hyperlink w:anchor="__RefHeading___Toc144793160" w:history="1">
        <w:r>
          <w:rPr>
            <w:rStyle w:val="IndexLink"/>
            <w:rFonts w:ascii="Times New Roman" w:hAnsi="Times New Roman" w:cs="Times New Roman"/>
            <w:lang w:val="en-US" w:eastAsia="en-US"/>
          </w:rPr>
          <w:t>Evoluții în domeniul datoriei de stat și altor angajamente condiționate în semestrul I 2023</w:t>
        </w:r>
        <w:r>
          <w:rPr>
            <w:rStyle w:val="IndexLink"/>
            <w:lang w:val="en-US" w:eastAsia="en-US"/>
          </w:rPr>
          <w:tab/>
          <w:t>23</w:t>
        </w:r>
      </w:hyperlink>
    </w:p>
    <w:p w:rsidR="00C82F48" w:rsidRDefault="00C82F48">
      <w:pPr>
        <w:pStyle w:val="TOC1"/>
      </w:pPr>
      <w:hyperlink w:anchor="__RefHeading___Toc144793161" w:history="1">
        <w:r w:rsidRPr="0018491C">
          <w:rPr>
            <w:rStyle w:val="IndexLink"/>
            <w:rFonts w:ascii="Times New Roman" w:hAnsi="Times New Roman" w:cs="Times New Roman"/>
            <w:bCs w:val="0"/>
            <w:lang w:val="en-US" w:eastAsia="en-US"/>
          </w:rPr>
          <w:t>Perspectivele executării bugetului public național până la finele anului 2023</w:t>
        </w:r>
        <w:r>
          <w:rPr>
            <w:rStyle w:val="IndexLink"/>
            <w:b w:val="0"/>
            <w:bCs w:val="0"/>
            <w:lang w:val="en-US" w:eastAsia="en-US"/>
          </w:rPr>
          <w:tab/>
          <w:t>27</w:t>
        </w:r>
      </w:hyperlink>
    </w:p>
    <w:p w:rsidR="00C82F48" w:rsidRPr="00B27684" w:rsidRDefault="00C82F48">
      <w:pPr>
        <w:rPr>
          <w:rFonts w:ascii="Times New Roman" w:hAnsi="Times New Roman"/>
          <w:b/>
          <w:bCs/>
          <w:lang w:val="ro-MD" w:eastAsia="en-US"/>
        </w:rPr>
      </w:pPr>
      <w:r>
        <w:fldChar w:fldCharType="end"/>
      </w:r>
    </w:p>
    <w:p w:rsidR="00C82F48" w:rsidRPr="00AC67EE" w:rsidRDefault="00C82F48">
      <w:pPr>
        <w:pStyle w:val="Heading1"/>
        <w:pageBreakBefore/>
      </w:pPr>
      <w:bookmarkStart w:id="0" w:name="__RefHeading___Toc144793153"/>
      <w:bookmarkEnd w:id="0"/>
      <w:r w:rsidRPr="00AC67EE">
        <w:rPr>
          <w:rStyle w:val="FontStyle28"/>
          <w:color w:val="222A35"/>
          <w:sz w:val="32"/>
          <w:szCs w:val="32"/>
        </w:rPr>
        <w:lastRenderedPageBreak/>
        <w:t>Introducere</w:t>
      </w:r>
    </w:p>
    <w:p w:rsidR="00C82F48" w:rsidRDefault="00C82F48">
      <w:pPr>
        <w:spacing w:after="0" w:line="276" w:lineRule="auto"/>
        <w:ind w:firstLine="567"/>
        <w:jc w:val="both"/>
      </w:pPr>
      <w:r>
        <w:rPr>
          <w:rFonts w:ascii="Times New Roman" w:hAnsi="Times New Roman"/>
        </w:rPr>
        <w:tab/>
      </w:r>
    </w:p>
    <w:p w:rsidR="00C82F48" w:rsidRDefault="00C82F48">
      <w:pPr>
        <w:tabs>
          <w:tab w:val="left" w:pos="993"/>
          <w:tab w:val="left" w:pos="1134"/>
        </w:tabs>
        <w:spacing w:after="0" w:line="276" w:lineRule="auto"/>
        <w:ind w:firstLine="567"/>
        <w:contextualSpacing/>
        <w:jc w:val="both"/>
      </w:pPr>
      <w:r>
        <w:rPr>
          <w:rFonts w:ascii="Times New Roman" w:hAnsi="Times New Roman"/>
          <w:sz w:val="28"/>
          <w:szCs w:val="28"/>
        </w:rPr>
        <w:t>Raportul privind executarea bugetului public național și a componentelor acestuia în semestrul I al anului 2023 este elaborat în baza prevederilor art. 72 al Legii finanțelor publice și responsabilității bugetar-fiscale nr. 181/2014.</w:t>
      </w:r>
    </w:p>
    <w:p w:rsidR="00C82F48" w:rsidRDefault="00C82F48">
      <w:pPr>
        <w:tabs>
          <w:tab w:val="left" w:pos="993"/>
          <w:tab w:val="left" w:pos="1134"/>
        </w:tabs>
        <w:spacing w:after="0" w:line="276" w:lineRule="auto"/>
        <w:ind w:firstLine="567"/>
        <w:contextualSpacing/>
        <w:jc w:val="both"/>
      </w:pPr>
      <w:r>
        <w:rPr>
          <w:rFonts w:ascii="Times New Roman" w:hAnsi="Times New Roman"/>
          <w:sz w:val="28"/>
          <w:szCs w:val="28"/>
        </w:rPr>
        <w:t xml:space="preserve">Legea bugetului de stat pentru anul 2023, Legea bugetului asigurărilor sociale de stat pe anul 2023, precum și Legea fondurilor asigurării obligatorii de asistență medicală pe anul 2023 au fost aprobate în decembrie 2022. </w:t>
      </w:r>
    </w:p>
    <w:p w:rsidR="00C82F48" w:rsidRDefault="00C82F48">
      <w:pPr>
        <w:tabs>
          <w:tab w:val="left" w:pos="993"/>
          <w:tab w:val="left" w:pos="1134"/>
        </w:tabs>
        <w:spacing w:after="0" w:line="276" w:lineRule="auto"/>
        <w:ind w:firstLine="567"/>
        <w:contextualSpacing/>
        <w:jc w:val="both"/>
      </w:pPr>
      <w:r>
        <w:rPr>
          <w:rFonts w:ascii="Times New Roman" w:hAnsi="Times New Roman"/>
          <w:sz w:val="28"/>
          <w:szCs w:val="28"/>
        </w:rPr>
        <w:t xml:space="preserve">Totodată, în prima jumătate a anului 2023, în conformitate cu prevederile art. 61 al Legii finanțelor publice și responsabilității bugetar-fiscale nr.181/2014, la Legea bugetului de stat nr. 359/2022 și Legea bugetului asigurărilor sociale de stat nr. 357/2022 au fost introduse modificări prin Legile nr. 168/2023 și 169/2023 respectiv. </w:t>
      </w:r>
    </w:p>
    <w:p w:rsidR="00C82F48" w:rsidRDefault="00C82F48">
      <w:pPr>
        <w:tabs>
          <w:tab w:val="left" w:pos="993"/>
          <w:tab w:val="left" w:pos="1134"/>
        </w:tabs>
        <w:spacing w:after="0" w:line="276" w:lineRule="auto"/>
        <w:ind w:firstLine="567"/>
        <w:contextualSpacing/>
        <w:jc w:val="both"/>
      </w:pPr>
      <w:r>
        <w:rPr>
          <w:rFonts w:ascii="Times New Roman" w:hAnsi="Times New Roman"/>
          <w:sz w:val="28"/>
          <w:szCs w:val="28"/>
        </w:rPr>
        <w:t>Factorii de bază care au determinat modificările operate la Legea bugetului de stat pentru anul 2023 se referă la majorarea intrărilor de granturi externe, și direcționarea acestor surse preponderent spre măsurile de dezvoltare a economiei naționale, în special pentru suplinirea Fondului rutier, Fondului național de dezvoltare regională și locală și programelor de susținere a întreprinderilor mici și mijlocii.</w:t>
      </w:r>
    </w:p>
    <w:p w:rsidR="00C82F48" w:rsidRDefault="00C82F48">
      <w:pPr>
        <w:tabs>
          <w:tab w:val="left" w:pos="993"/>
          <w:tab w:val="left" w:pos="1134"/>
        </w:tabs>
        <w:spacing w:after="0" w:line="276" w:lineRule="auto"/>
        <w:ind w:firstLine="567"/>
        <w:contextualSpacing/>
        <w:jc w:val="both"/>
        <w:rPr>
          <w:rFonts w:ascii="Times New Roman" w:eastAsia="Calibri" w:hAnsi="Times New Roman"/>
          <w:sz w:val="28"/>
          <w:szCs w:val="28"/>
          <w:lang w:val="en-US"/>
        </w:rPr>
      </w:pPr>
    </w:p>
    <w:p w:rsidR="00C82F48" w:rsidRPr="00AC67EE" w:rsidRDefault="00C82F48">
      <w:pPr>
        <w:pStyle w:val="Heading1"/>
        <w:spacing w:before="0" w:line="276" w:lineRule="auto"/>
      </w:pPr>
      <w:bookmarkStart w:id="1" w:name="__RefHeading___Toc144793154"/>
      <w:bookmarkEnd w:id="1"/>
      <w:r w:rsidRPr="00AC67EE">
        <w:rPr>
          <w:rStyle w:val="FontStyle28"/>
          <w:bCs w:val="0"/>
          <w:color w:val="222A35"/>
          <w:sz w:val="32"/>
          <w:szCs w:val="32"/>
        </w:rPr>
        <w:t>Evoluția situației macroeconomice recente a economiei naționale</w:t>
      </w:r>
    </w:p>
    <w:p w:rsidR="00C82F48" w:rsidRDefault="00C82F48">
      <w:pPr>
        <w:spacing w:after="0" w:line="276" w:lineRule="auto"/>
      </w:pPr>
    </w:p>
    <w:p w:rsidR="00C82F48" w:rsidRDefault="00C82F48">
      <w:pPr>
        <w:spacing w:after="0" w:line="276" w:lineRule="auto"/>
        <w:ind w:firstLine="567"/>
        <w:jc w:val="both"/>
      </w:pPr>
      <w:r>
        <w:rPr>
          <w:rFonts w:ascii="Times New Roman" w:hAnsi="Times New Roman"/>
          <w:sz w:val="28"/>
          <w:szCs w:val="28"/>
          <w:lang w:val="ro-MD"/>
        </w:rPr>
        <w:t>Reieșind din rezultatele atinse în primele luni ale anului curent, Ministerul Dezvoltării Economice și Digitalizării a revizuit prognoza indicatorilor macroeconomici principali pentru anul 2023, care se prezintă în tabelul nr.1.</w:t>
      </w:r>
    </w:p>
    <w:p w:rsidR="00C82F48" w:rsidRDefault="00C82F48">
      <w:pPr>
        <w:spacing w:after="0" w:line="276" w:lineRule="auto"/>
        <w:ind w:firstLine="567"/>
        <w:jc w:val="both"/>
        <w:rPr>
          <w:rFonts w:ascii="Times New Roman" w:hAnsi="Times New Roman"/>
          <w:sz w:val="28"/>
          <w:szCs w:val="28"/>
          <w:lang w:val="ro-MD"/>
        </w:rPr>
      </w:pPr>
    </w:p>
    <w:p w:rsidR="00C82F48" w:rsidRDefault="00C82F48">
      <w:pPr>
        <w:spacing w:after="0" w:line="276" w:lineRule="auto"/>
        <w:ind w:firstLine="360"/>
        <w:jc w:val="both"/>
      </w:pPr>
      <w:r>
        <w:rPr>
          <w:rFonts w:ascii="Times New Roman" w:hAnsi="Times New Roman"/>
          <w:b/>
          <w:bCs/>
          <w:i/>
          <w:color w:val="323E4F"/>
          <w:sz w:val="28"/>
          <w:szCs w:val="24"/>
        </w:rPr>
        <w:t>Tabelul 1.Prognozele principalilor indicatori macroeconomici pentru anul 2023</w:t>
      </w:r>
    </w:p>
    <w:tbl>
      <w:tblPr>
        <w:tblW w:w="4850" w:type="pct"/>
        <w:tblLayout w:type="fixed"/>
        <w:tblLook w:val="0000" w:firstRow="0" w:lastRow="0" w:firstColumn="0" w:lastColumn="0" w:noHBand="0" w:noVBand="0"/>
      </w:tblPr>
      <w:tblGrid>
        <w:gridCol w:w="3398"/>
        <w:gridCol w:w="998"/>
        <w:gridCol w:w="1690"/>
        <w:gridCol w:w="1514"/>
        <w:gridCol w:w="1464"/>
      </w:tblGrid>
      <w:tr w:rsidR="00C82F48">
        <w:trPr>
          <w:trHeight w:val="365"/>
          <w:tblHeader/>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b/>
                <w:bCs/>
                <w:color w:val="000000"/>
                <w:sz w:val="20"/>
                <w:szCs w:val="20"/>
                <w:lang w:val="ro-MD" w:eastAsia="ru-RU"/>
              </w:rPr>
              <w:t>Indicatorii</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b/>
                <w:bCs/>
                <w:color w:val="000000"/>
                <w:sz w:val="20"/>
                <w:szCs w:val="20"/>
                <w:lang w:val="ro-MD" w:eastAsia="ru-RU"/>
              </w:rPr>
              <w:t>Unitatea de măsură</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b/>
                <w:bCs/>
                <w:color w:val="000000"/>
                <w:sz w:val="20"/>
                <w:szCs w:val="20"/>
                <w:lang w:val="ro-MD" w:eastAsia="ru-RU"/>
              </w:rPr>
              <w:t>Prognoze la elaborarea proiectului</w:t>
            </w:r>
          </w:p>
          <w:p w:rsidR="00C82F48" w:rsidRDefault="00C82F48">
            <w:pPr>
              <w:spacing w:after="0"/>
              <w:jc w:val="center"/>
            </w:pPr>
            <w:r>
              <w:rPr>
                <w:rFonts w:ascii="Times New Roman" w:hAnsi="Times New Roman"/>
                <w:b/>
                <w:bCs/>
                <w:color w:val="000000"/>
                <w:sz w:val="20"/>
                <w:szCs w:val="20"/>
                <w:lang w:val="ro-MD" w:eastAsia="ru-RU"/>
              </w:rPr>
              <w:t>bugetului pentru anul 2023</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C82F48" w:rsidRDefault="00C82F48">
            <w:pPr>
              <w:spacing w:after="0"/>
              <w:jc w:val="center"/>
            </w:pPr>
            <w:r>
              <w:rPr>
                <w:rFonts w:ascii="Times New Roman" w:hAnsi="Times New Roman"/>
                <w:b/>
                <w:bCs/>
                <w:color w:val="000000"/>
                <w:sz w:val="20"/>
                <w:szCs w:val="20"/>
                <w:lang w:val="ro-MD" w:eastAsia="ru-RU"/>
              </w:rPr>
              <w:t>Prognoze revizuite pentru anul 2023 (martie)</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C82F48" w:rsidRDefault="00C82F48">
            <w:pPr>
              <w:spacing w:after="0"/>
              <w:jc w:val="center"/>
            </w:pPr>
            <w:r>
              <w:rPr>
                <w:rFonts w:ascii="Times New Roman" w:hAnsi="Times New Roman"/>
                <w:b/>
                <w:bCs/>
                <w:color w:val="000000"/>
                <w:sz w:val="20"/>
                <w:szCs w:val="20"/>
                <w:lang w:val="ro-MD" w:eastAsia="ru-RU"/>
              </w:rPr>
              <w:t>Prognoze revizuite pentru anul 2023 (iulie)</w:t>
            </w:r>
          </w:p>
        </w:tc>
      </w:tr>
      <w:tr w:rsidR="00C82F48">
        <w:trPr>
          <w:trHeight w:val="16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b/>
                <w:bCs/>
                <w:color w:val="000000"/>
                <w:sz w:val="20"/>
                <w:szCs w:val="20"/>
                <w:lang w:val="ro-MD" w:eastAsia="ru-RU"/>
              </w:rPr>
              <w:t>Produsul intern brut nominal  (PIB)</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mild. lei</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308,8</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308,8</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309,5</w:t>
            </w:r>
          </w:p>
        </w:tc>
      </w:tr>
      <w:tr w:rsidR="00C82F48">
        <w:trPr>
          <w:trHeight w:val="31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color w:val="000000"/>
                <w:sz w:val="20"/>
                <w:szCs w:val="20"/>
                <w:lang w:val="ro-MD" w:eastAsia="ru-RU"/>
              </w:rPr>
              <w:t xml:space="preserve"> </w:t>
            </w:r>
            <w:r>
              <w:rPr>
                <w:rFonts w:ascii="Times New Roman" w:hAnsi="Times New Roman"/>
                <w:i/>
                <w:iCs/>
                <w:color w:val="000000"/>
                <w:sz w:val="20"/>
                <w:szCs w:val="20"/>
                <w:lang w:val="ro-MD" w:eastAsia="ru-RU"/>
              </w:rPr>
              <w:t>față de anul precedent în prețuri comparabile</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102,0</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102,0</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102,5</w:t>
            </w:r>
          </w:p>
        </w:tc>
      </w:tr>
      <w:tr w:rsidR="00C82F48">
        <w:trPr>
          <w:trHeight w:val="37"/>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b/>
                <w:bCs/>
                <w:color w:val="000000"/>
                <w:sz w:val="20"/>
                <w:szCs w:val="20"/>
                <w:lang w:val="ro-MD" w:eastAsia="ru-RU"/>
              </w:rPr>
              <w:t>Indicele prețurilor de consum</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napToGrid w:val="0"/>
              <w:spacing w:after="0"/>
              <w:jc w:val="center"/>
              <w:rPr>
                <w:rFonts w:ascii="Times New Roman" w:hAnsi="Times New Roman"/>
                <w:b/>
                <w:bCs/>
                <w:color w:val="000000"/>
                <w:sz w:val="18"/>
                <w:szCs w:val="20"/>
                <w:lang w:val="ro-MD"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 </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 </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napToGrid w:val="0"/>
              <w:spacing w:after="0"/>
              <w:jc w:val="right"/>
              <w:rPr>
                <w:rFonts w:ascii="Times New Roman" w:hAnsi="Times New Roman"/>
                <w:color w:val="000000"/>
                <w:sz w:val="20"/>
                <w:szCs w:val="20"/>
                <w:lang w:val="ro-MD" w:eastAsia="ru-RU"/>
              </w:rPr>
            </w:pPr>
          </w:p>
        </w:tc>
      </w:tr>
      <w:tr w:rsidR="00C82F48">
        <w:trPr>
          <w:trHeight w:val="37"/>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i/>
                <w:iCs/>
                <w:color w:val="000000"/>
                <w:sz w:val="20"/>
                <w:szCs w:val="20"/>
                <w:lang w:val="ro-MD" w:eastAsia="ru-RU"/>
              </w:rPr>
              <w:t xml:space="preserve"> mediu anual</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115,7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113,5</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eastAsia="ru-RU"/>
              </w:rPr>
              <w:t>113,4</w:t>
            </w:r>
          </w:p>
        </w:tc>
      </w:tr>
      <w:tr w:rsidR="00C82F48">
        <w:trPr>
          <w:trHeight w:val="311"/>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i/>
                <w:iCs/>
                <w:color w:val="000000"/>
                <w:sz w:val="20"/>
                <w:szCs w:val="20"/>
                <w:lang w:val="ro-MD" w:eastAsia="ru-RU"/>
              </w:rPr>
              <w:t xml:space="preserve"> la sfârșitul anului</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106,7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106,0</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105,2</w:t>
            </w:r>
          </w:p>
        </w:tc>
      </w:tr>
      <w:tr w:rsidR="00C82F48">
        <w:trPr>
          <w:trHeight w:val="244"/>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b/>
                <w:bCs/>
                <w:color w:val="000000"/>
                <w:sz w:val="20"/>
                <w:szCs w:val="20"/>
                <w:lang w:val="ro-MD" w:eastAsia="ru-RU"/>
              </w:rPr>
              <w:t>Cursul de schimb al leului</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napToGrid w:val="0"/>
              <w:spacing w:after="0"/>
              <w:jc w:val="center"/>
              <w:rPr>
                <w:rFonts w:ascii="Times New Roman" w:hAnsi="Times New Roman"/>
                <w:b/>
                <w:bCs/>
                <w:color w:val="000000"/>
                <w:sz w:val="20"/>
                <w:szCs w:val="20"/>
                <w:lang w:val="ro-MD"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 </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 </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napToGrid w:val="0"/>
              <w:spacing w:after="0"/>
              <w:jc w:val="right"/>
              <w:rPr>
                <w:rFonts w:ascii="Times New Roman" w:hAnsi="Times New Roman"/>
                <w:color w:val="000000"/>
                <w:sz w:val="20"/>
                <w:szCs w:val="20"/>
                <w:lang w:val="ro-MD" w:eastAsia="ru-RU"/>
              </w:rPr>
            </w:pPr>
          </w:p>
        </w:tc>
      </w:tr>
      <w:tr w:rsidR="00C82F48">
        <w:trPr>
          <w:trHeight w:val="264"/>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i/>
                <w:iCs/>
                <w:color w:val="000000"/>
                <w:sz w:val="20"/>
                <w:szCs w:val="20"/>
                <w:lang w:val="ro-MD" w:eastAsia="ru-RU"/>
              </w:rPr>
              <w:t xml:space="preserve"> mediu anual</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MDL/USD</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20,01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18,99</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18,50</w:t>
            </w:r>
          </w:p>
        </w:tc>
      </w:tr>
      <w:tr w:rsidR="00C82F48">
        <w:trPr>
          <w:trHeight w:val="277"/>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i/>
                <w:iCs/>
                <w:color w:val="000000"/>
                <w:sz w:val="20"/>
                <w:szCs w:val="20"/>
                <w:lang w:val="ro-MD" w:eastAsia="ru-RU"/>
              </w:rPr>
              <w:t xml:space="preserve"> la sfârșitul anului</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MDL/USD</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20,53</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19,18</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18,82</w:t>
            </w:r>
          </w:p>
        </w:tc>
      </w:tr>
      <w:tr w:rsidR="00C82F48">
        <w:trPr>
          <w:trHeight w:val="28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b/>
                <w:bCs/>
                <w:color w:val="000000"/>
                <w:sz w:val="20"/>
                <w:szCs w:val="20"/>
                <w:lang w:val="ro-MD" w:eastAsia="ru-RU"/>
              </w:rPr>
              <w:lastRenderedPageBreak/>
              <w:t>Export</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jc w:val="center"/>
            </w:pPr>
            <w:r>
              <w:rPr>
                <w:rFonts w:ascii="Times New Roman" w:hAnsi="Times New Roman"/>
                <w:color w:val="000000"/>
                <w:sz w:val="18"/>
                <w:szCs w:val="20"/>
                <w:lang w:val="ro-MD" w:eastAsia="ru-RU"/>
              </w:rPr>
              <w:t>mil. USD</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4475,0</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4481,0</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4360,0</w:t>
            </w:r>
          </w:p>
        </w:tc>
      </w:tr>
      <w:tr w:rsidR="00C82F48">
        <w:trPr>
          <w:trHeight w:val="387"/>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i/>
                <w:iCs/>
                <w:color w:val="000000"/>
                <w:sz w:val="20"/>
                <w:szCs w:val="20"/>
                <w:lang w:val="ro-MD" w:eastAsia="ru-RU"/>
              </w:rPr>
              <w:t xml:space="preserve"> față de anul precedent</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20"/>
                <w:szCs w:val="20"/>
                <w:lang w:val="ro-MD" w:eastAsia="ru-RU"/>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101,4</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103,4</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100,6</w:t>
            </w:r>
          </w:p>
        </w:tc>
      </w:tr>
      <w:tr w:rsidR="00C82F48">
        <w:trPr>
          <w:trHeight w:val="28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b/>
                <w:bCs/>
                <w:color w:val="000000"/>
                <w:sz w:val="20"/>
                <w:szCs w:val="20"/>
                <w:lang w:val="ro-MD" w:eastAsia="ru-RU"/>
              </w:rPr>
              <w:t>Import</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jc w:val="center"/>
            </w:pPr>
            <w:r>
              <w:rPr>
                <w:rFonts w:ascii="Times New Roman" w:hAnsi="Times New Roman"/>
                <w:color w:val="000000"/>
                <w:sz w:val="18"/>
                <w:szCs w:val="20"/>
                <w:lang w:val="ro-MD" w:eastAsia="ru-RU"/>
              </w:rPr>
              <w:t>mil. USD</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9250,0</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9820,0</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9450,0</w:t>
            </w:r>
          </w:p>
        </w:tc>
      </w:tr>
      <w:tr w:rsidR="00C82F48">
        <w:trPr>
          <w:trHeight w:val="284"/>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color w:val="000000"/>
                <w:sz w:val="20"/>
                <w:szCs w:val="20"/>
                <w:lang w:val="ro-MD" w:eastAsia="ru-RU"/>
              </w:rPr>
              <w:t xml:space="preserve"> </w:t>
            </w:r>
            <w:r>
              <w:rPr>
                <w:rFonts w:ascii="Times New Roman" w:hAnsi="Times New Roman"/>
                <w:i/>
                <w:iCs/>
                <w:color w:val="000000"/>
                <w:sz w:val="20"/>
                <w:szCs w:val="20"/>
                <w:lang w:val="ro-MD" w:eastAsia="ru-RU"/>
              </w:rPr>
              <w:t>față de anul precedent</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128,9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106,5</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102,5</w:t>
            </w:r>
          </w:p>
        </w:tc>
      </w:tr>
      <w:tr w:rsidR="00C82F48">
        <w:trPr>
          <w:trHeight w:val="293"/>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b/>
                <w:bCs/>
                <w:color w:val="000000"/>
                <w:sz w:val="20"/>
                <w:szCs w:val="20"/>
                <w:lang w:val="ro-MD" w:eastAsia="ru-RU"/>
              </w:rPr>
              <w:t>Soldul balanței comerciale</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jc w:val="center"/>
            </w:pPr>
            <w:r>
              <w:rPr>
                <w:rFonts w:ascii="Times New Roman" w:hAnsi="Times New Roman"/>
                <w:color w:val="000000"/>
                <w:sz w:val="18"/>
                <w:szCs w:val="20"/>
                <w:lang w:val="ro-MD" w:eastAsia="ru-RU"/>
              </w:rPr>
              <w:t>mil. USD</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-4835,0</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-5339,0</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-5090,0</w:t>
            </w:r>
          </w:p>
        </w:tc>
      </w:tr>
      <w:tr w:rsidR="00C82F48">
        <w:trPr>
          <w:trHeight w:val="37"/>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b/>
                <w:bCs/>
                <w:color w:val="000000"/>
                <w:sz w:val="20"/>
                <w:szCs w:val="20"/>
                <w:lang w:val="ro-MD" w:eastAsia="ru-RU"/>
              </w:rPr>
              <w:t>Producția industrială</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napToGrid w:val="0"/>
              <w:spacing w:after="0"/>
              <w:jc w:val="center"/>
              <w:rPr>
                <w:rFonts w:ascii="Times New Roman" w:hAnsi="Times New Roman"/>
                <w:b/>
                <w:bCs/>
                <w:color w:val="000000"/>
                <w:sz w:val="20"/>
                <w:szCs w:val="20"/>
                <w:lang w:val="ro-MD"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 </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 </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napToGrid w:val="0"/>
              <w:spacing w:after="0"/>
              <w:jc w:val="right"/>
              <w:rPr>
                <w:rFonts w:ascii="Times New Roman" w:hAnsi="Times New Roman"/>
                <w:color w:val="000000"/>
                <w:sz w:val="20"/>
                <w:szCs w:val="20"/>
                <w:lang w:val="ro-MD" w:eastAsia="ru-RU"/>
              </w:rPr>
            </w:pPr>
          </w:p>
        </w:tc>
      </w:tr>
      <w:tr w:rsidR="00C82F48">
        <w:trPr>
          <w:trHeight w:val="37"/>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numPr>
                <w:ilvl w:val="0"/>
                <w:numId w:val="12"/>
              </w:numPr>
              <w:spacing w:after="0" w:line="276" w:lineRule="auto"/>
              <w:ind w:left="164" w:hanging="164"/>
              <w:contextualSpacing/>
            </w:pPr>
            <w:r>
              <w:rPr>
                <w:rFonts w:ascii="Times New Roman" w:hAnsi="Times New Roman"/>
                <w:i/>
                <w:iCs/>
                <w:color w:val="000000"/>
                <w:sz w:val="20"/>
                <w:szCs w:val="20"/>
                <w:lang w:val="ro-MD" w:eastAsia="ru-RU"/>
              </w:rPr>
              <w:t>în prețuri curente</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mild. lei</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76,6</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93,2</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93,5</w:t>
            </w:r>
          </w:p>
        </w:tc>
      </w:tr>
      <w:tr w:rsidR="00C82F48">
        <w:trPr>
          <w:trHeight w:val="29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i/>
                <w:iCs/>
                <w:color w:val="000000"/>
                <w:sz w:val="20"/>
                <w:szCs w:val="20"/>
                <w:lang w:val="ro-MD" w:eastAsia="ru-RU"/>
              </w:rPr>
              <w:t>- față de anul precedent</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98,7</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104,5</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101,0</w:t>
            </w:r>
          </w:p>
        </w:tc>
      </w:tr>
      <w:tr w:rsidR="00C82F48">
        <w:trPr>
          <w:trHeight w:val="252"/>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b/>
                <w:bCs/>
                <w:color w:val="000000"/>
                <w:sz w:val="20"/>
                <w:szCs w:val="20"/>
                <w:lang w:val="ro-MD" w:eastAsia="ru-RU"/>
              </w:rPr>
              <w:t>Producția agricolă</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napToGrid w:val="0"/>
              <w:spacing w:after="0"/>
              <w:jc w:val="center"/>
              <w:rPr>
                <w:rFonts w:ascii="Times New Roman" w:hAnsi="Times New Roman"/>
                <w:b/>
                <w:bCs/>
                <w:color w:val="000000"/>
                <w:sz w:val="18"/>
                <w:szCs w:val="20"/>
                <w:lang w:val="ro-MD"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 </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 </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napToGrid w:val="0"/>
              <w:spacing w:after="0"/>
              <w:jc w:val="right"/>
              <w:rPr>
                <w:rFonts w:ascii="Times New Roman" w:hAnsi="Times New Roman"/>
                <w:color w:val="000000"/>
                <w:sz w:val="20"/>
                <w:szCs w:val="20"/>
                <w:lang w:val="ro-MD" w:eastAsia="ru-RU"/>
              </w:rPr>
            </w:pPr>
          </w:p>
        </w:tc>
      </w:tr>
      <w:tr w:rsidR="00C82F48">
        <w:trPr>
          <w:trHeight w:val="212"/>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i/>
                <w:iCs/>
                <w:color w:val="000000"/>
                <w:sz w:val="20"/>
                <w:szCs w:val="20"/>
                <w:lang w:val="ro-MD" w:eastAsia="ru-RU"/>
              </w:rPr>
              <w:t>- în prețuri curente</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mild. lei</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38,9</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46,6</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49,6</w:t>
            </w:r>
          </w:p>
        </w:tc>
      </w:tr>
      <w:tr w:rsidR="00C82F48">
        <w:trPr>
          <w:trHeight w:val="350"/>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i/>
                <w:iCs/>
                <w:color w:val="000000"/>
                <w:sz w:val="20"/>
                <w:szCs w:val="20"/>
                <w:lang w:val="ro-MD" w:eastAsia="ru-RU"/>
              </w:rPr>
              <w:t>- față de anul precedent în prețuri comparabile</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73,0</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115,0</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120,0</w:t>
            </w:r>
          </w:p>
        </w:tc>
      </w:tr>
      <w:tr w:rsidR="00C82F48">
        <w:trPr>
          <w:trHeight w:val="37"/>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b/>
                <w:bCs/>
                <w:color w:val="000000"/>
                <w:sz w:val="20"/>
                <w:szCs w:val="20"/>
                <w:lang w:val="ro-MD" w:eastAsia="ru-RU"/>
              </w:rPr>
              <w:t>Investiții în active imobilizate</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napToGrid w:val="0"/>
              <w:spacing w:after="0"/>
              <w:jc w:val="center"/>
              <w:rPr>
                <w:rFonts w:ascii="Times New Roman" w:hAnsi="Times New Roman"/>
                <w:b/>
                <w:bCs/>
                <w:color w:val="000000"/>
                <w:sz w:val="18"/>
                <w:szCs w:val="20"/>
                <w:lang w:val="ro-MD"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 </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 </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napToGrid w:val="0"/>
              <w:spacing w:after="0"/>
              <w:jc w:val="right"/>
              <w:rPr>
                <w:rFonts w:ascii="Times New Roman" w:hAnsi="Times New Roman"/>
                <w:color w:val="000000"/>
                <w:sz w:val="20"/>
                <w:szCs w:val="20"/>
                <w:lang w:val="ro-MD" w:eastAsia="ru-RU"/>
              </w:rPr>
            </w:pPr>
          </w:p>
        </w:tc>
      </w:tr>
      <w:tr w:rsidR="00C82F48">
        <w:trPr>
          <w:trHeight w:val="20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i/>
                <w:iCs/>
                <w:color w:val="000000"/>
                <w:sz w:val="20"/>
                <w:szCs w:val="20"/>
                <w:lang w:val="ro-MD" w:eastAsia="ru-RU"/>
              </w:rPr>
              <w:t>- în prețuri curente</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mild. lei</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36,56</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33,2</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34,2</w:t>
            </w:r>
          </w:p>
        </w:tc>
      </w:tr>
      <w:tr w:rsidR="00C82F48">
        <w:trPr>
          <w:trHeight w:val="344"/>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i/>
                <w:iCs/>
                <w:color w:val="000000"/>
                <w:sz w:val="20"/>
                <w:szCs w:val="20"/>
                <w:lang w:val="ro-MD" w:eastAsia="ru-RU"/>
              </w:rPr>
              <w:t>- față de anul precedent în prețuri comparabile</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96,5</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101,5</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101,5</w:t>
            </w:r>
          </w:p>
        </w:tc>
      </w:tr>
      <w:tr w:rsidR="00C82F48">
        <w:trPr>
          <w:trHeight w:val="222"/>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b/>
                <w:bCs/>
                <w:color w:val="000000"/>
                <w:sz w:val="20"/>
                <w:szCs w:val="20"/>
                <w:lang w:val="ro-MD" w:eastAsia="ru-RU"/>
              </w:rPr>
              <w:t>Fondul de remunerare a muncii</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mild. lei</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77,3</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88,7</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93,5</w:t>
            </w:r>
          </w:p>
        </w:tc>
      </w:tr>
      <w:tr w:rsidR="00C82F48">
        <w:trPr>
          <w:trHeight w:val="196"/>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i/>
                <w:iCs/>
                <w:color w:val="000000"/>
                <w:sz w:val="20"/>
                <w:szCs w:val="20"/>
                <w:lang w:val="ro-MD" w:eastAsia="ru-RU"/>
              </w:rPr>
              <w:t xml:space="preserve"> față de anul precedent în prețuri curente</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115,2</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114,1</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120,3</w:t>
            </w:r>
          </w:p>
        </w:tc>
      </w:tr>
      <w:tr w:rsidR="00C82F48">
        <w:trPr>
          <w:trHeight w:val="317"/>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i/>
                <w:iCs/>
                <w:color w:val="000000"/>
                <w:sz w:val="20"/>
                <w:szCs w:val="20"/>
                <w:lang w:val="ro-MD" w:eastAsia="ru-RU"/>
              </w:rPr>
              <w:t>- față de anul precedent în prețuri comparabile</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89,1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100,5</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106,1</w:t>
            </w:r>
          </w:p>
        </w:tc>
      </w:tr>
      <w:tr w:rsidR="00C82F48">
        <w:trPr>
          <w:trHeight w:val="285"/>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b/>
                <w:bCs/>
                <w:color w:val="000000"/>
                <w:sz w:val="20"/>
                <w:szCs w:val="20"/>
                <w:lang w:val="ro-MD" w:eastAsia="ru-RU"/>
              </w:rPr>
              <w:t>Salariul nominal mediu lunar</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color w:val="000000"/>
                <w:sz w:val="18"/>
                <w:szCs w:val="20"/>
                <w:lang w:val="ro-MD" w:eastAsia="ru-RU"/>
              </w:rPr>
              <w:t>lei</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10280</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11850</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12450</w:t>
            </w:r>
          </w:p>
        </w:tc>
      </w:tr>
      <w:tr w:rsidR="00C82F48">
        <w:trPr>
          <w:trHeight w:val="289"/>
        </w:trPr>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pPr>
            <w:r>
              <w:rPr>
                <w:rFonts w:ascii="Times New Roman" w:hAnsi="Times New Roman"/>
                <w:i/>
                <w:iCs/>
                <w:color w:val="000000"/>
                <w:sz w:val="20"/>
                <w:szCs w:val="20"/>
                <w:lang w:val="ro-MD" w:eastAsia="ru-RU"/>
              </w:rPr>
              <w:t xml:space="preserve"> față de anul precedent în prețuri curente</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center"/>
            </w:pPr>
            <w:r>
              <w:rPr>
                <w:rFonts w:ascii="Times New Roman" w:hAnsi="Times New Roman"/>
                <w:sz w:val="18"/>
                <w:szCs w:val="20"/>
                <w:lang w:val="ro-MD" w:eastAsia="ro-RO"/>
              </w:rPr>
              <w:t>%</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114,5</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113,9</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jc w:val="right"/>
            </w:pPr>
            <w:r>
              <w:rPr>
                <w:rFonts w:ascii="Times New Roman" w:hAnsi="Times New Roman"/>
                <w:color w:val="000000"/>
                <w:sz w:val="20"/>
                <w:szCs w:val="20"/>
                <w:lang w:val="ro-MD" w:eastAsia="ru-RU"/>
              </w:rPr>
              <w:t>119,7</w:t>
            </w:r>
          </w:p>
        </w:tc>
      </w:tr>
    </w:tbl>
    <w:p w:rsidR="00C82F48" w:rsidRDefault="00C82F48">
      <w:pPr>
        <w:spacing w:after="0" w:line="276" w:lineRule="auto"/>
        <w:ind w:firstLine="360"/>
        <w:jc w:val="both"/>
        <w:rPr>
          <w:rFonts w:ascii="Times New Roman" w:hAnsi="Times New Roman"/>
          <w:sz w:val="28"/>
          <w:szCs w:val="28"/>
          <w:lang w:val="ro-MD"/>
        </w:rPr>
      </w:pPr>
    </w:p>
    <w:p w:rsidR="00C82F48" w:rsidRDefault="00C82F48">
      <w:pPr>
        <w:spacing w:after="0" w:line="276" w:lineRule="auto"/>
        <w:ind w:firstLine="567"/>
        <w:jc w:val="both"/>
      </w:pPr>
      <w:r>
        <w:rPr>
          <w:rFonts w:ascii="Times New Roman" w:hAnsi="Times New Roman"/>
          <w:b/>
          <w:i/>
          <w:sz w:val="28"/>
          <w:szCs w:val="28"/>
          <w:lang w:val="ro-MD"/>
        </w:rPr>
        <w:t xml:space="preserve">Produsul intern brut (PIB) s-a diminuat cu 2,4% în trimestrul I 2023. </w:t>
      </w:r>
    </w:p>
    <w:p w:rsidR="00C82F48" w:rsidRDefault="00C82F48">
      <w:pPr>
        <w:spacing w:after="0" w:line="276" w:lineRule="auto"/>
        <w:ind w:firstLine="567"/>
        <w:jc w:val="both"/>
      </w:pPr>
      <w:r>
        <w:rPr>
          <w:rFonts w:ascii="Times New Roman" w:hAnsi="Times New Roman"/>
          <w:sz w:val="28"/>
          <w:szCs w:val="28"/>
          <w:lang w:val="ro-MD"/>
        </w:rPr>
        <w:t>Consecințele crizelor  multiple care au influențat economia în anul precedent menține în descreștere activitatea economică. Printre cele mai afectate sectoare se evidențiază industria prelucrătoare, valoarea adăugată brută a căruia s-a diminuat cu 14%, sectorul energetic (-37%), industria extractivă (-11%), comerț intern (-6,2%), construcții (-16%). Totuși, sunt sectoare care au fost în creștere: servicii de cazare și alimentație publică (+14%), informații și comunicații (+8%), sector imobiliar (+8%). Pe partea de utilizări, diminuarea PIB a fost influențată în cea mai mare parte de impactul negativ generat de consum, care s-a diminuat cu 1,9%, de  investiții (-0,4%) și de exportul net.</w:t>
      </w:r>
    </w:p>
    <w:p w:rsidR="00C82F48" w:rsidRDefault="00C82F48">
      <w:pPr>
        <w:spacing w:after="0" w:line="276" w:lineRule="auto"/>
        <w:ind w:firstLine="567"/>
        <w:contextualSpacing/>
        <w:jc w:val="both"/>
      </w:pPr>
      <w:r>
        <w:rPr>
          <w:rFonts w:ascii="Times New Roman" w:eastAsia="Cambria" w:hAnsi="Times New Roman"/>
          <w:b/>
          <w:i/>
          <w:color w:val="000000"/>
          <w:sz w:val="28"/>
          <w:szCs w:val="28"/>
        </w:rPr>
        <w:t>Cererea externă anemică, consecințele crizei energetice, războiul din țara vecină, creșterea prețurilor sunt factorii de bază ce continuă să afecteze sectorul</w:t>
      </w:r>
      <w:r>
        <w:rPr>
          <w:rFonts w:ascii="Times New Roman" w:eastAsia="Cambria" w:hAnsi="Times New Roman"/>
          <w:b/>
          <w:color w:val="000000"/>
          <w:sz w:val="28"/>
          <w:szCs w:val="28"/>
        </w:rPr>
        <w:t xml:space="preserve"> </w:t>
      </w:r>
      <w:r>
        <w:rPr>
          <w:rFonts w:ascii="Times New Roman" w:eastAsia="Cambria" w:hAnsi="Times New Roman"/>
          <w:b/>
          <w:i/>
          <w:color w:val="000000"/>
          <w:sz w:val="28"/>
          <w:szCs w:val="28"/>
        </w:rPr>
        <w:t>industrial.</w:t>
      </w:r>
      <w:r>
        <w:rPr>
          <w:rFonts w:ascii="Times New Roman" w:eastAsia="Cambria" w:hAnsi="Times New Roman"/>
          <w:b/>
          <w:color w:val="000000"/>
          <w:sz w:val="28"/>
          <w:szCs w:val="28"/>
        </w:rPr>
        <w:t xml:space="preserve"> </w:t>
      </w:r>
      <w:r>
        <w:rPr>
          <w:rFonts w:ascii="Times New Roman" w:eastAsia="Cambria" w:hAnsi="Times New Roman"/>
          <w:color w:val="000000"/>
          <w:sz w:val="28"/>
          <w:szCs w:val="28"/>
        </w:rPr>
        <w:t xml:space="preserve">În lunile ianuarie-iunie 2023 sectorul industrial a descrescut cu 7,6% față de aceeași perioadă din anul 2022. </w:t>
      </w:r>
      <w:r>
        <w:rPr>
          <w:rFonts w:ascii="Times New Roman" w:eastAsia="Cambria" w:hAnsi="Times New Roman"/>
          <w:bCs/>
          <w:color w:val="000000"/>
          <w:sz w:val="28"/>
          <w:szCs w:val="28"/>
        </w:rPr>
        <w:t xml:space="preserve">Industria prelucrătoare este ramura cea mai afectată de conflictul din regiune și conjunctura externă, descreșterea căreia (-9,5%) a produs cel mai mare impact negativ asupra sectorului industrial. </w:t>
      </w:r>
      <w:r>
        <w:rPr>
          <w:rFonts w:ascii="Times New Roman" w:eastAsia="Cambria" w:hAnsi="Times New Roman"/>
          <w:color w:val="000000"/>
          <w:sz w:val="28"/>
          <w:szCs w:val="28"/>
        </w:rPr>
        <w:t xml:space="preserve">Este negativ și </w:t>
      </w:r>
      <w:r>
        <w:rPr>
          <w:rFonts w:ascii="Times New Roman" w:eastAsia="Cambria" w:hAnsi="Times New Roman"/>
          <w:color w:val="000000"/>
          <w:sz w:val="28"/>
          <w:szCs w:val="28"/>
        </w:rPr>
        <w:lastRenderedPageBreak/>
        <w:t xml:space="preserve">rezultatul industriei extractive (-10,0%), care este influențat de descreșterea cererii pentru serviciile de construcții. </w:t>
      </w:r>
    </w:p>
    <w:p w:rsidR="00C82F48" w:rsidRDefault="00C82F48">
      <w:pPr>
        <w:spacing w:after="0" w:line="276" w:lineRule="auto"/>
        <w:ind w:firstLine="567"/>
        <w:contextualSpacing/>
        <w:jc w:val="both"/>
      </w:pPr>
      <w:r>
        <w:rPr>
          <w:rFonts w:ascii="Times New Roman" w:eastAsia="Cambria" w:hAnsi="Times New Roman"/>
          <w:b/>
          <w:i/>
          <w:color w:val="000000"/>
          <w:sz w:val="28"/>
          <w:szCs w:val="28"/>
        </w:rPr>
        <w:t>Volumul producției agricole s-a diminuat.</w:t>
      </w:r>
      <w:r>
        <w:rPr>
          <w:rFonts w:ascii="Times New Roman" w:eastAsia="Cambria" w:hAnsi="Times New Roman"/>
          <w:b/>
          <w:color w:val="000000"/>
          <w:sz w:val="28"/>
          <w:szCs w:val="28"/>
        </w:rPr>
        <w:t xml:space="preserve"> </w:t>
      </w:r>
      <w:r>
        <w:rPr>
          <w:rFonts w:ascii="Times New Roman" w:hAnsi="Times New Roman"/>
          <w:sz w:val="28"/>
          <w:szCs w:val="28"/>
        </w:rPr>
        <w:t xml:space="preserve">Producția globală agricolă în toate categoriile de gospodării în ianuarie-iunie 2023 a constituit 6,4 mild. lei și a fost inferioară celei obținute în perioada similară 2022 cu 1% (în prețuri comparabile). Micșorarea producției agricole a fost determinată de scăderea producției în sectorul zootehnic cu 1,4%, </w:t>
      </w:r>
      <w:r>
        <w:rPr>
          <w:rFonts w:ascii="Times New Roman" w:eastAsia="Cambria" w:hAnsi="Times New Roman"/>
          <w:color w:val="000000"/>
          <w:sz w:val="28"/>
          <w:szCs w:val="28"/>
        </w:rPr>
        <w:t>care deține în semestrul I o cotă de 85% în volumul total al producției agricole</w:t>
      </w:r>
      <w:r>
        <w:rPr>
          <w:rFonts w:ascii="Times New Roman" w:hAnsi="Times New Roman"/>
          <w:sz w:val="28"/>
          <w:szCs w:val="28"/>
        </w:rPr>
        <w:t>. Producția vegetală s-a majorat cu 2,7%.</w:t>
      </w:r>
    </w:p>
    <w:p w:rsidR="00C82F48" w:rsidRDefault="00C82F48">
      <w:pPr>
        <w:spacing w:after="0" w:line="276" w:lineRule="auto"/>
        <w:ind w:firstLine="567"/>
        <w:contextualSpacing/>
        <w:jc w:val="both"/>
      </w:pPr>
      <w:r>
        <w:rPr>
          <w:rFonts w:ascii="Times New Roman" w:hAnsi="Times New Roman"/>
          <w:b/>
          <w:i/>
          <w:sz w:val="28"/>
          <w:szCs w:val="28"/>
        </w:rPr>
        <w:t>Diminuarea cererii de consum a populației și temperarea activității economice au redus veniturile din vânzări în comerțul intern.</w:t>
      </w:r>
      <w:r>
        <w:rPr>
          <w:rFonts w:ascii="Times New Roman" w:hAnsi="Times New Roman"/>
          <w:b/>
          <w:sz w:val="28"/>
          <w:szCs w:val="28"/>
        </w:rPr>
        <w:t xml:space="preserve"> </w:t>
      </w:r>
      <w:r>
        <w:rPr>
          <w:rFonts w:ascii="Times New Roman" w:hAnsi="Times New Roman"/>
          <w:bCs/>
          <w:sz w:val="28"/>
          <w:szCs w:val="28"/>
        </w:rPr>
        <w:t>În contextul crizelor actuale, veniturile din vânzări în comerțul de bunuri cu amănuntul s-au diminuat cu 3,4% în ianuarie-mai 2023, iar în comerțul de bunuri cu ridicata – cu 27%. Pe de altă parte, în sectorul de prestare a serviciilor populației se atestă creștere cu 15%, fiind impulsionată de cererea pentru activitățile de recreare, de agrement și activități de cazare și alimentație publică. Serviciile prestate întreprinderilor se mențin în scădere     (-7,7%).</w:t>
      </w:r>
    </w:p>
    <w:p w:rsidR="00C82F48" w:rsidRDefault="00C82F48">
      <w:pPr>
        <w:spacing w:after="0" w:line="276" w:lineRule="auto"/>
        <w:ind w:firstLine="567"/>
        <w:contextualSpacing/>
        <w:jc w:val="both"/>
      </w:pPr>
      <w:r>
        <w:rPr>
          <w:rFonts w:ascii="Times New Roman" w:eastAsia="Cambria" w:hAnsi="Times New Roman"/>
          <w:b/>
          <w:i/>
          <w:sz w:val="28"/>
          <w:szCs w:val="28"/>
        </w:rPr>
        <w:t>Crizele actuale mențin investițiile pe o traiectorie descendentă.</w:t>
      </w:r>
      <w:r>
        <w:rPr>
          <w:rFonts w:ascii="Times New Roman" w:eastAsia="Cambria" w:hAnsi="Times New Roman"/>
          <w:b/>
          <w:sz w:val="28"/>
          <w:szCs w:val="28"/>
        </w:rPr>
        <w:t xml:space="preserve"> </w:t>
      </w:r>
      <w:r>
        <w:rPr>
          <w:rFonts w:ascii="Times New Roman" w:eastAsia="Cambria" w:hAnsi="Times New Roman"/>
          <w:sz w:val="28"/>
          <w:szCs w:val="28"/>
          <w:lang w:val="ro-MD"/>
        </w:rPr>
        <w:t>Î</w:t>
      </w:r>
      <w:r>
        <w:rPr>
          <w:rFonts w:ascii="Times New Roman" w:eastAsia="Cambria" w:hAnsi="Times New Roman"/>
          <w:bCs/>
          <w:sz w:val="28"/>
          <w:szCs w:val="28"/>
        </w:rPr>
        <w:t>n semestrul I 2023 au fost realizate investiții în active imobilizate în valoare de 12,2 miliarde lei, în descreștere cu 4,9% față de ianuarie-iunie 2022, dintre care investiții în imobilizări corporale în valoare de 11,9 miliarde lei (în descreștere cu 5,1%) și investiții în imobilizări necorporale în valoare de 0,3 miliarde lei (în creștere cu 4,4%).</w:t>
      </w:r>
    </w:p>
    <w:p w:rsidR="00C82F48" w:rsidRDefault="00C82F48">
      <w:pPr>
        <w:spacing w:after="0" w:line="276" w:lineRule="auto"/>
        <w:ind w:firstLine="567"/>
        <w:contextualSpacing/>
        <w:jc w:val="both"/>
      </w:pPr>
      <w:r>
        <w:rPr>
          <w:rFonts w:ascii="Times New Roman" w:eastAsia="Cambria" w:hAnsi="Times New Roman"/>
          <w:b/>
          <w:bCs/>
          <w:i/>
          <w:sz w:val="28"/>
          <w:szCs w:val="28"/>
        </w:rPr>
        <w:t>Rata inflației se temperează, dar se menține la nivel ridicat.</w:t>
      </w:r>
      <w:r>
        <w:rPr>
          <w:rFonts w:ascii="Times New Roman" w:eastAsia="Cambria" w:hAnsi="Times New Roman"/>
          <w:b/>
          <w:bCs/>
          <w:sz w:val="28"/>
          <w:szCs w:val="28"/>
        </w:rPr>
        <w:t xml:space="preserve"> </w:t>
      </w:r>
      <w:r>
        <w:rPr>
          <w:rFonts w:ascii="Times New Roman" w:eastAsia="Cambria" w:hAnsi="Times New Roman"/>
          <w:bCs/>
          <w:sz w:val="28"/>
          <w:szCs w:val="28"/>
        </w:rPr>
        <w:t>Rata inflației anuală (iunie 2023 față de iunie 2022) constituie 13,2%. Descreșterea cererii interne ca rezultat al politicii monetare restrictive este factorul principal cu efect dezinflaționist. Totodată, diminuarea cererii externe, iarna caldă în regiunea europeană și crearea lanțurilor logistice noi au determinat scăderea prețurilor internaționale la resursele energetice, produsele alimentare și materia primă. Totuși, rata inflației se menține peste limita superioară a intervalului de variație al țintei inflației stabilite de BNM (5% +/- 1,5%).</w:t>
      </w:r>
    </w:p>
    <w:p w:rsidR="00C82F48" w:rsidRDefault="00C82F48">
      <w:pPr>
        <w:spacing w:after="0" w:line="276" w:lineRule="auto"/>
        <w:ind w:firstLine="567"/>
        <w:contextualSpacing/>
        <w:jc w:val="both"/>
      </w:pPr>
      <w:r>
        <w:rPr>
          <w:rFonts w:ascii="Times New Roman" w:eastAsia="Cambria" w:hAnsi="Times New Roman"/>
          <w:b/>
          <w:bCs/>
          <w:i/>
          <w:sz w:val="28"/>
          <w:szCs w:val="28"/>
        </w:rPr>
        <w:t>Leul moldovenesc s-a apreciat față de dolar și</w:t>
      </w:r>
      <w:r>
        <w:rPr>
          <w:rFonts w:ascii="Times New Roman" w:eastAsia="Cambria" w:hAnsi="Times New Roman"/>
          <w:b/>
          <w:bCs/>
          <w:i/>
          <w:sz w:val="28"/>
          <w:szCs w:val="28"/>
          <w:lang w:val="en-US"/>
        </w:rPr>
        <w:t xml:space="preserve"> </w:t>
      </w:r>
      <w:r>
        <w:rPr>
          <w:rFonts w:ascii="Times New Roman" w:eastAsia="Cambria" w:hAnsi="Times New Roman"/>
          <w:b/>
          <w:bCs/>
          <w:i/>
          <w:sz w:val="28"/>
          <w:szCs w:val="28"/>
        </w:rPr>
        <w:t>Euro.</w:t>
      </w:r>
      <w:r>
        <w:rPr>
          <w:rFonts w:ascii="Times New Roman" w:eastAsia="Cambria" w:hAnsi="Times New Roman"/>
          <w:bCs/>
          <w:sz w:val="28"/>
          <w:szCs w:val="28"/>
        </w:rPr>
        <w:t xml:space="preserve"> În ianuarie</w:t>
      </w:r>
      <w:r>
        <w:rPr>
          <w:rFonts w:ascii="Times New Roman" w:eastAsia="Cambria" w:hAnsi="Times New Roman"/>
          <w:bCs/>
          <w:sz w:val="28"/>
          <w:szCs w:val="28"/>
          <w:lang w:val="en-US"/>
        </w:rPr>
        <w:t>-</w:t>
      </w:r>
      <w:r>
        <w:rPr>
          <w:rFonts w:ascii="Times New Roman" w:eastAsia="Cambria" w:hAnsi="Times New Roman"/>
          <w:bCs/>
          <w:sz w:val="28"/>
          <w:szCs w:val="28"/>
        </w:rPr>
        <w:t xml:space="preserve">iunie 2023 moneda națională a marcat o apreciere de 4,6% față de dolarul SUA în termeni nominali (de la 19,16 lei pentru 1 dolar american la 1 ianuarie 2023 până la 18,28 lei la 30 iunie 2023). Față de Euro leul moldovenesc s-a apreciat cu 2%. </w:t>
      </w:r>
      <w:r>
        <w:rPr>
          <w:rFonts w:ascii="Times New Roman" w:eastAsia="Cambria" w:hAnsi="Times New Roman"/>
          <w:sz w:val="28"/>
          <w:szCs w:val="28"/>
        </w:rPr>
        <w:t>Stocul activelor valutare de rezervă ale BNM</w:t>
      </w:r>
      <w:r>
        <w:rPr>
          <w:rFonts w:ascii="Times New Roman" w:eastAsia="Cambria" w:hAnsi="Times New Roman"/>
          <w:bCs/>
          <w:sz w:val="28"/>
          <w:szCs w:val="28"/>
        </w:rPr>
        <w:t xml:space="preserve"> la sfârșitul lunii iunie 2023 a atins un record istoric de 4902,7 mil. dolari (asigurând 5,9 luni de import), majorându-se cu 9,6% comparativ cu nivelul înregistrat la sfârșitul anului 2022 şi cu 35,6% - față de situația la </w:t>
      </w:r>
      <w:r>
        <w:rPr>
          <w:rFonts w:ascii="Times New Roman" w:eastAsia="Cambria" w:hAnsi="Times New Roman"/>
          <w:sz w:val="28"/>
          <w:szCs w:val="28"/>
        </w:rPr>
        <w:t>sfârșitul lunii iunie</w:t>
      </w:r>
      <w:r>
        <w:rPr>
          <w:rFonts w:ascii="Times New Roman" w:eastAsia="Cambria" w:hAnsi="Times New Roman"/>
          <w:bCs/>
          <w:sz w:val="28"/>
          <w:szCs w:val="28"/>
        </w:rPr>
        <w:t xml:space="preserve"> 2022.</w:t>
      </w:r>
    </w:p>
    <w:p w:rsidR="00C82F48" w:rsidRDefault="00C82F48">
      <w:pPr>
        <w:spacing w:after="0" w:line="276" w:lineRule="auto"/>
        <w:ind w:firstLine="567"/>
        <w:contextualSpacing/>
        <w:jc w:val="both"/>
      </w:pPr>
      <w:bookmarkStart w:id="2" w:name="_Hlk134085710"/>
      <w:r>
        <w:rPr>
          <w:rFonts w:ascii="Times New Roman" w:eastAsia="Cambria" w:hAnsi="Times New Roman"/>
          <w:b/>
          <w:i/>
          <w:sz w:val="28"/>
          <w:szCs w:val="28"/>
        </w:rPr>
        <w:t>Se atestă primele semnale ale impactului relaxării politicii monetare</w:t>
      </w:r>
      <w:r>
        <w:rPr>
          <w:rFonts w:ascii="Times New Roman" w:eastAsia="Cambria" w:hAnsi="Times New Roman"/>
          <w:bCs/>
          <w:i/>
          <w:sz w:val="28"/>
          <w:szCs w:val="28"/>
        </w:rPr>
        <w:t>.</w:t>
      </w:r>
      <w:r>
        <w:rPr>
          <w:rFonts w:ascii="Times New Roman" w:eastAsia="Cambria" w:hAnsi="Times New Roman"/>
          <w:bCs/>
          <w:sz w:val="28"/>
          <w:szCs w:val="28"/>
        </w:rPr>
        <w:t xml:space="preserve"> În contextul diminuării ratelor dobânzilor, cererea la credite a intrat pe o traiectorie </w:t>
      </w:r>
      <w:r>
        <w:rPr>
          <w:rFonts w:ascii="Times New Roman" w:eastAsia="Cambria" w:hAnsi="Times New Roman"/>
          <w:bCs/>
          <w:sz w:val="28"/>
          <w:szCs w:val="28"/>
        </w:rPr>
        <w:lastRenderedPageBreak/>
        <w:t xml:space="preserve">pozitivă, astfel încât în primele 6 luni creditele noi au înregistrat majorare (cu 0,6% față de perioada respectivă a anului 2022). Concomitent, ratele relativ înalte au condiționat creșterea depozitelor noi atrase cu 31%. </w:t>
      </w:r>
      <w:r>
        <w:rPr>
          <w:rFonts w:ascii="Times New Roman" w:eastAsia="Cambria" w:hAnsi="Times New Roman"/>
          <w:sz w:val="28"/>
          <w:szCs w:val="28"/>
        </w:rPr>
        <w:t xml:space="preserve">Masa monetară M3 a constituit la sfârșitul lunii iunie 2023 circa 138,1 mild. lei şi s-a majorat cu 21,3% față de aceeași dată a anului 2022 și cu 9,6% de la începutul anului curent. </w:t>
      </w:r>
      <w:bookmarkEnd w:id="2"/>
    </w:p>
    <w:p w:rsidR="00C82F48" w:rsidRDefault="00C82F48">
      <w:pPr>
        <w:spacing w:after="0" w:line="276" w:lineRule="auto"/>
        <w:ind w:firstLine="567"/>
        <w:contextualSpacing/>
        <w:jc w:val="both"/>
      </w:pPr>
      <w:r>
        <w:rPr>
          <w:rFonts w:ascii="Times New Roman" w:eastAsia="Cambria" w:hAnsi="Times New Roman"/>
          <w:b/>
          <w:i/>
          <w:sz w:val="28"/>
          <w:szCs w:val="28"/>
        </w:rPr>
        <w:t xml:space="preserve">Deficitul contului curent al balanței de plăți externe s-a îmbunătățit. </w:t>
      </w:r>
      <w:r>
        <w:rPr>
          <w:rFonts w:ascii="Times New Roman" w:eastAsia="Cambria" w:hAnsi="Times New Roman"/>
          <w:bCs/>
          <w:sz w:val="28"/>
          <w:szCs w:val="28"/>
        </w:rPr>
        <w:t xml:space="preserve">Prețurile  internaționale înalte la resursele energetice și produsele alimentare, creșterea remiterilor </w:t>
      </w:r>
      <w:r>
        <w:rPr>
          <w:rFonts w:ascii="Times New Roman" w:eastAsia="Cambria" w:hAnsi="Times New Roman"/>
          <w:sz w:val="28"/>
          <w:szCs w:val="28"/>
        </w:rPr>
        <w:t xml:space="preserve">primite din străinătate cu 11,1% </w:t>
      </w:r>
      <w:r>
        <w:rPr>
          <w:rFonts w:ascii="Times New Roman" w:eastAsia="Cambria" w:hAnsi="Times New Roman"/>
          <w:bCs/>
          <w:sz w:val="28"/>
          <w:szCs w:val="28"/>
        </w:rPr>
        <w:t>și a transferurilor legate de cooperarea internațională de 1,6 ori au condus la diminuarea cu 4,4% a deficitului contului curent al balanței de plăți în trimestrul I 2023, constituind 16,1</w:t>
      </w:r>
      <w:r>
        <w:rPr>
          <w:rFonts w:ascii="Times New Roman" w:eastAsia="Cambria" w:hAnsi="Times New Roman"/>
          <w:sz w:val="28"/>
          <w:szCs w:val="28"/>
        </w:rPr>
        <w:t>% în raport cu PIB. Concomitent, intrările de investiții străine directe au însumat 143,5 mil. dolari, fiind în scădere cu 28,4%.</w:t>
      </w:r>
    </w:p>
    <w:p w:rsidR="00C82F48" w:rsidRDefault="00C82F48">
      <w:pPr>
        <w:spacing w:after="0" w:line="276" w:lineRule="auto"/>
        <w:ind w:right="189"/>
        <w:contextualSpacing/>
        <w:jc w:val="both"/>
      </w:pPr>
      <w:bookmarkStart w:id="3" w:name="_Hlk134021015"/>
      <w:bookmarkStart w:id="4" w:name="_heading=h.2koq656"/>
      <w:bookmarkEnd w:id="4"/>
      <w:r>
        <w:rPr>
          <w:rFonts w:ascii="Times New Roman" w:eastAsia="Cambria" w:hAnsi="Times New Roman"/>
          <w:b/>
          <w:sz w:val="28"/>
          <w:szCs w:val="28"/>
        </w:rPr>
        <w:tab/>
      </w:r>
      <w:bookmarkStart w:id="5" w:name="_Hlk112413591"/>
      <w:r>
        <w:rPr>
          <w:rFonts w:ascii="Times New Roman" w:eastAsia="Cambria" w:hAnsi="Times New Roman"/>
          <w:b/>
          <w:i/>
          <w:sz w:val="28"/>
          <w:szCs w:val="28"/>
        </w:rPr>
        <w:t>În primele 6 luni ale anului 2023 exporturile au constituit 2 042,2 mil. dolari SUA,</w:t>
      </w:r>
      <w:r>
        <w:rPr>
          <w:rFonts w:ascii="Times New Roman" w:eastAsia="Cambria" w:hAnsi="Times New Roman"/>
          <w:sz w:val="28"/>
          <w:szCs w:val="28"/>
        </w:rPr>
        <w:t xml:space="preserve"> înregistrând o scădere de 10,9%</w:t>
      </w:r>
      <w:r>
        <w:rPr>
          <w:rFonts w:ascii="Times New Roman" w:hAnsi="Times New Roman"/>
        </w:rPr>
        <w:t xml:space="preserve"> </w:t>
      </w:r>
      <w:r>
        <w:rPr>
          <w:rFonts w:ascii="Times New Roman" w:eastAsia="Cambria" w:hAnsi="Times New Roman"/>
          <w:sz w:val="28"/>
          <w:szCs w:val="28"/>
        </w:rPr>
        <w:t xml:space="preserve">comparativ cu perioada corespunzătoare din anul 2022. Diminuarea cererii externe, a potențialului de export (determinat în mare parte de producția agricolă redusă obținută în anul 2022 și producția industrială în descreștere), reducerea prețurilor externe sunt factorii de bază care au influențat involuția exporturilor. </w:t>
      </w:r>
      <w:bookmarkEnd w:id="5"/>
      <w:r>
        <w:rPr>
          <w:rFonts w:ascii="Times New Roman" w:eastAsia="Cambria" w:hAnsi="Times New Roman"/>
          <w:bCs/>
          <w:color w:val="000000"/>
          <w:sz w:val="28"/>
          <w:szCs w:val="28"/>
        </w:rPr>
        <w:t xml:space="preserve">Exporturile de </w:t>
      </w:r>
      <w:r>
        <w:rPr>
          <w:rFonts w:ascii="Times New Roman" w:eastAsia="Cambria" w:hAnsi="Times New Roman"/>
          <w:bCs/>
          <w:i/>
          <w:iCs/>
          <w:color w:val="000000"/>
          <w:sz w:val="28"/>
          <w:szCs w:val="28"/>
        </w:rPr>
        <w:t>mărfuri autohtone</w:t>
      </w:r>
      <w:r>
        <w:rPr>
          <w:rFonts w:ascii="Times New Roman" w:eastAsia="Cambria" w:hAnsi="Times New Roman"/>
          <w:bCs/>
          <w:color w:val="000000"/>
          <w:sz w:val="28"/>
          <w:szCs w:val="28"/>
        </w:rPr>
        <w:t>,</w:t>
      </w:r>
      <w:r>
        <w:rPr>
          <w:rFonts w:ascii="Times New Roman" w:eastAsia="Cambria" w:hAnsi="Times New Roman"/>
          <w:b/>
          <w:color w:val="000000"/>
          <w:sz w:val="28"/>
          <w:szCs w:val="28"/>
        </w:rPr>
        <w:t xml:space="preserve"> </w:t>
      </w:r>
      <w:r>
        <w:rPr>
          <w:rFonts w:ascii="Times New Roman" w:eastAsia="Cambria" w:hAnsi="Times New Roman"/>
          <w:bCs/>
          <w:color w:val="000000"/>
          <w:sz w:val="28"/>
          <w:szCs w:val="28"/>
        </w:rPr>
        <w:t>cu o pondere de 66,9% din total exporturi, au fost în scădere cu 20,0%, iar</w:t>
      </w:r>
      <w:r>
        <w:rPr>
          <w:rFonts w:ascii="Times New Roman" w:eastAsia="Cambria" w:hAnsi="Times New Roman"/>
          <w:b/>
          <w:color w:val="000000"/>
          <w:sz w:val="28"/>
          <w:szCs w:val="28"/>
        </w:rPr>
        <w:t xml:space="preserve"> </w:t>
      </w:r>
      <w:r>
        <w:rPr>
          <w:rFonts w:ascii="Times New Roman" w:eastAsia="Cambria" w:hAnsi="Times New Roman"/>
          <w:bCs/>
          <w:i/>
          <w:iCs/>
          <w:color w:val="000000"/>
          <w:sz w:val="28"/>
          <w:szCs w:val="28"/>
        </w:rPr>
        <w:t>reexporturile de mărfuri străine</w:t>
      </w:r>
      <w:r>
        <w:rPr>
          <w:rFonts w:ascii="Times New Roman" w:eastAsia="Cambria" w:hAnsi="Times New Roman"/>
          <w:b/>
          <w:color w:val="000000"/>
          <w:sz w:val="28"/>
          <w:szCs w:val="28"/>
        </w:rPr>
        <w:t xml:space="preserve"> </w:t>
      </w:r>
      <w:r>
        <w:rPr>
          <w:rFonts w:ascii="Times New Roman" w:eastAsia="Cambria" w:hAnsi="Times New Roman"/>
          <w:bCs/>
          <w:color w:val="000000"/>
          <w:sz w:val="28"/>
          <w:szCs w:val="28"/>
        </w:rPr>
        <w:t xml:space="preserve">s-au majorat cu 15,7%. </w:t>
      </w:r>
      <w:r>
        <w:rPr>
          <w:rFonts w:ascii="Times New Roman" w:eastAsia="Cambria" w:hAnsi="Times New Roman"/>
          <w:sz w:val="28"/>
          <w:szCs w:val="28"/>
        </w:rPr>
        <w:t>V</w:t>
      </w:r>
      <w:r>
        <w:rPr>
          <w:rFonts w:ascii="Times New Roman" w:eastAsia="Cambria" w:hAnsi="Times New Roman"/>
          <w:color w:val="000000"/>
          <w:sz w:val="28"/>
          <w:szCs w:val="28"/>
        </w:rPr>
        <w:t xml:space="preserve">aloarea importurilor a crescut cu 0,5% în 6 luni, însumând 4 371,6 mil. dolari. </w:t>
      </w:r>
      <w:r>
        <w:rPr>
          <w:rFonts w:ascii="Times New Roman" w:eastAsia="Cambria" w:hAnsi="Times New Roman"/>
          <w:b/>
          <w:i/>
          <w:color w:val="000000"/>
          <w:sz w:val="28"/>
          <w:szCs w:val="28"/>
        </w:rPr>
        <w:t>Importurile au depășit exporturile de 2,1 ori</w:t>
      </w:r>
      <w:r>
        <w:rPr>
          <w:rFonts w:ascii="Times New Roman" w:eastAsia="Cambria" w:hAnsi="Times New Roman"/>
          <w:color w:val="000000"/>
          <w:sz w:val="28"/>
          <w:szCs w:val="28"/>
        </w:rPr>
        <w:t xml:space="preserve"> și, astfel, gradul de acoperire a importurilor cu exporturi a constituit 46,7%. Soldul negativ al balanței comerciale s-a majorat cu 13,1%. </w:t>
      </w:r>
    </w:p>
    <w:bookmarkEnd w:id="3"/>
    <w:p w:rsidR="00C82F48" w:rsidRDefault="00C82F48">
      <w:pPr>
        <w:spacing w:after="0"/>
        <w:ind w:firstLine="708"/>
        <w:contextualSpacing/>
        <w:jc w:val="both"/>
      </w:pPr>
      <w:r>
        <w:rPr>
          <w:rFonts w:ascii="Times New Roman" w:eastAsia="Cambria" w:hAnsi="Times New Roman"/>
          <w:b/>
          <w:i/>
          <w:color w:val="000000"/>
          <w:sz w:val="28"/>
          <w:szCs w:val="28"/>
        </w:rPr>
        <w:t>Câștigul salarial mediu lunar brut s-a diminuat în termeni reali.</w:t>
      </w:r>
      <w:r>
        <w:rPr>
          <w:rFonts w:ascii="Times New Roman" w:eastAsia="Cambria" w:hAnsi="Times New Roman"/>
          <w:b/>
          <w:color w:val="000000"/>
          <w:sz w:val="28"/>
          <w:szCs w:val="28"/>
        </w:rPr>
        <w:t xml:space="preserve"> </w:t>
      </w:r>
      <w:r>
        <w:rPr>
          <w:rFonts w:ascii="Times New Roman" w:eastAsia="Cambria" w:hAnsi="Times New Roman"/>
          <w:color w:val="000000"/>
          <w:sz w:val="28"/>
          <w:szCs w:val="28"/>
        </w:rPr>
        <w:t xml:space="preserve">În semestrul I 2023 </w:t>
      </w:r>
      <w:r>
        <w:rPr>
          <w:rFonts w:ascii="Times New Roman" w:eastAsia="Cambria" w:hAnsi="Times New Roman"/>
          <w:bCs/>
          <w:color w:val="000000"/>
          <w:sz w:val="28"/>
          <w:szCs w:val="28"/>
        </w:rPr>
        <w:t>câștigul salarial mediu lunar brut</w:t>
      </w:r>
      <w:r>
        <w:rPr>
          <w:rFonts w:ascii="Times New Roman" w:eastAsia="Cambria" w:hAnsi="Times New Roman"/>
          <w:b/>
          <w:color w:val="000000"/>
          <w:sz w:val="28"/>
          <w:szCs w:val="28"/>
        </w:rPr>
        <w:t xml:space="preserve"> </w:t>
      </w:r>
      <w:r>
        <w:rPr>
          <w:rFonts w:ascii="Times New Roman" w:eastAsia="Cambria" w:hAnsi="Times New Roman"/>
          <w:color w:val="000000"/>
          <w:sz w:val="28"/>
          <w:szCs w:val="28"/>
        </w:rPr>
        <w:t>al unui salariat din economia națională a constituit 12 175,9</w:t>
      </w:r>
      <w:r>
        <w:rPr>
          <w:rFonts w:ascii="Times New Roman" w:eastAsia="Calibri" w:hAnsi="Times New Roman"/>
          <w:b/>
          <w:bCs/>
          <w:color w:val="000000"/>
          <w:sz w:val="28"/>
          <w:szCs w:val="28"/>
        </w:rPr>
        <w:t xml:space="preserve"> </w:t>
      </w:r>
      <w:r>
        <w:rPr>
          <w:rFonts w:ascii="Times New Roman" w:eastAsia="Cambria" w:hAnsi="Times New Roman"/>
          <w:color w:val="000000"/>
          <w:sz w:val="28"/>
          <w:szCs w:val="28"/>
        </w:rPr>
        <w:t xml:space="preserve">lei și s-a majorat cu 17,3% în termeni nominali față de trimestrul II 2022. În termeni reali câștigul salarial s-a majorat cu 1,3%. </w:t>
      </w:r>
      <w:r>
        <w:rPr>
          <w:rFonts w:ascii="Times New Roman" w:eastAsia="Cambria" w:hAnsi="Times New Roman"/>
          <w:color w:val="000000"/>
          <w:sz w:val="28"/>
          <w:szCs w:val="28"/>
          <w:highlight w:val="white"/>
        </w:rPr>
        <w:t>În sfera bugetară câștigul salarial mediu lunar a constituit 10 208,0 lei, în</w:t>
      </w:r>
      <w:r>
        <w:rPr>
          <w:rFonts w:ascii="Times New Roman" w:eastAsia="Cambria" w:hAnsi="Times New Roman"/>
          <w:color w:val="000000"/>
          <w:sz w:val="28"/>
          <w:szCs w:val="28"/>
        </w:rPr>
        <w:t xml:space="preserve"> creștere cu 17,2% față de trimestrul II 2022, iar în sectorul real al economiei</w:t>
      </w:r>
      <w:r>
        <w:rPr>
          <w:rFonts w:ascii="Times New Roman" w:eastAsia="Cambria" w:hAnsi="Times New Roman"/>
          <w:color w:val="000000"/>
          <w:sz w:val="28"/>
          <w:szCs w:val="28"/>
          <w:highlight w:val="white"/>
        </w:rPr>
        <w:t xml:space="preserve"> </w:t>
      </w:r>
      <w:r>
        <w:rPr>
          <w:rFonts w:ascii="Times New Roman" w:eastAsia="Cambria" w:hAnsi="Times New Roman"/>
          <w:color w:val="000000"/>
          <w:sz w:val="28"/>
          <w:szCs w:val="28"/>
        </w:rPr>
        <w:t xml:space="preserve">câștigul salarial a constituit </w:t>
      </w:r>
      <w:r>
        <w:rPr>
          <w:rFonts w:ascii="Times New Roman" w:eastAsia="Cambria" w:hAnsi="Times New Roman"/>
          <w:color w:val="000000"/>
          <w:sz w:val="28"/>
          <w:szCs w:val="28"/>
          <w:highlight w:val="white"/>
        </w:rPr>
        <w:t xml:space="preserve">12 852,6 lei și s-a majorat cu 17,3% față de trimestrul II 2022. </w:t>
      </w:r>
    </w:p>
    <w:p w:rsidR="00C82F48" w:rsidRDefault="00C82F48">
      <w:pPr>
        <w:spacing w:after="0"/>
        <w:ind w:firstLine="708"/>
        <w:contextualSpacing/>
        <w:jc w:val="both"/>
      </w:pPr>
      <w:r>
        <w:rPr>
          <w:rFonts w:ascii="Times New Roman" w:eastAsia="Cambria" w:hAnsi="Times New Roman"/>
          <w:sz w:val="28"/>
          <w:szCs w:val="28"/>
        </w:rPr>
        <w:t xml:space="preserve">Mărimea medie a </w:t>
      </w:r>
      <w:r>
        <w:rPr>
          <w:rFonts w:ascii="Times New Roman" w:eastAsia="Cambria" w:hAnsi="Times New Roman"/>
          <w:b/>
          <w:i/>
          <w:sz w:val="28"/>
          <w:szCs w:val="28"/>
        </w:rPr>
        <w:t>pensiei lunare</w:t>
      </w:r>
      <w:r>
        <w:rPr>
          <w:rFonts w:ascii="Times New Roman" w:eastAsia="Cambria" w:hAnsi="Times New Roman"/>
          <w:b/>
          <w:sz w:val="28"/>
          <w:szCs w:val="28"/>
        </w:rPr>
        <w:t xml:space="preserve"> </w:t>
      </w:r>
      <w:r>
        <w:rPr>
          <w:rFonts w:ascii="Times New Roman" w:eastAsia="Cambria" w:hAnsi="Times New Roman"/>
          <w:sz w:val="28"/>
          <w:szCs w:val="28"/>
        </w:rPr>
        <w:t xml:space="preserve">la 01.07.2023 a constituit 3 664,93 lei și s-a majorat cu 17% (în termeni nominali) față de aceeași dată a anului 2022. </w:t>
      </w:r>
    </w:p>
    <w:p w:rsidR="00C82F48" w:rsidRDefault="00C82F48">
      <w:pPr>
        <w:spacing w:after="0" w:line="276" w:lineRule="auto"/>
        <w:ind w:firstLine="708"/>
        <w:contextualSpacing/>
        <w:jc w:val="both"/>
      </w:pPr>
      <w:r>
        <w:rPr>
          <w:rFonts w:ascii="Times New Roman" w:eastAsia="Cambria" w:hAnsi="Times New Roman"/>
          <w:sz w:val="28"/>
          <w:szCs w:val="28"/>
        </w:rPr>
        <w:t>Numărul</w:t>
      </w:r>
      <w:r>
        <w:rPr>
          <w:rFonts w:ascii="Times New Roman" w:eastAsia="Cambria" w:hAnsi="Times New Roman"/>
          <w:b/>
          <w:sz w:val="28"/>
          <w:szCs w:val="28"/>
        </w:rPr>
        <w:t xml:space="preserve"> </w:t>
      </w:r>
      <w:r>
        <w:rPr>
          <w:rFonts w:ascii="Times New Roman" w:eastAsia="Cambria" w:hAnsi="Times New Roman"/>
          <w:b/>
          <w:i/>
          <w:sz w:val="28"/>
          <w:szCs w:val="28"/>
        </w:rPr>
        <w:t>șomerilor</w:t>
      </w:r>
      <w:r>
        <w:rPr>
          <w:rFonts w:ascii="Times New Roman" w:eastAsia="Cambria" w:hAnsi="Times New Roman"/>
          <w:i/>
          <w:sz w:val="28"/>
          <w:szCs w:val="28"/>
        </w:rPr>
        <w:t>,</w:t>
      </w:r>
      <w:r>
        <w:rPr>
          <w:rFonts w:ascii="Times New Roman" w:eastAsia="Cambria" w:hAnsi="Times New Roman"/>
          <w:sz w:val="28"/>
          <w:szCs w:val="28"/>
        </w:rPr>
        <w:t xml:space="preserve"> estimat conform definiției Biroului Internațional al Muncii (BIM), în trimestrul II 2023 a fost de 35,6 mii persoane și s-a majorat de circa 1,6 ori comparativ cu trimestrul II 2022 (21,6 mii). </w:t>
      </w:r>
      <w:r>
        <w:rPr>
          <w:rFonts w:ascii="Times New Roman" w:eastAsia="Cambria" w:hAnsi="Times New Roman"/>
          <w:b/>
          <w:i/>
          <w:sz w:val="28"/>
          <w:szCs w:val="28"/>
        </w:rPr>
        <w:t>Rata</w:t>
      </w:r>
      <w:r>
        <w:rPr>
          <w:rFonts w:ascii="Times New Roman" w:eastAsia="Cambria" w:hAnsi="Times New Roman"/>
          <w:i/>
          <w:sz w:val="28"/>
          <w:szCs w:val="28"/>
        </w:rPr>
        <w:t xml:space="preserve"> </w:t>
      </w:r>
      <w:r>
        <w:rPr>
          <w:rFonts w:ascii="Times New Roman" w:eastAsia="Cambria" w:hAnsi="Times New Roman"/>
          <w:b/>
          <w:i/>
          <w:sz w:val="28"/>
          <w:szCs w:val="28"/>
        </w:rPr>
        <w:t>șomajului</w:t>
      </w:r>
      <w:r>
        <w:rPr>
          <w:rFonts w:ascii="Times New Roman" w:eastAsia="Cambria" w:hAnsi="Times New Roman"/>
          <w:sz w:val="28"/>
          <w:szCs w:val="28"/>
        </w:rPr>
        <w:t xml:space="preserve"> (ponderea șomerilor BIM în forța de muncă) la nivel de țară în trimestrul II 2023 a constituit 3,8%, fiind mai înaltă cu 1,4 p.p. față de trimestrul II 2022 (2,4%). Numărul șomerilor înregistrați</w:t>
      </w:r>
      <w:r>
        <w:rPr>
          <w:rFonts w:ascii="Times New Roman" w:eastAsia="Cambria" w:hAnsi="Times New Roman"/>
          <w:b/>
          <w:sz w:val="28"/>
          <w:szCs w:val="28"/>
        </w:rPr>
        <w:t xml:space="preserve"> </w:t>
      </w:r>
      <w:r>
        <w:rPr>
          <w:rFonts w:ascii="Times New Roman" w:eastAsia="Cambria" w:hAnsi="Times New Roman"/>
          <w:sz w:val="28"/>
          <w:szCs w:val="28"/>
        </w:rPr>
        <w:t xml:space="preserve">la oficiile forței de muncă în ianuarie-iunie 2023 a constituit circa 14 mii persoane și a fost în creștere cu 7,4% față de perioada similară a anului 2022. </w:t>
      </w:r>
    </w:p>
    <w:p w:rsidR="00C82F48" w:rsidRDefault="00C82F48">
      <w:pPr>
        <w:pStyle w:val="Heading1"/>
        <w:spacing w:line="276" w:lineRule="auto"/>
      </w:pPr>
      <w:bookmarkStart w:id="6" w:name="__RefHeading___Toc144793155"/>
      <w:bookmarkEnd w:id="6"/>
      <w:r>
        <w:rPr>
          <w:rFonts w:ascii="Times New Roman" w:hAnsi="Times New Roman"/>
          <w:color w:val="171717"/>
          <w:sz w:val="32"/>
          <w:szCs w:val="32"/>
        </w:rPr>
        <w:lastRenderedPageBreak/>
        <w:t>Executarea bugetului public național în semestrul I al anului 2023</w:t>
      </w:r>
    </w:p>
    <w:p w:rsidR="00C82F48" w:rsidRDefault="00C82F48">
      <w:pPr>
        <w:spacing w:after="0" w:line="276" w:lineRule="auto"/>
      </w:pPr>
      <w:r>
        <w:tab/>
      </w:r>
    </w:p>
    <w:p w:rsidR="00C82F48" w:rsidRDefault="00C82F48">
      <w:pPr>
        <w:spacing w:line="276" w:lineRule="auto"/>
        <w:ind w:firstLine="567"/>
      </w:pPr>
      <w:r>
        <w:rPr>
          <w:rFonts w:ascii="Times New Roman" w:hAnsi="Times New Roman"/>
          <w:sz w:val="28"/>
          <w:szCs w:val="28"/>
        </w:rPr>
        <w:t>Executarea indicatorilor principali ai bugetului public național în semestrul I al anului 2023 se prezintă în tabelul următor.</w:t>
      </w:r>
      <w:r>
        <w:rPr>
          <w:rFonts w:ascii="Times New Roman" w:hAnsi="Times New Roman"/>
          <w:sz w:val="28"/>
          <w:szCs w:val="28"/>
        </w:rPr>
        <w:tab/>
      </w:r>
    </w:p>
    <w:p w:rsidR="00C82F48" w:rsidRDefault="00C82F48">
      <w:pPr>
        <w:pStyle w:val="Heading2"/>
        <w:jc w:val="center"/>
      </w:pPr>
      <w:r>
        <w:rPr>
          <w:rFonts w:ascii="Times New Roman" w:hAnsi="Times New Roman"/>
          <w:i/>
          <w:color w:val="323E4F"/>
          <w:sz w:val="28"/>
          <w:szCs w:val="24"/>
        </w:rPr>
        <w:t xml:space="preserve">Tabelul 2. Indicatorii principali privind executarea bugetului public național și a componentelor acestuia în semestrul I 2023 </w:t>
      </w:r>
    </w:p>
    <w:p w:rsidR="00C82F48" w:rsidRDefault="00C82F48">
      <w:pPr>
        <w:pStyle w:val="12"/>
        <w:spacing w:after="0"/>
        <w:ind w:left="7791" w:firstLine="289"/>
        <w:jc w:val="right"/>
      </w:pPr>
      <w:r>
        <w:rPr>
          <w:rFonts w:ascii="Times New Roman" w:hAnsi="Times New Roman"/>
          <w:b/>
          <w:i/>
          <w:color w:val="17365D"/>
          <w:sz w:val="20"/>
          <w:szCs w:val="20"/>
        </w:rPr>
        <w:t xml:space="preserve"> </w:t>
      </w:r>
      <w:r>
        <w:rPr>
          <w:rFonts w:ascii="Times New Roman" w:hAnsi="Times New Roman"/>
          <w:b/>
          <w:sz w:val="20"/>
          <w:szCs w:val="20"/>
        </w:rPr>
        <w:t>mil. lei</w:t>
      </w:r>
    </w:p>
    <w:tbl>
      <w:tblPr>
        <w:tblW w:w="5050" w:type="pct"/>
        <w:jc w:val="center"/>
        <w:tblLayout w:type="fixed"/>
        <w:tblLook w:val="0000" w:firstRow="0" w:lastRow="0" w:firstColumn="0" w:lastColumn="0" w:noHBand="0" w:noVBand="0"/>
      </w:tblPr>
      <w:tblGrid>
        <w:gridCol w:w="3558"/>
        <w:gridCol w:w="984"/>
        <w:gridCol w:w="1044"/>
        <w:gridCol w:w="1274"/>
        <w:gridCol w:w="1598"/>
        <w:gridCol w:w="990"/>
      </w:tblGrid>
      <w:tr w:rsidR="00C82F48">
        <w:trPr>
          <w:trHeight w:val="352"/>
          <w:tblHeader/>
          <w:jc w:val="center"/>
        </w:trPr>
        <w:tc>
          <w:tcPr>
            <w:tcW w:w="3557" w:type="dxa"/>
            <w:vMerge w:val="restart"/>
            <w:tcBorders>
              <w:top w:val="single" w:sz="8" w:space="0" w:color="4BACC6"/>
              <w:bottom w:val="single" w:sz="8" w:space="0" w:color="4BACC6"/>
            </w:tcBorders>
            <w:shd w:val="clear" w:color="auto" w:fill="auto"/>
            <w:vAlign w:val="center"/>
          </w:tcPr>
          <w:p w:rsidR="00C82F48" w:rsidRDefault="00C82F48">
            <w:pPr>
              <w:tabs>
                <w:tab w:val="left" w:pos="4305"/>
              </w:tabs>
              <w:snapToGrid w:val="0"/>
              <w:jc w:val="center"/>
              <w:rPr>
                <w:b/>
                <w:bCs/>
                <w:color w:val="31849B"/>
                <w:sz w:val="20"/>
                <w:szCs w:val="20"/>
              </w:rPr>
            </w:pPr>
          </w:p>
        </w:tc>
        <w:tc>
          <w:tcPr>
            <w:tcW w:w="984" w:type="dxa"/>
            <w:vMerge w:val="restart"/>
            <w:tcBorders>
              <w:top w:val="single" w:sz="8" w:space="0" w:color="4BACC6"/>
              <w:bottom w:val="single" w:sz="4" w:space="0" w:color="92CDDC"/>
            </w:tcBorders>
            <w:shd w:val="clear" w:color="auto" w:fill="auto"/>
            <w:vAlign w:val="center"/>
          </w:tcPr>
          <w:p w:rsidR="00C82F48" w:rsidRDefault="00C82F48">
            <w:pPr>
              <w:spacing w:after="0"/>
              <w:ind w:left="-108" w:right="-108"/>
              <w:jc w:val="center"/>
            </w:pPr>
            <w:r>
              <w:rPr>
                <w:b/>
                <w:bCs/>
                <w:color w:val="000000"/>
                <w:sz w:val="20"/>
                <w:szCs w:val="20"/>
              </w:rPr>
              <w:t>Bugetul public național*</w:t>
            </w:r>
          </w:p>
        </w:tc>
        <w:tc>
          <w:tcPr>
            <w:tcW w:w="4906" w:type="dxa"/>
            <w:gridSpan w:val="4"/>
            <w:tcBorders>
              <w:top w:val="single" w:sz="8" w:space="0" w:color="4BACC6"/>
              <w:bottom w:val="single" w:sz="8" w:space="0" w:color="4BACC6"/>
            </w:tcBorders>
            <w:shd w:val="clear" w:color="auto" w:fill="auto"/>
            <w:vAlign w:val="center"/>
          </w:tcPr>
          <w:p w:rsidR="00C82F48" w:rsidRDefault="00C82F48">
            <w:pPr>
              <w:spacing w:after="0"/>
              <w:ind w:left="-51"/>
              <w:jc w:val="center"/>
            </w:pPr>
            <w:r>
              <w:rPr>
                <w:b/>
                <w:bCs/>
                <w:color w:val="000000"/>
                <w:sz w:val="20"/>
                <w:szCs w:val="20"/>
              </w:rPr>
              <w:t>dintre care:</w:t>
            </w:r>
          </w:p>
        </w:tc>
      </w:tr>
      <w:tr w:rsidR="00C82F48">
        <w:trPr>
          <w:trHeight w:val="848"/>
          <w:tblHeader/>
          <w:jc w:val="center"/>
        </w:trPr>
        <w:tc>
          <w:tcPr>
            <w:tcW w:w="3557" w:type="dxa"/>
            <w:vMerge/>
            <w:tcBorders>
              <w:top w:val="single" w:sz="8" w:space="0" w:color="4BACC6"/>
              <w:bottom w:val="single" w:sz="8" w:space="0" w:color="4BACC6"/>
            </w:tcBorders>
            <w:shd w:val="clear" w:color="auto" w:fill="auto"/>
            <w:vAlign w:val="center"/>
          </w:tcPr>
          <w:p w:rsidR="00C82F48" w:rsidRDefault="00C82F48">
            <w:pPr>
              <w:tabs>
                <w:tab w:val="left" w:pos="4305"/>
              </w:tabs>
              <w:snapToGrid w:val="0"/>
              <w:jc w:val="center"/>
              <w:rPr>
                <w:b/>
                <w:bCs/>
                <w:color w:val="31849B"/>
                <w:sz w:val="20"/>
                <w:szCs w:val="20"/>
              </w:rPr>
            </w:pPr>
          </w:p>
        </w:tc>
        <w:tc>
          <w:tcPr>
            <w:tcW w:w="984" w:type="dxa"/>
            <w:vMerge/>
            <w:tcBorders>
              <w:top w:val="single" w:sz="8" w:space="0" w:color="4BACC6"/>
              <w:bottom w:val="single" w:sz="4" w:space="0" w:color="92CDDC"/>
            </w:tcBorders>
            <w:shd w:val="clear" w:color="auto" w:fill="auto"/>
            <w:vAlign w:val="center"/>
          </w:tcPr>
          <w:p w:rsidR="00C82F48" w:rsidRDefault="00C82F48">
            <w:pPr>
              <w:snapToGrid w:val="0"/>
              <w:ind w:left="-108" w:right="-108"/>
              <w:jc w:val="center"/>
              <w:rPr>
                <w:b/>
                <w:bCs/>
                <w:color w:val="000000"/>
                <w:sz w:val="20"/>
                <w:szCs w:val="20"/>
              </w:rPr>
            </w:pPr>
          </w:p>
        </w:tc>
        <w:tc>
          <w:tcPr>
            <w:tcW w:w="1044" w:type="dxa"/>
            <w:tcBorders>
              <w:top w:val="single" w:sz="8" w:space="0" w:color="4BACC6"/>
              <w:bottom w:val="single" w:sz="8" w:space="0" w:color="4BACC6"/>
            </w:tcBorders>
            <w:shd w:val="clear" w:color="auto" w:fill="auto"/>
            <w:vAlign w:val="center"/>
          </w:tcPr>
          <w:p w:rsidR="00C82F48" w:rsidRDefault="00C82F48">
            <w:pPr>
              <w:spacing w:after="0"/>
              <w:ind w:left="-51" w:right="-108" w:hanging="3"/>
              <w:jc w:val="center"/>
            </w:pPr>
            <w:r>
              <w:rPr>
                <w:b/>
                <w:color w:val="000000"/>
                <w:sz w:val="20"/>
                <w:szCs w:val="20"/>
              </w:rPr>
              <w:t>Bugetul</w:t>
            </w:r>
          </w:p>
          <w:p w:rsidR="00C82F48" w:rsidRDefault="00C82F48">
            <w:pPr>
              <w:spacing w:after="0"/>
              <w:ind w:left="-51" w:right="-108" w:hanging="3"/>
              <w:jc w:val="center"/>
            </w:pPr>
            <w:r>
              <w:rPr>
                <w:b/>
                <w:color w:val="000000"/>
                <w:sz w:val="20"/>
                <w:szCs w:val="20"/>
              </w:rPr>
              <w:t>de stat</w:t>
            </w:r>
          </w:p>
        </w:tc>
        <w:tc>
          <w:tcPr>
            <w:tcW w:w="1274" w:type="dxa"/>
            <w:tcBorders>
              <w:top w:val="single" w:sz="8" w:space="0" w:color="4BACC6"/>
              <w:bottom w:val="single" w:sz="8" w:space="0" w:color="4BACC6"/>
            </w:tcBorders>
            <w:shd w:val="clear" w:color="auto" w:fill="auto"/>
            <w:vAlign w:val="center"/>
          </w:tcPr>
          <w:p w:rsidR="00C82F48" w:rsidRDefault="00C82F48">
            <w:pPr>
              <w:spacing w:after="0"/>
              <w:ind w:left="-51"/>
              <w:jc w:val="center"/>
            </w:pPr>
            <w:r>
              <w:rPr>
                <w:b/>
                <w:color w:val="000000"/>
                <w:sz w:val="20"/>
                <w:szCs w:val="20"/>
              </w:rPr>
              <w:t>Bugetul asigurărilor sociale de stat</w:t>
            </w:r>
          </w:p>
        </w:tc>
        <w:tc>
          <w:tcPr>
            <w:tcW w:w="1598" w:type="dxa"/>
            <w:tcBorders>
              <w:top w:val="single" w:sz="8" w:space="0" w:color="4BACC6"/>
              <w:bottom w:val="single" w:sz="8" w:space="0" w:color="4BACC6"/>
            </w:tcBorders>
            <w:shd w:val="clear" w:color="auto" w:fill="auto"/>
            <w:vAlign w:val="center"/>
          </w:tcPr>
          <w:p w:rsidR="00C82F48" w:rsidRDefault="00C82F48">
            <w:pPr>
              <w:spacing w:after="0"/>
              <w:ind w:left="-51"/>
              <w:jc w:val="center"/>
            </w:pPr>
            <w:r>
              <w:rPr>
                <w:b/>
                <w:color w:val="000000"/>
                <w:sz w:val="20"/>
                <w:szCs w:val="20"/>
              </w:rPr>
              <w:t>Fondurile asigurării obligatorii de asistență medicală</w:t>
            </w:r>
          </w:p>
        </w:tc>
        <w:tc>
          <w:tcPr>
            <w:tcW w:w="990" w:type="dxa"/>
            <w:tcBorders>
              <w:top w:val="single" w:sz="8" w:space="0" w:color="4BACC6"/>
              <w:bottom w:val="single" w:sz="8" w:space="0" w:color="4BACC6"/>
            </w:tcBorders>
            <w:shd w:val="clear" w:color="auto" w:fill="auto"/>
            <w:vAlign w:val="center"/>
          </w:tcPr>
          <w:p w:rsidR="00C82F48" w:rsidRDefault="00C82F48">
            <w:pPr>
              <w:spacing w:after="0"/>
              <w:ind w:left="-51"/>
              <w:jc w:val="center"/>
            </w:pPr>
            <w:r>
              <w:rPr>
                <w:b/>
                <w:color w:val="000000"/>
                <w:sz w:val="20"/>
                <w:szCs w:val="20"/>
              </w:rPr>
              <w:t>Bugetele locale</w:t>
            </w:r>
          </w:p>
        </w:tc>
      </w:tr>
      <w:tr w:rsidR="00C82F48">
        <w:trPr>
          <w:trHeight w:val="251"/>
          <w:jc w:val="center"/>
        </w:trPr>
        <w:tc>
          <w:tcPr>
            <w:tcW w:w="3557" w:type="dxa"/>
            <w:tcBorders>
              <w:top w:val="single" w:sz="8" w:space="0" w:color="4BACC6"/>
              <w:bottom w:val="dashed" w:sz="4" w:space="0" w:color="000000"/>
            </w:tcBorders>
            <w:shd w:val="clear" w:color="auto" w:fill="auto"/>
            <w:vAlign w:val="center"/>
          </w:tcPr>
          <w:p w:rsidR="00C82F48" w:rsidRDefault="00C82F48">
            <w:pPr>
              <w:tabs>
                <w:tab w:val="left" w:pos="4305"/>
              </w:tabs>
              <w:jc w:val="both"/>
            </w:pPr>
            <w:r>
              <w:rPr>
                <w:b/>
                <w:bCs/>
                <w:sz w:val="20"/>
                <w:szCs w:val="20"/>
              </w:rPr>
              <w:t>Venituri, total</w:t>
            </w:r>
          </w:p>
        </w:tc>
        <w:tc>
          <w:tcPr>
            <w:tcW w:w="984" w:type="dxa"/>
            <w:tcBorders>
              <w:top w:val="single" w:sz="4" w:space="0" w:color="92CDDC"/>
              <w:bottom w:val="dashed" w:sz="4" w:space="0" w:color="000000"/>
            </w:tcBorders>
            <w:shd w:val="clear" w:color="auto" w:fill="auto"/>
            <w:vAlign w:val="center"/>
          </w:tcPr>
          <w:p w:rsidR="00C82F48" w:rsidRDefault="00C82F48">
            <w:pPr>
              <w:ind w:left="-108"/>
              <w:jc w:val="right"/>
            </w:pPr>
            <w:r>
              <w:rPr>
                <w:color w:val="000000"/>
                <w:sz w:val="20"/>
                <w:szCs w:val="20"/>
              </w:rPr>
              <w:t>47 063,6</w:t>
            </w:r>
          </w:p>
        </w:tc>
        <w:tc>
          <w:tcPr>
            <w:tcW w:w="1044" w:type="dxa"/>
            <w:tcBorders>
              <w:top w:val="single" w:sz="8" w:space="0" w:color="4BACC6"/>
              <w:bottom w:val="dashed" w:sz="4" w:space="0" w:color="000000"/>
            </w:tcBorders>
            <w:shd w:val="clear" w:color="auto" w:fill="auto"/>
            <w:vAlign w:val="center"/>
          </w:tcPr>
          <w:p w:rsidR="00C82F48" w:rsidRDefault="00C82F48">
            <w:pPr>
              <w:ind w:right="-44"/>
              <w:jc w:val="right"/>
            </w:pPr>
            <w:r>
              <w:rPr>
                <w:color w:val="000000"/>
                <w:sz w:val="20"/>
                <w:szCs w:val="20"/>
              </w:rPr>
              <w:t>28 901,5</w:t>
            </w:r>
          </w:p>
        </w:tc>
        <w:tc>
          <w:tcPr>
            <w:tcW w:w="1274" w:type="dxa"/>
            <w:tcBorders>
              <w:top w:val="single" w:sz="8" w:space="0" w:color="4BACC6"/>
              <w:bottom w:val="dashed" w:sz="4" w:space="0" w:color="000000"/>
            </w:tcBorders>
            <w:shd w:val="clear" w:color="auto" w:fill="auto"/>
            <w:vAlign w:val="center"/>
          </w:tcPr>
          <w:p w:rsidR="00C82F48" w:rsidRDefault="00C82F48">
            <w:pPr>
              <w:jc w:val="right"/>
            </w:pPr>
            <w:r>
              <w:rPr>
                <w:color w:val="000000"/>
                <w:sz w:val="20"/>
                <w:szCs w:val="20"/>
              </w:rPr>
              <w:t>19 956,3</w:t>
            </w:r>
          </w:p>
        </w:tc>
        <w:tc>
          <w:tcPr>
            <w:tcW w:w="1598" w:type="dxa"/>
            <w:tcBorders>
              <w:top w:val="single" w:sz="8" w:space="0" w:color="4BACC6"/>
              <w:bottom w:val="dashed" w:sz="4" w:space="0" w:color="000000"/>
            </w:tcBorders>
            <w:shd w:val="clear" w:color="auto" w:fill="auto"/>
            <w:vAlign w:val="center"/>
          </w:tcPr>
          <w:p w:rsidR="00C82F48" w:rsidRDefault="00C82F48">
            <w:pPr>
              <w:tabs>
                <w:tab w:val="left" w:pos="465"/>
              </w:tabs>
              <w:jc w:val="center"/>
            </w:pPr>
            <w:r>
              <w:rPr>
                <w:color w:val="000000"/>
                <w:sz w:val="20"/>
                <w:szCs w:val="20"/>
              </w:rPr>
              <w:t>5 138,7</w:t>
            </w:r>
          </w:p>
        </w:tc>
        <w:tc>
          <w:tcPr>
            <w:tcW w:w="990" w:type="dxa"/>
            <w:tcBorders>
              <w:top w:val="single" w:sz="8" w:space="0" w:color="4BACC6"/>
              <w:bottom w:val="dashed" w:sz="4" w:space="0" w:color="000000"/>
            </w:tcBorders>
            <w:shd w:val="clear" w:color="auto" w:fill="auto"/>
            <w:vAlign w:val="center"/>
          </w:tcPr>
          <w:p w:rsidR="00C82F48" w:rsidRDefault="00C82F48">
            <w:pPr>
              <w:tabs>
                <w:tab w:val="left" w:pos="465"/>
                <w:tab w:val="left" w:pos="793"/>
              </w:tabs>
              <w:jc w:val="right"/>
            </w:pPr>
            <w:r>
              <w:rPr>
                <w:color w:val="000000"/>
                <w:sz w:val="20"/>
                <w:szCs w:val="20"/>
              </w:rPr>
              <w:t>13 828,5</w:t>
            </w:r>
          </w:p>
        </w:tc>
      </w:tr>
      <w:tr w:rsidR="00C82F48">
        <w:trPr>
          <w:trHeight w:val="1049"/>
          <w:jc w:val="center"/>
        </w:trPr>
        <w:tc>
          <w:tcPr>
            <w:tcW w:w="3557" w:type="dxa"/>
            <w:tcBorders>
              <w:top w:val="dashed" w:sz="4" w:space="0" w:color="000000"/>
              <w:bottom w:val="single" w:sz="8" w:space="0" w:color="4BACC6"/>
            </w:tcBorders>
            <w:shd w:val="clear" w:color="auto" w:fill="auto"/>
            <w:vAlign w:val="center"/>
          </w:tcPr>
          <w:p w:rsidR="00C82F48" w:rsidRDefault="00C82F48">
            <w:pPr>
              <w:tabs>
                <w:tab w:val="left" w:pos="4305"/>
              </w:tabs>
              <w:spacing w:after="0"/>
              <w:jc w:val="both"/>
            </w:pPr>
            <w:r>
              <w:rPr>
                <w:b/>
                <w:bCs/>
                <w:color w:val="171717"/>
                <w:sz w:val="20"/>
                <w:szCs w:val="20"/>
              </w:rPr>
              <w:t xml:space="preserve">Transferuri primite </w:t>
            </w:r>
          </w:p>
          <w:p w:rsidR="00C82F48" w:rsidRDefault="00C82F48">
            <w:pPr>
              <w:tabs>
                <w:tab w:val="left" w:pos="4305"/>
              </w:tabs>
              <w:spacing w:after="0"/>
              <w:jc w:val="both"/>
            </w:pPr>
            <w:r>
              <w:rPr>
                <w:b/>
                <w:bCs/>
                <w:i/>
                <w:color w:val="171717"/>
                <w:sz w:val="20"/>
                <w:szCs w:val="20"/>
              </w:rPr>
              <w:t xml:space="preserve">dobânzi încasate la împrumuturile în interiorul sistemului bugetar </w:t>
            </w:r>
          </w:p>
        </w:tc>
        <w:tc>
          <w:tcPr>
            <w:tcW w:w="984" w:type="dxa"/>
            <w:tcBorders>
              <w:top w:val="dashed" w:sz="4" w:space="0" w:color="000000"/>
              <w:bottom w:val="single" w:sz="8" w:space="0" w:color="4BACC6"/>
            </w:tcBorders>
            <w:shd w:val="clear" w:color="auto" w:fill="auto"/>
            <w:vAlign w:val="center"/>
          </w:tcPr>
          <w:p w:rsidR="00C82F48" w:rsidRDefault="00C82F48">
            <w:pPr>
              <w:snapToGrid w:val="0"/>
              <w:spacing w:after="0"/>
              <w:ind w:left="-108"/>
              <w:jc w:val="right"/>
              <w:rPr>
                <w:b/>
                <w:bCs/>
                <w:i/>
                <w:color w:val="171717"/>
                <w:sz w:val="20"/>
                <w:szCs w:val="20"/>
              </w:rPr>
            </w:pPr>
          </w:p>
        </w:tc>
        <w:tc>
          <w:tcPr>
            <w:tcW w:w="1044" w:type="dxa"/>
            <w:tcBorders>
              <w:top w:val="dashed" w:sz="4" w:space="0" w:color="000000"/>
              <w:bottom w:val="single" w:sz="8" w:space="0" w:color="4BACC6"/>
            </w:tcBorders>
            <w:shd w:val="clear" w:color="auto" w:fill="auto"/>
            <w:vAlign w:val="center"/>
          </w:tcPr>
          <w:p w:rsidR="00C82F48" w:rsidRDefault="00C82F48">
            <w:pPr>
              <w:spacing w:after="0"/>
              <w:ind w:right="-44"/>
              <w:jc w:val="center"/>
            </w:pPr>
            <w:r>
              <w:rPr>
                <w:color w:val="171717"/>
                <w:sz w:val="20"/>
                <w:szCs w:val="20"/>
              </w:rPr>
              <w:t>12,4</w:t>
            </w:r>
          </w:p>
          <w:p w:rsidR="00C82F48" w:rsidRDefault="00C82F48">
            <w:pPr>
              <w:spacing w:after="0"/>
              <w:ind w:right="-44"/>
              <w:jc w:val="center"/>
              <w:rPr>
                <w:color w:val="171717"/>
                <w:sz w:val="20"/>
                <w:szCs w:val="20"/>
              </w:rPr>
            </w:pPr>
          </w:p>
          <w:p w:rsidR="00C82F48" w:rsidRDefault="00C82F48">
            <w:pPr>
              <w:spacing w:after="0"/>
              <w:ind w:right="-44"/>
              <w:jc w:val="center"/>
            </w:pPr>
            <w:r>
              <w:rPr>
                <w:i/>
                <w:color w:val="171717"/>
                <w:sz w:val="20"/>
                <w:szCs w:val="20"/>
              </w:rPr>
              <w:t>2,5</w:t>
            </w:r>
          </w:p>
        </w:tc>
        <w:tc>
          <w:tcPr>
            <w:tcW w:w="1274" w:type="dxa"/>
            <w:tcBorders>
              <w:top w:val="dashed" w:sz="4" w:space="0" w:color="000000"/>
              <w:bottom w:val="single" w:sz="8" w:space="0" w:color="4BACC6"/>
            </w:tcBorders>
            <w:shd w:val="clear" w:color="auto" w:fill="auto"/>
            <w:vAlign w:val="center"/>
          </w:tcPr>
          <w:p w:rsidR="00C82F48" w:rsidRDefault="00C82F48">
            <w:pPr>
              <w:spacing w:after="0"/>
              <w:jc w:val="center"/>
            </w:pPr>
            <w:r>
              <w:rPr>
                <w:rFonts w:eastAsia="Calibri" w:cs="Calibri"/>
                <w:color w:val="171717"/>
                <w:sz w:val="20"/>
                <w:szCs w:val="20"/>
              </w:rPr>
              <w:t xml:space="preserve">         </w:t>
            </w:r>
            <w:r>
              <w:rPr>
                <w:color w:val="171717"/>
                <w:sz w:val="20"/>
                <w:szCs w:val="20"/>
              </w:rPr>
              <w:t xml:space="preserve">9 388,0 </w:t>
            </w:r>
          </w:p>
          <w:p w:rsidR="00C82F48" w:rsidRDefault="00C82F48">
            <w:pPr>
              <w:spacing w:after="0"/>
              <w:jc w:val="center"/>
              <w:rPr>
                <w:color w:val="171717"/>
                <w:sz w:val="20"/>
                <w:szCs w:val="20"/>
              </w:rPr>
            </w:pPr>
          </w:p>
          <w:p w:rsidR="00C82F48" w:rsidRDefault="00C82F48">
            <w:pPr>
              <w:spacing w:after="0"/>
              <w:jc w:val="center"/>
              <w:rPr>
                <w:color w:val="171717"/>
                <w:sz w:val="20"/>
                <w:szCs w:val="20"/>
              </w:rPr>
            </w:pPr>
          </w:p>
        </w:tc>
        <w:tc>
          <w:tcPr>
            <w:tcW w:w="1598" w:type="dxa"/>
            <w:tcBorders>
              <w:top w:val="dashed" w:sz="4" w:space="0" w:color="000000"/>
              <w:bottom w:val="single" w:sz="8" w:space="0" w:color="4BACC6"/>
            </w:tcBorders>
            <w:shd w:val="clear" w:color="auto" w:fill="auto"/>
            <w:vAlign w:val="center"/>
          </w:tcPr>
          <w:p w:rsidR="00C82F48" w:rsidRDefault="00C82F48">
            <w:pPr>
              <w:spacing w:after="0"/>
              <w:jc w:val="center"/>
            </w:pPr>
            <w:r>
              <w:rPr>
                <w:color w:val="171717"/>
                <w:sz w:val="20"/>
                <w:szCs w:val="20"/>
              </w:rPr>
              <w:t>1 381,3</w:t>
            </w:r>
          </w:p>
          <w:p w:rsidR="00C82F48" w:rsidRDefault="00C82F48">
            <w:pPr>
              <w:spacing w:after="0"/>
              <w:jc w:val="center"/>
              <w:rPr>
                <w:color w:val="171717"/>
                <w:sz w:val="20"/>
                <w:szCs w:val="20"/>
              </w:rPr>
            </w:pPr>
          </w:p>
          <w:p w:rsidR="00C82F48" w:rsidRDefault="00C82F48">
            <w:pPr>
              <w:spacing w:after="0"/>
              <w:jc w:val="center"/>
              <w:rPr>
                <w:color w:val="171717"/>
                <w:sz w:val="20"/>
                <w:szCs w:val="20"/>
              </w:rPr>
            </w:pPr>
          </w:p>
        </w:tc>
        <w:tc>
          <w:tcPr>
            <w:tcW w:w="990" w:type="dxa"/>
            <w:tcBorders>
              <w:top w:val="dashed" w:sz="4" w:space="0" w:color="000000"/>
              <w:bottom w:val="single" w:sz="8" w:space="0" w:color="4BACC6"/>
            </w:tcBorders>
            <w:shd w:val="clear" w:color="auto" w:fill="auto"/>
            <w:vAlign w:val="center"/>
          </w:tcPr>
          <w:p w:rsidR="00C82F48" w:rsidRDefault="00C82F48">
            <w:pPr>
              <w:tabs>
                <w:tab w:val="left" w:pos="793"/>
              </w:tabs>
              <w:spacing w:after="0"/>
              <w:jc w:val="center"/>
            </w:pPr>
            <w:r>
              <w:rPr>
                <w:color w:val="171717"/>
                <w:sz w:val="20"/>
                <w:szCs w:val="20"/>
              </w:rPr>
              <w:t>9 977,2</w:t>
            </w:r>
          </w:p>
          <w:p w:rsidR="00C82F48" w:rsidRDefault="00C82F48">
            <w:pPr>
              <w:tabs>
                <w:tab w:val="left" w:pos="793"/>
              </w:tabs>
              <w:spacing w:after="0"/>
              <w:jc w:val="center"/>
              <w:rPr>
                <w:color w:val="171717"/>
                <w:sz w:val="20"/>
                <w:szCs w:val="20"/>
              </w:rPr>
            </w:pPr>
          </w:p>
          <w:p w:rsidR="00C82F48" w:rsidRDefault="00C82F48">
            <w:pPr>
              <w:tabs>
                <w:tab w:val="left" w:pos="793"/>
              </w:tabs>
              <w:spacing w:after="0"/>
              <w:jc w:val="center"/>
              <w:rPr>
                <w:color w:val="171717"/>
                <w:sz w:val="20"/>
                <w:szCs w:val="20"/>
              </w:rPr>
            </w:pPr>
          </w:p>
        </w:tc>
      </w:tr>
      <w:tr w:rsidR="00C82F48">
        <w:trPr>
          <w:trHeight w:val="424"/>
          <w:jc w:val="center"/>
        </w:trPr>
        <w:tc>
          <w:tcPr>
            <w:tcW w:w="3557" w:type="dxa"/>
            <w:tcBorders>
              <w:top w:val="single" w:sz="8" w:space="0" w:color="4BACC6"/>
              <w:bottom w:val="dashed" w:sz="4" w:space="0" w:color="000000"/>
            </w:tcBorders>
            <w:shd w:val="clear" w:color="auto" w:fill="auto"/>
            <w:vAlign w:val="center"/>
          </w:tcPr>
          <w:p w:rsidR="00C82F48" w:rsidRDefault="00C82F48">
            <w:pPr>
              <w:tabs>
                <w:tab w:val="left" w:pos="4305"/>
              </w:tabs>
              <w:jc w:val="both"/>
            </w:pPr>
            <w:r>
              <w:rPr>
                <w:b/>
                <w:bCs/>
                <w:color w:val="171717"/>
                <w:sz w:val="20"/>
                <w:szCs w:val="20"/>
              </w:rPr>
              <w:t>Cheltuieli și active nefinanciare, total</w:t>
            </w:r>
          </w:p>
        </w:tc>
        <w:tc>
          <w:tcPr>
            <w:tcW w:w="984" w:type="dxa"/>
            <w:tcBorders>
              <w:top w:val="single" w:sz="8" w:space="0" w:color="4BACC6"/>
              <w:bottom w:val="dashed" w:sz="4" w:space="0" w:color="000000"/>
            </w:tcBorders>
            <w:shd w:val="clear" w:color="auto" w:fill="auto"/>
            <w:vAlign w:val="center"/>
          </w:tcPr>
          <w:p w:rsidR="00C82F48" w:rsidRDefault="00C82F48">
            <w:pPr>
              <w:ind w:left="-108"/>
              <w:jc w:val="right"/>
            </w:pPr>
            <w:r>
              <w:rPr>
                <w:color w:val="171717"/>
                <w:sz w:val="20"/>
                <w:szCs w:val="20"/>
              </w:rPr>
              <w:t>54 226,6</w:t>
            </w:r>
          </w:p>
        </w:tc>
        <w:tc>
          <w:tcPr>
            <w:tcW w:w="1044" w:type="dxa"/>
            <w:tcBorders>
              <w:top w:val="single" w:sz="8" w:space="0" w:color="4BACC6"/>
              <w:bottom w:val="dashed" w:sz="4" w:space="0" w:color="000000"/>
            </w:tcBorders>
            <w:shd w:val="clear" w:color="auto" w:fill="auto"/>
            <w:vAlign w:val="center"/>
          </w:tcPr>
          <w:p w:rsidR="00C82F48" w:rsidRDefault="00C82F48">
            <w:pPr>
              <w:ind w:right="-44"/>
              <w:jc w:val="right"/>
            </w:pPr>
            <w:r>
              <w:rPr>
                <w:color w:val="171717"/>
                <w:sz w:val="20"/>
                <w:szCs w:val="20"/>
              </w:rPr>
              <w:t>36 797,4</w:t>
            </w:r>
          </w:p>
        </w:tc>
        <w:tc>
          <w:tcPr>
            <w:tcW w:w="1274" w:type="dxa"/>
            <w:tcBorders>
              <w:top w:val="single" w:sz="8" w:space="0" w:color="4BACC6"/>
              <w:bottom w:val="dashed" w:sz="4" w:space="0" w:color="000000"/>
            </w:tcBorders>
            <w:shd w:val="clear" w:color="auto" w:fill="auto"/>
            <w:vAlign w:val="center"/>
          </w:tcPr>
          <w:p w:rsidR="00C82F48" w:rsidRDefault="00C82F48">
            <w:pPr>
              <w:jc w:val="right"/>
            </w:pPr>
            <w:r>
              <w:rPr>
                <w:color w:val="171717"/>
                <w:sz w:val="20"/>
                <w:szCs w:val="20"/>
              </w:rPr>
              <w:t>18 883,7</w:t>
            </w:r>
          </w:p>
        </w:tc>
        <w:tc>
          <w:tcPr>
            <w:tcW w:w="1598" w:type="dxa"/>
            <w:tcBorders>
              <w:top w:val="single" w:sz="8" w:space="0" w:color="4BACC6"/>
              <w:bottom w:val="dashed" w:sz="4" w:space="0" w:color="000000"/>
            </w:tcBorders>
            <w:shd w:val="clear" w:color="auto" w:fill="auto"/>
            <w:vAlign w:val="center"/>
          </w:tcPr>
          <w:p w:rsidR="00C82F48" w:rsidRDefault="00C82F48">
            <w:pPr>
              <w:jc w:val="center"/>
            </w:pPr>
            <w:r>
              <w:rPr>
                <w:color w:val="171717"/>
                <w:sz w:val="20"/>
                <w:szCs w:val="20"/>
              </w:rPr>
              <w:t>6 264,3</w:t>
            </w:r>
          </w:p>
        </w:tc>
        <w:tc>
          <w:tcPr>
            <w:tcW w:w="990" w:type="dxa"/>
            <w:tcBorders>
              <w:top w:val="single" w:sz="8" w:space="0" w:color="4BACC6"/>
              <w:bottom w:val="dashed" w:sz="4" w:space="0" w:color="000000"/>
            </w:tcBorders>
            <w:shd w:val="clear" w:color="auto" w:fill="auto"/>
            <w:vAlign w:val="center"/>
          </w:tcPr>
          <w:p w:rsidR="00C82F48" w:rsidRDefault="00C82F48">
            <w:pPr>
              <w:tabs>
                <w:tab w:val="left" w:pos="793"/>
              </w:tabs>
              <w:jc w:val="right"/>
            </w:pPr>
            <w:r>
              <w:rPr>
                <w:color w:val="171717"/>
                <w:sz w:val="20"/>
                <w:szCs w:val="20"/>
              </w:rPr>
              <w:t>13 042,6</w:t>
            </w:r>
          </w:p>
        </w:tc>
      </w:tr>
      <w:tr w:rsidR="00C82F48">
        <w:trPr>
          <w:trHeight w:val="424"/>
          <w:jc w:val="center"/>
        </w:trPr>
        <w:tc>
          <w:tcPr>
            <w:tcW w:w="3557" w:type="dxa"/>
            <w:tcBorders>
              <w:top w:val="dashed" w:sz="4" w:space="0" w:color="000000"/>
              <w:bottom w:val="single" w:sz="8" w:space="0" w:color="4BACC6"/>
            </w:tcBorders>
            <w:shd w:val="clear" w:color="auto" w:fill="auto"/>
            <w:vAlign w:val="center"/>
          </w:tcPr>
          <w:p w:rsidR="00C82F48" w:rsidRDefault="00C82F48">
            <w:pPr>
              <w:tabs>
                <w:tab w:val="left" w:pos="4305"/>
              </w:tabs>
              <w:spacing w:after="0"/>
              <w:jc w:val="both"/>
            </w:pPr>
            <w:r>
              <w:rPr>
                <w:b/>
                <w:bCs/>
                <w:color w:val="171717"/>
                <w:sz w:val="20"/>
                <w:szCs w:val="20"/>
              </w:rPr>
              <w:t>Transferuri acordate</w:t>
            </w:r>
          </w:p>
          <w:p w:rsidR="00C82F48" w:rsidRDefault="00C82F48">
            <w:pPr>
              <w:tabs>
                <w:tab w:val="left" w:pos="4305"/>
              </w:tabs>
              <w:spacing w:after="0"/>
              <w:jc w:val="both"/>
            </w:pPr>
            <w:r>
              <w:rPr>
                <w:b/>
                <w:bCs/>
                <w:i/>
                <w:color w:val="171717"/>
                <w:sz w:val="20"/>
                <w:szCs w:val="20"/>
              </w:rPr>
              <w:t>dobânzi achitate la împrumuturile în interiorul sistemului bugetar</w:t>
            </w:r>
          </w:p>
        </w:tc>
        <w:tc>
          <w:tcPr>
            <w:tcW w:w="984" w:type="dxa"/>
            <w:tcBorders>
              <w:top w:val="dashed" w:sz="4" w:space="0" w:color="000000"/>
              <w:bottom w:val="single" w:sz="8" w:space="0" w:color="4BACC6"/>
            </w:tcBorders>
            <w:shd w:val="clear" w:color="auto" w:fill="auto"/>
            <w:vAlign w:val="center"/>
          </w:tcPr>
          <w:p w:rsidR="00C82F48" w:rsidRDefault="00C82F48">
            <w:pPr>
              <w:snapToGrid w:val="0"/>
              <w:spacing w:after="0"/>
              <w:ind w:left="-108"/>
              <w:jc w:val="right"/>
              <w:rPr>
                <w:b/>
                <w:bCs/>
                <w:color w:val="171717"/>
                <w:sz w:val="20"/>
                <w:szCs w:val="20"/>
              </w:rPr>
            </w:pPr>
          </w:p>
        </w:tc>
        <w:tc>
          <w:tcPr>
            <w:tcW w:w="1044" w:type="dxa"/>
            <w:tcBorders>
              <w:top w:val="dashed" w:sz="4" w:space="0" w:color="000000"/>
              <w:bottom w:val="single" w:sz="8" w:space="0" w:color="4BACC6"/>
            </w:tcBorders>
            <w:shd w:val="clear" w:color="auto" w:fill="auto"/>
            <w:vAlign w:val="center"/>
          </w:tcPr>
          <w:p w:rsidR="00C82F48" w:rsidRDefault="00C82F48">
            <w:pPr>
              <w:spacing w:after="0"/>
              <w:ind w:right="-44"/>
              <w:jc w:val="right"/>
            </w:pPr>
            <w:r>
              <w:rPr>
                <w:color w:val="171717"/>
                <w:sz w:val="20"/>
                <w:szCs w:val="20"/>
              </w:rPr>
              <w:t>20 746,5</w:t>
            </w:r>
          </w:p>
          <w:p w:rsidR="00C82F48" w:rsidRDefault="00C82F48">
            <w:pPr>
              <w:spacing w:after="0"/>
              <w:ind w:right="-44"/>
              <w:jc w:val="right"/>
              <w:rPr>
                <w:color w:val="171717"/>
                <w:sz w:val="20"/>
                <w:szCs w:val="20"/>
              </w:rPr>
            </w:pPr>
          </w:p>
        </w:tc>
        <w:tc>
          <w:tcPr>
            <w:tcW w:w="1274" w:type="dxa"/>
            <w:tcBorders>
              <w:top w:val="dashed" w:sz="4" w:space="0" w:color="000000"/>
              <w:bottom w:val="single" w:sz="8" w:space="0" w:color="4BACC6"/>
            </w:tcBorders>
            <w:shd w:val="clear" w:color="auto" w:fill="auto"/>
            <w:vAlign w:val="center"/>
          </w:tcPr>
          <w:p w:rsidR="00C82F48" w:rsidRDefault="00C82F48">
            <w:pPr>
              <w:snapToGrid w:val="0"/>
              <w:spacing w:after="0"/>
              <w:jc w:val="right"/>
              <w:rPr>
                <w:color w:val="171717"/>
                <w:sz w:val="20"/>
                <w:szCs w:val="20"/>
              </w:rPr>
            </w:pPr>
          </w:p>
        </w:tc>
        <w:tc>
          <w:tcPr>
            <w:tcW w:w="1598" w:type="dxa"/>
            <w:tcBorders>
              <w:top w:val="dashed" w:sz="4" w:space="0" w:color="000000"/>
              <w:bottom w:val="single" w:sz="8" w:space="0" w:color="4BACC6"/>
            </w:tcBorders>
            <w:shd w:val="clear" w:color="auto" w:fill="auto"/>
            <w:vAlign w:val="center"/>
          </w:tcPr>
          <w:p w:rsidR="00C82F48" w:rsidRDefault="00C82F48">
            <w:pPr>
              <w:snapToGrid w:val="0"/>
              <w:spacing w:after="0"/>
              <w:jc w:val="right"/>
              <w:rPr>
                <w:color w:val="171717"/>
                <w:sz w:val="20"/>
                <w:szCs w:val="20"/>
              </w:rPr>
            </w:pPr>
          </w:p>
        </w:tc>
        <w:tc>
          <w:tcPr>
            <w:tcW w:w="990" w:type="dxa"/>
            <w:tcBorders>
              <w:top w:val="dashed" w:sz="4" w:space="0" w:color="000000"/>
              <w:bottom w:val="single" w:sz="8" w:space="0" w:color="4BACC6"/>
            </w:tcBorders>
            <w:shd w:val="clear" w:color="auto" w:fill="auto"/>
            <w:vAlign w:val="center"/>
          </w:tcPr>
          <w:p w:rsidR="00C82F48" w:rsidRDefault="00C82F48">
            <w:pPr>
              <w:tabs>
                <w:tab w:val="left" w:pos="793"/>
              </w:tabs>
              <w:spacing w:after="0"/>
              <w:jc w:val="right"/>
            </w:pPr>
            <w:r>
              <w:rPr>
                <w:color w:val="171717"/>
                <w:sz w:val="20"/>
                <w:szCs w:val="20"/>
              </w:rPr>
              <w:t>12,4</w:t>
            </w:r>
          </w:p>
          <w:p w:rsidR="00C82F48" w:rsidRDefault="00C82F48">
            <w:pPr>
              <w:tabs>
                <w:tab w:val="left" w:pos="793"/>
              </w:tabs>
              <w:spacing w:after="0"/>
              <w:jc w:val="right"/>
            </w:pPr>
            <w:r>
              <w:rPr>
                <w:i/>
                <w:color w:val="171717"/>
                <w:sz w:val="20"/>
                <w:szCs w:val="20"/>
              </w:rPr>
              <w:t>2,5</w:t>
            </w:r>
          </w:p>
        </w:tc>
      </w:tr>
      <w:tr w:rsidR="00C82F48">
        <w:trPr>
          <w:trHeight w:val="424"/>
          <w:jc w:val="center"/>
        </w:trPr>
        <w:tc>
          <w:tcPr>
            <w:tcW w:w="3557" w:type="dxa"/>
            <w:tcBorders>
              <w:top w:val="single" w:sz="8" w:space="0" w:color="4BACC6"/>
              <w:bottom w:val="single" w:sz="8" w:space="0" w:color="4BACC6"/>
            </w:tcBorders>
            <w:shd w:val="clear" w:color="auto" w:fill="auto"/>
            <w:vAlign w:val="center"/>
          </w:tcPr>
          <w:p w:rsidR="00C82F48" w:rsidRDefault="00C82F48">
            <w:pPr>
              <w:tabs>
                <w:tab w:val="left" w:pos="4305"/>
              </w:tabs>
              <w:jc w:val="both"/>
            </w:pPr>
            <w:r>
              <w:rPr>
                <w:b/>
                <w:bCs/>
                <w:sz w:val="20"/>
                <w:szCs w:val="20"/>
              </w:rPr>
              <w:t>Sold bugetar (deficit (-), excedent (+))</w:t>
            </w:r>
          </w:p>
        </w:tc>
        <w:tc>
          <w:tcPr>
            <w:tcW w:w="984" w:type="dxa"/>
            <w:tcBorders>
              <w:top w:val="single" w:sz="8" w:space="0" w:color="4BACC6"/>
              <w:bottom w:val="single" w:sz="8" w:space="0" w:color="4BACC6"/>
            </w:tcBorders>
            <w:shd w:val="clear" w:color="auto" w:fill="auto"/>
            <w:vAlign w:val="center"/>
          </w:tcPr>
          <w:p w:rsidR="00C82F48" w:rsidRDefault="00C82F48">
            <w:pPr>
              <w:ind w:left="-108"/>
              <w:jc w:val="right"/>
            </w:pPr>
            <w:r>
              <w:rPr>
                <w:color w:val="000000"/>
                <w:sz w:val="20"/>
                <w:szCs w:val="20"/>
              </w:rPr>
              <w:t>-7 163,0</w:t>
            </w:r>
          </w:p>
        </w:tc>
        <w:tc>
          <w:tcPr>
            <w:tcW w:w="1044" w:type="dxa"/>
            <w:tcBorders>
              <w:top w:val="single" w:sz="8" w:space="0" w:color="4BACC6"/>
              <w:bottom w:val="single" w:sz="8" w:space="0" w:color="4BACC6"/>
            </w:tcBorders>
            <w:shd w:val="clear" w:color="auto" w:fill="auto"/>
            <w:vAlign w:val="center"/>
          </w:tcPr>
          <w:p w:rsidR="00C82F48" w:rsidRDefault="00C82F48">
            <w:pPr>
              <w:ind w:right="-44"/>
              <w:jc w:val="right"/>
            </w:pPr>
            <w:r>
              <w:rPr>
                <w:color w:val="000000"/>
                <w:sz w:val="20"/>
                <w:szCs w:val="20"/>
              </w:rPr>
              <w:t>-7 895,9</w:t>
            </w:r>
          </w:p>
        </w:tc>
        <w:tc>
          <w:tcPr>
            <w:tcW w:w="1274" w:type="dxa"/>
            <w:tcBorders>
              <w:top w:val="single" w:sz="8" w:space="0" w:color="4BACC6"/>
              <w:bottom w:val="single" w:sz="8" w:space="0" w:color="4BACC6"/>
            </w:tcBorders>
            <w:shd w:val="clear" w:color="auto" w:fill="auto"/>
            <w:vAlign w:val="center"/>
          </w:tcPr>
          <w:p w:rsidR="00C82F48" w:rsidRDefault="00C82F48">
            <w:pPr>
              <w:jc w:val="right"/>
            </w:pPr>
            <w:r>
              <w:rPr>
                <w:color w:val="000000"/>
                <w:sz w:val="20"/>
                <w:szCs w:val="20"/>
              </w:rPr>
              <w:t>1 072,6</w:t>
            </w:r>
          </w:p>
        </w:tc>
        <w:tc>
          <w:tcPr>
            <w:tcW w:w="1598" w:type="dxa"/>
            <w:tcBorders>
              <w:top w:val="single" w:sz="8" w:space="0" w:color="4BACC6"/>
              <w:bottom w:val="single" w:sz="8" w:space="0" w:color="4BACC6"/>
            </w:tcBorders>
            <w:shd w:val="clear" w:color="auto" w:fill="auto"/>
            <w:vAlign w:val="center"/>
          </w:tcPr>
          <w:p w:rsidR="00C82F48" w:rsidRDefault="00C82F48">
            <w:pPr>
              <w:jc w:val="center"/>
            </w:pPr>
            <w:r>
              <w:rPr>
                <w:color w:val="000000"/>
                <w:sz w:val="20"/>
                <w:szCs w:val="20"/>
              </w:rPr>
              <w:t>-1 125,6</w:t>
            </w:r>
          </w:p>
        </w:tc>
        <w:tc>
          <w:tcPr>
            <w:tcW w:w="990" w:type="dxa"/>
            <w:tcBorders>
              <w:top w:val="single" w:sz="8" w:space="0" w:color="4BACC6"/>
              <w:bottom w:val="single" w:sz="8" w:space="0" w:color="4BACC6"/>
            </w:tcBorders>
            <w:shd w:val="clear" w:color="auto" w:fill="auto"/>
            <w:vAlign w:val="center"/>
          </w:tcPr>
          <w:p w:rsidR="00C82F48" w:rsidRDefault="00C82F48">
            <w:pPr>
              <w:tabs>
                <w:tab w:val="left" w:pos="793"/>
              </w:tabs>
              <w:jc w:val="right"/>
            </w:pPr>
            <w:r>
              <w:rPr>
                <w:color w:val="000000"/>
                <w:sz w:val="20"/>
                <w:szCs w:val="20"/>
              </w:rPr>
              <w:t>785,9</w:t>
            </w:r>
          </w:p>
        </w:tc>
      </w:tr>
    </w:tbl>
    <w:p w:rsidR="00C82F48" w:rsidRDefault="00C82F48">
      <w:pPr>
        <w:tabs>
          <w:tab w:val="left" w:pos="4305"/>
        </w:tabs>
        <w:spacing w:before="120" w:after="0"/>
        <w:ind w:left="357"/>
        <w:jc w:val="both"/>
      </w:pPr>
      <w:r>
        <w:rPr>
          <w:rFonts w:ascii="Times New Roman" w:hAnsi="Times New Roman"/>
          <w:sz w:val="20"/>
        </w:rPr>
        <w:t xml:space="preserve">* </w:t>
      </w:r>
      <w:r>
        <w:rPr>
          <w:rFonts w:ascii="Times New Roman" w:hAnsi="Times New Roman"/>
          <w:i/>
          <w:sz w:val="20"/>
        </w:rPr>
        <w:t>cu excluderea transferurilor în cadrul bugetului public național în sumă de 20 758,9 mil. lei, și dobânzilor la împrumuturile în interiorul sistemului bugetar în sumă de 2,5 mil.lei.</w:t>
      </w:r>
    </w:p>
    <w:p w:rsidR="00C82F48" w:rsidRDefault="00C82F48">
      <w:pPr>
        <w:tabs>
          <w:tab w:val="left" w:pos="4305"/>
        </w:tabs>
        <w:spacing w:before="120" w:after="0"/>
        <w:ind w:left="357"/>
        <w:jc w:val="both"/>
        <w:rPr>
          <w:rFonts w:ascii="Times New Roman" w:hAnsi="Times New Roman"/>
          <w:i/>
          <w:sz w:val="20"/>
        </w:rPr>
      </w:pPr>
    </w:p>
    <w:p w:rsidR="00C82F48" w:rsidRDefault="00C82F48">
      <w:pPr>
        <w:tabs>
          <w:tab w:val="left" w:pos="0"/>
        </w:tabs>
        <w:spacing w:after="0" w:line="276" w:lineRule="auto"/>
        <w:ind w:firstLine="567"/>
        <w:jc w:val="both"/>
      </w:pPr>
      <w:r>
        <w:rPr>
          <w:rFonts w:ascii="Times New Roman" w:hAnsi="Times New Roman"/>
          <w:sz w:val="28"/>
          <w:szCs w:val="28"/>
        </w:rPr>
        <w:t xml:space="preserve">În semestrul I </w:t>
      </w:r>
      <w:r>
        <w:rPr>
          <w:rFonts w:ascii="Times New Roman" w:hAnsi="Times New Roman"/>
          <w:color w:val="000000"/>
          <w:sz w:val="28"/>
          <w:szCs w:val="28"/>
        </w:rPr>
        <w:t>al anului</w:t>
      </w:r>
      <w:r>
        <w:rPr>
          <w:rFonts w:ascii="Times New Roman" w:hAnsi="Times New Roman"/>
          <w:sz w:val="28"/>
          <w:szCs w:val="28"/>
        </w:rPr>
        <w:t xml:space="preserve"> 2023, încasările </w:t>
      </w:r>
      <w:r>
        <w:rPr>
          <w:rFonts w:ascii="Times New Roman" w:hAnsi="Times New Roman"/>
          <w:b/>
          <w:i/>
          <w:sz w:val="28"/>
          <w:szCs w:val="28"/>
        </w:rPr>
        <w:t>veniturilor bugetului public național</w:t>
      </w:r>
      <w:r>
        <w:rPr>
          <w:rFonts w:ascii="Times New Roman" w:hAnsi="Times New Roman"/>
          <w:sz w:val="28"/>
          <w:szCs w:val="28"/>
        </w:rPr>
        <w:t xml:space="preserve">   s-au majorat cu 5 360,3 mil. lei, sau cu 12,9% comparativ cu perioada similară a anului 2022 și au constituit 47 063,6 mil. lei. </w:t>
      </w:r>
    </w:p>
    <w:p w:rsidR="00C82F48" w:rsidRDefault="00C82F48">
      <w:pPr>
        <w:tabs>
          <w:tab w:val="left" w:pos="0"/>
        </w:tabs>
        <w:spacing w:after="0" w:line="276" w:lineRule="auto"/>
        <w:ind w:firstLine="540"/>
        <w:jc w:val="both"/>
      </w:pPr>
      <w:r>
        <w:rPr>
          <w:rFonts w:ascii="Times New Roman" w:hAnsi="Times New Roman"/>
          <w:sz w:val="28"/>
          <w:szCs w:val="28"/>
          <w:lang w:val="ro-MD"/>
        </w:rPr>
        <w:t xml:space="preserve">Pe tipuri de bugete, la partea de venituri </w:t>
      </w:r>
      <w:r>
        <w:rPr>
          <w:rFonts w:ascii="Times New Roman" w:hAnsi="Times New Roman"/>
          <w:color w:val="000000"/>
          <w:sz w:val="28"/>
          <w:szCs w:val="28"/>
          <w:lang w:val="ro-MD"/>
        </w:rPr>
        <w:t>proprii (fără transferuri interbugetare)  s-au acumulat venituri mai multe la bugetul de stat – cu 2 588,7 mil. lei mai mult sau cu 9,8%, la bugetul asigurărilor sociale de stat cu 1 542,1 mil. lei sau cu 17,1%, la fondurile asigurării obligatorii de asistență medicală – cu 638,2 mil.lei sau cu 20,5%, iar la bugetele locale (consolidate) – cu 592,0 mil. lei sau cu 18,2%, față de perioada similară a anului 2022.</w:t>
      </w:r>
    </w:p>
    <w:p w:rsidR="00C82F48" w:rsidRDefault="00C82F48">
      <w:pPr>
        <w:tabs>
          <w:tab w:val="left" w:pos="0"/>
        </w:tabs>
        <w:spacing w:after="0" w:line="276" w:lineRule="auto"/>
        <w:ind w:firstLine="540"/>
        <w:jc w:val="both"/>
      </w:pPr>
      <w:r>
        <w:rPr>
          <w:rFonts w:ascii="Times New Roman" w:hAnsi="Times New Roman"/>
          <w:color w:val="000000"/>
          <w:sz w:val="28"/>
          <w:szCs w:val="28"/>
          <w:lang w:val="ro-MD"/>
        </w:rPr>
        <w:t xml:space="preserve">Din suma totală a veniturilor încasate la bugetul public național, ponderea cea mai mare revine impozitelor și taxelor – 63,8% sau 30 009,7 mil. lei. Contribuțiile și primele de asigurări obligatorii au constituit 29,6% (13 945,3 mil. lei), alte venituri – 4,8% (2 276,5 mil. lei) și granturile – 1,8% (832,1 mil. lei). </w:t>
      </w:r>
    </w:p>
    <w:p w:rsidR="00C82F48" w:rsidRDefault="00C82F48">
      <w:pPr>
        <w:tabs>
          <w:tab w:val="left" w:pos="0"/>
        </w:tabs>
        <w:spacing w:after="0" w:line="276" w:lineRule="auto"/>
        <w:ind w:firstLine="540"/>
        <w:jc w:val="both"/>
        <w:rPr>
          <w:rFonts w:ascii="Times New Roman" w:hAnsi="Times New Roman"/>
          <w:color w:val="000000"/>
          <w:sz w:val="28"/>
          <w:szCs w:val="28"/>
          <w:lang w:val="fr-FR"/>
        </w:rPr>
      </w:pPr>
    </w:p>
    <w:p w:rsidR="00C82F48" w:rsidRDefault="00C82F48">
      <w:pPr>
        <w:tabs>
          <w:tab w:val="left" w:pos="567"/>
          <w:tab w:val="left" w:pos="851"/>
        </w:tabs>
        <w:spacing w:after="120" w:line="276" w:lineRule="auto"/>
        <w:jc w:val="both"/>
      </w:pPr>
      <w:r>
        <w:rPr>
          <w:rFonts w:ascii="Times New Roman" w:hAnsi="Times New Roman"/>
          <w:color w:val="000000"/>
          <w:sz w:val="28"/>
          <w:szCs w:val="28"/>
          <w:lang w:val="ro-MD"/>
        </w:rPr>
        <w:tab/>
        <w:t>Evoluția veniturilor bugetului public național în semestrul I al anilor 2022-2023 se prezintă în diagrama care urmează:</w:t>
      </w:r>
    </w:p>
    <w:p w:rsidR="00C82F48" w:rsidRDefault="00C82F48">
      <w:pPr>
        <w:pStyle w:val="Heading2"/>
        <w:spacing w:before="0"/>
        <w:jc w:val="center"/>
      </w:pPr>
      <w:r>
        <w:rPr>
          <w:rFonts w:ascii="Times New Roman" w:hAnsi="Times New Roman"/>
          <w:i/>
          <w:color w:val="323E4F"/>
          <w:sz w:val="28"/>
          <w:szCs w:val="24"/>
        </w:rPr>
        <w:lastRenderedPageBreak/>
        <w:t xml:space="preserve">Diagrama: 1 Evoluția veniturilor bugetului public național, </w:t>
      </w:r>
    </w:p>
    <w:p w:rsidR="00C82F48" w:rsidRDefault="00C82F48">
      <w:pPr>
        <w:pStyle w:val="Heading2"/>
        <w:spacing w:before="0"/>
        <w:jc w:val="center"/>
      </w:pPr>
      <w:r>
        <w:rPr>
          <w:rFonts w:ascii="Times New Roman" w:hAnsi="Times New Roman"/>
          <w:i/>
          <w:color w:val="323E4F"/>
          <w:sz w:val="28"/>
          <w:szCs w:val="24"/>
        </w:rPr>
        <w:t>la 30 iunie 2022- la 30 iunie 2023</w:t>
      </w:r>
    </w:p>
    <w:p w:rsidR="00C82F48" w:rsidRDefault="00447B48" w:rsidP="00993440">
      <w:pPr>
        <w:ind w:hanging="567"/>
        <w:rPr>
          <w:rFonts w:ascii="Times New Roman" w:hAnsi="Times New Roman"/>
          <w:b/>
          <w:i/>
          <w:color w:val="000000"/>
          <w:sz w:val="28"/>
          <w:szCs w:val="28"/>
          <w:lang w:val="ro-MD"/>
        </w:rPr>
      </w:pPr>
      <w:r>
        <w:rPr>
          <w:rFonts w:ascii="Times New Roman" w:hAnsi="Times New Roman"/>
          <w:i/>
          <w:noProof/>
          <w:color w:val="323E4F"/>
          <w:sz w:val="28"/>
          <w:szCs w:val="24"/>
          <w:lang w:val="en-US" w:eastAsia="en-US"/>
        </w:rPr>
        <w:drawing>
          <wp:inline distT="0" distB="0" distL="0" distR="0">
            <wp:extent cx="5606415" cy="31546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6415" cy="3154680"/>
                    </a:xfrm>
                    <a:prstGeom prst="rect">
                      <a:avLst/>
                    </a:prstGeom>
                    <a:noFill/>
                  </pic:spPr>
                </pic:pic>
              </a:graphicData>
            </a:graphic>
          </wp:inline>
        </w:drawing>
      </w:r>
    </w:p>
    <w:p w:rsidR="00C82F48" w:rsidRDefault="00C82F48">
      <w:pPr>
        <w:spacing w:before="60" w:after="0" w:line="276" w:lineRule="auto"/>
        <w:ind w:firstLine="567"/>
        <w:jc w:val="both"/>
      </w:pPr>
      <w:r>
        <w:rPr>
          <w:rFonts w:ascii="Times New Roman" w:hAnsi="Times New Roman"/>
          <w:b/>
          <w:i/>
          <w:color w:val="000000"/>
          <w:sz w:val="28"/>
          <w:szCs w:val="28"/>
          <w:lang w:val="ro-MD"/>
        </w:rPr>
        <w:t xml:space="preserve">Veniturile colectate de către Serviciul Fiscal de Stat </w:t>
      </w:r>
      <w:r>
        <w:rPr>
          <w:rFonts w:ascii="Times New Roman" w:hAnsi="Times New Roman"/>
          <w:color w:val="000000"/>
          <w:sz w:val="28"/>
          <w:szCs w:val="28"/>
          <w:lang w:val="ro-MD"/>
        </w:rPr>
        <w:t xml:space="preserve">au însumat 31 087,7 mil. lei, cu 4 089,7 mil. lei sau 15,1% mai mult comparativ cu aceeași perioadă a anului 2022. Creșterea veniturilor comparativ cu perioada similară a anului precedent s-a înregistrat: la bugetul de stat  – 12,2%, bugetele locale consolidate – 18,2%, bugetul asigurărilor sociale de stat – 17,1% și fondurile asigurării obligatorii de asistență medicală – 18,5 la sută. </w:t>
      </w:r>
    </w:p>
    <w:p w:rsidR="00C82F48" w:rsidRDefault="00C82F48">
      <w:pPr>
        <w:spacing w:before="60" w:after="0" w:line="276" w:lineRule="auto"/>
        <w:ind w:firstLine="567"/>
        <w:jc w:val="both"/>
      </w:pPr>
      <w:r>
        <w:rPr>
          <w:rFonts w:ascii="Times New Roman" w:hAnsi="Times New Roman"/>
          <w:b/>
          <w:i/>
          <w:color w:val="000000"/>
          <w:sz w:val="28"/>
          <w:szCs w:val="28"/>
          <w:lang w:val="ro-MD"/>
        </w:rPr>
        <w:t>Veniturile colectate de către Serviciul Vamal</w:t>
      </w:r>
      <w:r>
        <w:rPr>
          <w:rFonts w:ascii="Times New Roman" w:hAnsi="Times New Roman"/>
          <w:color w:val="000000"/>
          <w:sz w:val="28"/>
          <w:szCs w:val="28"/>
          <w:lang w:val="ro-MD"/>
        </w:rPr>
        <w:t xml:space="preserve"> au constituit 16 301,8 mil. lei, cu 766,9 mil.lei sau cu 4,9% mai mult comparativ cu perioada similară a anului 2022.</w:t>
      </w:r>
    </w:p>
    <w:p w:rsidR="00C82F48" w:rsidRDefault="00C82F48">
      <w:pPr>
        <w:spacing w:before="60" w:line="276" w:lineRule="auto"/>
        <w:ind w:firstLine="567"/>
        <w:contextualSpacing/>
        <w:jc w:val="both"/>
      </w:pPr>
      <w:r>
        <w:rPr>
          <w:rFonts w:ascii="Times New Roman" w:hAnsi="Times New Roman"/>
          <w:b/>
          <w:i/>
          <w:color w:val="000000"/>
          <w:sz w:val="28"/>
          <w:szCs w:val="28"/>
          <w:lang w:val="ro-MD"/>
        </w:rPr>
        <w:t>Restanțele la plata impozitelor și taxelor</w:t>
      </w:r>
      <w:r>
        <w:rPr>
          <w:rFonts w:ascii="Times New Roman" w:hAnsi="Times New Roman"/>
          <w:color w:val="000000"/>
          <w:sz w:val="28"/>
          <w:szCs w:val="28"/>
          <w:lang w:val="ro-MD"/>
        </w:rPr>
        <w:t xml:space="preserve"> la bugetul public național la situația din 30 iunie 2023 au constituit 1 957,2 mil. lei, cu 8,9 mil.lei mai puțin față de începutul anului. Restanțele la impozitele și taxele administrate de către Serviciul Fiscal de Stat au crescut cu 253,5 mil.lei, iar cele administrate de către Serviciul Vamal s-au micșorat cu 265,8 mil.lei.</w:t>
      </w:r>
    </w:p>
    <w:p w:rsidR="00C82F48" w:rsidRDefault="00C82F48">
      <w:pPr>
        <w:spacing w:before="240" w:line="276" w:lineRule="auto"/>
        <w:ind w:firstLine="567"/>
        <w:contextualSpacing/>
        <w:jc w:val="both"/>
      </w:pPr>
      <w:r>
        <w:rPr>
          <w:rFonts w:ascii="Times New Roman" w:hAnsi="Times New Roman"/>
          <w:color w:val="000000"/>
          <w:sz w:val="28"/>
          <w:szCs w:val="28"/>
          <w:lang w:val="ro-MD"/>
        </w:rPr>
        <w:t xml:space="preserve">Executarea bugetului public național în primele 6 luni ale anului 2023 s-a încheiat cu un </w:t>
      </w:r>
      <w:r>
        <w:rPr>
          <w:rFonts w:ascii="Times New Roman" w:hAnsi="Times New Roman"/>
          <w:b/>
          <w:i/>
          <w:color w:val="000000"/>
          <w:sz w:val="28"/>
          <w:szCs w:val="28"/>
          <w:lang w:val="ro-MD"/>
        </w:rPr>
        <w:t>sold bugetar (deficit)</w:t>
      </w:r>
      <w:r>
        <w:rPr>
          <w:rFonts w:ascii="Times New Roman" w:hAnsi="Times New Roman"/>
          <w:color w:val="000000"/>
          <w:sz w:val="28"/>
          <w:szCs w:val="28"/>
          <w:lang w:val="ro-MD"/>
        </w:rPr>
        <w:t xml:space="preserve"> de 7 163,0 mil. lei, sau 2,31% în PIB, în condițiile, în care ținta de deficit bugetar pentru anul 2023 a fost stabilită de 6,0% din PIB.</w:t>
      </w:r>
    </w:p>
    <w:p w:rsidR="00C82F48" w:rsidRDefault="00C82F48">
      <w:pPr>
        <w:tabs>
          <w:tab w:val="left" w:pos="709"/>
        </w:tabs>
        <w:spacing w:after="0" w:line="276" w:lineRule="auto"/>
        <w:ind w:firstLine="567"/>
        <w:jc w:val="both"/>
        <w:rPr>
          <w:rFonts w:ascii="Times New Roman" w:hAnsi="Times New Roman"/>
          <w:b/>
          <w:i/>
          <w:color w:val="000000"/>
          <w:sz w:val="28"/>
          <w:szCs w:val="28"/>
          <w:lang w:val="ro-MD"/>
        </w:rPr>
      </w:pPr>
    </w:p>
    <w:p w:rsidR="00C82F48" w:rsidRDefault="00447B48">
      <w:pPr>
        <w:tabs>
          <w:tab w:val="left" w:pos="709"/>
        </w:tabs>
        <w:spacing w:after="0" w:line="276" w:lineRule="auto"/>
        <w:ind w:firstLine="567"/>
        <w:jc w:val="both"/>
      </w:pPr>
      <w:r>
        <w:rPr>
          <w:noProof/>
          <w:lang w:val="en-US" w:eastAsia="en-US"/>
        </w:rPr>
        <mc:AlternateContent>
          <mc:Choice Requires="wps">
            <w:drawing>
              <wp:anchor distT="0" distB="0" distL="114300" distR="114300" simplePos="0" relativeHeight="251655168" behindDoc="0" locked="0" layoutInCell="0" allowOverlap="1">
                <wp:simplePos x="0" y="0"/>
                <wp:positionH relativeFrom="column">
                  <wp:posOffset>2396490</wp:posOffset>
                </wp:positionH>
                <wp:positionV relativeFrom="paragraph">
                  <wp:posOffset>448945</wp:posOffset>
                </wp:positionV>
                <wp:extent cx="109855" cy="103505"/>
                <wp:effectExtent l="0" t="3810" r="4445"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1035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B12F698" id="_x0000_t32" coordsize="21600,21600" o:spt="32" o:oned="t" path="m,l21600,21600e" filled="f">
                <v:path arrowok="t" fillok="f" o:connecttype="none"/>
                <o:lock v:ext="edit" shapetype="t"/>
              </v:shapetype>
              <v:shape id="AutoShape 18" o:spid="_x0000_s1026" type="#_x0000_t32" style="position:absolute;margin-left:188.7pt;margin-top:35.35pt;width:8.65pt;height: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" o:allowincell="f" stroked="f" strokecolor="#3465a4"/>
            </w:pict>
          </mc:Fallback>
        </mc:AlternateContent>
      </w:r>
      <w:r w:rsidR="00C82F48">
        <w:rPr>
          <w:rFonts w:ascii="Times New Roman" w:hAnsi="Times New Roman"/>
          <w:b/>
          <w:i/>
          <w:sz w:val="28"/>
          <w:szCs w:val="28"/>
        </w:rPr>
        <w:t>Cheltuielile bugetului public național</w:t>
      </w:r>
      <w:r w:rsidR="00C82F48">
        <w:rPr>
          <w:rFonts w:ascii="Times New Roman" w:hAnsi="Times New Roman"/>
          <w:i/>
          <w:sz w:val="28"/>
          <w:szCs w:val="28"/>
        </w:rPr>
        <w:t xml:space="preserve"> </w:t>
      </w:r>
      <w:r w:rsidR="00C82F48">
        <w:rPr>
          <w:rFonts w:ascii="Times New Roman" w:hAnsi="Times New Roman"/>
          <w:sz w:val="28"/>
          <w:szCs w:val="28"/>
        </w:rPr>
        <w:t xml:space="preserve">în semestrul I al anului 2023 au constituit 54 226,6 mil. lei, cu o majorarea de 9 096,2 mil. lei sau cu 20,2 % comparativ cu perioada similară a anului </w:t>
      </w:r>
      <w:r w:rsidR="00C82F48">
        <w:rPr>
          <w:rFonts w:ascii="Times New Roman" w:hAnsi="Times New Roman"/>
          <w:sz w:val="28"/>
          <w:szCs w:val="28"/>
          <w:lang w:val="en-GB"/>
        </w:rPr>
        <w:t>2022</w:t>
      </w:r>
      <w:r w:rsidR="00C82F48">
        <w:rPr>
          <w:rFonts w:ascii="Times New Roman" w:hAnsi="Times New Roman"/>
          <w:sz w:val="28"/>
          <w:szCs w:val="28"/>
        </w:rPr>
        <w:t>.</w:t>
      </w:r>
    </w:p>
    <w:p w:rsidR="00C82F48" w:rsidRDefault="00C82F48">
      <w:pPr>
        <w:spacing w:before="60" w:after="0" w:line="276" w:lineRule="auto"/>
        <w:ind w:firstLine="567"/>
        <w:jc w:val="both"/>
      </w:pPr>
      <w:r>
        <w:rPr>
          <w:rFonts w:ascii="Times New Roman" w:hAnsi="Times New Roman"/>
          <w:sz w:val="28"/>
          <w:szCs w:val="28"/>
        </w:rPr>
        <w:t>Pe tipuri de bugete, cheltuielile publice realizate în semestrul I al anului 2023 constituie:</w:t>
      </w:r>
    </w:p>
    <w:p w:rsidR="00C82F48" w:rsidRDefault="00C82F48">
      <w:pPr>
        <w:pStyle w:val="12"/>
        <w:numPr>
          <w:ilvl w:val="0"/>
          <w:numId w:val="8"/>
        </w:numPr>
        <w:tabs>
          <w:tab w:val="left" w:pos="-142"/>
          <w:tab w:val="left" w:pos="993"/>
        </w:tabs>
        <w:spacing w:after="0" w:line="276" w:lineRule="auto"/>
        <w:ind w:hanging="180"/>
        <w:contextualSpacing/>
        <w:jc w:val="both"/>
      </w:pPr>
      <w:r>
        <w:rPr>
          <w:rFonts w:ascii="Times New Roman" w:hAnsi="Times New Roman"/>
          <w:sz w:val="28"/>
          <w:szCs w:val="28"/>
        </w:rPr>
        <w:lastRenderedPageBreak/>
        <w:t>bugetul de stat – (fără transferuri interbugetare) 16 050,9 mil. lei ((29,6%);</w:t>
      </w:r>
    </w:p>
    <w:p w:rsidR="00C82F48" w:rsidRDefault="00C82F48">
      <w:pPr>
        <w:pStyle w:val="12"/>
        <w:numPr>
          <w:ilvl w:val="0"/>
          <w:numId w:val="8"/>
        </w:numPr>
        <w:tabs>
          <w:tab w:val="left" w:pos="-142"/>
          <w:tab w:val="left" w:pos="993"/>
        </w:tabs>
        <w:spacing w:before="60" w:after="0" w:line="276" w:lineRule="auto"/>
        <w:ind w:left="567" w:firstLine="0"/>
        <w:contextualSpacing/>
        <w:jc w:val="both"/>
      </w:pPr>
      <w:r>
        <w:rPr>
          <w:rFonts w:ascii="Times New Roman" w:hAnsi="Times New Roman"/>
          <w:color w:val="000000"/>
          <w:sz w:val="28"/>
          <w:szCs w:val="28"/>
        </w:rPr>
        <w:t xml:space="preserve">bugetul asigurărilor sociale de stat </w:t>
      </w:r>
      <w:r>
        <w:rPr>
          <w:rFonts w:ascii="Times New Roman" w:hAnsi="Times New Roman"/>
          <w:sz w:val="28"/>
          <w:szCs w:val="28"/>
        </w:rPr>
        <w:t>– 18 883,7 mil. lei (34,8%);</w:t>
      </w:r>
    </w:p>
    <w:p w:rsidR="00C82F48" w:rsidRDefault="00C82F48">
      <w:pPr>
        <w:pStyle w:val="12"/>
        <w:numPr>
          <w:ilvl w:val="0"/>
          <w:numId w:val="8"/>
        </w:numPr>
        <w:tabs>
          <w:tab w:val="left" w:pos="-142"/>
          <w:tab w:val="left" w:pos="993"/>
        </w:tabs>
        <w:spacing w:before="60" w:after="0" w:line="276" w:lineRule="auto"/>
        <w:ind w:left="0" w:firstLine="567"/>
        <w:contextualSpacing/>
        <w:jc w:val="both"/>
      </w:pPr>
      <w:r>
        <w:rPr>
          <w:rFonts w:ascii="Times New Roman" w:hAnsi="Times New Roman"/>
          <w:color w:val="000000"/>
          <w:sz w:val="28"/>
          <w:szCs w:val="28"/>
        </w:rPr>
        <w:t xml:space="preserve">fondurile asigurării obligatorii de asistență medicală </w:t>
      </w:r>
      <w:r>
        <w:rPr>
          <w:rFonts w:ascii="Times New Roman" w:hAnsi="Times New Roman"/>
          <w:sz w:val="28"/>
          <w:szCs w:val="28"/>
        </w:rPr>
        <w:t>– 6 264,3 mil. lei (11,6%)</w:t>
      </w:r>
      <w:r>
        <w:rPr>
          <w:rFonts w:ascii="Times New Roman" w:hAnsi="Times New Roman"/>
          <w:color w:val="000000"/>
          <w:sz w:val="28"/>
          <w:szCs w:val="28"/>
        </w:rPr>
        <w:t>;</w:t>
      </w:r>
    </w:p>
    <w:p w:rsidR="00C82F48" w:rsidRDefault="00C82F48">
      <w:pPr>
        <w:pStyle w:val="12"/>
        <w:numPr>
          <w:ilvl w:val="0"/>
          <w:numId w:val="8"/>
        </w:numPr>
        <w:tabs>
          <w:tab w:val="left" w:pos="-142"/>
          <w:tab w:val="left" w:pos="993"/>
        </w:tabs>
        <w:spacing w:before="60" w:line="276" w:lineRule="auto"/>
        <w:ind w:left="0" w:firstLine="540"/>
        <w:jc w:val="both"/>
      </w:pPr>
      <w:r>
        <w:rPr>
          <w:rFonts w:ascii="Times New Roman" w:hAnsi="Times New Roman"/>
          <w:color w:val="000000"/>
          <w:sz w:val="28"/>
          <w:szCs w:val="28"/>
        </w:rPr>
        <w:t xml:space="preserve">bugetele locale consolidate (fără transferuri și dobânzi interbugetare)  </w:t>
      </w:r>
      <w:r>
        <w:rPr>
          <w:rFonts w:ascii="Times New Roman" w:hAnsi="Times New Roman"/>
          <w:sz w:val="28"/>
          <w:szCs w:val="28"/>
        </w:rPr>
        <w:t>– 13 027,7 mil. lei (24,0%).</w:t>
      </w:r>
    </w:p>
    <w:p w:rsidR="00C82F48" w:rsidRDefault="00C82F48">
      <w:pPr>
        <w:pStyle w:val="12"/>
        <w:tabs>
          <w:tab w:val="left" w:pos="-142"/>
        </w:tabs>
        <w:spacing w:before="60" w:after="0" w:line="276" w:lineRule="auto"/>
        <w:ind w:left="0" w:firstLine="567"/>
        <w:jc w:val="both"/>
      </w:pPr>
      <w:r>
        <w:rPr>
          <w:rFonts w:ascii="Times New Roman" w:hAnsi="Times New Roman"/>
          <w:sz w:val="28"/>
          <w:szCs w:val="28"/>
        </w:rPr>
        <w:t>În comparație cu semestrul I al anului 2022, preponderent s-au majorat cheltuielile bugetului de stat (fără transferuri către alte bugete) – cu 3 290,2 mil. lei sau cu 25,8%;</w:t>
      </w:r>
      <w:r>
        <w:t xml:space="preserve"> </w:t>
      </w:r>
      <w:r>
        <w:rPr>
          <w:rFonts w:ascii="Times New Roman" w:hAnsi="Times New Roman"/>
          <w:sz w:val="28"/>
          <w:szCs w:val="28"/>
        </w:rPr>
        <w:t>cheltuielile bugetului asigurărilor sociale de stat – cu 2 852,0 mil. lei sau cu 17,8%; cheltuielile bugetelor locale – cu 2 463,1 mil. lei sau cu 23,3% și fondurilor asigurării obligatorii de asistență medicală – cu 490,9 mil. lei sau cu 8,5 la sută.</w:t>
      </w:r>
    </w:p>
    <w:p w:rsidR="00C82F48" w:rsidRDefault="00C82F48">
      <w:pPr>
        <w:pStyle w:val="12"/>
        <w:tabs>
          <w:tab w:val="left" w:pos="-142"/>
          <w:tab w:val="left" w:pos="567"/>
          <w:tab w:val="left" w:pos="709"/>
        </w:tabs>
        <w:spacing w:after="0" w:line="276" w:lineRule="auto"/>
        <w:ind w:left="0" w:firstLine="567"/>
        <w:jc w:val="both"/>
      </w:pPr>
      <w:r>
        <w:rPr>
          <w:rFonts w:ascii="Times New Roman" w:hAnsi="Times New Roman"/>
          <w:sz w:val="28"/>
          <w:szCs w:val="28"/>
        </w:rPr>
        <w:t>În aspect funcțional, majorarea cheltuielilor</w:t>
      </w:r>
      <w:r>
        <w:t xml:space="preserve"> </w:t>
      </w:r>
      <w:r>
        <w:rPr>
          <w:rFonts w:ascii="Times New Roman" w:hAnsi="Times New Roman"/>
          <w:sz w:val="28"/>
          <w:szCs w:val="28"/>
        </w:rPr>
        <w:t>s-au înregistrat pentru toate domeniile, cele mai esențiale fiind la protecție socială (+4 930,7 mil.lei), învățământ (+1 501,1 mil.lei), servicii de stat cu destinație generală (+917,7 mil.lei), ocrotirea sănătății (+ 665,3 mil.lei), gospodăria de locuințe și gospodăria serviciilor comunale (+412,8 mil. lei), ordine publică și securitate națională (+246,9).</w:t>
      </w:r>
    </w:p>
    <w:p w:rsidR="00C82F48" w:rsidRDefault="00C82F48">
      <w:pPr>
        <w:pStyle w:val="12"/>
        <w:tabs>
          <w:tab w:val="left" w:pos="-142"/>
          <w:tab w:val="left" w:pos="567"/>
          <w:tab w:val="left" w:pos="709"/>
        </w:tabs>
        <w:spacing w:after="0" w:line="276" w:lineRule="auto"/>
        <w:ind w:left="0" w:firstLine="567"/>
        <w:jc w:val="both"/>
        <w:rPr>
          <w:rFonts w:ascii="Times New Roman" w:hAnsi="Times New Roman"/>
          <w:sz w:val="28"/>
          <w:szCs w:val="28"/>
        </w:rPr>
      </w:pPr>
    </w:p>
    <w:p w:rsidR="00C82F48" w:rsidRDefault="00C82F48">
      <w:pPr>
        <w:pStyle w:val="12"/>
        <w:tabs>
          <w:tab w:val="left" w:pos="-142"/>
          <w:tab w:val="left" w:pos="567"/>
          <w:tab w:val="left" w:pos="709"/>
        </w:tabs>
        <w:spacing w:after="0" w:line="276" w:lineRule="auto"/>
        <w:ind w:left="0" w:firstLine="567"/>
        <w:jc w:val="both"/>
      </w:pPr>
      <w:r>
        <w:rPr>
          <w:rFonts w:ascii="Times New Roman" w:hAnsi="Times New Roman"/>
          <w:sz w:val="28"/>
          <w:szCs w:val="28"/>
        </w:rPr>
        <w:t>Evoluția cheltuielilor bugetului public național în semestrul I al anilor 2022-2023 pe grupe funcționale se prezintă în diagrama care urmează:</w:t>
      </w:r>
    </w:p>
    <w:p w:rsidR="009A34D4" w:rsidRDefault="009A34D4">
      <w:pPr>
        <w:pStyle w:val="12"/>
        <w:tabs>
          <w:tab w:val="left" w:pos="-142"/>
          <w:tab w:val="left" w:pos="567"/>
          <w:tab w:val="left" w:pos="709"/>
        </w:tabs>
        <w:spacing w:after="0" w:line="276" w:lineRule="auto"/>
        <w:ind w:left="0" w:firstLine="567"/>
        <w:jc w:val="both"/>
        <w:rPr>
          <w:rFonts w:ascii="Times New Roman" w:hAnsi="Times New Roman"/>
          <w:sz w:val="28"/>
          <w:szCs w:val="28"/>
          <w:lang w:val="en-US"/>
        </w:rPr>
      </w:pPr>
    </w:p>
    <w:p w:rsidR="00C82F48" w:rsidRDefault="00C82F48">
      <w:pPr>
        <w:pStyle w:val="Heading2"/>
        <w:spacing w:before="0"/>
        <w:jc w:val="center"/>
      </w:pPr>
      <w:r>
        <w:rPr>
          <w:rFonts w:ascii="Times New Roman" w:hAnsi="Times New Roman"/>
          <w:i/>
          <w:color w:val="323E4F"/>
          <w:sz w:val="28"/>
          <w:szCs w:val="24"/>
        </w:rPr>
        <w:t xml:space="preserve">Diagrama 2. Evoluția cheltuielilor bugetului public național </w:t>
      </w:r>
    </w:p>
    <w:p w:rsidR="00960A13" w:rsidRDefault="00C82F48" w:rsidP="00960A13">
      <w:pPr>
        <w:pStyle w:val="Heading2"/>
        <w:spacing w:before="0"/>
        <w:jc w:val="center"/>
      </w:pPr>
      <w:r>
        <w:rPr>
          <w:rFonts w:ascii="Times New Roman" w:hAnsi="Times New Roman"/>
          <w:i/>
          <w:color w:val="323E4F"/>
          <w:sz w:val="28"/>
          <w:szCs w:val="24"/>
        </w:rPr>
        <w:t>în semestrul I 2022  – semestrul I 2023 (pe grupe funcționale</w:t>
      </w:r>
      <w:r w:rsidR="00960A13">
        <w:rPr>
          <w:rFonts w:ascii="Times New Roman" w:hAnsi="Times New Roman"/>
          <w:i/>
          <w:color w:val="323E4F"/>
          <w:sz w:val="28"/>
          <w:szCs w:val="24"/>
        </w:rPr>
        <w:t xml:space="preserve">, mil. </w:t>
      </w:r>
      <w:r w:rsidR="00F85823">
        <w:rPr>
          <w:rFonts w:ascii="Times New Roman" w:hAnsi="Times New Roman"/>
          <w:i/>
          <w:color w:val="323E4F"/>
          <w:sz w:val="28"/>
          <w:szCs w:val="24"/>
        </w:rPr>
        <w:t>lei)</w:t>
      </w:r>
    </w:p>
    <w:p w:rsidR="00C82F48" w:rsidRDefault="00C82F48">
      <w:pPr>
        <w:ind w:hanging="540"/>
        <w:rPr>
          <w:rFonts w:ascii="Times New Roman" w:hAnsi="Times New Roman"/>
          <w:sz w:val="28"/>
          <w:szCs w:val="28"/>
        </w:rPr>
      </w:pPr>
    </w:p>
    <w:p w:rsidR="00F85823" w:rsidRDefault="00447B48">
      <w:pPr>
        <w:ind w:hanging="540"/>
        <w:rPr>
          <w:rFonts w:ascii="Times New Roman" w:hAnsi="Times New Roman"/>
          <w:sz w:val="28"/>
          <w:szCs w:val="28"/>
        </w:rPr>
      </w:pPr>
      <w:r>
        <w:rPr>
          <w:rFonts w:ascii="Times New Roman" w:hAnsi="Times New Roman"/>
          <w:noProof/>
          <w:sz w:val="28"/>
          <w:szCs w:val="28"/>
          <w:lang w:val="en-US" w:eastAsia="en-US"/>
        </w:rPr>
        <w:drawing>
          <wp:inline distT="0" distB="0" distL="0" distR="0">
            <wp:extent cx="5931655" cy="3352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1655" cy="3352800"/>
                    </a:xfrm>
                    <a:prstGeom prst="rect">
                      <a:avLst/>
                    </a:prstGeom>
                    <a:noFill/>
                  </pic:spPr>
                </pic:pic>
              </a:graphicData>
            </a:graphic>
          </wp:inline>
        </w:drawing>
      </w:r>
    </w:p>
    <w:p w:rsidR="00F85823" w:rsidRDefault="00F85823">
      <w:pPr>
        <w:ind w:hanging="540"/>
        <w:rPr>
          <w:rFonts w:ascii="Times New Roman" w:hAnsi="Times New Roman"/>
          <w:sz w:val="28"/>
          <w:szCs w:val="28"/>
        </w:rPr>
      </w:pPr>
    </w:p>
    <w:p w:rsidR="00C82F48" w:rsidRDefault="00C82F48">
      <w:pPr>
        <w:spacing w:before="60" w:after="0" w:line="276" w:lineRule="auto"/>
        <w:ind w:firstLine="567"/>
        <w:jc w:val="both"/>
      </w:pPr>
      <w:r>
        <w:rPr>
          <w:rFonts w:ascii="Times New Roman" w:hAnsi="Times New Roman"/>
          <w:sz w:val="28"/>
          <w:szCs w:val="28"/>
        </w:rPr>
        <w:t xml:space="preserve">În aspectul categoriilor economice, față de semestrul I 2022, s-au </w:t>
      </w:r>
      <w:r>
        <w:rPr>
          <w:rFonts w:ascii="Times New Roman" w:hAnsi="Times New Roman"/>
          <w:i/>
          <w:sz w:val="28"/>
          <w:szCs w:val="28"/>
          <w:u w:val="single"/>
        </w:rPr>
        <w:t>majorat</w:t>
      </w:r>
      <w:r>
        <w:rPr>
          <w:rFonts w:ascii="Times New Roman" w:hAnsi="Times New Roman"/>
          <w:sz w:val="28"/>
          <w:szCs w:val="28"/>
        </w:rPr>
        <w:t xml:space="preserve"> preponderent cheltuielile pentru prestații sociale (+ 4 230,7 mil. lei sau cu 23,2%), cheltuielile de personal (+1 476,2 mil. lei sau cu 13,8%), dobânzi (+1 422,1 mil. lei sau de circa 2,2 ori), bunuri și servicii (+765,9 mil. lei sau cu 8,9%), cheltuielile pentru granturi acordate (+ 355,4 mil. lei</w:t>
      </w:r>
      <w:r>
        <w:t xml:space="preserve"> </w:t>
      </w:r>
      <w:r>
        <w:rPr>
          <w:rFonts w:ascii="Times New Roman" w:hAnsi="Times New Roman"/>
          <w:sz w:val="28"/>
          <w:szCs w:val="28"/>
        </w:rPr>
        <w:t>sau de circa 3 ori), mijloace fixe (+ 435,2 mil. lei sau cu 22,7%), subvențiile (+246,4 mil. lei sau cu 13,2%), alte cheltuieli (+232,1 mil. lei sau cu 13,9%).</w:t>
      </w:r>
    </w:p>
    <w:p w:rsidR="00C82F48" w:rsidRDefault="00C82F48">
      <w:pPr>
        <w:spacing w:before="60" w:after="0" w:line="276" w:lineRule="auto"/>
        <w:ind w:firstLine="567"/>
        <w:jc w:val="both"/>
        <w:rPr>
          <w:rFonts w:ascii="Times New Roman" w:hAnsi="Times New Roman"/>
          <w:sz w:val="28"/>
          <w:szCs w:val="28"/>
        </w:rPr>
      </w:pPr>
    </w:p>
    <w:p w:rsidR="00C82F48" w:rsidRDefault="00C82F48">
      <w:pPr>
        <w:spacing w:before="60" w:after="0" w:line="276" w:lineRule="auto"/>
        <w:ind w:firstLine="567"/>
        <w:jc w:val="both"/>
      </w:pPr>
      <w:r>
        <w:rPr>
          <w:rFonts w:ascii="Times New Roman" w:hAnsi="Times New Roman"/>
          <w:sz w:val="28"/>
          <w:szCs w:val="28"/>
        </w:rPr>
        <w:t xml:space="preserve"> Evoluția cheltuielilor bugetului public național în semestrul I al anilor 2022-2023 pe categorii economice se prezintă în diagrama care urmează:</w:t>
      </w:r>
    </w:p>
    <w:p w:rsidR="009A34D4" w:rsidRDefault="009A34D4">
      <w:pPr>
        <w:spacing w:before="60" w:line="276" w:lineRule="auto"/>
        <w:ind w:firstLine="567"/>
        <w:jc w:val="both"/>
        <w:rPr>
          <w:rFonts w:ascii="Times New Roman" w:hAnsi="Times New Roman"/>
          <w:sz w:val="28"/>
          <w:szCs w:val="28"/>
        </w:rPr>
      </w:pPr>
      <w:bookmarkStart w:id="7" w:name="_GoBack"/>
      <w:bookmarkEnd w:id="7"/>
    </w:p>
    <w:p w:rsidR="00C82F48" w:rsidRDefault="00C82F48">
      <w:pPr>
        <w:pStyle w:val="Heading2"/>
        <w:spacing w:before="0"/>
        <w:jc w:val="center"/>
      </w:pPr>
      <w:r>
        <w:rPr>
          <w:rFonts w:ascii="Times New Roman" w:hAnsi="Times New Roman"/>
          <w:i/>
          <w:color w:val="323E4F"/>
          <w:sz w:val="28"/>
          <w:szCs w:val="24"/>
        </w:rPr>
        <w:t xml:space="preserve">Diagrama 3. Evoluția cheltuielilor bugetului public național </w:t>
      </w:r>
    </w:p>
    <w:p w:rsidR="00C82F48" w:rsidRDefault="00C82F48" w:rsidP="001F2274">
      <w:pPr>
        <w:pStyle w:val="Heading2"/>
        <w:spacing w:before="0"/>
        <w:ind w:hanging="450"/>
        <w:jc w:val="center"/>
        <w:rPr>
          <w:rFonts w:ascii="Times New Roman" w:hAnsi="Times New Roman"/>
          <w:i/>
          <w:color w:val="323E4F"/>
          <w:sz w:val="28"/>
          <w:szCs w:val="24"/>
        </w:rPr>
      </w:pPr>
      <w:r w:rsidRPr="009A34D4">
        <w:rPr>
          <w:rFonts w:ascii="Times New Roman" w:hAnsi="Times New Roman"/>
          <w:i/>
          <w:color w:val="323E4F"/>
          <w:sz w:val="28"/>
          <w:szCs w:val="24"/>
        </w:rPr>
        <w:t>în semestrul I 2022 – semestrul I 2023 (pe categorii economice</w:t>
      </w:r>
      <w:r w:rsidR="00960A13" w:rsidRPr="009A34D4">
        <w:rPr>
          <w:rFonts w:ascii="Times New Roman" w:hAnsi="Times New Roman"/>
          <w:i/>
          <w:color w:val="323E4F"/>
          <w:sz w:val="28"/>
          <w:szCs w:val="24"/>
        </w:rPr>
        <w:t>, mil. lei</w:t>
      </w:r>
      <w:r w:rsidR="00F85823" w:rsidRPr="009A34D4">
        <w:rPr>
          <w:rFonts w:ascii="Times New Roman" w:hAnsi="Times New Roman"/>
          <w:i/>
          <w:color w:val="323E4F"/>
          <w:sz w:val="28"/>
          <w:szCs w:val="24"/>
        </w:rPr>
        <w:t>)</w:t>
      </w:r>
    </w:p>
    <w:p w:rsidR="009A34D4" w:rsidRPr="009A34D4" w:rsidRDefault="009A34D4" w:rsidP="009A34D4"/>
    <w:p w:rsidR="00F85823" w:rsidRDefault="00447B48">
      <w:pPr>
        <w:ind w:hanging="450"/>
        <w:rPr>
          <w:rFonts w:ascii="Times New Roman" w:hAnsi="Times New Roman"/>
          <w:sz w:val="28"/>
          <w:szCs w:val="28"/>
        </w:rPr>
      </w:pPr>
      <w:r>
        <w:rPr>
          <w:rFonts w:ascii="Times New Roman" w:hAnsi="Times New Roman"/>
          <w:noProof/>
          <w:sz w:val="28"/>
          <w:szCs w:val="28"/>
          <w:lang w:val="en-US" w:eastAsia="en-US"/>
        </w:rPr>
        <w:drawing>
          <wp:inline distT="0" distB="0" distL="0" distR="0">
            <wp:extent cx="6757035" cy="382778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57035" cy="3827780"/>
                    </a:xfrm>
                    <a:prstGeom prst="rect">
                      <a:avLst/>
                    </a:prstGeom>
                    <a:noFill/>
                  </pic:spPr>
                </pic:pic>
              </a:graphicData>
            </a:graphic>
          </wp:inline>
        </w:drawing>
      </w:r>
    </w:p>
    <w:p w:rsidR="00C82F48" w:rsidRDefault="00C82F48">
      <w:pPr>
        <w:spacing w:before="240" w:line="276" w:lineRule="auto"/>
        <w:ind w:firstLine="567"/>
        <w:contextualSpacing/>
        <w:jc w:val="both"/>
      </w:pPr>
      <w:r>
        <w:rPr>
          <w:rFonts w:ascii="Times New Roman" w:hAnsi="Times New Roman"/>
          <w:sz w:val="28"/>
          <w:szCs w:val="28"/>
        </w:rPr>
        <w:t xml:space="preserve">Executarea bugetului public național în primele 6 luni ale anului 2023 s-a încheiat cu un </w:t>
      </w:r>
      <w:r>
        <w:rPr>
          <w:rFonts w:ascii="Times New Roman" w:hAnsi="Times New Roman"/>
          <w:b/>
          <w:i/>
          <w:sz w:val="28"/>
          <w:szCs w:val="28"/>
        </w:rPr>
        <w:t>sold bugetar (deficit)</w:t>
      </w:r>
      <w:r>
        <w:rPr>
          <w:rFonts w:ascii="Times New Roman" w:hAnsi="Times New Roman"/>
          <w:sz w:val="28"/>
          <w:szCs w:val="28"/>
        </w:rPr>
        <w:t xml:space="preserve"> de 7 163,0 mil. lei, sau 2,31% în PIB, în condițiile, în care ținta de deficit bugetar pentru anul 2023 a fost stabilită de 6,0% din PIB.</w:t>
      </w:r>
    </w:p>
    <w:p w:rsidR="00C82F48" w:rsidRDefault="00C82F48">
      <w:pPr>
        <w:pStyle w:val="Heading2"/>
        <w:spacing w:before="0"/>
        <w:jc w:val="center"/>
      </w:pPr>
      <w:r>
        <w:rPr>
          <w:rFonts w:ascii="Times New Roman" w:hAnsi="Times New Roman"/>
          <w:i/>
          <w:color w:val="000000"/>
          <w:sz w:val="28"/>
          <w:szCs w:val="24"/>
        </w:rPr>
        <w:lastRenderedPageBreak/>
        <w:t>Tabelul 3. Soldul bugetului public național și a componentelor acestuia,</w:t>
      </w:r>
    </w:p>
    <w:p w:rsidR="00C82F48" w:rsidRDefault="00C82F48">
      <w:pPr>
        <w:pStyle w:val="Heading2"/>
        <w:spacing w:before="0"/>
        <w:jc w:val="center"/>
      </w:pPr>
      <w:r>
        <w:rPr>
          <w:rFonts w:ascii="Times New Roman" w:hAnsi="Times New Roman"/>
          <w:i/>
          <w:color w:val="000000"/>
          <w:sz w:val="28"/>
          <w:szCs w:val="24"/>
        </w:rPr>
        <w:t xml:space="preserve"> și sursele de finanțare în semestrul I 2023</w:t>
      </w:r>
    </w:p>
    <w:p w:rsidR="00C82F48" w:rsidRDefault="00C82F48">
      <w:pPr>
        <w:pStyle w:val="12"/>
        <w:spacing w:after="0"/>
        <w:ind w:left="7791" w:firstLine="709"/>
        <w:jc w:val="center"/>
      </w:pPr>
      <w:r>
        <w:t>mil. lei</w:t>
      </w:r>
    </w:p>
    <w:tbl>
      <w:tblPr>
        <w:tblW w:w="4750" w:type="pct"/>
        <w:jc w:val="center"/>
        <w:tblLayout w:type="fixed"/>
        <w:tblLook w:val="0000" w:firstRow="0" w:lastRow="0" w:firstColumn="0" w:lastColumn="0" w:noHBand="0" w:noVBand="0"/>
      </w:tblPr>
      <w:tblGrid>
        <w:gridCol w:w="3033"/>
        <w:gridCol w:w="872"/>
        <w:gridCol w:w="1259"/>
        <w:gridCol w:w="1153"/>
        <w:gridCol w:w="1563"/>
        <w:gridCol w:w="75"/>
        <w:gridCol w:w="931"/>
      </w:tblGrid>
      <w:tr w:rsidR="00C82F48">
        <w:trPr>
          <w:trHeight w:val="150"/>
          <w:jc w:val="center"/>
        </w:trPr>
        <w:tc>
          <w:tcPr>
            <w:tcW w:w="3033" w:type="dxa"/>
            <w:vMerge w:val="restart"/>
            <w:tcBorders>
              <w:top w:val="single" w:sz="8" w:space="0" w:color="4BACC6"/>
              <w:bottom w:val="single" w:sz="8" w:space="0" w:color="4BACC6"/>
            </w:tcBorders>
            <w:shd w:val="clear" w:color="auto" w:fill="auto"/>
            <w:vAlign w:val="center"/>
          </w:tcPr>
          <w:p w:rsidR="00C82F48" w:rsidRDefault="00C82F48">
            <w:pPr>
              <w:tabs>
                <w:tab w:val="left" w:pos="4305"/>
              </w:tabs>
              <w:snapToGrid w:val="0"/>
              <w:spacing w:after="0"/>
              <w:jc w:val="center"/>
              <w:rPr>
                <w:rFonts w:ascii="Times New Roman" w:hAnsi="Times New Roman"/>
                <w:b/>
                <w:bCs/>
                <w:color w:val="171717"/>
                <w:sz w:val="20"/>
                <w:szCs w:val="20"/>
              </w:rPr>
            </w:pPr>
          </w:p>
        </w:tc>
        <w:tc>
          <w:tcPr>
            <w:tcW w:w="872" w:type="dxa"/>
            <w:vMerge w:val="restart"/>
            <w:tcBorders>
              <w:top w:val="single" w:sz="8" w:space="0" w:color="4BACC6"/>
              <w:bottom w:val="single" w:sz="8" w:space="0" w:color="4BACC6"/>
            </w:tcBorders>
            <w:shd w:val="clear" w:color="auto" w:fill="auto"/>
            <w:vAlign w:val="center"/>
          </w:tcPr>
          <w:p w:rsidR="00C82F48" w:rsidRDefault="00C82F48">
            <w:pPr>
              <w:spacing w:after="0"/>
              <w:ind w:left="-108" w:right="-108"/>
              <w:jc w:val="center"/>
            </w:pPr>
            <w:r>
              <w:rPr>
                <w:rFonts w:ascii="Times New Roman" w:hAnsi="Times New Roman"/>
                <w:b/>
                <w:bCs/>
                <w:color w:val="171717"/>
                <w:sz w:val="20"/>
                <w:szCs w:val="20"/>
              </w:rPr>
              <w:t>Bugetul public național</w:t>
            </w:r>
          </w:p>
        </w:tc>
        <w:tc>
          <w:tcPr>
            <w:tcW w:w="4981" w:type="dxa"/>
            <w:gridSpan w:val="5"/>
            <w:tcBorders>
              <w:top w:val="single" w:sz="8" w:space="0" w:color="4BACC6"/>
              <w:bottom w:val="single" w:sz="8" w:space="0" w:color="4BACC6"/>
            </w:tcBorders>
            <w:shd w:val="clear" w:color="auto" w:fill="auto"/>
            <w:vAlign w:val="center"/>
          </w:tcPr>
          <w:p w:rsidR="00C82F48" w:rsidRDefault="00C82F48">
            <w:pPr>
              <w:spacing w:after="0"/>
              <w:ind w:left="-51"/>
              <w:jc w:val="center"/>
            </w:pPr>
            <w:r>
              <w:rPr>
                <w:rFonts w:ascii="Times New Roman" w:hAnsi="Times New Roman"/>
                <w:b/>
                <w:bCs/>
                <w:color w:val="171717"/>
                <w:sz w:val="20"/>
                <w:szCs w:val="20"/>
              </w:rPr>
              <w:t>dintre care:</w:t>
            </w:r>
          </w:p>
        </w:tc>
      </w:tr>
      <w:tr w:rsidR="00C82F48">
        <w:trPr>
          <w:trHeight w:val="833"/>
          <w:jc w:val="center"/>
        </w:trPr>
        <w:tc>
          <w:tcPr>
            <w:tcW w:w="3033" w:type="dxa"/>
            <w:vMerge/>
            <w:tcBorders>
              <w:top w:val="single" w:sz="8" w:space="0" w:color="4BACC6"/>
              <w:bottom w:val="single" w:sz="8" w:space="0" w:color="4BACC6"/>
            </w:tcBorders>
            <w:shd w:val="clear" w:color="auto" w:fill="auto"/>
            <w:vAlign w:val="center"/>
          </w:tcPr>
          <w:p w:rsidR="00C82F48" w:rsidRDefault="00C82F48">
            <w:pPr>
              <w:tabs>
                <w:tab w:val="left" w:pos="4305"/>
              </w:tabs>
              <w:snapToGrid w:val="0"/>
              <w:spacing w:after="0"/>
              <w:jc w:val="center"/>
              <w:rPr>
                <w:rFonts w:ascii="Times New Roman" w:hAnsi="Times New Roman"/>
                <w:b/>
                <w:bCs/>
                <w:color w:val="171717"/>
                <w:sz w:val="20"/>
                <w:szCs w:val="20"/>
              </w:rPr>
            </w:pPr>
          </w:p>
        </w:tc>
        <w:tc>
          <w:tcPr>
            <w:tcW w:w="872" w:type="dxa"/>
            <w:vMerge/>
            <w:tcBorders>
              <w:top w:val="single" w:sz="8" w:space="0" w:color="4BACC6"/>
              <w:bottom w:val="single" w:sz="8" w:space="0" w:color="4BACC6"/>
            </w:tcBorders>
            <w:shd w:val="clear" w:color="auto" w:fill="auto"/>
            <w:vAlign w:val="center"/>
          </w:tcPr>
          <w:p w:rsidR="00C82F48" w:rsidRDefault="00C82F48">
            <w:pPr>
              <w:snapToGrid w:val="0"/>
              <w:spacing w:after="0"/>
              <w:ind w:left="-108" w:right="-108"/>
              <w:jc w:val="center"/>
              <w:rPr>
                <w:rFonts w:ascii="Times New Roman" w:hAnsi="Times New Roman"/>
                <w:b/>
                <w:bCs/>
                <w:color w:val="171717"/>
                <w:sz w:val="20"/>
                <w:szCs w:val="20"/>
              </w:rPr>
            </w:pPr>
          </w:p>
        </w:tc>
        <w:tc>
          <w:tcPr>
            <w:tcW w:w="1259" w:type="dxa"/>
            <w:tcBorders>
              <w:top w:val="single" w:sz="8" w:space="0" w:color="4BACC6"/>
              <w:bottom w:val="single" w:sz="8" w:space="0" w:color="4BACC6"/>
            </w:tcBorders>
            <w:shd w:val="clear" w:color="auto" w:fill="auto"/>
            <w:vAlign w:val="center"/>
          </w:tcPr>
          <w:p w:rsidR="00C82F48" w:rsidRDefault="00C82F48">
            <w:pPr>
              <w:spacing w:after="0"/>
              <w:ind w:left="-51" w:right="-108" w:hanging="3"/>
              <w:jc w:val="center"/>
            </w:pPr>
            <w:r>
              <w:rPr>
                <w:rFonts w:ascii="Times New Roman" w:hAnsi="Times New Roman"/>
                <w:b/>
                <w:color w:val="171717"/>
                <w:sz w:val="20"/>
                <w:szCs w:val="20"/>
              </w:rPr>
              <w:t>Bugetul</w:t>
            </w:r>
          </w:p>
          <w:p w:rsidR="00C82F48" w:rsidRDefault="00C82F48">
            <w:pPr>
              <w:spacing w:after="0"/>
              <w:ind w:left="-51" w:right="-108" w:hanging="3"/>
              <w:jc w:val="center"/>
            </w:pPr>
            <w:r>
              <w:rPr>
                <w:rFonts w:ascii="Times New Roman" w:hAnsi="Times New Roman"/>
                <w:b/>
                <w:color w:val="171717"/>
                <w:sz w:val="20"/>
                <w:szCs w:val="20"/>
              </w:rPr>
              <w:t>de stat</w:t>
            </w:r>
          </w:p>
        </w:tc>
        <w:tc>
          <w:tcPr>
            <w:tcW w:w="1153" w:type="dxa"/>
            <w:tcBorders>
              <w:top w:val="single" w:sz="8" w:space="0" w:color="4BACC6"/>
              <w:bottom w:val="single" w:sz="8" w:space="0" w:color="4BACC6"/>
            </w:tcBorders>
            <w:shd w:val="clear" w:color="auto" w:fill="auto"/>
            <w:vAlign w:val="center"/>
          </w:tcPr>
          <w:p w:rsidR="00C82F48" w:rsidRDefault="00C82F48">
            <w:pPr>
              <w:spacing w:after="0"/>
              <w:ind w:left="-51"/>
              <w:jc w:val="center"/>
            </w:pPr>
            <w:r>
              <w:rPr>
                <w:rFonts w:ascii="Times New Roman" w:hAnsi="Times New Roman"/>
                <w:b/>
                <w:color w:val="171717"/>
                <w:sz w:val="20"/>
                <w:szCs w:val="20"/>
              </w:rPr>
              <w:t>Bugetul asigurărilor sociale de stat</w:t>
            </w:r>
          </w:p>
        </w:tc>
        <w:tc>
          <w:tcPr>
            <w:tcW w:w="1638" w:type="dxa"/>
            <w:gridSpan w:val="2"/>
            <w:tcBorders>
              <w:top w:val="single" w:sz="8" w:space="0" w:color="4BACC6"/>
              <w:bottom w:val="single" w:sz="8" w:space="0" w:color="4BACC6"/>
            </w:tcBorders>
            <w:shd w:val="clear" w:color="auto" w:fill="auto"/>
            <w:vAlign w:val="center"/>
          </w:tcPr>
          <w:p w:rsidR="00C82F48" w:rsidRDefault="00C82F48">
            <w:pPr>
              <w:spacing w:after="0"/>
              <w:ind w:left="-51"/>
              <w:jc w:val="center"/>
            </w:pPr>
            <w:r>
              <w:rPr>
                <w:rFonts w:ascii="Times New Roman" w:hAnsi="Times New Roman"/>
                <w:b/>
                <w:color w:val="171717"/>
                <w:sz w:val="20"/>
                <w:szCs w:val="20"/>
              </w:rPr>
              <w:t>Fondurile asigurării obligatorii de asistență medicală</w:t>
            </w:r>
          </w:p>
        </w:tc>
        <w:tc>
          <w:tcPr>
            <w:tcW w:w="931" w:type="dxa"/>
            <w:tcBorders>
              <w:top w:val="single" w:sz="8" w:space="0" w:color="4BACC6"/>
              <w:bottom w:val="single" w:sz="8" w:space="0" w:color="4BACC6"/>
            </w:tcBorders>
            <w:shd w:val="clear" w:color="auto" w:fill="auto"/>
            <w:vAlign w:val="center"/>
          </w:tcPr>
          <w:p w:rsidR="00C82F48" w:rsidRDefault="00C82F48">
            <w:pPr>
              <w:spacing w:after="0"/>
              <w:ind w:left="-51"/>
              <w:jc w:val="center"/>
            </w:pPr>
            <w:r>
              <w:rPr>
                <w:rFonts w:ascii="Times New Roman" w:hAnsi="Times New Roman"/>
                <w:b/>
                <w:color w:val="171717"/>
                <w:sz w:val="20"/>
                <w:szCs w:val="20"/>
              </w:rPr>
              <w:t>Bugetele locale</w:t>
            </w:r>
          </w:p>
        </w:tc>
      </w:tr>
      <w:tr w:rsidR="00C82F48">
        <w:trPr>
          <w:trHeight w:val="427"/>
          <w:jc w:val="center"/>
        </w:trPr>
        <w:tc>
          <w:tcPr>
            <w:tcW w:w="3033" w:type="dxa"/>
            <w:tcBorders>
              <w:top w:val="single" w:sz="8" w:space="0" w:color="4BACC6"/>
              <w:bottom w:val="single" w:sz="8" w:space="0" w:color="4BACC6"/>
            </w:tcBorders>
            <w:shd w:val="clear" w:color="auto" w:fill="auto"/>
            <w:vAlign w:val="center"/>
          </w:tcPr>
          <w:p w:rsidR="00C82F48" w:rsidRDefault="00C82F48">
            <w:pPr>
              <w:tabs>
                <w:tab w:val="left" w:pos="4305"/>
              </w:tabs>
              <w:spacing w:after="0"/>
              <w:jc w:val="both"/>
            </w:pPr>
            <w:r>
              <w:rPr>
                <w:rFonts w:ascii="Times New Roman" w:hAnsi="Times New Roman"/>
                <w:b/>
                <w:bCs/>
                <w:color w:val="171717"/>
                <w:sz w:val="20"/>
                <w:szCs w:val="20"/>
              </w:rPr>
              <w:t>Deficit (-)/ Surplus (+)</w:t>
            </w:r>
          </w:p>
        </w:tc>
        <w:tc>
          <w:tcPr>
            <w:tcW w:w="872" w:type="dxa"/>
            <w:tcBorders>
              <w:top w:val="single" w:sz="8" w:space="0" w:color="4BACC6"/>
              <w:bottom w:val="single" w:sz="8" w:space="0" w:color="4BACC6"/>
            </w:tcBorders>
            <w:shd w:val="clear" w:color="auto" w:fill="auto"/>
            <w:vAlign w:val="center"/>
          </w:tcPr>
          <w:p w:rsidR="00C82F48" w:rsidRDefault="00C82F48">
            <w:pPr>
              <w:tabs>
                <w:tab w:val="left" w:pos="4305"/>
              </w:tabs>
              <w:spacing w:after="0"/>
              <w:jc w:val="center"/>
            </w:pPr>
            <w:r>
              <w:rPr>
                <w:rFonts w:ascii="Times New Roman" w:hAnsi="Times New Roman"/>
                <w:b/>
                <w:sz w:val="20"/>
                <w:szCs w:val="20"/>
              </w:rPr>
              <w:t>-7 163,0</w:t>
            </w:r>
          </w:p>
        </w:tc>
        <w:tc>
          <w:tcPr>
            <w:tcW w:w="1259" w:type="dxa"/>
            <w:tcBorders>
              <w:top w:val="single" w:sz="8" w:space="0" w:color="4BACC6"/>
              <w:bottom w:val="single" w:sz="8" w:space="0" w:color="4BACC6"/>
            </w:tcBorders>
            <w:shd w:val="clear" w:color="auto" w:fill="auto"/>
            <w:vAlign w:val="center"/>
          </w:tcPr>
          <w:p w:rsidR="00C82F48" w:rsidRDefault="00C82F48">
            <w:pPr>
              <w:tabs>
                <w:tab w:val="left" w:pos="4305"/>
              </w:tabs>
              <w:spacing w:after="0"/>
              <w:jc w:val="right"/>
            </w:pPr>
            <w:r>
              <w:rPr>
                <w:rFonts w:ascii="Times New Roman" w:hAnsi="Times New Roman"/>
                <w:b/>
                <w:sz w:val="20"/>
                <w:szCs w:val="20"/>
              </w:rPr>
              <w:t>-7 895,9</w:t>
            </w:r>
          </w:p>
        </w:tc>
        <w:tc>
          <w:tcPr>
            <w:tcW w:w="1153" w:type="dxa"/>
            <w:tcBorders>
              <w:top w:val="single" w:sz="8" w:space="0" w:color="4BACC6"/>
              <w:bottom w:val="single" w:sz="8" w:space="0" w:color="4BACC6"/>
            </w:tcBorders>
            <w:shd w:val="clear" w:color="auto" w:fill="auto"/>
            <w:vAlign w:val="center"/>
          </w:tcPr>
          <w:p w:rsidR="00C82F48" w:rsidRDefault="00C82F48">
            <w:pPr>
              <w:tabs>
                <w:tab w:val="left" w:pos="4305"/>
              </w:tabs>
              <w:spacing w:after="0"/>
              <w:jc w:val="right"/>
            </w:pPr>
            <w:r>
              <w:rPr>
                <w:rFonts w:ascii="Times New Roman" w:hAnsi="Times New Roman"/>
                <w:b/>
                <w:sz w:val="20"/>
                <w:szCs w:val="20"/>
              </w:rPr>
              <w:t>1 072,6</w:t>
            </w:r>
          </w:p>
        </w:tc>
        <w:tc>
          <w:tcPr>
            <w:tcW w:w="1563" w:type="dxa"/>
            <w:tcBorders>
              <w:top w:val="single" w:sz="8" w:space="0" w:color="4BACC6"/>
              <w:bottom w:val="single" w:sz="8" w:space="0" w:color="4BACC6"/>
            </w:tcBorders>
            <w:shd w:val="clear" w:color="auto" w:fill="auto"/>
            <w:vAlign w:val="center"/>
          </w:tcPr>
          <w:p w:rsidR="00C82F48" w:rsidRDefault="00C82F48">
            <w:pPr>
              <w:tabs>
                <w:tab w:val="left" w:pos="4305"/>
              </w:tabs>
              <w:spacing w:after="0"/>
              <w:jc w:val="right"/>
            </w:pPr>
            <w:r>
              <w:rPr>
                <w:rFonts w:ascii="Times New Roman" w:hAnsi="Times New Roman"/>
                <w:b/>
                <w:sz w:val="20"/>
                <w:szCs w:val="20"/>
              </w:rPr>
              <w:t>-1 125,6</w:t>
            </w:r>
          </w:p>
        </w:tc>
        <w:tc>
          <w:tcPr>
            <w:tcW w:w="1006" w:type="dxa"/>
            <w:gridSpan w:val="2"/>
            <w:tcBorders>
              <w:top w:val="single" w:sz="8" w:space="0" w:color="4BACC6"/>
              <w:bottom w:val="single" w:sz="8" w:space="0" w:color="4BACC6"/>
            </w:tcBorders>
            <w:shd w:val="clear" w:color="auto" w:fill="auto"/>
            <w:vAlign w:val="center"/>
          </w:tcPr>
          <w:p w:rsidR="00C82F48" w:rsidRDefault="00C82F48">
            <w:pPr>
              <w:tabs>
                <w:tab w:val="left" w:pos="4305"/>
              </w:tabs>
              <w:spacing w:after="0"/>
              <w:jc w:val="right"/>
            </w:pPr>
            <w:r>
              <w:rPr>
                <w:rFonts w:ascii="Times New Roman" w:hAnsi="Times New Roman"/>
                <w:b/>
                <w:sz w:val="20"/>
                <w:szCs w:val="20"/>
              </w:rPr>
              <w:t>785,9</w:t>
            </w:r>
          </w:p>
        </w:tc>
      </w:tr>
      <w:tr w:rsidR="00C82F48">
        <w:trPr>
          <w:trHeight w:val="231"/>
          <w:jc w:val="center"/>
        </w:trPr>
        <w:tc>
          <w:tcPr>
            <w:tcW w:w="3033" w:type="dxa"/>
            <w:tcBorders>
              <w:top w:val="single" w:sz="8" w:space="0" w:color="4BACC6"/>
            </w:tcBorders>
            <w:shd w:val="clear" w:color="auto" w:fill="auto"/>
            <w:vAlign w:val="center"/>
          </w:tcPr>
          <w:p w:rsidR="00C82F48" w:rsidRDefault="00C82F48">
            <w:pPr>
              <w:tabs>
                <w:tab w:val="left" w:pos="4305"/>
              </w:tabs>
              <w:spacing w:after="0"/>
              <w:jc w:val="both"/>
            </w:pPr>
            <w:r>
              <w:rPr>
                <w:rFonts w:ascii="Times New Roman" w:hAnsi="Times New Roman"/>
                <w:b/>
                <w:bCs/>
                <w:color w:val="171717"/>
                <w:sz w:val="20"/>
                <w:szCs w:val="20"/>
              </w:rPr>
              <w:t>Surse de finanțare, total</w:t>
            </w:r>
          </w:p>
        </w:tc>
        <w:tc>
          <w:tcPr>
            <w:tcW w:w="872" w:type="dxa"/>
            <w:tcBorders>
              <w:top w:val="single" w:sz="8" w:space="0" w:color="4BACC6"/>
            </w:tcBorders>
            <w:shd w:val="clear" w:color="auto" w:fill="auto"/>
            <w:vAlign w:val="center"/>
          </w:tcPr>
          <w:p w:rsidR="00C82F48" w:rsidRDefault="00C82F48">
            <w:pPr>
              <w:tabs>
                <w:tab w:val="left" w:pos="4305"/>
              </w:tabs>
              <w:spacing w:after="0"/>
              <w:jc w:val="right"/>
            </w:pPr>
            <w:r>
              <w:rPr>
                <w:rFonts w:ascii="Times New Roman" w:hAnsi="Times New Roman"/>
                <w:b/>
                <w:sz w:val="20"/>
                <w:szCs w:val="20"/>
              </w:rPr>
              <w:t>7 163,0</w:t>
            </w:r>
          </w:p>
        </w:tc>
        <w:tc>
          <w:tcPr>
            <w:tcW w:w="1259" w:type="dxa"/>
            <w:tcBorders>
              <w:top w:val="single" w:sz="8" w:space="0" w:color="4BACC6"/>
            </w:tcBorders>
            <w:shd w:val="clear" w:color="auto" w:fill="auto"/>
            <w:vAlign w:val="center"/>
          </w:tcPr>
          <w:p w:rsidR="00C82F48" w:rsidRDefault="00C82F48">
            <w:pPr>
              <w:tabs>
                <w:tab w:val="left" w:pos="4305"/>
              </w:tabs>
              <w:spacing w:after="0"/>
              <w:jc w:val="right"/>
            </w:pPr>
            <w:r>
              <w:rPr>
                <w:rFonts w:ascii="Times New Roman" w:hAnsi="Times New Roman"/>
                <w:b/>
                <w:sz w:val="20"/>
                <w:szCs w:val="20"/>
              </w:rPr>
              <w:t>7 895,9</w:t>
            </w:r>
          </w:p>
        </w:tc>
        <w:tc>
          <w:tcPr>
            <w:tcW w:w="1153" w:type="dxa"/>
            <w:tcBorders>
              <w:top w:val="single" w:sz="8" w:space="0" w:color="4BACC6"/>
            </w:tcBorders>
            <w:shd w:val="clear" w:color="auto" w:fill="auto"/>
            <w:vAlign w:val="center"/>
          </w:tcPr>
          <w:p w:rsidR="00C82F48" w:rsidRDefault="00C82F48">
            <w:pPr>
              <w:tabs>
                <w:tab w:val="left" w:pos="4305"/>
              </w:tabs>
              <w:spacing w:after="0"/>
              <w:jc w:val="right"/>
            </w:pPr>
            <w:r>
              <w:rPr>
                <w:rFonts w:ascii="Times New Roman" w:hAnsi="Times New Roman"/>
                <w:b/>
                <w:sz w:val="20"/>
                <w:szCs w:val="20"/>
              </w:rPr>
              <w:t>-1 072,6</w:t>
            </w:r>
          </w:p>
        </w:tc>
        <w:tc>
          <w:tcPr>
            <w:tcW w:w="1563" w:type="dxa"/>
            <w:tcBorders>
              <w:top w:val="single" w:sz="8" w:space="0" w:color="4BACC6"/>
            </w:tcBorders>
            <w:shd w:val="clear" w:color="auto" w:fill="auto"/>
            <w:vAlign w:val="center"/>
          </w:tcPr>
          <w:p w:rsidR="00C82F48" w:rsidRDefault="00C82F48">
            <w:pPr>
              <w:tabs>
                <w:tab w:val="left" w:pos="4305"/>
              </w:tabs>
              <w:spacing w:after="0"/>
              <w:jc w:val="right"/>
            </w:pPr>
            <w:r>
              <w:rPr>
                <w:rFonts w:ascii="Times New Roman" w:hAnsi="Times New Roman"/>
                <w:b/>
                <w:sz w:val="20"/>
                <w:szCs w:val="20"/>
              </w:rPr>
              <w:t>1 125,6</w:t>
            </w:r>
          </w:p>
        </w:tc>
        <w:tc>
          <w:tcPr>
            <w:tcW w:w="1006" w:type="dxa"/>
            <w:gridSpan w:val="2"/>
            <w:tcBorders>
              <w:top w:val="single" w:sz="8" w:space="0" w:color="4BACC6"/>
            </w:tcBorders>
            <w:shd w:val="clear" w:color="auto" w:fill="auto"/>
            <w:vAlign w:val="bottom"/>
          </w:tcPr>
          <w:p w:rsidR="00C82F48" w:rsidRDefault="00C82F48">
            <w:pPr>
              <w:tabs>
                <w:tab w:val="left" w:pos="4305"/>
              </w:tabs>
              <w:spacing w:after="0"/>
              <w:jc w:val="right"/>
            </w:pPr>
            <w:r>
              <w:rPr>
                <w:rFonts w:ascii="Times New Roman" w:hAnsi="Times New Roman"/>
                <w:b/>
                <w:sz w:val="20"/>
                <w:szCs w:val="20"/>
              </w:rPr>
              <w:t>-785,9</w:t>
            </w:r>
          </w:p>
        </w:tc>
      </w:tr>
      <w:tr w:rsidR="00C82F48">
        <w:trPr>
          <w:trHeight w:val="231"/>
          <w:jc w:val="center"/>
        </w:trPr>
        <w:tc>
          <w:tcPr>
            <w:tcW w:w="3033" w:type="dxa"/>
            <w:shd w:val="clear" w:color="auto" w:fill="auto"/>
            <w:vAlign w:val="center"/>
          </w:tcPr>
          <w:p w:rsidR="00C82F48" w:rsidRDefault="00C82F48">
            <w:pPr>
              <w:tabs>
                <w:tab w:val="left" w:pos="4305"/>
              </w:tabs>
              <w:spacing w:after="0"/>
              <w:jc w:val="both"/>
            </w:pPr>
            <w:r>
              <w:rPr>
                <w:rFonts w:ascii="Times New Roman" w:hAnsi="Times New Roman"/>
                <w:bCs/>
                <w:i/>
                <w:color w:val="171717"/>
                <w:sz w:val="20"/>
                <w:szCs w:val="20"/>
              </w:rPr>
              <w:t>1. Surse interne</w:t>
            </w:r>
          </w:p>
        </w:tc>
        <w:tc>
          <w:tcPr>
            <w:tcW w:w="872" w:type="dxa"/>
            <w:shd w:val="clear" w:color="auto" w:fill="auto"/>
            <w:vAlign w:val="center"/>
          </w:tcPr>
          <w:p w:rsidR="00C82F48" w:rsidRDefault="00C82F48">
            <w:pPr>
              <w:spacing w:after="0"/>
              <w:ind w:left="-108"/>
              <w:jc w:val="right"/>
            </w:pPr>
            <w:r>
              <w:rPr>
                <w:rFonts w:ascii="Times New Roman" w:hAnsi="Times New Roman"/>
                <w:sz w:val="20"/>
                <w:szCs w:val="20"/>
              </w:rPr>
              <w:t>3 646,7</w:t>
            </w:r>
          </w:p>
        </w:tc>
        <w:tc>
          <w:tcPr>
            <w:tcW w:w="1259" w:type="dxa"/>
            <w:shd w:val="clear" w:color="auto" w:fill="auto"/>
            <w:vAlign w:val="center"/>
          </w:tcPr>
          <w:p w:rsidR="00C82F48" w:rsidRDefault="00C82F48">
            <w:pPr>
              <w:spacing w:after="0"/>
              <w:ind w:right="-44"/>
              <w:jc w:val="right"/>
            </w:pPr>
            <w:r>
              <w:rPr>
                <w:rFonts w:ascii="Times New Roman" w:hAnsi="Times New Roman"/>
                <w:sz w:val="20"/>
                <w:szCs w:val="20"/>
              </w:rPr>
              <w:t>3 765,1</w:t>
            </w:r>
          </w:p>
        </w:tc>
        <w:tc>
          <w:tcPr>
            <w:tcW w:w="1153" w:type="dxa"/>
            <w:shd w:val="clear" w:color="auto" w:fill="auto"/>
            <w:vAlign w:val="center"/>
          </w:tcPr>
          <w:p w:rsidR="00C82F48" w:rsidRDefault="00C82F48">
            <w:pPr>
              <w:spacing w:after="0"/>
              <w:jc w:val="right"/>
            </w:pPr>
            <w:r>
              <w:rPr>
                <w:rFonts w:ascii="Times New Roman" w:hAnsi="Times New Roman"/>
                <w:sz w:val="20"/>
                <w:szCs w:val="20"/>
              </w:rPr>
              <w:t>-51,3</w:t>
            </w:r>
          </w:p>
        </w:tc>
        <w:tc>
          <w:tcPr>
            <w:tcW w:w="1563" w:type="dxa"/>
            <w:shd w:val="clear" w:color="auto" w:fill="auto"/>
            <w:vAlign w:val="center"/>
          </w:tcPr>
          <w:p w:rsidR="00C82F48" w:rsidRDefault="00C82F48">
            <w:pPr>
              <w:tabs>
                <w:tab w:val="left" w:pos="465"/>
              </w:tabs>
              <w:snapToGrid w:val="0"/>
              <w:spacing w:after="0"/>
              <w:jc w:val="right"/>
              <w:rPr>
                <w:rFonts w:ascii="Times New Roman" w:hAnsi="Times New Roman"/>
                <w:sz w:val="20"/>
                <w:szCs w:val="20"/>
              </w:rPr>
            </w:pPr>
          </w:p>
        </w:tc>
        <w:tc>
          <w:tcPr>
            <w:tcW w:w="1006" w:type="dxa"/>
            <w:gridSpan w:val="2"/>
            <w:shd w:val="clear" w:color="auto" w:fill="auto"/>
            <w:vAlign w:val="center"/>
          </w:tcPr>
          <w:p w:rsidR="00C82F48" w:rsidRDefault="00C82F48">
            <w:pPr>
              <w:tabs>
                <w:tab w:val="left" w:pos="465"/>
                <w:tab w:val="left" w:pos="793"/>
              </w:tabs>
              <w:spacing w:after="0"/>
              <w:jc w:val="right"/>
            </w:pPr>
            <w:r>
              <w:rPr>
                <w:rFonts w:ascii="Times New Roman" w:hAnsi="Times New Roman"/>
                <w:sz w:val="20"/>
                <w:szCs w:val="20"/>
              </w:rPr>
              <w:t>-67,1</w:t>
            </w:r>
          </w:p>
        </w:tc>
      </w:tr>
      <w:tr w:rsidR="00C82F48">
        <w:trPr>
          <w:trHeight w:val="231"/>
          <w:jc w:val="center"/>
        </w:trPr>
        <w:tc>
          <w:tcPr>
            <w:tcW w:w="3033" w:type="dxa"/>
            <w:shd w:val="clear" w:color="auto" w:fill="auto"/>
            <w:vAlign w:val="center"/>
          </w:tcPr>
          <w:p w:rsidR="00C82F48" w:rsidRDefault="00C82F48">
            <w:pPr>
              <w:tabs>
                <w:tab w:val="left" w:pos="4305"/>
              </w:tabs>
              <w:spacing w:after="0"/>
              <w:jc w:val="both"/>
            </w:pPr>
            <w:r>
              <w:rPr>
                <w:rFonts w:ascii="Times New Roman" w:hAnsi="Times New Roman"/>
                <w:bCs/>
                <w:i/>
                <w:color w:val="171717"/>
                <w:sz w:val="20"/>
                <w:szCs w:val="20"/>
              </w:rPr>
              <w:t>2. Surse externe</w:t>
            </w:r>
          </w:p>
        </w:tc>
        <w:tc>
          <w:tcPr>
            <w:tcW w:w="872" w:type="dxa"/>
            <w:shd w:val="clear" w:color="auto" w:fill="auto"/>
            <w:vAlign w:val="center"/>
          </w:tcPr>
          <w:p w:rsidR="00C82F48" w:rsidRDefault="00C82F48">
            <w:pPr>
              <w:spacing w:after="0"/>
              <w:ind w:left="-108"/>
              <w:jc w:val="right"/>
            </w:pPr>
            <w:r>
              <w:rPr>
                <w:rFonts w:ascii="Times New Roman" w:hAnsi="Times New Roman"/>
                <w:sz w:val="20"/>
                <w:szCs w:val="20"/>
              </w:rPr>
              <w:t>5 084,2</w:t>
            </w:r>
          </w:p>
        </w:tc>
        <w:tc>
          <w:tcPr>
            <w:tcW w:w="1259" w:type="dxa"/>
            <w:shd w:val="clear" w:color="auto" w:fill="auto"/>
            <w:vAlign w:val="center"/>
          </w:tcPr>
          <w:p w:rsidR="00C82F48" w:rsidRDefault="00C82F48">
            <w:pPr>
              <w:spacing w:after="0"/>
              <w:ind w:right="-44"/>
              <w:jc w:val="right"/>
            </w:pPr>
            <w:r>
              <w:rPr>
                <w:rFonts w:ascii="Times New Roman" w:hAnsi="Times New Roman"/>
                <w:sz w:val="20"/>
                <w:szCs w:val="20"/>
              </w:rPr>
              <w:t>5 079,9</w:t>
            </w:r>
          </w:p>
        </w:tc>
        <w:tc>
          <w:tcPr>
            <w:tcW w:w="1153" w:type="dxa"/>
            <w:shd w:val="clear" w:color="auto" w:fill="auto"/>
            <w:vAlign w:val="center"/>
          </w:tcPr>
          <w:p w:rsidR="00C82F48" w:rsidRDefault="00C82F48">
            <w:pPr>
              <w:snapToGrid w:val="0"/>
              <w:spacing w:after="0"/>
              <w:jc w:val="right"/>
              <w:rPr>
                <w:rFonts w:ascii="Times New Roman" w:hAnsi="Times New Roman"/>
                <w:sz w:val="20"/>
                <w:szCs w:val="20"/>
              </w:rPr>
            </w:pPr>
          </w:p>
        </w:tc>
        <w:tc>
          <w:tcPr>
            <w:tcW w:w="1563" w:type="dxa"/>
            <w:shd w:val="clear" w:color="auto" w:fill="auto"/>
            <w:vAlign w:val="center"/>
          </w:tcPr>
          <w:p w:rsidR="00C82F48" w:rsidRDefault="00C82F48">
            <w:pPr>
              <w:snapToGrid w:val="0"/>
              <w:spacing w:after="0"/>
              <w:jc w:val="right"/>
              <w:rPr>
                <w:rFonts w:ascii="Times New Roman" w:hAnsi="Times New Roman"/>
                <w:sz w:val="20"/>
                <w:szCs w:val="20"/>
              </w:rPr>
            </w:pPr>
          </w:p>
        </w:tc>
        <w:tc>
          <w:tcPr>
            <w:tcW w:w="1006" w:type="dxa"/>
            <w:gridSpan w:val="2"/>
            <w:shd w:val="clear" w:color="auto" w:fill="auto"/>
            <w:vAlign w:val="center"/>
          </w:tcPr>
          <w:p w:rsidR="00C82F48" w:rsidRDefault="00C82F48">
            <w:pPr>
              <w:tabs>
                <w:tab w:val="left" w:pos="793"/>
              </w:tabs>
              <w:spacing w:after="0"/>
              <w:jc w:val="right"/>
            </w:pPr>
            <w:r>
              <w:rPr>
                <w:rFonts w:ascii="Times New Roman" w:hAnsi="Times New Roman"/>
                <w:sz w:val="20"/>
                <w:szCs w:val="20"/>
              </w:rPr>
              <w:t>4,3</w:t>
            </w:r>
          </w:p>
        </w:tc>
      </w:tr>
      <w:tr w:rsidR="00C82F48">
        <w:trPr>
          <w:trHeight w:val="883"/>
          <w:jc w:val="center"/>
        </w:trPr>
        <w:tc>
          <w:tcPr>
            <w:tcW w:w="3033" w:type="dxa"/>
            <w:tcBorders>
              <w:bottom w:val="single" w:sz="4" w:space="0" w:color="548DD4"/>
            </w:tcBorders>
            <w:shd w:val="clear" w:color="auto" w:fill="auto"/>
            <w:vAlign w:val="center"/>
          </w:tcPr>
          <w:p w:rsidR="00C82F48" w:rsidRDefault="00C82F48">
            <w:pPr>
              <w:tabs>
                <w:tab w:val="left" w:pos="4305"/>
              </w:tabs>
              <w:spacing w:after="0"/>
              <w:jc w:val="both"/>
            </w:pPr>
            <w:r>
              <w:rPr>
                <w:rFonts w:ascii="Times New Roman" w:hAnsi="Times New Roman"/>
                <w:bCs/>
                <w:i/>
                <w:color w:val="171717"/>
                <w:sz w:val="20"/>
                <w:szCs w:val="20"/>
              </w:rPr>
              <w:t>3. Modificarea soldurilor la conturi</w:t>
            </w:r>
          </w:p>
          <w:p w:rsidR="00C82F48" w:rsidRDefault="00C82F48">
            <w:pPr>
              <w:tabs>
                <w:tab w:val="left" w:pos="4305"/>
              </w:tabs>
              <w:spacing w:after="0"/>
              <w:jc w:val="both"/>
            </w:pPr>
            <w:r>
              <w:rPr>
                <w:rFonts w:ascii="Times New Roman" w:hAnsi="Times New Roman"/>
                <w:bCs/>
                <w:i/>
                <w:color w:val="171717"/>
                <w:sz w:val="20"/>
                <w:szCs w:val="20"/>
              </w:rPr>
              <w:t>(majorarea (-), micșorarea (+))</w:t>
            </w:r>
          </w:p>
        </w:tc>
        <w:tc>
          <w:tcPr>
            <w:tcW w:w="872" w:type="dxa"/>
            <w:tcBorders>
              <w:bottom w:val="single" w:sz="4" w:space="0" w:color="548DD4"/>
            </w:tcBorders>
            <w:shd w:val="clear" w:color="auto" w:fill="auto"/>
            <w:vAlign w:val="center"/>
          </w:tcPr>
          <w:p w:rsidR="00C82F48" w:rsidRDefault="00C82F48">
            <w:pPr>
              <w:spacing w:after="0"/>
              <w:ind w:left="-108"/>
              <w:jc w:val="right"/>
            </w:pPr>
            <w:r>
              <w:rPr>
                <w:rFonts w:ascii="Times New Roman" w:hAnsi="Times New Roman"/>
                <w:sz w:val="20"/>
                <w:szCs w:val="20"/>
              </w:rPr>
              <w:t>-1 567,9</w:t>
            </w:r>
          </w:p>
        </w:tc>
        <w:tc>
          <w:tcPr>
            <w:tcW w:w="1259" w:type="dxa"/>
            <w:tcBorders>
              <w:bottom w:val="single" w:sz="4" w:space="0" w:color="548DD4"/>
            </w:tcBorders>
            <w:shd w:val="clear" w:color="auto" w:fill="auto"/>
            <w:vAlign w:val="center"/>
          </w:tcPr>
          <w:p w:rsidR="00C82F48" w:rsidRDefault="00C82F48">
            <w:pPr>
              <w:spacing w:after="0"/>
              <w:ind w:right="-44"/>
              <w:jc w:val="right"/>
            </w:pPr>
            <w:r>
              <w:rPr>
                <w:rFonts w:ascii="Times New Roman" w:hAnsi="Times New Roman"/>
                <w:sz w:val="20"/>
                <w:szCs w:val="20"/>
              </w:rPr>
              <w:t>-949,1</w:t>
            </w:r>
          </w:p>
        </w:tc>
        <w:tc>
          <w:tcPr>
            <w:tcW w:w="1153" w:type="dxa"/>
            <w:tcBorders>
              <w:bottom w:val="single" w:sz="4" w:space="0" w:color="548DD4"/>
            </w:tcBorders>
            <w:shd w:val="clear" w:color="auto" w:fill="auto"/>
            <w:vAlign w:val="center"/>
          </w:tcPr>
          <w:p w:rsidR="00C82F48" w:rsidRDefault="00C82F48">
            <w:pPr>
              <w:spacing w:after="0"/>
              <w:jc w:val="right"/>
            </w:pPr>
            <w:r>
              <w:rPr>
                <w:rFonts w:ascii="Times New Roman" w:hAnsi="Times New Roman"/>
                <w:sz w:val="20"/>
                <w:szCs w:val="20"/>
              </w:rPr>
              <w:t>-1 021,3</w:t>
            </w:r>
          </w:p>
        </w:tc>
        <w:tc>
          <w:tcPr>
            <w:tcW w:w="1563" w:type="dxa"/>
            <w:tcBorders>
              <w:bottom w:val="single" w:sz="4" w:space="0" w:color="548DD4"/>
            </w:tcBorders>
            <w:shd w:val="clear" w:color="auto" w:fill="auto"/>
            <w:vAlign w:val="center"/>
          </w:tcPr>
          <w:p w:rsidR="00C82F48" w:rsidRDefault="00C82F48">
            <w:pPr>
              <w:spacing w:after="0"/>
              <w:jc w:val="right"/>
            </w:pPr>
            <w:r>
              <w:rPr>
                <w:rFonts w:ascii="Times New Roman" w:hAnsi="Times New Roman"/>
                <w:sz w:val="20"/>
                <w:szCs w:val="20"/>
              </w:rPr>
              <w:t>1 125,6</w:t>
            </w:r>
          </w:p>
        </w:tc>
        <w:tc>
          <w:tcPr>
            <w:tcW w:w="1006" w:type="dxa"/>
            <w:gridSpan w:val="2"/>
            <w:tcBorders>
              <w:bottom w:val="single" w:sz="4" w:space="0" w:color="548DD4"/>
            </w:tcBorders>
            <w:shd w:val="clear" w:color="auto" w:fill="auto"/>
            <w:vAlign w:val="center"/>
          </w:tcPr>
          <w:p w:rsidR="00C82F48" w:rsidRDefault="00C82F48">
            <w:pPr>
              <w:tabs>
                <w:tab w:val="left" w:pos="793"/>
              </w:tabs>
              <w:spacing w:after="0"/>
              <w:jc w:val="right"/>
            </w:pPr>
            <w:r>
              <w:rPr>
                <w:rFonts w:ascii="Times New Roman" w:hAnsi="Times New Roman"/>
                <w:sz w:val="20"/>
                <w:szCs w:val="20"/>
              </w:rPr>
              <w:t>-723,1</w:t>
            </w:r>
          </w:p>
        </w:tc>
      </w:tr>
    </w:tbl>
    <w:p w:rsidR="00C82F48" w:rsidRDefault="00C82F48">
      <w:pPr>
        <w:spacing w:after="0" w:line="276" w:lineRule="auto"/>
        <w:ind w:left="-180" w:firstLine="747"/>
        <w:jc w:val="both"/>
        <w:rPr>
          <w:rFonts w:ascii="Times New Roman" w:hAnsi="Times New Roman"/>
          <w:sz w:val="28"/>
          <w:szCs w:val="28"/>
        </w:rPr>
      </w:pPr>
    </w:p>
    <w:p w:rsidR="00C82F48" w:rsidRDefault="00C82F48">
      <w:pPr>
        <w:spacing w:after="0" w:line="276" w:lineRule="auto"/>
        <w:ind w:firstLine="567"/>
        <w:jc w:val="both"/>
      </w:pPr>
      <w:r>
        <w:rPr>
          <w:rFonts w:ascii="Times New Roman" w:hAnsi="Times New Roman"/>
          <w:sz w:val="28"/>
          <w:szCs w:val="28"/>
        </w:rPr>
        <w:t xml:space="preserve">La situația din 30 iunie 2023, la bugetul public național s-au înregistrat </w:t>
      </w:r>
      <w:r>
        <w:rPr>
          <w:rFonts w:ascii="Times New Roman" w:hAnsi="Times New Roman"/>
          <w:b/>
          <w:i/>
          <w:sz w:val="28"/>
          <w:szCs w:val="28"/>
        </w:rPr>
        <w:t>creanțe cu termen expirat</w:t>
      </w:r>
      <w:r>
        <w:rPr>
          <w:rFonts w:ascii="Times New Roman" w:hAnsi="Times New Roman"/>
          <w:sz w:val="28"/>
          <w:szCs w:val="28"/>
        </w:rPr>
        <w:t xml:space="preserve">  în sumă de 11,4 mil. lei, care comparativ cu 1 ianuarie 2023 s-au micșorat </w:t>
      </w:r>
      <w:r>
        <w:rPr>
          <w:rFonts w:ascii="Times New Roman" w:hAnsi="Times New Roman"/>
          <w:sz w:val="28"/>
          <w:szCs w:val="28"/>
          <w:lang w:val="ro-MD"/>
        </w:rPr>
        <w:t>cu 5,3 mil. lei sau cu 31,7 la sută.</w:t>
      </w:r>
    </w:p>
    <w:p w:rsidR="00C82F48" w:rsidRDefault="00C82F48">
      <w:pPr>
        <w:spacing w:after="0" w:line="276" w:lineRule="auto"/>
        <w:ind w:firstLine="567"/>
        <w:jc w:val="both"/>
      </w:pPr>
      <w:r>
        <w:rPr>
          <w:rFonts w:ascii="Times New Roman" w:hAnsi="Times New Roman"/>
          <w:b/>
          <w:i/>
          <w:sz w:val="28"/>
          <w:szCs w:val="28"/>
        </w:rPr>
        <w:t>Datoriile cu termen de achitare expirat</w:t>
      </w:r>
      <w:r>
        <w:rPr>
          <w:rFonts w:ascii="Times New Roman" w:hAnsi="Times New Roman"/>
          <w:sz w:val="28"/>
          <w:szCs w:val="28"/>
        </w:rPr>
        <w:t xml:space="preserve"> (arierate) ale bugetului public național la situația din 30 iunie </w:t>
      </w:r>
      <w:r>
        <w:rPr>
          <w:rFonts w:ascii="Times New Roman" w:hAnsi="Times New Roman"/>
          <w:sz w:val="28"/>
          <w:szCs w:val="28"/>
          <w:lang w:val="ro-MD"/>
        </w:rPr>
        <w:t>2023 au constituit 51,3 mil. lei. În comparație cu  1 ianuarie 2023, acestea s-au majorat cu 40,1 mil. lei sau de circa 4,6 ori.</w:t>
      </w:r>
      <w:r>
        <w:rPr>
          <w:rFonts w:ascii="Times New Roman" w:hAnsi="Times New Roman"/>
          <w:sz w:val="28"/>
          <w:szCs w:val="28"/>
        </w:rPr>
        <w:t xml:space="preserve"> </w:t>
      </w:r>
    </w:p>
    <w:p w:rsidR="00C82F48" w:rsidRDefault="00C82F48">
      <w:pPr>
        <w:spacing w:after="0" w:line="276" w:lineRule="auto"/>
        <w:ind w:firstLine="567"/>
        <w:jc w:val="both"/>
      </w:pPr>
      <w:r>
        <w:rPr>
          <w:rFonts w:ascii="Times New Roman" w:hAnsi="Times New Roman"/>
          <w:sz w:val="28"/>
          <w:szCs w:val="28"/>
        </w:rPr>
        <w:t xml:space="preserve">La situația din 30 iunie 2023, </w:t>
      </w:r>
      <w:r>
        <w:rPr>
          <w:rFonts w:ascii="Times New Roman" w:hAnsi="Times New Roman"/>
          <w:b/>
          <w:i/>
          <w:sz w:val="28"/>
          <w:szCs w:val="28"/>
        </w:rPr>
        <w:t>soldurile mijloacelor bănești</w:t>
      </w:r>
      <w:r>
        <w:rPr>
          <w:rFonts w:ascii="Times New Roman" w:hAnsi="Times New Roman"/>
          <w:i/>
          <w:sz w:val="28"/>
          <w:szCs w:val="28"/>
        </w:rPr>
        <w:t xml:space="preserve"> </w:t>
      </w:r>
      <w:r>
        <w:rPr>
          <w:rFonts w:ascii="Times New Roman" w:hAnsi="Times New Roman"/>
          <w:sz w:val="28"/>
          <w:szCs w:val="28"/>
        </w:rPr>
        <w:t>în conturile bugetelor componente ale bugetului public național au constituit 7 887,8 mil.lei, dintre care 1 229,6</w:t>
      </w:r>
      <w:r>
        <w:rPr>
          <w:rFonts w:ascii="Times New Roman" w:hAnsi="Times New Roman"/>
          <w:sz w:val="28"/>
          <w:szCs w:val="28"/>
          <w:lang w:val="ro-MD"/>
        </w:rPr>
        <w:t xml:space="preserve"> mil.lei sunt înregistrate la proiectele finanțate din surse externe</w:t>
      </w:r>
      <w:r>
        <w:rPr>
          <w:rFonts w:ascii="Times New Roman" w:hAnsi="Times New Roman"/>
          <w:sz w:val="28"/>
          <w:szCs w:val="28"/>
        </w:rPr>
        <w:t xml:space="preserve">. </w:t>
      </w:r>
    </w:p>
    <w:p w:rsidR="00C82F48" w:rsidRPr="00AC67EE" w:rsidRDefault="00C82F48">
      <w:pPr>
        <w:pStyle w:val="Heading1"/>
        <w:spacing w:line="276" w:lineRule="auto"/>
      </w:pPr>
      <w:bookmarkStart w:id="8" w:name="__RefHeading___Toc144793156"/>
      <w:bookmarkEnd w:id="8"/>
      <w:r w:rsidRPr="00AC67EE">
        <w:rPr>
          <w:rStyle w:val="FontStyle28"/>
          <w:color w:val="171717"/>
          <w:sz w:val="32"/>
          <w:szCs w:val="32"/>
        </w:rPr>
        <w:t>Executarea bugetului de stat în semestrul I al anului 2023</w:t>
      </w:r>
    </w:p>
    <w:p w:rsidR="00C82F48" w:rsidRDefault="00C82F48"/>
    <w:p w:rsidR="00C82F48" w:rsidRDefault="00C82F48">
      <w:pPr>
        <w:pStyle w:val="Heading1"/>
        <w:tabs>
          <w:tab w:val="left" w:pos="567"/>
        </w:tabs>
        <w:spacing w:before="0" w:line="276" w:lineRule="auto"/>
        <w:jc w:val="both"/>
      </w:pPr>
      <w:r>
        <w:rPr>
          <w:rFonts w:ascii="Calibri" w:hAnsi="Calibri" w:cs="Calibri"/>
          <w:b w:val="0"/>
          <w:bCs w:val="0"/>
          <w:color w:val="000000"/>
          <w:sz w:val="24"/>
          <w:szCs w:val="24"/>
        </w:rPr>
        <w:tab/>
      </w:r>
      <w:r>
        <w:rPr>
          <w:rFonts w:ascii="Times New Roman" w:hAnsi="Times New Roman"/>
          <w:b w:val="0"/>
          <w:bCs w:val="0"/>
          <w:color w:val="000000"/>
        </w:rPr>
        <w:t xml:space="preserve">La situația din 30 iunie 2023, parametrii bugetului de stat au constituit, la partea de la </w:t>
      </w:r>
      <w:r>
        <w:rPr>
          <w:rFonts w:ascii="Times New Roman" w:hAnsi="Times New Roman"/>
          <w:bCs w:val="0"/>
          <w:i/>
          <w:color w:val="000000"/>
        </w:rPr>
        <w:t>venituri</w:t>
      </w:r>
      <w:r>
        <w:rPr>
          <w:rFonts w:ascii="Times New Roman" w:hAnsi="Times New Roman"/>
          <w:b w:val="0"/>
          <w:bCs w:val="0"/>
          <w:color w:val="000000"/>
        </w:rPr>
        <w:t xml:space="preserve"> – </w:t>
      </w:r>
      <w:r>
        <w:rPr>
          <w:rFonts w:ascii="Times New Roman" w:hAnsi="Times New Roman"/>
          <w:bCs w:val="0"/>
          <w:i/>
          <w:color w:val="000000"/>
        </w:rPr>
        <w:t>28 901,5 mil.lei</w:t>
      </w:r>
      <w:r>
        <w:rPr>
          <w:rFonts w:ascii="Times New Roman" w:hAnsi="Times New Roman"/>
          <w:b w:val="0"/>
          <w:bCs w:val="0"/>
          <w:color w:val="000000"/>
        </w:rPr>
        <w:t xml:space="preserve">, la partea de </w:t>
      </w:r>
      <w:r>
        <w:rPr>
          <w:rFonts w:ascii="Times New Roman" w:hAnsi="Times New Roman"/>
          <w:bCs w:val="0"/>
          <w:i/>
          <w:color w:val="000000"/>
        </w:rPr>
        <w:t>cheltuieli</w:t>
      </w:r>
      <w:r>
        <w:rPr>
          <w:rFonts w:ascii="Times New Roman" w:hAnsi="Times New Roman"/>
          <w:b w:val="0"/>
          <w:bCs w:val="0"/>
          <w:color w:val="000000"/>
        </w:rPr>
        <w:t xml:space="preserve"> – </w:t>
      </w:r>
      <w:r>
        <w:rPr>
          <w:rFonts w:ascii="Times New Roman" w:hAnsi="Times New Roman"/>
          <w:bCs w:val="0"/>
          <w:i/>
          <w:color w:val="000000"/>
        </w:rPr>
        <w:t>36 797,4 mil.lei</w:t>
      </w:r>
      <w:r>
        <w:rPr>
          <w:rFonts w:ascii="Times New Roman" w:hAnsi="Times New Roman"/>
          <w:b w:val="0"/>
          <w:bCs w:val="0"/>
          <w:color w:val="000000"/>
        </w:rPr>
        <w:t xml:space="preserve"> și </w:t>
      </w:r>
      <w:r>
        <w:rPr>
          <w:rFonts w:ascii="Times New Roman" w:hAnsi="Times New Roman"/>
          <w:bCs w:val="0"/>
          <w:i/>
          <w:color w:val="000000"/>
        </w:rPr>
        <w:t>soldul bugetar (deficit)</w:t>
      </w:r>
      <w:r>
        <w:rPr>
          <w:rFonts w:ascii="Times New Roman" w:hAnsi="Times New Roman"/>
          <w:b w:val="0"/>
          <w:bCs w:val="0"/>
          <w:color w:val="000000"/>
        </w:rPr>
        <w:t xml:space="preserve"> - </w:t>
      </w:r>
      <w:r>
        <w:rPr>
          <w:rFonts w:ascii="Times New Roman" w:hAnsi="Times New Roman"/>
          <w:bCs w:val="0"/>
          <w:i/>
          <w:color w:val="000000"/>
        </w:rPr>
        <w:t>7 895,9</w:t>
      </w:r>
      <w:r>
        <w:rPr>
          <w:rFonts w:ascii="Times New Roman" w:hAnsi="Times New Roman"/>
          <w:b w:val="0"/>
          <w:bCs w:val="0"/>
          <w:color w:val="000000"/>
        </w:rPr>
        <w:t xml:space="preserve"> </w:t>
      </w:r>
      <w:r>
        <w:rPr>
          <w:rFonts w:ascii="Times New Roman" w:hAnsi="Times New Roman"/>
          <w:bCs w:val="0"/>
          <w:i/>
          <w:color w:val="000000"/>
        </w:rPr>
        <w:t>mil.lei</w:t>
      </w:r>
      <w:r>
        <w:rPr>
          <w:rFonts w:ascii="Times New Roman" w:hAnsi="Times New Roman"/>
          <w:b w:val="0"/>
          <w:bCs w:val="0"/>
          <w:color w:val="000000"/>
        </w:rPr>
        <w:t>.</w:t>
      </w:r>
    </w:p>
    <w:p w:rsidR="00C82F48" w:rsidRDefault="00C82F48">
      <w:pPr>
        <w:pStyle w:val="Heading1"/>
        <w:tabs>
          <w:tab w:val="left" w:pos="567"/>
        </w:tabs>
        <w:spacing w:before="0" w:line="276" w:lineRule="auto"/>
        <w:jc w:val="both"/>
      </w:pPr>
      <w:r>
        <w:rPr>
          <w:rFonts w:ascii="Times New Roman" w:hAnsi="Times New Roman"/>
        </w:rPr>
        <w:t xml:space="preserve"> </w:t>
      </w:r>
      <w:r>
        <w:rPr>
          <w:rFonts w:ascii="Times New Roman" w:hAnsi="Times New Roman"/>
        </w:rPr>
        <w:tab/>
      </w:r>
      <w:r>
        <w:rPr>
          <w:rFonts w:ascii="Times New Roman" w:hAnsi="Times New Roman"/>
          <w:b w:val="0"/>
          <w:bCs w:val="0"/>
          <w:color w:val="000000"/>
        </w:rPr>
        <w:t>Executarea indicatorilor principali ai bugetului de stat în semestrul I al anului 2023 se prezintă în tabelul următor.</w:t>
      </w:r>
      <w:r>
        <w:rPr>
          <w:rFonts w:ascii="Times New Roman" w:hAnsi="Times New Roman"/>
        </w:rPr>
        <w:tab/>
      </w:r>
    </w:p>
    <w:p w:rsidR="00C82F48" w:rsidRDefault="00C82F48">
      <w:pPr>
        <w:pStyle w:val="Heading1"/>
        <w:tabs>
          <w:tab w:val="left" w:pos="567"/>
        </w:tabs>
        <w:spacing w:before="0" w:line="276" w:lineRule="auto"/>
        <w:jc w:val="both"/>
      </w:pPr>
      <w:r>
        <w:rPr>
          <w:rFonts w:ascii="Calibri" w:hAnsi="Calibri" w:cs="Calibri"/>
          <w:color w:val="000000"/>
          <w:sz w:val="24"/>
          <w:szCs w:val="24"/>
          <w:lang w:val="ro-MD"/>
        </w:rPr>
        <w:tab/>
        <w:t xml:space="preserve">                                                                                                                                  </w:t>
      </w:r>
      <w:r>
        <w:rPr>
          <w:rFonts w:ascii="Calibri" w:hAnsi="Calibri" w:cs="Calibri"/>
          <w:i/>
          <w:color w:val="000000"/>
          <w:sz w:val="24"/>
          <w:szCs w:val="24"/>
          <w:lang w:val="ro-MD" w:eastAsia="ru-RU"/>
        </w:rPr>
        <w:t>mil. lei</w:t>
      </w:r>
      <w:r>
        <w:rPr>
          <w:rFonts w:ascii="Calibri" w:hAnsi="Calibri" w:cs="Calibri"/>
          <w:color w:val="000000"/>
          <w:sz w:val="24"/>
          <w:szCs w:val="24"/>
          <w:lang w:val="ro-MD"/>
        </w:rPr>
        <w:t xml:space="preserve"> </w:t>
      </w:r>
    </w:p>
    <w:tbl>
      <w:tblPr>
        <w:tblW w:w="4950" w:type="pct"/>
        <w:tblLayout w:type="fixed"/>
        <w:tblLook w:val="0000" w:firstRow="0" w:lastRow="0" w:firstColumn="0" w:lastColumn="0" w:noHBand="0" w:noVBand="0"/>
      </w:tblPr>
      <w:tblGrid>
        <w:gridCol w:w="3684"/>
        <w:gridCol w:w="1841"/>
        <w:gridCol w:w="1840"/>
        <w:gridCol w:w="1886"/>
      </w:tblGrid>
      <w:tr w:rsidR="00C82F48">
        <w:trPr>
          <w:trHeight w:val="331"/>
        </w:trPr>
        <w:tc>
          <w:tcPr>
            <w:tcW w:w="36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2F48" w:rsidRDefault="00C82F48">
            <w:pPr>
              <w:spacing w:after="0" w:line="240" w:lineRule="auto"/>
              <w:contextualSpacing/>
              <w:jc w:val="center"/>
            </w:pPr>
            <w:r>
              <w:rPr>
                <w:rFonts w:ascii="Times New Roman" w:hAnsi="Times New Roman"/>
                <w:lang w:val="ro-MD"/>
              </w:rPr>
              <w:tab/>
            </w:r>
            <w:r>
              <w:rPr>
                <w:rFonts w:ascii="Times New Roman" w:hAnsi="Times New Roman"/>
                <w:lang w:val="ro-MD"/>
              </w:rPr>
              <w:tab/>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2F48" w:rsidRDefault="00C82F48">
            <w:pPr>
              <w:spacing w:after="0" w:line="240" w:lineRule="auto"/>
              <w:contextualSpacing/>
              <w:jc w:val="center"/>
            </w:pPr>
            <w:r>
              <w:rPr>
                <w:rFonts w:ascii="Times New Roman" w:hAnsi="Times New Roman"/>
                <w:b/>
                <w:sz w:val="24"/>
                <w:szCs w:val="24"/>
                <w:lang w:val="ro-MD"/>
              </w:rPr>
              <w:t>Modificat</w:t>
            </w:r>
          </w:p>
        </w:tc>
        <w:tc>
          <w:tcPr>
            <w:tcW w:w="1842" w:type="dxa"/>
            <w:tcBorders>
              <w:top w:val="single" w:sz="4" w:space="0" w:color="000000"/>
              <w:left w:val="none" w:sz="0" w:space="0" w:color="000000"/>
              <w:bottom w:val="single" w:sz="4" w:space="0" w:color="000000"/>
              <w:right w:val="single" w:sz="4" w:space="0" w:color="000000"/>
            </w:tcBorders>
            <w:shd w:val="clear" w:color="auto" w:fill="FFFFFF"/>
            <w:vAlign w:val="center"/>
          </w:tcPr>
          <w:p w:rsidR="00C82F48" w:rsidRDefault="00C82F48">
            <w:pPr>
              <w:spacing w:after="0"/>
              <w:contextualSpacing/>
              <w:jc w:val="center"/>
            </w:pPr>
            <w:r>
              <w:rPr>
                <w:rFonts w:ascii="Times New Roman" w:hAnsi="Times New Roman"/>
                <w:b/>
                <w:sz w:val="24"/>
                <w:szCs w:val="24"/>
                <w:lang w:val="ro-MD"/>
              </w:rPr>
              <w:t>Executat la 30.06.2023</w:t>
            </w:r>
          </w:p>
        </w:tc>
        <w:tc>
          <w:tcPr>
            <w:tcW w:w="1888" w:type="dxa"/>
            <w:tcBorders>
              <w:top w:val="single" w:sz="4" w:space="0" w:color="000000"/>
              <w:left w:val="none" w:sz="0" w:space="0" w:color="000000"/>
              <w:bottom w:val="single" w:sz="4" w:space="0" w:color="000000"/>
              <w:right w:val="single" w:sz="4" w:space="0" w:color="000000"/>
            </w:tcBorders>
            <w:shd w:val="clear" w:color="auto" w:fill="FFFFFF"/>
            <w:vAlign w:val="center"/>
          </w:tcPr>
          <w:p w:rsidR="00C82F48" w:rsidRDefault="00C82F48">
            <w:pPr>
              <w:spacing w:after="0"/>
              <w:contextualSpacing/>
              <w:jc w:val="center"/>
            </w:pPr>
            <w:r>
              <w:rPr>
                <w:rFonts w:ascii="Times New Roman" w:hAnsi="Times New Roman"/>
                <w:b/>
                <w:sz w:val="24"/>
                <w:szCs w:val="24"/>
                <w:lang w:val="ro-MD"/>
              </w:rPr>
              <w:t>% executării</w:t>
            </w:r>
          </w:p>
        </w:tc>
      </w:tr>
      <w:tr w:rsidR="00C82F48">
        <w:trPr>
          <w:trHeight w:val="344"/>
        </w:trPr>
        <w:tc>
          <w:tcPr>
            <w:tcW w:w="3687"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Default="00C82F48">
            <w:pPr>
              <w:spacing w:after="0" w:line="240" w:lineRule="auto"/>
              <w:contextualSpacing/>
            </w:pPr>
            <w:r>
              <w:rPr>
                <w:rFonts w:ascii="Times New Roman" w:hAnsi="Times New Roman"/>
                <w:color w:val="000000"/>
                <w:sz w:val="24"/>
                <w:szCs w:val="24"/>
                <w:lang w:val="ro-MD" w:eastAsia="en-GB"/>
              </w:rPr>
              <w:t>Venituri</w:t>
            </w:r>
          </w:p>
        </w:tc>
        <w:tc>
          <w:tcPr>
            <w:tcW w:w="1843"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Default="00C82F48">
            <w:pPr>
              <w:spacing w:after="0"/>
              <w:contextualSpacing/>
              <w:jc w:val="right"/>
            </w:pPr>
            <w:r>
              <w:rPr>
                <w:rFonts w:ascii="Times New Roman" w:hAnsi="Times New Roman"/>
                <w:sz w:val="24"/>
                <w:szCs w:val="24"/>
                <w:lang w:val="ro-MD"/>
              </w:rPr>
              <w:t>66 274,6</w:t>
            </w:r>
          </w:p>
        </w:tc>
        <w:tc>
          <w:tcPr>
            <w:tcW w:w="1842"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Default="00C82F48">
            <w:pPr>
              <w:spacing w:after="0"/>
              <w:contextualSpacing/>
              <w:jc w:val="right"/>
            </w:pPr>
            <w:r>
              <w:rPr>
                <w:rFonts w:ascii="Times New Roman" w:hAnsi="Times New Roman"/>
                <w:sz w:val="24"/>
                <w:szCs w:val="24"/>
                <w:lang w:val="ro-MD"/>
              </w:rPr>
              <w:t>28 901,5</w:t>
            </w:r>
          </w:p>
        </w:tc>
        <w:tc>
          <w:tcPr>
            <w:tcW w:w="1888"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Default="00C82F48">
            <w:pPr>
              <w:spacing w:after="0"/>
              <w:contextualSpacing/>
              <w:jc w:val="right"/>
            </w:pPr>
            <w:r>
              <w:rPr>
                <w:rFonts w:ascii="Times New Roman" w:hAnsi="Times New Roman"/>
                <w:sz w:val="24"/>
                <w:szCs w:val="24"/>
                <w:lang w:val="ro-MD"/>
              </w:rPr>
              <w:t>43,6%</w:t>
            </w:r>
          </w:p>
        </w:tc>
      </w:tr>
      <w:tr w:rsidR="00C82F48">
        <w:trPr>
          <w:trHeight w:val="360"/>
        </w:trPr>
        <w:tc>
          <w:tcPr>
            <w:tcW w:w="3687"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Default="00C82F48">
            <w:pPr>
              <w:spacing w:after="0" w:line="240" w:lineRule="auto"/>
              <w:contextualSpacing/>
            </w:pPr>
            <w:r>
              <w:rPr>
                <w:rFonts w:ascii="Times New Roman" w:hAnsi="Times New Roman"/>
                <w:color w:val="000000"/>
                <w:sz w:val="24"/>
                <w:szCs w:val="24"/>
                <w:lang w:val="ro-MD" w:eastAsia="en-GB"/>
              </w:rPr>
              <w:t>Cheltuieli</w:t>
            </w:r>
          </w:p>
        </w:tc>
        <w:tc>
          <w:tcPr>
            <w:tcW w:w="1843"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Default="00C82F48">
            <w:pPr>
              <w:spacing w:after="0"/>
              <w:contextualSpacing/>
              <w:jc w:val="right"/>
            </w:pPr>
            <w:r>
              <w:rPr>
                <w:rFonts w:ascii="Times New Roman" w:hAnsi="Times New Roman"/>
                <w:sz w:val="24"/>
                <w:szCs w:val="24"/>
                <w:lang w:val="ro-MD"/>
              </w:rPr>
              <w:t>84 601,9</w:t>
            </w:r>
          </w:p>
        </w:tc>
        <w:tc>
          <w:tcPr>
            <w:tcW w:w="1842"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Default="00C82F48">
            <w:pPr>
              <w:spacing w:after="0"/>
              <w:contextualSpacing/>
              <w:jc w:val="right"/>
            </w:pPr>
            <w:r>
              <w:rPr>
                <w:rFonts w:ascii="Times New Roman" w:hAnsi="Times New Roman"/>
                <w:sz w:val="24"/>
                <w:szCs w:val="24"/>
                <w:lang w:val="ro-MD"/>
              </w:rPr>
              <w:t>36 797,4</w:t>
            </w:r>
          </w:p>
        </w:tc>
        <w:tc>
          <w:tcPr>
            <w:tcW w:w="1888"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Default="00C82F48">
            <w:pPr>
              <w:spacing w:after="0"/>
              <w:contextualSpacing/>
              <w:jc w:val="right"/>
            </w:pPr>
            <w:r>
              <w:rPr>
                <w:rFonts w:ascii="Times New Roman" w:hAnsi="Times New Roman"/>
                <w:sz w:val="24"/>
                <w:szCs w:val="24"/>
                <w:lang w:val="ro-MD"/>
              </w:rPr>
              <w:t>43,5%</w:t>
            </w:r>
          </w:p>
        </w:tc>
      </w:tr>
      <w:tr w:rsidR="00C82F48">
        <w:trPr>
          <w:trHeight w:val="389"/>
        </w:trPr>
        <w:tc>
          <w:tcPr>
            <w:tcW w:w="3687"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Default="00C82F48">
            <w:pPr>
              <w:spacing w:after="0" w:line="240" w:lineRule="auto"/>
              <w:contextualSpacing/>
            </w:pPr>
            <w:r>
              <w:rPr>
                <w:rFonts w:ascii="Times New Roman" w:hAnsi="Times New Roman"/>
                <w:color w:val="000000"/>
                <w:sz w:val="24"/>
                <w:szCs w:val="24"/>
                <w:lang w:val="ro-MD" w:eastAsia="en-GB"/>
              </w:rPr>
              <w:t xml:space="preserve">Sold bugetar (deficit) </w:t>
            </w:r>
          </w:p>
        </w:tc>
        <w:tc>
          <w:tcPr>
            <w:tcW w:w="1843"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Default="00C82F48">
            <w:pPr>
              <w:spacing w:after="0"/>
              <w:contextualSpacing/>
              <w:jc w:val="right"/>
            </w:pPr>
            <w:r>
              <w:rPr>
                <w:rFonts w:ascii="Times New Roman" w:hAnsi="Times New Roman"/>
                <w:sz w:val="24"/>
                <w:szCs w:val="24"/>
                <w:lang w:val="ro-MD"/>
              </w:rPr>
              <w:t>-18 327,3</w:t>
            </w:r>
          </w:p>
        </w:tc>
        <w:tc>
          <w:tcPr>
            <w:tcW w:w="1842"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Default="00C82F48">
            <w:pPr>
              <w:spacing w:after="0"/>
              <w:contextualSpacing/>
              <w:jc w:val="right"/>
            </w:pPr>
            <w:r>
              <w:rPr>
                <w:rFonts w:ascii="Times New Roman" w:hAnsi="Times New Roman"/>
                <w:sz w:val="24"/>
                <w:szCs w:val="24"/>
                <w:lang w:val="ro-MD"/>
              </w:rPr>
              <w:t>-7 895,9</w:t>
            </w:r>
          </w:p>
        </w:tc>
        <w:tc>
          <w:tcPr>
            <w:tcW w:w="1888"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Default="00C82F48">
            <w:pPr>
              <w:spacing w:after="0"/>
              <w:contextualSpacing/>
              <w:jc w:val="right"/>
            </w:pPr>
            <w:r>
              <w:rPr>
                <w:rFonts w:ascii="Times New Roman" w:hAnsi="Times New Roman"/>
                <w:sz w:val="24"/>
                <w:szCs w:val="24"/>
                <w:lang w:val="ro-MD"/>
              </w:rPr>
              <w:t>43,1%</w:t>
            </w:r>
          </w:p>
        </w:tc>
      </w:tr>
    </w:tbl>
    <w:p w:rsidR="00C82F48" w:rsidRDefault="00C82F48">
      <w:pPr>
        <w:pStyle w:val="12"/>
        <w:tabs>
          <w:tab w:val="left" w:pos="4820"/>
          <w:tab w:val="left" w:pos="5103"/>
        </w:tabs>
        <w:spacing w:after="0" w:line="276" w:lineRule="auto"/>
        <w:ind w:left="0" w:firstLine="567"/>
        <w:jc w:val="both"/>
        <w:rPr>
          <w:rFonts w:ascii="Times New Roman" w:hAnsi="Times New Roman"/>
          <w:sz w:val="28"/>
          <w:szCs w:val="28"/>
          <w:lang w:val="ro-MD"/>
        </w:rPr>
      </w:pPr>
    </w:p>
    <w:p w:rsidR="00C82F48" w:rsidRDefault="00C82F48">
      <w:pPr>
        <w:pStyle w:val="12"/>
        <w:tabs>
          <w:tab w:val="left" w:pos="4820"/>
          <w:tab w:val="left" w:pos="5103"/>
        </w:tabs>
        <w:spacing w:after="0" w:line="276" w:lineRule="auto"/>
        <w:ind w:left="0" w:firstLine="567"/>
        <w:jc w:val="both"/>
      </w:pPr>
      <w:r>
        <w:rPr>
          <w:rFonts w:ascii="Times New Roman" w:hAnsi="Times New Roman"/>
          <w:sz w:val="28"/>
          <w:szCs w:val="28"/>
          <w:lang w:val="ro-MD"/>
        </w:rPr>
        <w:lastRenderedPageBreak/>
        <w:t>În semestru I al anului 2023,</w:t>
      </w:r>
      <w:r>
        <w:rPr>
          <w:rFonts w:ascii="Times New Roman" w:hAnsi="Times New Roman"/>
          <w:b/>
          <w:i/>
          <w:sz w:val="28"/>
          <w:szCs w:val="28"/>
          <w:lang w:val="ro-MD"/>
        </w:rPr>
        <w:t xml:space="preserve"> veniturile totale ale bugetului de stat</w:t>
      </w:r>
      <w:r>
        <w:rPr>
          <w:rFonts w:ascii="Times New Roman" w:hAnsi="Times New Roman"/>
          <w:sz w:val="28"/>
          <w:szCs w:val="28"/>
          <w:lang w:val="ro-MD"/>
        </w:rPr>
        <w:t xml:space="preserve"> au constituit 28 901,5 mil. lei, inclusiv:</w:t>
      </w:r>
    </w:p>
    <w:p w:rsidR="00C82F48" w:rsidRDefault="00C82F48">
      <w:pPr>
        <w:pStyle w:val="12"/>
        <w:numPr>
          <w:ilvl w:val="0"/>
          <w:numId w:val="5"/>
        </w:numPr>
        <w:tabs>
          <w:tab w:val="left" w:pos="567"/>
          <w:tab w:val="left" w:pos="851"/>
          <w:tab w:val="left" w:pos="4820"/>
          <w:tab w:val="left" w:pos="5103"/>
        </w:tabs>
        <w:spacing w:after="0" w:line="276" w:lineRule="auto"/>
        <w:ind w:hanging="503"/>
        <w:contextualSpacing/>
        <w:jc w:val="both"/>
      </w:pPr>
      <w:r>
        <w:rPr>
          <w:rFonts w:ascii="Times New Roman" w:hAnsi="Times New Roman"/>
          <w:sz w:val="28"/>
          <w:szCs w:val="28"/>
          <w:lang w:val="ro-MD"/>
        </w:rPr>
        <w:t xml:space="preserve"> veniturile generale și colectate – 28 595,6 mil. lei,  </w:t>
      </w:r>
    </w:p>
    <w:p w:rsidR="00C82F48" w:rsidRDefault="00C82F48">
      <w:pPr>
        <w:pStyle w:val="12"/>
        <w:numPr>
          <w:ilvl w:val="0"/>
          <w:numId w:val="5"/>
        </w:numPr>
        <w:tabs>
          <w:tab w:val="left" w:pos="567"/>
          <w:tab w:val="left" w:pos="851"/>
          <w:tab w:val="left" w:pos="4820"/>
          <w:tab w:val="left" w:pos="5103"/>
        </w:tabs>
        <w:spacing w:after="0" w:line="276" w:lineRule="auto"/>
        <w:ind w:hanging="503"/>
        <w:jc w:val="both"/>
      </w:pPr>
      <w:r>
        <w:rPr>
          <w:rFonts w:ascii="Times New Roman" w:hAnsi="Times New Roman"/>
          <w:sz w:val="28"/>
          <w:szCs w:val="28"/>
          <w:lang w:val="ro-MD"/>
        </w:rPr>
        <w:t xml:space="preserve"> veniturile proiectelor finanțate din surse externe – 305,9 mil. lei.</w:t>
      </w:r>
    </w:p>
    <w:p w:rsidR="00C82F48" w:rsidRDefault="00C82F48">
      <w:pPr>
        <w:spacing w:after="120" w:line="276" w:lineRule="auto"/>
        <w:ind w:firstLine="567"/>
        <w:contextualSpacing/>
        <w:jc w:val="both"/>
      </w:pPr>
      <w:r>
        <w:rPr>
          <w:rFonts w:ascii="Times New Roman" w:hAnsi="Times New Roman"/>
          <w:sz w:val="28"/>
          <w:szCs w:val="28"/>
          <w:lang w:val="ro-MD"/>
        </w:rPr>
        <w:t>Față de prevederile anuale, veniturile bugetului de stat în perioada vizată au înregistrat un grad de realizare de 43,6%, inclusiv la proiectele finanțate din surse externe – 23,8%. Comparativ cu perioada similară a anului precedent încasările date s-au majorat cu 9,4%, iar veniturile proiectelor finanțate din surse externe s-au cu 89,2 la sută.</w:t>
      </w:r>
    </w:p>
    <w:p w:rsidR="00C82F48" w:rsidRDefault="00C82F48">
      <w:pPr>
        <w:spacing w:after="120" w:line="276" w:lineRule="auto"/>
        <w:ind w:firstLine="567"/>
        <w:contextualSpacing/>
        <w:jc w:val="both"/>
      </w:pPr>
      <w:r>
        <w:rPr>
          <w:rFonts w:ascii="Times New Roman" w:hAnsi="Times New Roman"/>
          <w:sz w:val="28"/>
          <w:szCs w:val="28"/>
          <w:lang w:val="ro-MD"/>
        </w:rPr>
        <w:t>Din suma totală a veniturilor bugetului de stat, ponderea cea mai mare le revine impozitelor și taxelor – 92,8% sau 26 809,3 mil. lei, altor venituri – 4,7%                                                                                                                                                                                                                                                                                                                                                                                                                                                                                                                                                                                                                                                                                                                                                                                                                                                                                                                                                                                                                                                                                                                                                                                                                                                                                                                                                                                                                                                                                                                                                                                                                                                                                                                                                                                                                                                                                                                                                                                                                                                                                                                                                                                                                                                                                                                                                                                                                                                    (1 351,8 mil. lei) și granturilor – 2,5% (728,0 mil. lei).</w:t>
      </w:r>
    </w:p>
    <w:p w:rsidR="00C82F48" w:rsidRDefault="00C82F48">
      <w:pPr>
        <w:spacing w:after="120" w:line="276" w:lineRule="auto"/>
        <w:ind w:firstLine="567"/>
        <w:contextualSpacing/>
        <w:jc w:val="both"/>
      </w:pPr>
      <w:r>
        <w:rPr>
          <w:rFonts w:ascii="Times New Roman" w:hAnsi="Times New Roman"/>
          <w:sz w:val="28"/>
          <w:szCs w:val="28"/>
          <w:lang w:val="ro-MD"/>
        </w:rPr>
        <w:t xml:space="preserve">Comparativ cu semestrul I al anului 2022, s-au majorat: încasările de la impozite și taxe cu 2 190,0 mil. lei sau cu 8,9%, granturile cu 593,1 mil. lei sau de 5,4 ori, transferurile de la alte bugete – cu 11,9 mil.lei, iar încasările din alte venituri s-au micșorat cu 194,4 mil.lei. </w:t>
      </w:r>
    </w:p>
    <w:p w:rsidR="00C82F48" w:rsidRDefault="00C82F48">
      <w:pPr>
        <w:spacing w:after="120" w:line="276" w:lineRule="auto"/>
        <w:ind w:firstLine="567"/>
        <w:contextualSpacing/>
        <w:jc w:val="both"/>
      </w:pPr>
      <w:r>
        <w:rPr>
          <w:rFonts w:ascii="Times New Roman" w:hAnsi="Times New Roman"/>
          <w:sz w:val="28"/>
          <w:szCs w:val="28"/>
          <w:lang w:val="ro-MD"/>
        </w:rPr>
        <w:t>Diagrama 4 prezintă evoluția principalelor tipuri de venituri ale bugetului de stat comparativ cu perioada similară a anului precedent.</w:t>
      </w:r>
    </w:p>
    <w:p w:rsidR="00C82F48" w:rsidRDefault="00C82F48">
      <w:pPr>
        <w:pStyle w:val="Heading2"/>
        <w:spacing w:before="0"/>
        <w:jc w:val="center"/>
        <w:rPr>
          <w:rFonts w:ascii="Times New Roman" w:hAnsi="Times New Roman"/>
          <w:i/>
          <w:color w:val="323E4F"/>
          <w:sz w:val="28"/>
          <w:szCs w:val="24"/>
          <w:lang w:val="ro-MD"/>
        </w:rPr>
      </w:pPr>
    </w:p>
    <w:p w:rsidR="00C82F48" w:rsidRDefault="00C82F48">
      <w:pPr>
        <w:pStyle w:val="Heading2"/>
        <w:spacing w:before="0"/>
        <w:jc w:val="center"/>
      </w:pPr>
      <w:r>
        <w:rPr>
          <w:rFonts w:ascii="Times New Roman" w:hAnsi="Times New Roman"/>
          <w:i/>
          <w:color w:val="323E4F"/>
          <w:sz w:val="28"/>
          <w:szCs w:val="24"/>
        </w:rPr>
        <w:t>Diagrama 4. Evoluția principalelor tipuri de venituri ale bugetului de stat</w:t>
      </w:r>
    </w:p>
    <w:p w:rsidR="00C82F48" w:rsidRDefault="00C82F48">
      <w:pPr>
        <w:pStyle w:val="Heading2"/>
        <w:spacing w:before="0"/>
        <w:jc w:val="center"/>
      </w:pPr>
      <w:r>
        <w:rPr>
          <w:rFonts w:ascii="Times New Roman" w:hAnsi="Times New Roman"/>
          <w:i/>
          <w:color w:val="323E4F"/>
          <w:sz w:val="28"/>
          <w:szCs w:val="24"/>
        </w:rPr>
        <w:t>în semestrul I 2023 comparativ cu semestrul I 2022</w:t>
      </w:r>
    </w:p>
    <w:p w:rsidR="00C82F48" w:rsidRDefault="00447B48">
      <w:pPr>
        <w:rPr>
          <w:rFonts w:ascii="Times New Roman" w:hAnsi="Times New Roman"/>
          <w:b/>
          <w:i/>
          <w:sz w:val="28"/>
          <w:szCs w:val="28"/>
        </w:rPr>
      </w:pPr>
      <w:r>
        <w:rPr>
          <w:noProof/>
          <w:lang w:val="en-US" w:eastAsia="en-US"/>
        </w:rPr>
        <w:drawing>
          <wp:inline distT="0" distB="0" distL="0" distR="0">
            <wp:extent cx="6115050" cy="3419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9" t="-15" r="-9" b="-15"/>
                    <a:stretch>
                      <a:fillRect/>
                    </a:stretch>
                  </pic:blipFill>
                  <pic:spPr bwMode="auto">
                    <a:xfrm>
                      <a:off x="0" y="0"/>
                      <a:ext cx="6115050" cy="3419475"/>
                    </a:xfrm>
                    <a:prstGeom prst="rect">
                      <a:avLst/>
                    </a:prstGeom>
                    <a:solidFill>
                      <a:srgbClr val="FFFFFF">
                        <a:alpha val="0"/>
                      </a:srgbClr>
                    </a:solidFill>
                    <a:ln>
                      <a:noFill/>
                    </a:ln>
                  </pic:spPr>
                </pic:pic>
              </a:graphicData>
            </a:graphic>
          </wp:inline>
        </w:drawing>
      </w:r>
    </w:p>
    <w:p w:rsidR="00C82F48" w:rsidRDefault="00C82F48">
      <w:pPr>
        <w:ind w:firstLine="708"/>
        <w:jc w:val="both"/>
      </w:pPr>
      <w:r>
        <w:rPr>
          <w:rFonts w:ascii="Times New Roman" w:hAnsi="Times New Roman"/>
          <w:b/>
          <w:i/>
          <w:sz w:val="28"/>
          <w:szCs w:val="28"/>
        </w:rPr>
        <w:t xml:space="preserve">Factorii care au influențat încasarea veniturilor bugetului de stat în semestrul I 2023    </w:t>
      </w:r>
    </w:p>
    <w:p w:rsidR="00C82F48" w:rsidRDefault="00C82F48">
      <w:pPr>
        <w:ind w:firstLine="708"/>
        <w:jc w:val="both"/>
      </w:pPr>
      <w:r>
        <w:rPr>
          <w:rFonts w:ascii="Times New Roman" w:hAnsi="Times New Roman"/>
          <w:sz w:val="28"/>
          <w:szCs w:val="28"/>
        </w:rPr>
        <w:lastRenderedPageBreak/>
        <w:t xml:space="preserve">În continuare se prezintă descrierea factorilor principali care au influențat evoluția încasărilor veniturilor în semestrul I al anului 2023, comparativ cu perioada similară a anului precedent. </w:t>
      </w:r>
    </w:p>
    <w:p w:rsidR="00C82F48" w:rsidRDefault="00C82F48">
      <w:pPr>
        <w:spacing w:line="276" w:lineRule="auto"/>
        <w:ind w:left="142" w:right="194" w:firstLine="566"/>
        <w:jc w:val="both"/>
      </w:pPr>
      <w:r>
        <w:rPr>
          <w:rFonts w:ascii="Times New Roman" w:hAnsi="Times New Roman"/>
          <w:b/>
          <w:i/>
          <w:sz w:val="28"/>
          <w:szCs w:val="28"/>
        </w:rPr>
        <w:t>Impozitul pe venitul persoanelor fizice</w:t>
      </w:r>
    </w:p>
    <w:p w:rsidR="00C82F48" w:rsidRDefault="00C82F48">
      <w:pPr>
        <w:spacing w:after="0" w:line="276" w:lineRule="auto"/>
        <w:ind w:left="142" w:right="193" w:firstLine="566"/>
        <w:contextualSpacing/>
        <w:jc w:val="both"/>
      </w:pPr>
      <w:r>
        <w:rPr>
          <w:rFonts w:ascii="Times New Roman" w:hAnsi="Times New Roman"/>
          <w:sz w:val="28"/>
          <w:szCs w:val="28"/>
        </w:rPr>
        <w:t>Încasările la bugetul de stat de la impozitul pe venitul persoanelor fizice în semestrul I 2023 față de perioada similară a anului 2022 s-au majorat cu 182,5 mil. lei sau cu 17,4 la sută.</w:t>
      </w:r>
    </w:p>
    <w:p w:rsidR="00C82F48" w:rsidRDefault="00C82F48">
      <w:pPr>
        <w:spacing w:after="0" w:line="276" w:lineRule="auto"/>
        <w:ind w:left="142" w:right="193" w:firstLine="566"/>
        <w:contextualSpacing/>
        <w:jc w:val="both"/>
      </w:pPr>
      <w:r>
        <w:rPr>
          <w:rFonts w:ascii="Times New Roman" w:hAnsi="Times New Roman"/>
          <w:sz w:val="28"/>
          <w:szCs w:val="28"/>
        </w:rPr>
        <w:t>Factorii care reprezintă majorarea dată sunt:</w:t>
      </w:r>
    </w:p>
    <w:p w:rsidR="00C82F48" w:rsidRDefault="00C82F48">
      <w:pPr>
        <w:numPr>
          <w:ilvl w:val="0"/>
          <w:numId w:val="4"/>
        </w:numPr>
        <w:tabs>
          <w:tab w:val="left" w:pos="1134"/>
        </w:tabs>
        <w:spacing w:after="0" w:line="276" w:lineRule="auto"/>
        <w:ind w:right="193" w:hanging="76"/>
        <w:contextualSpacing/>
        <w:jc w:val="both"/>
      </w:pPr>
      <w:r>
        <w:rPr>
          <w:rFonts w:ascii="Times New Roman" w:hAnsi="Times New Roman"/>
          <w:sz w:val="28"/>
          <w:szCs w:val="28"/>
        </w:rPr>
        <w:t>creșterea fondului de remunerarea a muncii pe tara;</w:t>
      </w:r>
    </w:p>
    <w:p w:rsidR="00C82F48" w:rsidRDefault="00C82F48">
      <w:pPr>
        <w:numPr>
          <w:ilvl w:val="0"/>
          <w:numId w:val="4"/>
        </w:numPr>
        <w:tabs>
          <w:tab w:val="left" w:pos="1134"/>
        </w:tabs>
        <w:spacing w:after="0" w:line="276" w:lineRule="auto"/>
        <w:ind w:left="284" w:right="193" w:firstLine="567"/>
        <w:contextualSpacing/>
        <w:jc w:val="both"/>
      </w:pPr>
      <w:r>
        <w:rPr>
          <w:rFonts w:ascii="Times New Roman" w:hAnsi="Times New Roman"/>
          <w:sz w:val="28"/>
          <w:szCs w:val="28"/>
        </w:rPr>
        <w:t xml:space="preserve">creșterea salariului mediu lunar nominal brut, care a constituit 12 175,9 lei în trimestrul II al anului 2023 și s-a majorat cu 17,3% față de trimestrul II al anului 2022. În sectorul bugetar câștigul salarial mediu lunar a crescut cu 17,2%, iar în sectorul real –  cu 17,3 la sută. </w:t>
      </w:r>
    </w:p>
    <w:p w:rsidR="00C82F48" w:rsidRDefault="00C82F48">
      <w:pPr>
        <w:numPr>
          <w:ilvl w:val="0"/>
          <w:numId w:val="2"/>
        </w:numPr>
        <w:tabs>
          <w:tab w:val="left" w:pos="1134"/>
        </w:tabs>
        <w:spacing w:after="0" w:line="276" w:lineRule="auto"/>
        <w:ind w:left="142" w:right="193" w:firstLine="709"/>
        <w:contextualSpacing/>
      </w:pPr>
      <w:r>
        <w:rPr>
          <w:rFonts w:ascii="Times New Roman" w:hAnsi="Times New Roman"/>
          <w:sz w:val="28"/>
          <w:szCs w:val="28"/>
        </w:rPr>
        <w:t>prezentarea declarațiilor pe venit obținut în anul 2022 și achitarea diferenței pozitive.</w:t>
      </w:r>
    </w:p>
    <w:p w:rsidR="00C82F48" w:rsidRDefault="00C82F48">
      <w:pPr>
        <w:tabs>
          <w:tab w:val="left" w:pos="1134"/>
        </w:tabs>
        <w:spacing w:after="0" w:line="276" w:lineRule="auto"/>
        <w:ind w:left="142" w:right="193"/>
        <w:contextualSpacing/>
        <w:jc w:val="right"/>
      </w:pPr>
      <w:r>
        <w:rPr>
          <w:rFonts w:ascii="Times New Roman" w:hAnsi="Times New Roman"/>
          <w:b/>
        </w:rPr>
        <w:t>mil.lei</w:t>
      </w:r>
    </w:p>
    <w:tbl>
      <w:tblPr>
        <w:tblW w:w="0" w:type="auto"/>
        <w:jc w:val="center"/>
        <w:tblLayout w:type="fixed"/>
        <w:tblLook w:val="0000" w:firstRow="0" w:lastRow="0" w:firstColumn="0" w:lastColumn="0" w:noHBand="0" w:noVBand="0"/>
      </w:tblPr>
      <w:tblGrid>
        <w:gridCol w:w="4687"/>
        <w:gridCol w:w="1222"/>
        <w:gridCol w:w="1235"/>
        <w:gridCol w:w="1026"/>
        <w:gridCol w:w="1125"/>
      </w:tblGrid>
      <w:tr w:rsidR="00C82F48">
        <w:trPr>
          <w:trHeight w:val="213"/>
          <w:tblHeader/>
          <w:jc w:val="center"/>
        </w:trPr>
        <w:tc>
          <w:tcPr>
            <w:tcW w:w="4687" w:type="dxa"/>
            <w:vMerge w:val="restart"/>
            <w:tcBorders>
              <w:top w:val="single" w:sz="4" w:space="0" w:color="000000"/>
              <w:left w:val="single" w:sz="4" w:space="0" w:color="000000"/>
              <w:bottom w:val="single" w:sz="4" w:space="0" w:color="000000"/>
              <w:right w:val="single" w:sz="4" w:space="0" w:color="000000"/>
            </w:tcBorders>
            <w:shd w:val="clear" w:color="auto" w:fill="E5E5E5"/>
            <w:vAlign w:val="bottom"/>
          </w:tcPr>
          <w:p w:rsidR="00C82F48" w:rsidRDefault="00C82F48">
            <w:pPr>
              <w:snapToGrid w:val="0"/>
              <w:spacing w:after="0" w:line="240" w:lineRule="auto"/>
              <w:jc w:val="center"/>
              <w:rPr>
                <w:rFonts w:ascii="Times New Roman" w:hAnsi="Times New Roman"/>
                <w:color w:val="000000"/>
                <w:sz w:val="26"/>
                <w:szCs w:val="26"/>
                <w:lang w:eastAsia="ro-RO"/>
              </w:rPr>
            </w:pPr>
          </w:p>
        </w:tc>
        <w:tc>
          <w:tcPr>
            <w:tcW w:w="1222" w:type="dxa"/>
            <w:tcBorders>
              <w:top w:val="single" w:sz="4" w:space="0" w:color="000000"/>
              <w:bottom w:val="single" w:sz="4" w:space="0" w:color="000000"/>
              <w:right w:val="single" w:sz="4" w:space="0" w:color="000000"/>
            </w:tcBorders>
            <w:shd w:val="clear" w:color="auto" w:fill="E5E5E5"/>
            <w:vAlign w:val="bottom"/>
          </w:tcPr>
          <w:p w:rsidR="00C82F48" w:rsidRDefault="00C82F48">
            <w:pPr>
              <w:spacing w:after="0" w:line="240" w:lineRule="auto"/>
              <w:jc w:val="center"/>
            </w:pPr>
            <w:r>
              <w:rPr>
                <w:rFonts w:ascii="Times New Roman" w:hAnsi="Times New Roman"/>
                <w:b/>
                <w:i/>
                <w:color w:val="000000"/>
                <w:sz w:val="26"/>
                <w:szCs w:val="26"/>
                <w:lang w:eastAsia="ro-RO"/>
              </w:rPr>
              <w:t>2022</w:t>
            </w:r>
          </w:p>
        </w:tc>
        <w:tc>
          <w:tcPr>
            <w:tcW w:w="1235" w:type="dxa"/>
            <w:tcBorders>
              <w:top w:val="single" w:sz="4" w:space="0" w:color="000000"/>
              <w:bottom w:val="single" w:sz="4" w:space="0" w:color="000000"/>
              <w:right w:val="single" w:sz="4" w:space="0" w:color="000000"/>
            </w:tcBorders>
            <w:shd w:val="clear" w:color="auto" w:fill="E5E5E5"/>
            <w:vAlign w:val="bottom"/>
          </w:tcPr>
          <w:p w:rsidR="00C82F48" w:rsidRDefault="00C82F48">
            <w:pPr>
              <w:spacing w:after="0" w:line="240" w:lineRule="auto"/>
              <w:jc w:val="center"/>
            </w:pPr>
            <w:r>
              <w:rPr>
                <w:rFonts w:ascii="Times New Roman" w:hAnsi="Times New Roman"/>
                <w:b/>
                <w:i/>
                <w:color w:val="000000"/>
                <w:sz w:val="26"/>
                <w:szCs w:val="26"/>
                <w:lang w:eastAsia="ro-RO"/>
              </w:rPr>
              <w:t>2023</w:t>
            </w:r>
          </w:p>
        </w:tc>
        <w:tc>
          <w:tcPr>
            <w:tcW w:w="2151" w:type="dxa"/>
            <w:gridSpan w:val="2"/>
            <w:tcBorders>
              <w:top w:val="single" w:sz="4" w:space="0" w:color="000000"/>
              <w:bottom w:val="single" w:sz="4" w:space="0" w:color="000000"/>
              <w:right w:val="single" w:sz="4" w:space="0" w:color="000000"/>
            </w:tcBorders>
            <w:shd w:val="clear" w:color="auto" w:fill="E5E5E5"/>
            <w:vAlign w:val="bottom"/>
          </w:tcPr>
          <w:p w:rsidR="00C82F48" w:rsidRDefault="00C82F48">
            <w:pPr>
              <w:spacing w:after="0" w:line="240" w:lineRule="auto"/>
              <w:jc w:val="center"/>
            </w:pPr>
            <w:r>
              <w:rPr>
                <w:rFonts w:ascii="Times New Roman" w:hAnsi="Times New Roman"/>
                <w:b/>
                <w:i/>
                <w:color w:val="000000"/>
                <w:sz w:val="26"/>
                <w:szCs w:val="26"/>
                <w:lang w:eastAsia="ro-RO"/>
              </w:rPr>
              <w:t>devieri</w:t>
            </w:r>
          </w:p>
        </w:tc>
      </w:tr>
      <w:tr w:rsidR="00C82F48">
        <w:trPr>
          <w:trHeight w:val="114"/>
          <w:tblHeader/>
          <w:jc w:val="center"/>
        </w:trPr>
        <w:tc>
          <w:tcPr>
            <w:tcW w:w="4687" w:type="dxa"/>
            <w:vMerge/>
            <w:tcBorders>
              <w:top w:val="single" w:sz="4" w:space="0" w:color="000000"/>
              <w:left w:val="single" w:sz="4" w:space="0" w:color="000000"/>
              <w:bottom w:val="single" w:sz="4" w:space="0" w:color="000000"/>
              <w:right w:val="single" w:sz="4" w:space="0" w:color="000000"/>
            </w:tcBorders>
            <w:shd w:val="clear" w:color="auto" w:fill="E5E5E5"/>
            <w:vAlign w:val="bottom"/>
          </w:tcPr>
          <w:p w:rsidR="00C82F48" w:rsidRDefault="00C82F48">
            <w:pPr>
              <w:snapToGrid w:val="0"/>
              <w:spacing w:after="0" w:line="240" w:lineRule="auto"/>
              <w:jc w:val="center"/>
              <w:rPr>
                <w:rFonts w:ascii="Times New Roman" w:hAnsi="Times New Roman"/>
                <w:b/>
                <w:i/>
                <w:color w:val="000000"/>
                <w:sz w:val="26"/>
                <w:szCs w:val="26"/>
                <w:lang w:eastAsia="ro-RO"/>
              </w:rPr>
            </w:pPr>
          </w:p>
        </w:tc>
        <w:tc>
          <w:tcPr>
            <w:tcW w:w="2457" w:type="dxa"/>
            <w:gridSpan w:val="2"/>
            <w:tcBorders>
              <w:top w:val="single" w:sz="4" w:space="0" w:color="000000"/>
              <w:bottom w:val="single" w:sz="4" w:space="0" w:color="000000"/>
              <w:right w:val="single" w:sz="4" w:space="0" w:color="000000"/>
            </w:tcBorders>
            <w:shd w:val="clear" w:color="auto" w:fill="E5E5E5"/>
            <w:vAlign w:val="center"/>
          </w:tcPr>
          <w:p w:rsidR="00C82F48" w:rsidRDefault="00C82F48">
            <w:pPr>
              <w:spacing w:after="0" w:line="240" w:lineRule="auto"/>
              <w:jc w:val="center"/>
            </w:pPr>
            <w:r>
              <w:rPr>
                <w:rFonts w:ascii="Times New Roman" w:hAnsi="Times New Roman"/>
                <w:color w:val="000000"/>
                <w:sz w:val="26"/>
                <w:szCs w:val="26"/>
                <w:lang w:eastAsia="ro-RO"/>
              </w:rPr>
              <w:t>semestrul I</w:t>
            </w:r>
          </w:p>
        </w:tc>
        <w:tc>
          <w:tcPr>
            <w:tcW w:w="1026" w:type="dxa"/>
            <w:tcBorders>
              <w:bottom w:val="single" w:sz="4" w:space="0" w:color="000000"/>
              <w:right w:val="single" w:sz="4" w:space="0" w:color="000000"/>
            </w:tcBorders>
            <w:shd w:val="clear" w:color="auto" w:fill="E5E5E5"/>
            <w:vAlign w:val="center"/>
          </w:tcPr>
          <w:p w:rsidR="00C82F48" w:rsidRDefault="00C82F48">
            <w:pPr>
              <w:spacing w:after="0" w:line="240" w:lineRule="auto"/>
              <w:jc w:val="center"/>
            </w:pPr>
            <w:r>
              <w:rPr>
                <w:rFonts w:ascii="Times New Roman" w:hAnsi="Times New Roman"/>
                <w:color w:val="000000"/>
                <w:sz w:val="26"/>
                <w:szCs w:val="26"/>
                <w:lang w:eastAsia="ro-RO"/>
              </w:rPr>
              <w:t>+,-</w:t>
            </w:r>
          </w:p>
        </w:tc>
        <w:tc>
          <w:tcPr>
            <w:tcW w:w="1125" w:type="dxa"/>
            <w:tcBorders>
              <w:bottom w:val="single" w:sz="4" w:space="0" w:color="000000"/>
              <w:right w:val="single" w:sz="4" w:space="0" w:color="000000"/>
            </w:tcBorders>
            <w:shd w:val="clear" w:color="auto" w:fill="E5E5E5"/>
            <w:vAlign w:val="center"/>
          </w:tcPr>
          <w:p w:rsidR="00C82F48" w:rsidRDefault="00C82F48">
            <w:pPr>
              <w:spacing w:after="0" w:line="240" w:lineRule="auto"/>
              <w:jc w:val="center"/>
            </w:pPr>
            <w:r>
              <w:rPr>
                <w:rFonts w:ascii="Times New Roman" w:hAnsi="Times New Roman"/>
                <w:color w:val="000000"/>
                <w:sz w:val="26"/>
                <w:szCs w:val="26"/>
                <w:lang w:eastAsia="ro-RO"/>
              </w:rPr>
              <w:t>%</w:t>
            </w:r>
          </w:p>
        </w:tc>
      </w:tr>
      <w:tr w:rsidR="00C82F48">
        <w:trPr>
          <w:trHeight w:val="394"/>
          <w:jc w:val="center"/>
        </w:trPr>
        <w:tc>
          <w:tcPr>
            <w:tcW w:w="4687" w:type="dxa"/>
            <w:tcBorders>
              <w:left w:val="single" w:sz="4" w:space="0" w:color="000000"/>
              <w:bottom w:val="single" w:sz="4" w:space="0" w:color="000000"/>
              <w:right w:val="single" w:sz="4" w:space="0" w:color="000000"/>
            </w:tcBorders>
            <w:shd w:val="clear" w:color="auto" w:fill="auto"/>
            <w:vAlign w:val="center"/>
          </w:tcPr>
          <w:p w:rsidR="00C82F48" w:rsidRDefault="00C82F48">
            <w:pPr>
              <w:spacing w:after="0" w:line="240" w:lineRule="auto"/>
            </w:pPr>
            <w:r>
              <w:rPr>
                <w:rFonts w:ascii="Times New Roman" w:hAnsi="Times New Roman"/>
                <w:b/>
                <w:bCs/>
                <w:iCs/>
                <w:color w:val="000000"/>
                <w:sz w:val="26"/>
                <w:szCs w:val="26"/>
                <w:lang w:eastAsia="ro-RO"/>
              </w:rPr>
              <w:t>Impozitul pe venitul persoanelor fizice</w:t>
            </w:r>
          </w:p>
        </w:tc>
        <w:tc>
          <w:tcPr>
            <w:tcW w:w="1222" w:type="dxa"/>
            <w:tcBorders>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color w:val="000000"/>
                <w:sz w:val="26"/>
                <w:szCs w:val="26"/>
                <w:lang w:eastAsia="ro-RO"/>
              </w:rPr>
              <w:t>1 046,1</w:t>
            </w:r>
          </w:p>
        </w:tc>
        <w:tc>
          <w:tcPr>
            <w:tcW w:w="1235" w:type="dxa"/>
            <w:tcBorders>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color w:val="000000"/>
                <w:sz w:val="26"/>
                <w:szCs w:val="26"/>
                <w:lang w:eastAsia="ro-RO"/>
              </w:rPr>
              <w:t>1 228,6</w:t>
            </w:r>
          </w:p>
        </w:tc>
        <w:tc>
          <w:tcPr>
            <w:tcW w:w="1026" w:type="dxa"/>
            <w:tcBorders>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i/>
                <w:color w:val="000000"/>
                <w:sz w:val="26"/>
                <w:szCs w:val="26"/>
                <w:lang w:eastAsia="ro-RO"/>
              </w:rPr>
              <w:t>182,5</w:t>
            </w:r>
          </w:p>
        </w:tc>
        <w:tc>
          <w:tcPr>
            <w:tcW w:w="1125" w:type="dxa"/>
            <w:tcBorders>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i/>
                <w:color w:val="000000"/>
                <w:sz w:val="26"/>
                <w:szCs w:val="26"/>
                <w:lang w:eastAsia="ro-RO"/>
              </w:rPr>
              <w:t>117,4</w:t>
            </w:r>
          </w:p>
        </w:tc>
      </w:tr>
    </w:tbl>
    <w:p w:rsidR="00C82F48" w:rsidRDefault="00C82F48">
      <w:pPr>
        <w:ind w:firstLine="708"/>
        <w:jc w:val="both"/>
        <w:rPr>
          <w:rFonts w:ascii="Times New Roman" w:hAnsi="Times New Roman"/>
          <w:b/>
          <w:bCs/>
          <w:i/>
          <w:sz w:val="28"/>
          <w:szCs w:val="28"/>
        </w:rPr>
      </w:pPr>
    </w:p>
    <w:p w:rsidR="00C82F48" w:rsidRDefault="00C82F48">
      <w:pPr>
        <w:ind w:firstLine="708"/>
        <w:jc w:val="both"/>
      </w:pPr>
      <w:r>
        <w:rPr>
          <w:rFonts w:ascii="Times New Roman" w:hAnsi="Times New Roman"/>
          <w:b/>
          <w:bCs/>
          <w:i/>
          <w:sz w:val="28"/>
          <w:szCs w:val="28"/>
        </w:rPr>
        <w:t>Impozitul pe venitul persoanelor juridice</w:t>
      </w:r>
    </w:p>
    <w:p w:rsidR="00C82F48" w:rsidRDefault="00C82F48">
      <w:pPr>
        <w:spacing w:line="276" w:lineRule="auto"/>
        <w:ind w:firstLine="708"/>
        <w:jc w:val="both"/>
      </w:pPr>
      <w:r>
        <w:rPr>
          <w:rFonts w:ascii="Times New Roman" w:hAnsi="Times New Roman"/>
          <w:sz w:val="28"/>
          <w:szCs w:val="28"/>
          <w:lang w:val="en-GB"/>
        </w:rPr>
        <w:t xml:space="preserve">  </w:t>
      </w:r>
      <w:r>
        <w:rPr>
          <w:rFonts w:ascii="Times New Roman" w:hAnsi="Times New Roman"/>
          <w:sz w:val="28"/>
          <w:szCs w:val="28"/>
          <w:lang w:val="ro-MD"/>
        </w:rPr>
        <w:t>În primele 6 luni ale anului 2023 încasările din impozitul pe venitul persoanelor juridice a constituit suma de 5 258,7 mil.lei, majorându-se cu 539,6 mil.lei sau 11,4% față de perioada similară a anului precedent. Creșterea încasărilor respective a fost determinată de:</w:t>
      </w:r>
    </w:p>
    <w:p w:rsidR="00C82F48" w:rsidRDefault="00C82F48">
      <w:pPr>
        <w:numPr>
          <w:ilvl w:val="0"/>
          <w:numId w:val="2"/>
        </w:numPr>
        <w:tabs>
          <w:tab w:val="left" w:pos="993"/>
        </w:tabs>
        <w:spacing w:after="0" w:line="276" w:lineRule="auto"/>
        <w:ind w:left="0" w:firstLine="708"/>
        <w:jc w:val="both"/>
      </w:pPr>
      <w:r>
        <w:rPr>
          <w:rFonts w:ascii="Times New Roman" w:hAnsi="Times New Roman"/>
          <w:sz w:val="28"/>
          <w:szCs w:val="28"/>
          <w:lang w:val="ro-MD"/>
        </w:rPr>
        <w:t>obținerea unui profit mai mare de către agenții economici în perioada</w:t>
      </w:r>
      <w:r>
        <w:rPr>
          <w:rFonts w:ascii="Times New Roman" w:hAnsi="Times New Roman"/>
          <w:sz w:val="28"/>
          <w:szCs w:val="28"/>
        </w:rPr>
        <w:t xml:space="preserve"> fiscală 2022 față de 2021, precum și datorită inflației înalte înregistrate pe parcursul anului 2022;</w:t>
      </w:r>
    </w:p>
    <w:p w:rsidR="00C82F48" w:rsidRDefault="00C82F48">
      <w:pPr>
        <w:numPr>
          <w:ilvl w:val="0"/>
          <w:numId w:val="2"/>
        </w:numPr>
        <w:tabs>
          <w:tab w:val="left" w:pos="993"/>
        </w:tabs>
        <w:spacing w:after="0" w:line="276" w:lineRule="auto"/>
        <w:ind w:left="0" w:firstLine="708"/>
        <w:jc w:val="both"/>
      </w:pPr>
      <w:r>
        <w:rPr>
          <w:rFonts w:ascii="Times New Roman" w:hAnsi="Times New Roman"/>
          <w:sz w:val="28"/>
          <w:szCs w:val="28"/>
        </w:rPr>
        <w:t>creșterea veniturilor băncilor comerciale datorită ratelor înalte a dobânzilor la credite.</w:t>
      </w:r>
    </w:p>
    <w:p w:rsidR="00C82F48" w:rsidRDefault="00C82F48">
      <w:pPr>
        <w:spacing w:after="0"/>
        <w:ind w:left="840"/>
        <w:jc w:val="right"/>
      </w:pPr>
      <w:r>
        <w:t>mil.lei</w:t>
      </w:r>
    </w:p>
    <w:tbl>
      <w:tblPr>
        <w:tblW w:w="0" w:type="auto"/>
        <w:jc w:val="center"/>
        <w:tblLayout w:type="fixed"/>
        <w:tblLook w:val="0000" w:firstRow="0" w:lastRow="0" w:firstColumn="0" w:lastColumn="0" w:noHBand="0" w:noVBand="0"/>
      </w:tblPr>
      <w:tblGrid>
        <w:gridCol w:w="5444"/>
        <w:gridCol w:w="1152"/>
        <w:gridCol w:w="1153"/>
        <w:gridCol w:w="927"/>
        <w:gridCol w:w="927"/>
      </w:tblGrid>
      <w:tr w:rsidR="00C82F48">
        <w:trPr>
          <w:trHeight w:val="63"/>
          <w:jc w:val="center"/>
        </w:trPr>
        <w:tc>
          <w:tcPr>
            <w:tcW w:w="5444" w:type="dxa"/>
            <w:vMerge w:val="restart"/>
            <w:tcBorders>
              <w:top w:val="single" w:sz="4" w:space="0" w:color="000000"/>
              <w:left w:val="single" w:sz="4" w:space="0" w:color="000000"/>
              <w:bottom w:val="single" w:sz="4" w:space="0" w:color="000000"/>
              <w:right w:val="single" w:sz="4" w:space="0" w:color="000000"/>
            </w:tcBorders>
            <w:shd w:val="clear" w:color="auto" w:fill="E5E5E5"/>
            <w:vAlign w:val="bottom"/>
          </w:tcPr>
          <w:p w:rsidR="00C82F48" w:rsidRDefault="00C82F48">
            <w:pPr>
              <w:spacing w:after="0" w:line="240" w:lineRule="auto"/>
              <w:jc w:val="center"/>
            </w:pPr>
            <w:r>
              <w:rPr>
                <w:rFonts w:ascii="Times New Roman" w:hAnsi="Times New Roman"/>
                <w:color w:val="000000"/>
                <w:sz w:val="26"/>
                <w:szCs w:val="26"/>
                <w:lang w:eastAsia="ro-RO"/>
              </w:rPr>
              <w:t> </w:t>
            </w:r>
          </w:p>
        </w:tc>
        <w:tc>
          <w:tcPr>
            <w:tcW w:w="1152" w:type="dxa"/>
            <w:tcBorders>
              <w:top w:val="single" w:sz="4" w:space="0" w:color="000000"/>
              <w:bottom w:val="single" w:sz="4" w:space="0" w:color="000000"/>
              <w:right w:val="single" w:sz="4" w:space="0" w:color="000000"/>
            </w:tcBorders>
            <w:shd w:val="clear" w:color="auto" w:fill="E5E5E5"/>
            <w:vAlign w:val="bottom"/>
          </w:tcPr>
          <w:p w:rsidR="00C82F48" w:rsidRDefault="00C82F48">
            <w:pPr>
              <w:spacing w:after="0" w:line="240" w:lineRule="auto"/>
              <w:jc w:val="center"/>
            </w:pPr>
            <w:r>
              <w:rPr>
                <w:rFonts w:ascii="Times New Roman" w:hAnsi="Times New Roman"/>
                <w:b/>
                <w:i/>
                <w:color w:val="000000"/>
                <w:sz w:val="26"/>
                <w:szCs w:val="26"/>
                <w:lang w:eastAsia="ro-RO"/>
              </w:rPr>
              <w:t>2022</w:t>
            </w:r>
          </w:p>
        </w:tc>
        <w:tc>
          <w:tcPr>
            <w:tcW w:w="1153" w:type="dxa"/>
            <w:tcBorders>
              <w:top w:val="single" w:sz="4" w:space="0" w:color="000000"/>
              <w:bottom w:val="single" w:sz="4" w:space="0" w:color="000000"/>
              <w:right w:val="single" w:sz="4" w:space="0" w:color="000000"/>
            </w:tcBorders>
            <w:shd w:val="clear" w:color="auto" w:fill="E5E5E5"/>
            <w:vAlign w:val="bottom"/>
          </w:tcPr>
          <w:p w:rsidR="00C82F48" w:rsidRDefault="00C82F48">
            <w:pPr>
              <w:spacing w:after="0" w:line="240" w:lineRule="auto"/>
              <w:jc w:val="center"/>
            </w:pPr>
            <w:r>
              <w:rPr>
                <w:rFonts w:ascii="Times New Roman" w:hAnsi="Times New Roman"/>
                <w:b/>
                <w:i/>
                <w:color w:val="000000"/>
                <w:sz w:val="26"/>
                <w:szCs w:val="26"/>
                <w:lang w:eastAsia="ro-RO"/>
              </w:rPr>
              <w:t>2023</w:t>
            </w:r>
          </w:p>
        </w:tc>
        <w:tc>
          <w:tcPr>
            <w:tcW w:w="1854" w:type="dxa"/>
            <w:gridSpan w:val="2"/>
            <w:tcBorders>
              <w:top w:val="single" w:sz="4" w:space="0" w:color="000000"/>
              <w:bottom w:val="single" w:sz="4" w:space="0" w:color="000000"/>
              <w:right w:val="single" w:sz="4" w:space="0" w:color="000000"/>
            </w:tcBorders>
            <w:shd w:val="clear" w:color="auto" w:fill="E5E5E5"/>
            <w:vAlign w:val="bottom"/>
          </w:tcPr>
          <w:p w:rsidR="00C82F48" w:rsidRDefault="00C82F48">
            <w:pPr>
              <w:spacing w:after="0" w:line="240" w:lineRule="auto"/>
              <w:jc w:val="center"/>
            </w:pPr>
            <w:r>
              <w:rPr>
                <w:rFonts w:ascii="Times New Roman" w:hAnsi="Times New Roman"/>
                <w:b/>
                <w:i/>
                <w:color w:val="000000"/>
                <w:sz w:val="26"/>
                <w:szCs w:val="26"/>
                <w:lang w:eastAsia="ro-RO"/>
              </w:rPr>
              <w:t>devieri</w:t>
            </w:r>
          </w:p>
        </w:tc>
      </w:tr>
      <w:tr w:rsidR="00C82F48">
        <w:trPr>
          <w:trHeight w:val="112"/>
          <w:jc w:val="center"/>
        </w:trPr>
        <w:tc>
          <w:tcPr>
            <w:tcW w:w="5444" w:type="dxa"/>
            <w:vMerge/>
            <w:tcBorders>
              <w:top w:val="single" w:sz="4" w:space="0" w:color="000000"/>
              <w:left w:val="single" w:sz="4" w:space="0" w:color="000000"/>
              <w:bottom w:val="single" w:sz="4" w:space="0" w:color="000000"/>
              <w:right w:val="single" w:sz="4" w:space="0" w:color="000000"/>
            </w:tcBorders>
            <w:shd w:val="clear" w:color="auto" w:fill="E5E5E5"/>
            <w:vAlign w:val="bottom"/>
          </w:tcPr>
          <w:p w:rsidR="00C82F48" w:rsidRDefault="00C82F48">
            <w:pPr>
              <w:snapToGrid w:val="0"/>
              <w:spacing w:after="0" w:line="240" w:lineRule="auto"/>
              <w:rPr>
                <w:rFonts w:ascii="Times New Roman" w:hAnsi="Times New Roman"/>
                <w:b/>
                <w:i/>
                <w:color w:val="000000"/>
                <w:sz w:val="26"/>
                <w:szCs w:val="26"/>
                <w:lang w:eastAsia="ro-RO"/>
              </w:rPr>
            </w:pPr>
          </w:p>
        </w:tc>
        <w:tc>
          <w:tcPr>
            <w:tcW w:w="2305" w:type="dxa"/>
            <w:gridSpan w:val="2"/>
            <w:tcBorders>
              <w:top w:val="single" w:sz="4" w:space="0" w:color="000000"/>
              <w:bottom w:val="single" w:sz="4" w:space="0" w:color="000000"/>
              <w:right w:val="single" w:sz="4" w:space="0" w:color="000000"/>
            </w:tcBorders>
            <w:shd w:val="clear" w:color="auto" w:fill="E5E5E5"/>
            <w:vAlign w:val="center"/>
          </w:tcPr>
          <w:p w:rsidR="00C82F48" w:rsidRDefault="00C82F48">
            <w:pPr>
              <w:spacing w:after="0" w:line="240" w:lineRule="auto"/>
              <w:jc w:val="center"/>
            </w:pPr>
            <w:r>
              <w:rPr>
                <w:rFonts w:ascii="Times New Roman" w:hAnsi="Times New Roman"/>
                <w:color w:val="000000"/>
                <w:sz w:val="26"/>
                <w:szCs w:val="26"/>
                <w:lang w:eastAsia="ro-RO"/>
              </w:rPr>
              <w:t>semestrul I</w:t>
            </w:r>
          </w:p>
        </w:tc>
        <w:tc>
          <w:tcPr>
            <w:tcW w:w="927" w:type="dxa"/>
            <w:tcBorders>
              <w:bottom w:val="single" w:sz="4" w:space="0" w:color="000000"/>
              <w:right w:val="single" w:sz="4" w:space="0" w:color="000000"/>
            </w:tcBorders>
            <w:shd w:val="clear" w:color="auto" w:fill="E5E5E5"/>
            <w:vAlign w:val="center"/>
          </w:tcPr>
          <w:p w:rsidR="00C82F48" w:rsidRDefault="00C82F48">
            <w:pPr>
              <w:spacing w:after="0" w:line="240" w:lineRule="auto"/>
              <w:jc w:val="center"/>
            </w:pPr>
            <w:r>
              <w:rPr>
                <w:rFonts w:ascii="Times New Roman" w:hAnsi="Times New Roman"/>
                <w:color w:val="000000"/>
                <w:sz w:val="26"/>
                <w:szCs w:val="26"/>
                <w:lang w:eastAsia="ro-RO"/>
              </w:rPr>
              <w:t>+,-</w:t>
            </w:r>
          </w:p>
        </w:tc>
        <w:tc>
          <w:tcPr>
            <w:tcW w:w="927" w:type="dxa"/>
            <w:tcBorders>
              <w:bottom w:val="single" w:sz="4" w:space="0" w:color="000000"/>
              <w:right w:val="single" w:sz="4" w:space="0" w:color="000000"/>
            </w:tcBorders>
            <w:shd w:val="clear" w:color="auto" w:fill="E5E5E5"/>
            <w:vAlign w:val="center"/>
          </w:tcPr>
          <w:p w:rsidR="00C82F48" w:rsidRDefault="00C82F48">
            <w:pPr>
              <w:spacing w:after="0" w:line="240" w:lineRule="auto"/>
              <w:jc w:val="center"/>
            </w:pPr>
            <w:r>
              <w:rPr>
                <w:rFonts w:ascii="Times New Roman" w:hAnsi="Times New Roman"/>
                <w:color w:val="000000"/>
                <w:sz w:val="26"/>
                <w:szCs w:val="26"/>
                <w:lang w:eastAsia="ro-RO"/>
              </w:rPr>
              <w:t>%</w:t>
            </w:r>
          </w:p>
        </w:tc>
      </w:tr>
      <w:tr w:rsidR="00C82F48">
        <w:trPr>
          <w:trHeight w:val="387"/>
          <w:jc w:val="center"/>
        </w:trPr>
        <w:tc>
          <w:tcPr>
            <w:tcW w:w="5444" w:type="dxa"/>
            <w:tcBorders>
              <w:left w:val="single" w:sz="4" w:space="0" w:color="000000"/>
              <w:bottom w:val="single" w:sz="4" w:space="0" w:color="000000"/>
              <w:right w:val="single" w:sz="4" w:space="0" w:color="000000"/>
            </w:tcBorders>
            <w:shd w:val="clear" w:color="auto" w:fill="auto"/>
            <w:vAlign w:val="bottom"/>
          </w:tcPr>
          <w:p w:rsidR="00C82F48" w:rsidRDefault="00C82F48">
            <w:pPr>
              <w:spacing w:after="0" w:line="240" w:lineRule="auto"/>
            </w:pPr>
            <w:r>
              <w:rPr>
                <w:rFonts w:ascii="Times New Roman" w:hAnsi="Times New Roman"/>
                <w:b/>
                <w:bCs/>
                <w:iCs/>
                <w:color w:val="000000"/>
                <w:sz w:val="26"/>
                <w:szCs w:val="26"/>
                <w:lang w:eastAsia="ro-RO"/>
              </w:rPr>
              <w:t>Impozitul pe venitul persoanelor juridice</w:t>
            </w:r>
          </w:p>
        </w:tc>
        <w:tc>
          <w:tcPr>
            <w:tcW w:w="1152" w:type="dxa"/>
            <w:tcBorders>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color w:val="000000"/>
                <w:sz w:val="26"/>
                <w:szCs w:val="26"/>
                <w:lang w:eastAsia="ro-RO"/>
              </w:rPr>
              <w:t>4 719,1</w:t>
            </w:r>
          </w:p>
        </w:tc>
        <w:tc>
          <w:tcPr>
            <w:tcW w:w="1153" w:type="dxa"/>
            <w:tcBorders>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color w:val="000000"/>
                <w:sz w:val="26"/>
                <w:szCs w:val="26"/>
                <w:lang w:eastAsia="ro-RO"/>
              </w:rPr>
              <w:t>5 258,7</w:t>
            </w:r>
          </w:p>
        </w:tc>
        <w:tc>
          <w:tcPr>
            <w:tcW w:w="927" w:type="dxa"/>
            <w:tcBorders>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i/>
                <w:color w:val="000000"/>
                <w:sz w:val="26"/>
                <w:szCs w:val="26"/>
                <w:lang w:eastAsia="ro-RO"/>
              </w:rPr>
              <w:t>539,6</w:t>
            </w:r>
          </w:p>
        </w:tc>
        <w:tc>
          <w:tcPr>
            <w:tcW w:w="927" w:type="dxa"/>
            <w:tcBorders>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i/>
                <w:color w:val="000000"/>
                <w:sz w:val="26"/>
                <w:szCs w:val="26"/>
                <w:lang w:eastAsia="ro-RO"/>
              </w:rPr>
              <w:t>111,4</w:t>
            </w:r>
          </w:p>
        </w:tc>
      </w:tr>
    </w:tbl>
    <w:p w:rsidR="00C82F48" w:rsidRDefault="00C82F48">
      <w:pPr>
        <w:spacing w:after="0"/>
        <w:ind w:left="840"/>
        <w:jc w:val="both"/>
        <w:rPr>
          <w:rFonts w:ascii="Times New Roman" w:hAnsi="Times New Roman"/>
          <w:sz w:val="28"/>
          <w:szCs w:val="28"/>
        </w:rPr>
      </w:pPr>
    </w:p>
    <w:p w:rsidR="00C82F48" w:rsidRDefault="00C82F48">
      <w:pPr>
        <w:keepNext/>
        <w:keepLines/>
        <w:spacing w:after="120" w:line="276" w:lineRule="auto"/>
        <w:ind w:right="194"/>
        <w:outlineLvl w:val="1"/>
      </w:pPr>
      <w:r>
        <w:rPr>
          <w:rFonts w:ascii="Times New Roman" w:hAnsi="Times New Roman"/>
          <w:b/>
          <w:bCs/>
          <w:i/>
          <w:sz w:val="28"/>
          <w:szCs w:val="28"/>
        </w:rPr>
        <w:lastRenderedPageBreak/>
        <w:t>Taxa pe valoarea adăugată</w:t>
      </w:r>
    </w:p>
    <w:p w:rsidR="00C82F48" w:rsidRDefault="00C82F48">
      <w:pPr>
        <w:keepNext/>
        <w:keepLines/>
        <w:spacing w:after="0" w:line="276" w:lineRule="auto"/>
        <w:ind w:left="142" w:right="194" w:firstLine="566"/>
        <w:jc w:val="both"/>
        <w:outlineLvl w:val="1"/>
      </w:pPr>
      <w:r>
        <w:rPr>
          <w:rFonts w:ascii="Times New Roman" w:hAnsi="Times New Roman"/>
          <w:bCs/>
          <w:sz w:val="28"/>
          <w:szCs w:val="28"/>
        </w:rPr>
        <w:t>În I semestru 2023 încasările din TVA au crescut cu 659,4 mil.lei sau 5,0%, dintre care la TVA intern cu 713,9 mil.lei (+16,0%) și TVA la import cu 52,2 mil.lei (+0,5%) și restituirea TVA cu – 106,7 mil.lei (+4,62%).</w:t>
      </w:r>
    </w:p>
    <w:p w:rsidR="00C82F48" w:rsidRPr="00BB5039" w:rsidRDefault="00C82F48">
      <w:pPr>
        <w:keepNext/>
        <w:keepLines/>
        <w:spacing w:after="0" w:line="276" w:lineRule="auto"/>
        <w:ind w:left="142" w:right="194" w:firstLine="566"/>
        <w:jc w:val="both"/>
        <w:outlineLvl w:val="1"/>
        <w:rPr>
          <w:sz w:val="28"/>
          <w:szCs w:val="28"/>
        </w:rPr>
      </w:pPr>
      <w:r>
        <w:rPr>
          <w:rFonts w:ascii="Times New Roman" w:hAnsi="Times New Roman"/>
          <w:bCs/>
          <w:sz w:val="28"/>
          <w:szCs w:val="28"/>
        </w:rPr>
        <w:t xml:space="preserve">Majorarea TVA în semestrul I 2023 se datorează îndeosebi  încasărilor din TVA la </w:t>
      </w:r>
      <w:r w:rsidR="00960A13">
        <w:rPr>
          <w:rFonts w:ascii="Times New Roman" w:hAnsi="Times New Roman"/>
          <w:bCs/>
          <w:sz w:val="28"/>
          <w:szCs w:val="28"/>
        </w:rPr>
        <w:t>mărfurile</w:t>
      </w:r>
      <w:r>
        <w:rPr>
          <w:rFonts w:ascii="Times New Roman" w:hAnsi="Times New Roman"/>
          <w:bCs/>
          <w:sz w:val="28"/>
          <w:szCs w:val="28"/>
        </w:rPr>
        <w:t xml:space="preserve"> și serviciile produse pe terito</w:t>
      </w:r>
      <w:r w:rsidR="00960A13">
        <w:rPr>
          <w:rFonts w:ascii="Times New Roman" w:hAnsi="Times New Roman"/>
          <w:bCs/>
          <w:sz w:val="28"/>
          <w:szCs w:val="28"/>
        </w:rPr>
        <w:t>r</w:t>
      </w:r>
      <w:r>
        <w:rPr>
          <w:rFonts w:ascii="Times New Roman" w:hAnsi="Times New Roman"/>
          <w:bCs/>
          <w:sz w:val="28"/>
          <w:szCs w:val="28"/>
        </w:rPr>
        <w:t>iul R</w:t>
      </w:r>
      <w:r w:rsidR="00960A13">
        <w:rPr>
          <w:rFonts w:ascii="Times New Roman" w:hAnsi="Times New Roman"/>
          <w:bCs/>
          <w:sz w:val="28"/>
          <w:szCs w:val="28"/>
        </w:rPr>
        <w:t>epublicii Moldova</w:t>
      </w:r>
      <w:r>
        <w:rPr>
          <w:rFonts w:ascii="Times New Roman" w:hAnsi="Times New Roman"/>
          <w:bCs/>
          <w:sz w:val="28"/>
          <w:szCs w:val="28"/>
        </w:rPr>
        <w:t xml:space="preserve">, ca urmare a </w:t>
      </w:r>
      <w:r>
        <w:rPr>
          <w:rFonts w:ascii="Times New Roman" w:hAnsi="Times New Roman"/>
          <w:bCs/>
          <w:color w:val="000000"/>
          <w:sz w:val="28"/>
          <w:szCs w:val="28"/>
        </w:rPr>
        <w:t>majorării volumului de vânzări în domeniul comerțului cu amănuntul și ridicata la produsele alimentare și nealimentare și major</w:t>
      </w:r>
      <w:r w:rsidR="00960A13">
        <w:rPr>
          <w:rFonts w:ascii="Times New Roman" w:hAnsi="Times New Roman"/>
          <w:bCs/>
          <w:color w:val="000000"/>
          <w:sz w:val="28"/>
          <w:szCs w:val="28"/>
        </w:rPr>
        <w:t>ării</w:t>
      </w:r>
      <w:r>
        <w:rPr>
          <w:rFonts w:ascii="Times New Roman" w:hAnsi="Times New Roman"/>
          <w:bCs/>
          <w:color w:val="000000"/>
          <w:sz w:val="28"/>
          <w:szCs w:val="28"/>
        </w:rPr>
        <w:t xml:space="preserve"> prețului de vânzare a acestora, precum și din producerea și furnizarea energiei electrice.</w:t>
      </w:r>
      <w:r>
        <w:t/>
      </w:r>
      <w:r>
        <w:rPr>
          <w:rFonts w:ascii="Times New Roman" w:hAnsi="Times New Roman"/>
          <w:bCs/>
          <w:color w:val="000000"/>
          <w:sz w:val="28"/>
          <w:szCs w:val="28"/>
        </w:rPr>
        <w:t xml:space="preserve"> Încasările din TVA la import au înregistrat o creștere nesemnificativă (+52,2 mil lei) ca urmare a creșterii importurilor cu doar 0,5% în primele 6 luni a anului 2023 față de perioada similară a anului </w:t>
      </w:r>
      <w:r w:rsidRPr="00BB5039">
        <w:rPr>
          <w:rFonts w:ascii="Times New Roman" w:hAnsi="Times New Roman"/>
          <w:bCs/>
          <w:color w:val="000000"/>
          <w:sz w:val="28"/>
          <w:szCs w:val="28"/>
        </w:rPr>
        <w:t>precedent</w:t>
      </w:r>
      <w:r w:rsidR="00BB5039" w:rsidRPr="00BB5039">
        <w:rPr>
          <w:rFonts w:ascii="Times New Roman" w:hAnsi="Times New Roman"/>
          <w:sz w:val="28"/>
          <w:szCs w:val="28"/>
        </w:rPr>
        <w:t>, cauza fiind diminuarea consumului</w:t>
      </w:r>
      <w:r w:rsidR="00BB5039">
        <w:rPr>
          <w:rFonts w:ascii="Times New Roman" w:hAnsi="Times New Roman"/>
          <w:sz w:val="28"/>
          <w:szCs w:val="28"/>
        </w:rPr>
        <w:t xml:space="preserve"> și aprecierea monedei naționale</w:t>
      </w:r>
      <w:r w:rsidRPr="00BB5039">
        <w:rPr>
          <w:rFonts w:ascii="Times New Roman" w:hAnsi="Times New Roman"/>
          <w:bCs/>
          <w:color w:val="000000"/>
          <w:sz w:val="28"/>
          <w:szCs w:val="28"/>
        </w:rPr>
        <w:t>.</w:t>
      </w:r>
      <w:r w:rsidR="00BB5039">
        <w:rPr>
          <w:rFonts w:ascii="Times New Roman" w:hAnsi="Times New Roman"/>
          <w:b/>
          <w:bCs/>
          <w:color w:val="4F81BD"/>
          <w:sz w:val="28"/>
          <w:szCs w:val="28"/>
        </w:rPr>
        <w:t xml:space="preserve"> </w:t>
      </w:r>
    </w:p>
    <w:p w:rsidR="00C82F48" w:rsidRDefault="00C82F48">
      <w:pPr>
        <w:spacing w:after="0" w:line="240" w:lineRule="auto"/>
        <w:jc w:val="center"/>
      </w:pPr>
      <w:r>
        <w:rPr>
          <w:rFonts w:ascii="Times New Roman" w:hAnsi="Times New Roman"/>
          <w:b/>
          <w:i/>
          <w:sz w:val="28"/>
          <w:szCs w:val="28"/>
        </w:rPr>
        <w:t xml:space="preserve">                                                                                                                            </w:t>
      </w:r>
      <w:r>
        <w:t>mil. lei</w:t>
      </w:r>
    </w:p>
    <w:tbl>
      <w:tblPr>
        <w:tblW w:w="0" w:type="auto"/>
        <w:jc w:val="center"/>
        <w:tblLayout w:type="fixed"/>
        <w:tblLook w:val="0000" w:firstRow="0" w:lastRow="0" w:firstColumn="0" w:lastColumn="0" w:noHBand="0" w:noVBand="0"/>
      </w:tblPr>
      <w:tblGrid>
        <w:gridCol w:w="4205"/>
        <w:gridCol w:w="1423"/>
        <w:gridCol w:w="1376"/>
        <w:gridCol w:w="1298"/>
        <w:gridCol w:w="1171"/>
      </w:tblGrid>
      <w:tr w:rsidR="00C82F48">
        <w:trPr>
          <w:cantSplit/>
          <w:trHeight w:val="52"/>
          <w:jc w:val="center"/>
        </w:trPr>
        <w:tc>
          <w:tcPr>
            <w:tcW w:w="4205" w:type="dxa"/>
            <w:tcBorders>
              <w:top w:val="single" w:sz="4" w:space="0" w:color="000000"/>
              <w:left w:val="single" w:sz="4" w:space="0" w:color="000000"/>
              <w:bottom w:val="single" w:sz="4" w:space="0" w:color="000000"/>
              <w:right w:val="single" w:sz="4" w:space="0" w:color="000000"/>
            </w:tcBorders>
            <w:shd w:val="clear" w:color="auto" w:fill="E5E5E5"/>
            <w:vAlign w:val="bottom"/>
          </w:tcPr>
          <w:p w:rsidR="00C82F48" w:rsidRDefault="00C82F48">
            <w:pPr>
              <w:spacing w:after="0" w:line="240" w:lineRule="auto"/>
              <w:jc w:val="center"/>
            </w:pPr>
            <w:r>
              <w:rPr>
                <w:rFonts w:ascii="Times New Roman" w:hAnsi="Times New Roman"/>
                <w:color w:val="000000"/>
                <w:sz w:val="26"/>
                <w:szCs w:val="26"/>
                <w:lang w:eastAsia="ro-RO"/>
              </w:rPr>
              <w:t> </w:t>
            </w:r>
          </w:p>
        </w:tc>
        <w:tc>
          <w:tcPr>
            <w:tcW w:w="1423" w:type="dxa"/>
            <w:tcBorders>
              <w:top w:val="single" w:sz="4" w:space="0" w:color="000000"/>
              <w:bottom w:val="single" w:sz="4" w:space="0" w:color="000000"/>
              <w:right w:val="single" w:sz="4" w:space="0" w:color="000000"/>
            </w:tcBorders>
            <w:shd w:val="clear" w:color="auto" w:fill="E5E5E5"/>
            <w:vAlign w:val="bottom"/>
          </w:tcPr>
          <w:p w:rsidR="00C82F48" w:rsidRDefault="00C82F48">
            <w:pPr>
              <w:spacing w:after="0" w:line="240" w:lineRule="auto"/>
              <w:jc w:val="center"/>
            </w:pPr>
            <w:r>
              <w:rPr>
                <w:rFonts w:ascii="Times New Roman" w:hAnsi="Times New Roman"/>
                <w:b/>
                <w:i/>
                <w:color w:val="000000"/>
                <w:sz w:val="26"/>
                <w:szCs w:val="26"/>
                <w:lang w:eastAsia="ro-RO"/>
              </w:rPr>
              <w:t>2022</w:t>
            </w:r>
          </w:p>
        </w:tc>
        <w:tc>
          <w:tcPr>
            <w:tcW w:w="1376" w:type="dxa"/>
            <w:tcBorders>
              <w:top w:val="single" w:sz="4" w:space="0" w:color="000000"/>
              <w:bottom w:val="single" w:sz="4" w:space="0" w:color="000000"/>
              <w:right w:val="single" w:sz="4" w:space="0" w:color="000000"/>
            </w:tcBorders>
            <w:shd w:val="clear" w:color="auto" w:fill="E5E5E5"/>
            <w:vAlign w:val="bottom"/>
          </w:tcPr>
          <w:p w:rsidR="00C82F48" w:rsidRDefault="00C82F48">
            <w:pPr>
              <w:spacing w:after="0" w:line="240" w:lineRule="auto"/>
              <w:jc w:val="center"/>
            </w:pPr>
            <w:r>
              <w:rPr>
                <w:rFonts w:ascii="Times New Roman" w:hAnsi="Times New Roman"/>
                <w:b/>
                <w:i/>
                <w:color w:val="000000"/>
                <w:sz w:val="26"/>
                <w:szCs w:val="26"/>
                <w:lang w:eastAsia="ro-RO"/>
              </w:rPr>
              <w:t>2023</w:t>
            </w:r>
          </w:p>
        </w:tc>
        <w:tc>
          <w:tcPr>
            <w:tcW w:w="2469" w:type="dxa"/>
            <w:gridSpan w:val="2"/>
            <w:tcBorders>
              <w:top w:val="single" w:sz="4" w:space="0" w:color="000000"/>
              <w:bottom w:val="single" w:sz="4" w:space="0" w:color="000000"/>
              <w:right w:val="single" w:sz="4" w:space="0" w:color="000000"/>
            </w:tcBorders>
            <w:shd w:val="clear" w:color="auto" w:fill="E5E5E5"/>
            <w:vAlign w:val="bottom"/>
          </w:tcPr>
          <w:p w:rsidR="00C82F48" w:rsidRDefault="00C82F48">
            <w:pPr>
              <w:spacing w:after="0" w:line="240" w:lineRule="auto"/>
              <w:jc w:val="center"/>
            </w:pPr>
            <w:r>
              <w:rPr>
                <w:rFonts w:ascii="Times New Roman" w:hAnsi="Times New Roman"/>
                <w:b/>
                <w:i/>
                <w:color w:val="000000"/>
                <w:sz w:val="26"/>
                <w:szCs w:val="26"/>
                <w:lang w:eastAsia="ro-RO"/>
              </w:rPr>
              <w:t>devieri</w:t>
            </w:r>
          </w:p>
        </w:tc>
      </w:tr>
      <w:tr w:rsidR="00C82F48">
        <w:trPr>
          <w:trHeight w:val="58"/>
          <w:jc w:val="center"/>
        </w:trPr>
        <w:tc>
          <w:tcPr>
            <w:tcW w:w="4205"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C82F48" w:rsidRDefault="00C82F48">
            <w:pPr>
              <w:snapToGrid w:val="0"/>
              <w:spacing w:after="0" w:line="240" w:lineRule="auto"/>
              <w:jc w:val="center"/>
              <w:rPr>
                <w:rFonts w:ascii="Times New Roman" w:hAnsi="Times New Roman"/>
                <w:b/>
                <w:i/>
                <w:color w:val="000000"/>
                <w:sz w:val="26"/>
                <w:szCs w:val="26"/>
                <w:lang w:eastAsia="ro-RO"/>
              </w:rPr>
            </w:pPr>
          </w:p>
        </w:tc>
        <w:tc>
          <w:tcPr>
            <w:tcW w:w="2799" w:type="dxa"/>
            <w:gridSpan w:val="2"/>
            <w:tcBorders>
              <w:top w:val="single" w:sz="4" w:space="0" w:color="000000"/>
              <w:bottom w:val="single" w:sz="4" w:space="0" w:color="000000"/>
              <w:right w:val="single" w:sz="4" w:space="0" w:color="000000"/>
            </w:tcBorders>
            <w:shd w:val="clear" w:color="auto" w:fill="E5E5E5"/>
            <w:vAlign w:val="center"/>
          </w:tcPr>
          <w:p w:rsidR="00C82F48" w:rsidRDefault="00C82F48">
            <w:pPr>
              <w:spacing w:after="0" w:line="240" w:lineRule="auto"/>
              <w:jc w:val="center"/>
            </w:pPr>
            <w:r>
              <w:rPr>
                <w:rFonts w:ascii="Times New Roman" w:hAnsi="Times New Roman"/>
                <w:color w:val="000000"/>
                <w:sz w:val="26"/>
                <w:szCs w:val="26"/>
                <w:lang w:eastAsia="ro-RO"/>
              </w:rPr>
              <w:t>semestrul I</w:t>
            </w:r>
          </w:p>
        </w:tc>
        <w:tc>
          <w:tcPr>
            <w:tcW w:w="1298" w:type="dxa"/>
            <w:tcBorders>
              <w:bottom w:val="single" w:sz="4" w:space="0" w:color="000000"/>
              <w:right w:val="single" w:sz="4" w:space="0" w:color="000000"/>
            </w:tcBorders>
            <w:shd w:val="clear" w:color="auto" w:fill="E5E5E5"/>
            <w:vAlign w:val="center"/>
          </w:tcPr>
          <w:p w:rsidR="00C82F48" w:rsidRDefault="00C82F48">
            <w:pPr>
              <w:spacing w:after="0" w:line="240" w:lineRule="auto"/>
              <w:jc w:val="center"/>
            </w:pPr>
            <w:r>
              <w:rPr>
                <w:rFonts w:ascii="Times New Roman" w:hAnsi="Times New Roman"/>
                <w:color w:val="000000"/>
                <w:sz w:val="26"/>
                <w:szCs w:val="26"/>
                <w:lang w:eastAsia="ro-RO"/>
              </w:rPr>
              <w:t>+,-</w:t>
            </w:r>
          </w:p>
        </w:tc>
        <w:tc>
          <w:tcPr>
            <w:tcW w:w="1171" w:type="dxa"/>
            <w:tcBorders>
              <w:bottom w:val="single" w:sz="4" w:space="0" w:color="000000"/>
              <w:right w:val="single" w:sz="4" w:space="0" w:color="000000"/>
            </w:tcBorders>
            <w:shd w:val="clear" w:color="auto" w:fill="E5E5E5"/>
            <w:vAlign w:val="center"/>
          </w:tcPr>
          <w:p w:rsidR="00C82F48" w:rsidRDefault="00C82F48">
            <w:pPr>
              <w:spacing w:after="0" w:line="240" w:lineRule="auto"/>
              <w:jc w:val="center"/>
            </w:pPr>
            <w:r>
              <w:rPr>
                <w:rFonts w:ascii="Times New Roman" w:hAnsi="Times New Roman"/>
                <w:color w:val="000000"/>
                <w:sz w:val="26"/>
                <w:szCs w:val="26"/>
                <w:lang w:eastAsia="ro-RO"/>
              </w:rPr>
              <w:t>%</w:t>
            </w:r>
          </w:p>
        </w:tc>
      </w:tr>
      <w:tr w:rsidR="00C82F48" w:rsidTr="009A34D4">
        <w:trPr>
          <w:trHeight w:val="282"/>
          <w:jc w:val="center"/>
        </w:trPr>
        <w:tc>
          <w:tcPr>
            <w:tcW w:w="4205" w:type="dxa"/>
            <w:tcBorders>
              <w:left w:val="single" w:sz="4" w:space="0" w:color="000000"/>
              <w:bottom w:val="single" w:sz="4" w:space="0" w:color="000000"/>
              <w:right w:val="single" w:sz="4" w:space="0" w:color="000000"/>
            </w:tcBorders>
            <w:shd w:val="clear" w:color="auto" w:fill="auto"/>
            <w:vAlign w:val="bottom"/>
          </w:tcPr>
          <w:p w:rsidR="00C82F48" w:rsidRDefault="00C82F48">
            <w:pPr>
              <w:spacing w:after="0" w:line="240" w:lineRule="auto"/>
            </w:pPr>
            <w:r>
              <w:rPr>
                <w:rFonts w:ascii="Times New Roman" w:hAnsi="Times New Roman"/>
                <w:b/>
                <w:color w:val="000000"/>
                <w:sz w:val="26"/>
                <w:szCs w:val="26"/>
                <w:lang w:eastAsia="ro-RO"/>
              </w:rPr>
              <w:t>Total TVA</w:t>
            </w:r>
          </w:p>
        </w:tc>
        <w:tc>
          <w:tcPr>
            <w:tcW w:w="1423" w:type="dxa"/>
            <w:tcBorders>
              <w:bottom w:val="single" w:sz="4" w:space="0" w:color="000000"/>
              <w:right w:val="single" w:sz="4" w:space="0" w:color="000000"/>
            </w:tcBorders>
            <w:shd w:val="clear" w:color="auto" w:fill="auto"/>
            <w:vAlign w:val="bottom"/>
          </w:tcPr>
          <w:p w:rsidR="00C82F48" w:rsidRDefault="00C82F48">
            <w:pPr>
              <w:spacing w:after="0" w:line="240" w:lineRule="auto"/>
              <w:jc w:val="center"/>
            </w:pPr>
            <w:r>
              <w:rPr>
                <w:rFonts w:ascii="Times New Roman" w:hAnsi="Times New Roman"/>
                <w:b/>
                <w:color w:val="000000"/>
                <w:sz w:val="26"/>
                <w:szCs w:val="26"/>
                <w:lang w:eastAsia="ro-RO"/>
              </w:rPr>
              <w:t>13 321,1</w:t>
            </w:r>
          </w:p>
        </w:tc>
        <w:tc>
          <w:tcPr>
            <w:tcW w:w="1376" w:type="dxa"/>
            <w:tcBorders>
              <w:bottom w:val="single" w:sz="4" w:space="0" w:color="000000"/>
              <w:right w:val="single" w:sz="4" w:space="0" w:color="000000"/>
            </w:tcBorders>
            <w:shd w:val="clear" w:color="auto" w:fill="auto"/>
            <w:vAlign w:val="bottom"/>
          </w:tcPr>
          <w:p w:rsidR="00C82F48" w:rsidRDefault="00C82F48">
            <w:pPr>
              <w:spacing w:after="0" w:line="240" w:lineRule="auto"/>
              <w:jc w:val="center"/>
            </w:pPr>
            <w:r>
              <w:rPr>
                <w:rFonts w:ascii="Times New Roman" w:hAnsi="Times New Roman"/>
                <w:b/>
                <w:color w:val="000000"/>
                <w:sz w:val="26"/>
                <w:szCs w:val="26"/>
                <w:lang w:eastAsia="ro-RO"/>
              </w:rPr>
              <w:t>13 980,5</w:t>
            </w:r>
          </w:p>
        </w:tc>
        <w:tc>
          <w:tcPr>
            <w:tcW w:w="1298" w:type="dxa"/>
            <w:tcBorders>
              <w:bottom w:val="single" w:sz="4" w:space="0" w:color="000000"/>
              <w:right w:val="single" w:sz="4" w:space="0" w:color="000000"/>
            </w:tcBorders>
            <w:shd w:val="clear" w:color="auto" w:fill="auto"/>
            <w:vAlign w:val="bottom"/>
          </w:tcPr>
          <w:p w:rsidR="00C82F48" w:rsidRDefault="00C82F48">
            <w:pPr>
              <w:spacing w:after="0" w:line="240" w:lineRule="auto"/>
              <w:jc w:val="center"/>
            </w:pPr>
            <w:r>
              <w:rPr>
                <w:rFonts w:ascii="Times New Roman" w:hAnsi="Times New Roman"/>
                <w:b/>
                <w:i/>
                <w:color w:val="000000"/>
                <w:sz w:val="26"/>
                <w:szCs w:val="26"/>
                <w:lang w:eastAsia="ro-RO"/>
              </w:rPr>
              <w:t>659,4</w:t>
            </w:r>
          </w:p>
        </w:tc>
        <w:tc>
          <w:tcPr>
            <w:tcW w:w="1171" w:type="dxa"/>
            <w:tcBorders>
              <w:bottom w:val="single" w:sz="4" w:space="0" w:color="000000"/>
              <w:right w:val="single" w:sz="4" w:space="0" w:color="000000"/>
            </w:tcBorders>
            <w:shd w:val="clear" w:color="auto" w:fill="auto"/>
            <w:vAlign w:val="bottom"/>
          </w:tcPr>
          <w:p w:rsidR="00C82F48" w:rsidRDefault="00C82F48">
            <w:pPr>
              <w:spacing w:after="0" w:line="240" w:lineRule="auto"/>
              <w:jc w:val="center"/>
            </w:pPr>
            <w:r>
              <w:rPr>
                <w:rFonts w:ascii="Times New Roman" w:hAnsi="Times New Roman"/>
                <w:b/>
                <w:i/>
                <w:sz w:val="26"/>
                <w:szCs w:val="26"/>
                <w:lang w:eastAsia="ro-RO"/>
              </w:rPr>
              <w:t>105,0</w:t>
            </w:r>
          </w:p>
        </w:tc>
      </w:tr>
      <w:tr w:rsidR="00C82F48" w:rsidTr="009A34D4">
        <w:trPr>
          <w:trHeight w:val="282"/>
          <w:jc w:val="center"/>
        </w:trPr>
        <w:tc>
          <w:tcPr>
            <w:tcW w:w="42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2F48" w:rsidRDefault="00C82F48">
            <w:pPr>
              <w:spacing w:after="0" w:line="240" w:lineRule="auto"/>
            </w:pPr>
            <w:r>
              <w:rPr>
                <w:rFonts w:ascii="Times New Roman" w:hAnsi="Times New Roman"/>
                <w:color w:val="000000"/>
                <w:sz w:val="26"/>
                <w:szCs w:val="26"/>
                <w:lang w:eastAsia="ro-RO"/>
              </w:rPr>
              <w:t>TVA intern</w:t>
            </w:r>
          </w:p>
        </w:tc>
        <w:tc>
          <w:tcPr>
            <w:tcW w:w="1423" w:type="dxa"/>
            <w:tcBorders>
              <w:top w:val="single" w:sz="4" w:space="0" w:color="000000"/>
              <w:bottom w:val="single" w:sz="4" w:space="0" w:color="000000"/>
              <w:right w:val="single" w:sz="4" w:space="0" w:color="000000"/>
            </w:tcBorders>
            <w:shd w:val="clear" w:color="auto" w:fill="auto"/>
            <w:vAlign w:val="bottom"/>
          </w:tcPr>
          <w:p w:rsidR="00C82F48" w:rsidRDefault="00C82F48">
            <w:pPr>
              <w:spacing w:after="0" w:line="240" w:lineRule="auto"/>
              <w:jc w:val="center"/>
            </w:pPr>
            <w:r>
              <w:rPr>
                <w:rFonts w:ascii="Times New Roman" w:hAnsi="Times New Roman"/>
                <w:color w:val="000000"/>
                <w:sz w:val="26"/>
                <w:szCs w:val="26"/>
                <w:lang w:eastAsia="ro-RO"/>
              </w:rPr>
              <w:t>4 448,4</w:t>
            </w:r>
          </w:p>
        </w:tc>
        <w:tc>
          <w:tcPr>
            <w:tcW w:w="1376" w:type="dxa"/>
            <w:tcBorders>
              <w:top w:val="single" w:sz="4" w:space="0" w:color="000000"/>
              <w:bottom w:val="single" w:sz="4" w:space="0" w:color="000000"/>
              <w:right w:val="single" w:sz="4" w:space="0" w:color="000000"/>
            </w:tcBorders>
            <w:shd w:val="clear" w:color="auto" w:fill="auto"/>
            <w:vAlign w:val="bottom"/>
          </w:tcPr>
          <w:p w:rsidR="00C82F48" w:rsidRDefault="00C82F48">
            <w:pPr>
              <w:spacing w:after="0" w:line="240" w:lineRule="auto"/>
              <w:jc w:val="center"/>
            </w:pPr>
            <w:r>
              <w:rPr>
                <w:rFonts w:ascii="Times New Roman" w:hAnsi="Times New Roman"/>
                <w:color w:val="000000"/>
                <w:sz w:val="26"/>
                <w:szCs w:val="26"/>
                <w:lang w:eastAsia="ro-RO"/>
              </w:rPr>
              <w:t>5 162,3</w:t>
            </w:r>
          </w:p>
        </w:tc>
        <w:tc>
          <w:tcPr>
            <w:tcW w:w="1298" w:type="dxa"/>
            <w:tcBorders>
              <w:top w:val="single" w:sz="4" w:space="0" w:color="000000"/>
              <w:bottom w:val="single" w:sz="4" w:space="0" w:color="000000"/>
              <w:right w:val="single" w:sz="4" w:space="0" w:color="000000"/>
            </w:tcBorders>
            <w:shd w:val="clear" w:color="auto" w:fill="auto"/>
            <w:vAlign w:val="bottom"/>
          </w:tcPr>
          <w:p w:rsidR="00C82F48" w:rsidRDefault="00C82F48">
            <w:pPr>
              <w:spacing w:after="0" w:line="240" w:lineRule="auto"/>
              <w:jc w:val="center"/>
            </w:pPr>
            <w:r>
              <w:rPr>
                <w:rFonts w:ascii="Times New Roman" w:hAnsi="Times New Roman"/>
                <w:i/>
                <w:color w:val="000000"/>
                <w:sz w:val="26"/>
                <w:szCs w:val="26"/>
                <w:lang w:eastAsia="ro-RO"/>
              </w:rPr>
              <w:t>713,9</w:t>
            </w:r>
          </w:p>
        </w:tc>
        <w:tc>
          <w:tcPr>
            <w:tcW w:w="1171" w:type="dxa"/>
            <w:tcBorders>
              <w:top w:val="single" w:sz="4" w:space="0" w:color="000000"/>
              <w:bottom w:val="single" w:sz="4" w:space="0" w:color="000000"/>
              <w:right w:val="single" w:sz="4" w:space="0" w:color="000000"/>
            </w:tcBorders>
            <w:shd w:val="clear" w:color="auto" w:fill="auto"/>
            <w:vAlign w:val="bottom"/>
          </w:tcPr>
          <w:p w:rsidR="00C82F48" w:rsidRDefault="00C82F48">
            <w:pPr>
              <w:spacing w:after="0" w:line="240" w:lineRule="auto"/>
              <w:jc w:val="center"/>
            </w:pPr>
            <w:r>
              <w:rPr>
                <w:rFonts w:ascii="Times New Roman" w:hAnsi="Times New Roman"/>
                <w:i/>
                <w:sz w:val="26"/>
                <w:szCs w:val="26"/>
                <w:lang w:eastAsia="ro-RO"/>
              </w:rPr>
              <w:t>116,0</w:t>
            </w:r>
          </w:p>
        </w:tc>
      </w:tr>
      <w:tr w:rsidR="00C82F48">
        <w:trPr>
          <w:trHeight w:val="291"/>
          <w:jc w:val="center"/>
        </w:trPr>
        <w:tc>
          <w:tcPr>
            <w:tcW w:w="4205" w:type="dxa"/>
            <w:tcBorders>
              <w:left w:val="single" w:sz="4" w:space="0" w:color="000000"/>
              <w:bottom w:val="single" w:sz="4" w:space="0" w:color="000000"/>
              <w:right w:val="single" w:sz="4" w:space="0" w:color="000000"/>
            </w:tcBorders>
            <w:shd w:val="clear" w:color="auto" w:fill="auto"/>
            <w:vAlign w:val="bottom"/>
          </w:tcPr>
          <w:p w:rsidR="00C82F48" w:rsidRDefault="00C82F48">
            <w:pPr>
              <w:spacing w:after="0" w:line="240" w:lineRule="auto"/>
            </w:pPr>
            <w:r>
              <w:rPr>
                <w:rFonts w:ascii="Times New Roman" w:hAnsi="Times New Roman"/>
                <w:color w:val="000000"/>
                <w:sz w:val="26"/>
                <w:szCs w:val="26"/>
                <w:lang w:eastAsia="ro-RO"/>
              </w:rPr>
              <w:t>TVA la import</w:t>
            </w:r>
          </w:p>
        </w:tc>
        <w:tc>
          <w:tcPr>
            <w:tcW w:w="1423" w:type="dxa"/>
            <w:tcBorders>
              <w:bottom w:val="single" w:sz="4" w:space="0" w:color="000000"/>
              <w:right w:val="single" w:sz="4" w:space="0" w:color="000000"/>
            </w:tcBorders>
            <w:shd w:val="clear" w:color="auto" w:fill="auto"/>
            <w:vAlign w:val="bottom"/>
          </w:tcPr>
          <w:p w:rsidR="00C82F48" w:rsidRDefault="00C82F48">
            <w:pPr>
              <w:spacing w:after="0" w:line="240" w:lineRule="auto"/>
              <w:jc w:val="center"/>
            </w:pPr>
            <w:r>
              <w:rPr>
                <w:rFonts w:ascii="Times New Roman" w:hAnsi="Times New Roman"/>
                <w:color w:val="000000"/>
                <w:sz w:val="26"/>
                <w:szCs w:val="26"/>
                <w:lang w:eastAsia="ro-RO"/>
              </w:rPr>
              <w:t>11 215,7</w:t>
            </w:r>
          </w:p>
        </w:tc>
        <w:tc>
          <w:tcPr>
            <w:tcW w:w="1376" w:type="dxa"/>
            <w:tcBorders>
              <w:bottom w:val="single" w:sz="4" w:space="0" w:color="000000"/>
              <w:right w:val="single" w:sz="4" w:space="0" w:color="000000"/>
            </w:tcBorders>
            <w:shd w:val="clear" w:color="auto" w:fill="auto"/>
            <w:vAlign w:val="bottom"/>
          </w:tcPr>
          <w:p w:rsidR="00C82F48" w:rsidRDefault="00C82F48">
            <w:pPr>
              <w:spacing w:after="0" w:line="240" w:lineRule="auto"/>
              <w:jc w:val="center"/>
            </w:pPr>
            <w:r>
              <w:rPr>
                <w:rFonts w:ascii="Times New Roman" w:hAnsi="Times New Roman"/>
                <w:color w:val="000000"/>
                <w:sz w:val="26"/>
                <w:szCs w:val="26"/>
                <w:lang w:eastAsia="ro-RO"/>
              </w:rPr>
              <w:t>11 267,9</w:t>
            </w:r>
          </w:p>
        </w:tc>
        <w:tc>
          <w:tcPr>
            <w:tcW w:w="1298" w:type="dxa"/>
            <w:tcBorders>
              <w:bottom w:val="single" w:sz="4" w:space="0" w:color="000000"/>
              <w:right w:val="single" w:sz="4" w:space="0" w:color="000000"/>
            </w:tcBorders>
            <w:shd w:val="clear" w:color="auto" w:fill="auto"/>
            <w:vAlign w:val="bottom"/>
          </w:tcPr>
          <w:p w:rsidR="00C82F48" w:rsidRDefault="00C82F48">
            <w:pPr>
              <w:spacing w:after="0" w:line="240" w:lineRule="auto"/>
              <w:jc w:val="center"/>
            </w:pPr>
            <w:r>
              <w:rPr>
                <w:rFonts w:ascii="Times New Roman" w:hAnsi="Times New Roman"/>
                <w:i/>
                <w:color w:val="000000"/>
                <w:sz w:val="26"/>
                <w:szCs w:val="26"/>
                <w:lang w:eastAsia="ro-RO"/>
              </w:rPr>
              <w:t>52,2</w:t>
            </w:r>
          </w:p>
        </w:tc>
        <w:tc>
          <w:tcPr>
            <w:tcW w:w="1171" w:type="dxa"/>
            <w:tcBorders>
              <w:bottom w:val="single" w:sz="4" w:space="0" w:color="000000"/>
              <w:right w:val="single" w:sz="4" w:space="0" w:color="000000"/>
            </w:tcBorders>
            <w:shd w:val="clear" w:color="auto" w:fill="auto"/>
            <w:vAlign w:val="bottom"/>
          </w:tcPr>
          <w:p w:rsidR="00C82F48" w:rsidRDefault="00C82F48">
            <w:pPr>
              <w:spacing w:after="0" w:line="240" w:lineRule="auto"/>
              <w:jc w:val="center"/>
            </w:pPr>
            <w:r>
              <w:rPr>
                <w:rFonts w:ascii="Times New Roman" w:hAnsi="Times New Roman"/>
                <w:i/>
                <w:sz w:val="26"/>
                <w:szCs w:val="26"/>
                <w:lang w:eastAsia="ro-RO"/>
              </w:rPr>
              <w:t>100,5</w:t>
            </w:r>
          </w:p>
        </w:tc>
      </w:tr>
      <w:tr w:rsidR="00C82F48">
        <w:trPr>
          <w:trHeight w:val="254"/>
          <w:jc w:val="center"/>
        </w:trPr>
        <w:tc>
          <w:tcPr>
            <w:tcW w:w="4205" w:type="dxa"/>
            <w:tcBorders>
              <w:left w:val="single" w:sz="4" w:space="0" w:color="000000"/>
              <w:bottom w:val="single" w:sz="4" w:space="0" w:color="000000"/>
              <w:right w:val="single" w:sz="4" w:space="0" w:color="000000"/>
            </w:tcBorders>
            <w:shd w:val="clear" w:color="auto" w:fill="auto"/>
            <w:vAlign w:val="bottom"/>
          </w:tcPr>
          <w:p w:rsidR="00C82F48" w:rsidRDefault="00C82F48">
            <w:pPr>
              <w:spacing w:after="0" w:line="240" w:lineRule="auto"/>
            </w:pPr>
            <w:r>
              <w:rPr>
                <w:rFonts w:ascii="Times New Roman" w:hAnsi="Times New Roman"/>
                <w:color w:val="000000"/>
                <w:sz w:val="26"/>
                <w:szCs w:val="26"/>
                <w:lang w:eastAsia="ro-RO"/>
              </w:rPr>
              <w:t>restituirea TVA</w:t>
            </w:r>
          </w:p>
        </w:tc>
        <w:tc>
          <w:tcPr>
            <w:tcW w:w="1423" w:type="dxa"/>
            <w:tcBorders>
              <w:bottom w:val="single" w:sz="4" w:space="0" w:color="000000"/>
              <w:right w:val="single" w:sz="4" w:space="0" w:color="000000"/>
            </w:tcBorders>
            <w:shd w:val="clear" w:color="auto" w:fill="auto"/>
            <w:vAlign w:val="bottom"/>
          </w:tcPr>
          <w:p w:rsidR="00C82F48" w:rsidRDefault="00C82F48">
            <w:pPr>
              <w:spacing w:after="0" w:line="240" w:lineRule="auto"/>
              <w:jc w:val="center"/>
            </w:pPr>
            <w:r>
              <w:rPr>
                <w:rFonts w:ascii="Times New Roman" w:hAnsi="Times New Roman"/>
                <w:color w:val="000000"/>
                <w:sz w:val="26"/>
                <w:szCs w:val="26"/>
                <w:lang w:eastAsia="ro-RO"/>
              </w:rPr>
              <w:t>-2 343,0</w:t>
            </w:r>
          </w:p>
        </w:tc>
        <w:tc>
          <w:tcPr>
            <w:tcW w:w="1376" w:type="dxa"/>
            <w:tcBorders>
              <w:bottom w:val="single" w:sz="4" w:space="0" w:color="000000"/>
              <w:right w:val="single" w:sz="4" w:space="0" w:color="000000"/>
            </w:tcBorders>
            <w:shd w:val="clear" w:color="auto" w:fill="auto"/>
            <w:vAlign w:val="bottom"/>
          </w:tcPr>
          <w:p w:rsidR="00C82F48" w:rsidRDefault="00C82F48">
            <w:pPr>
              <w:spacing w:after="0" w:line="240" w:lineRule="auto"/>
              <w:jc w:val="center"/>
            </w:pPr>
            <w:r>
              <w:rPr>
                <w:rFonts w:ascii="Times New Roman" w:hAnsi="Times New Roman"/>
                <w:color w:val="000000"/>
                <w:sz w:val="26"/>
                <w:szCs w:val="26"/>
                <w:lang w:eastAsia="ro-RO"/>
              </w:rPr>
              <w:t>-2 449,7</w:t>
            </w:r>
          </w:p>
        </w:tc>
        <w:tc>
          <w:tcPr>
            <w:tcW w:w="1298" w:type="dxa"/>
            <w:tcBorders>
              <w:bottom w:val="single" w:sz="4" w:space="0" w:color="000000"/>
              <w:right w:val="single" w:sz="4" w:space="0" w:color="000000"/>
            </w:tcBorders>
            <w:shd w:val="clear" w:color="auto" w:fill="auto"/>
            <w:vAlign w:val="bottom"/>
          </w:tcPr>
          <w:p w:rsidR="00C82F48" w:rsidRDefault="00C82F48">
            <w:pPr>
              <w:spacing w:after="0" w:line="240" w:lineRule="auto"/>
              <w:jc w:val="center"/>
            </w:pPr>
            <w:r>
              <w:rPr>
                <w:rFonts w:ascii="Times New Roman" w:hAnsi="Times New Roman"/>
                <w:color w:val="000000"/>
                <w:sz w:val="26"/>
                <w:szCs w:val="26"/>
                <w:lang w:eastAsia="ro-RO"/>
              </w:rPr>
              <w:t>-106,7</w:t>
            </w:r>
          </w:p>
        </w:tc>
        <w:tc>
          <w:tcPr>
            <w:tcW w:w="1171" w:type="dxa"/>
            <w:tcBorders>
              <w:bottom w:val="single" w:sz="4" w:space="0" w:color="000000"/>
              <w:right w:val="single" w:sz="4" w:space="0" w:color="000000"/>
            </w:tcBorders>
            <w:shd w:val="clear" w:color="auto" w:fill="auto"/>
            <w:vAlign w:val="bottom"/>
          </w:tcPr>
          <w:p w:rsidR="00C82F48" w:rsidRDefault="00C82F48">
            <w:pPr>
              <w:spacing w:after="0" w:line="240" w:lineRule="auto"/>
              <w:jc w:val="center"/>
            </w:pPr>
            <w:r>
              <w:rPr>
                <w:rFonts w:ascii="Times New Roman" w:hAnsi="Times New Roman"/>
                <w:i/>
                <w:sz w:val="26"/>
                <w:szCs w:val="26"/>
                <w:lang w:eastAsia="ro-RO"/>
              </w:rPr>
              <w:t>104,6</w:t>
            </w:r>
          </w:p>
        </w:tc>
      </w:tr>
    </w:tbl>
    <w:p w:rsidR="00C82F48" w:rsidRDefault="00C82F48">
      <w:pPr>
        <w:jc w:val="right"/>
        <w:rPr>
          <w:rFonts w:ascii="Times New Roman" w:hAnsi="Times New Roman"/>
          <w:sz w:val="28"/>
          <w:szCs w:val="28"/>
        </w:rPr>
      </w:pPr>
    </w:p>
    <w:p w:rsidR="00C82F48" w:rsidRDefault="00C82F48">
      <w:pPr>
        <w:keepNext/>
        <w:keepLines/>
        <w:tabs>
          <w:tab w:val="left" w:pos="0"/>
          <w:tab w:val="left" w:pos="709"/>
        </w:tabs>
        <w:spacing w:after="120" w:line="276" w:lineRule="auto"/>
        <w:ind w:left="142" w:right="232" w:firstLine="284"/>
        <w:outlineLvl w:val="1"/>
      </w:pPr>
      <w:r>
        <w:rPr>
          <w:rFonts w:ascii="Times New Roman" w:hAnsi="Times New Roman"/>
          <w:b/>
          <w:bCs/>
          <w:i/>
          <w:sz w:val="28"/>
          <w:szCs w:val="28"/>
        </w:rPr>
        <w:t>Accize</w:t>
      </w:r>
    </w:p>
    <w:p w:rsidR="00C82F48" w:rsidRDefault="00C82F48">
      <w:pPr>
        <w:tabs>
          <w:tab w:val="left" w:pos="0"/>
          <w:tab w:val="left" w:pos="567"/>
          <w:tab w:val="left" w:pos="709"/>
        </w:tabs>
        <w:spacing w:after="0" w:line="276" w:lineRule="auto"/>
        <w:ind w:left="142" w:right="231" w:firstLine="284"/>
        <w:jc w:val="both"/>
      </w:pPr>
      <w:r>
        <w:rPr>
          <w:rFonts w:ascii="Times New Roman" w:hAnsi="Times New Roman"/>
          <w:color w:val="171717"/>
          <w:sz w:val="28"/>
          <w:szCs w:val="28"/>
        </w:rPr>
        <w:tab/>
        <w:t xml:space="preserve">Încasările din accize în semestrul I 2023, față de perioada respectivă a anului 2022, s-au majorat cu 692,8 mil.lei sau 19,7 la sută. </w:t>
      </w:r>
      <w:r>
        <w:rPr>
          <w:rFonts w:ascii="Times New Roman" w:hAnsi="Times New Roman"/>
          <w:i/>
          <w:color w:val="171717"/>
          <w:sz w:val="28"/>
          <w:szCs w:val="28"/>
          <w:u w:val="single"/>
        </w:rPr>
        <w:t>Accizele la mărfurile importate</w:t>
      </w:r>
      <w:r>
        <w:rPr>
          <w:rFonts w:ascii="Times New Roman" w:hAnsi="Times New Roman"/>
          <w:color w:val="171717"/>
          <w:sz w:val="28"/>
          <w:szCs w:val="28"/>
        </w:rPr>
        <w:t xml:space="preserve"> s-au majorat cu 596,8 mil.lei datorită:</w:t>
      </w:r>
    </w:p>
    <w:p w:rsidR="00C82F48" w:rsidRDefault="00C82F48">
      <w:pPr>
        <w:numPr>
          <w:ilvl w:val="0"/>
          <w:numId w:val="6"/>
        </w:numPr>
        <w:tabs>
          <w:tab w:val="left" w:pos="0"/>
          <w:tab w:val="left" w:pos="709"/>
        </w:tabs>
        <w:spacing w:after="0" w:line="276" w:lineRule="auto"/>
        <w:ind w:left="142" w:right="231" w:firstLine="284"/>
        <w:jc w:val="both"/>
      </w:pPr>
      <w:r>
        <w:rPr>
          <w:rFonts w:ascii="Times New Roman" w:hAnsi="Times New Roman"/>
          <w:color w:val="171717"/>
          <w:sz w:val="28"/>
          <w:szCs w:val="28"/>
        </w:rPr>
        <w:t xml:space="preserve">majorării încasărilor de la </w:t>
      </w:r>
      <w:r>
        <w:rPr>
          <w:rFonts w:ascii="Times New Roman" w:hAnsi="Times New Roman"/>
          <w:i/>
          <w:color w:val="171717"/>
          <w:sz w:val="28"/>
          <w:szCs w:val="28"/>
        </w:rPr>
        <w:t>accizele la produsele petroliere importate</w:t>
      </w:r>
      <w:r>
        <w:rPr>
          <w:rFonts w:ascii="Times New Roman" w:hAnsi="Times New Roman"/>
          <w:color w:val="171717"/>
          <w:sz w:val="28"/>
          <w:szCs w:val="28"/>
        </w:rPr>
        <w:t xml:space="preserve"> reieșind din ajustarea cotelor la accize începând cu 01.01.2023 și majorării volumului </w:t>
      </w:r>
      <w:r>
        <w:rPr>
          <w:rFonts w:ascii="Times New Roman" w:hAnsi="Times New Roman"/>
          <w:sz w:val="28"/>
          <w:szCs w:val="28"/>
        </w:rPr>
        <w:t xml:space="preserve">importurilor de produse petroliere în semestrul I al anului 2023 față de perioada similară a anului precedent (2023 – 505,7 mii tone, 2022 – 416,3  mii tone);  </w:t>
      </w:r>
    </w:p>
    <w:p w:rsidR="00C82F48" w:rsidRDefault="00C82F48">
      <w:pPr>
        <w:numPr>
          <w:ilvl w:val="0"/>
          <w:numId w:val="6"/>
        </w:numPr>
        <w:tabs>
          <w:tab w:val="left" w:pos="0"/>
          <w:tab w:val="left" w:pos="709"/>
        </w:tabs>
        <w:spacing w:after="0" w:line="276" w:lineRule="auto"/>
        <w:ind w:left="284" w:right="231" w:firstLine="142"/>
        <w:jc w:val="both"/>
      </w:pPr>
      <w:r>
        <w:rPr>
          <w:rFonts w:ascii="Times New Roman" w:hAnsi="Times New Roman"/>
          <w:sz w:val="28"/>
          <w:szCs w:val="28"/>
          <w:lang w:val="ro-MD"/>
        </w:rPr>
        <w:t xml:space="preserve">creșterii încasărilor de la </w:t>
      </w:r>
      <w:r>
        <w:rPr>
          <w:rFonts w:ascii="Times New Roman" w:hAnsi="Times New Roman"/>
          <w:i/>
          <w:sz w:val="28"/>
          <w:szCs w:val="28"/>
          <w:lang w:val="ro-MD"/>
        </w:rPr>
        <w:t>accizele la produsele din tutun</w:t>
      </w:r>
      <w:r>
        <w:rPr>
          <w:rFonts w:ascii="Times New Roman" w:hAnsi="Times New Roman"/>
          <w:sz w:val="28"/>
          <w:szCs w:val="28"/>
          <w:lang w:val="ro-MD"/>
        </w:rPr>
        <w:t>, ca urmare a majorării începând cu 01.01.2023 a cotelor la accize în vederea uniformizării acestora și asigurării implementării prevederilor Acordului de asociere RM – UE;</w:t>
      </w:r>
    </w:p>
    <w:p w:rsidR="00C82F48" w:rsidRDefault="00C82F48">
      <w:pPr>
        <w:numPr>
          <w:ilvl w:val="0"/>
          <w:numId w:val="6"/>
        </w:numPr>
        <w:tabs>
          <w:tab w:val="left" w:pos="0"/>
          <w:tab w:val="left" w:pos="709"/>
        </w:tabs>
        <w:spacing w:after="0" w:line="276" w:lineRule="auto"/>
        <w:ind w:left="142" w:right="231" w:firstLine="284"/>
        <w:jc w:val="both"/>
      </w:pPr>
      <w:r>
        <w:rPr>
          <w:rFonts w:ascii="Times New Roman" w:hAnsi="Times New Roman"/>
          <w:sz w:val="28"/>
          <w:szCs w:val="28"/>
        </w:rPr>
        <w:t xml:space="preserve">majorării încasărilor de la </w:t>
      </w:r>
      <w:r>
        <w:rPr>
          <w:rFonts w:ascii="Times New Roman" w:hAnsi="Times New Roman"/>
          <w:i/>
          <w:sz w:val="28"/>
          <w:szCs w:val="28"/>
        </w:rPr>
        <w:t>accizele la mijloacele de transport importate</w:t>
      </w:r>
      <w:r>
        <w:rPr>
          <w:rFonts w:ascii="Times New Roman" w:hAnsi="Times New Roman"/>
          <w:sz w:val="28"/>
          <w:szCs w:val="28"/>
        </w:rPr>
        <w:t xml:space="preserve"> din contul creșterii numărului</w:t>
      </w:r>
      <w:r>
        <w:rPr>
          <w:rFonts w:ascii="Times New Roman" w:hAnsi="Times New Roman"/>
          <w:color w:val="171717"/>
          <w:sz w:val="28"/>
          <w:szCs w:val="28"/>
        </w:rPr>
        <w:t xml:space="preserve"> de mijloace de transport importate (în 2023 – 38 699 unități față de 26 611 unități în 2022).</w:t>
      </w:r>
    </w:p>
    <w:p w:rsidR="00C82F48" w:rsidRDefault="00C82F48">
      <w:pPr>
        <w:tabs>
          <w:tab w:val="left" w:pos="0"/>
          <w:tab w:val="left" w:pos="567"/>
        </w:tabs>
        <w:spacing w:after="0" w:line="276" w:lineRule="auto"/>
        <w:ind w:left="142"/>
        <w:jc w:val="both"/>
      </w:pPr>
      <w:r>
        <w:rPr>
          <w:rFonts w:ascii="Times New Roman" w:hAnsi="Times New Roman"/>
          <w:color w:val="171717"/>
          <w:sz w:val="28"/>
          <w:szCs w:val="28"/>
        </w:rPr>
        <w:tab/>
      </w:r>
      <w:r>
        <w:rPr>
          <w:rFonts w:ascii="Times New Roman" w:hAnsi="Times New Roman"/>
          <w:color w:val="171717"/>
          <w:sz w:val="28"/>
          <w:szCs w:val="28"/>
        </w:rPr>
        <w:tab/>
        <w:t xml:space="preserve">Totodată, </w:t>
      </w:r>
      <w:r>
        <w:rPr>
          <w:rFonts w:ascii="Times New Roman" w:hAnsi="Times New Roman"/>
          <w:i/>
          <w:color w:val="171717"/>
          <w:sz w:val="28"/>
          <w:szCs w:val="28"/>
          <w:u w:val="single"/>
        </w:rPr>
        <w:t>accizele la mărfurile produse pe teritoriul Republicii Moldova</w:t>
      </w:r>
      <w:r>
        <w:rPr>
          <w:rFonts w:ascii="Times New Roman" w:hAnsi="Times New Roman"/>
          <w:color w:val="171717"/>
          <w:sz w:val="28"/>
          <w:szCs w:val="28"/>
        </w:rPr>
        <w:t xml:space="preserve"> s-au majorat cu 105,8 mil. lei, în mare </w:t>
      </w:r>
      <w:r>
        <w:rPr>
          <w:rFonts w:ascii="Times New Roman" w:hAnsi="Times New Roman"/>
          <w:color w:val="171717"/>
          <w:sz w:val="28"/>
          <w:szCs w:val="28"/>
          <w:lang w:val="ro-MD"/>
        </w:rPr>
        <w:t>parte datorită creșterii încasărilor din:</w:t>
      </w:r>
    </w:p>
    <w:p w:rsidR="00C82F48" w:rsidRDefault="00C82F48">
      <w:pPr>
        <w:tabs>
          <w:tab w:val="left" w:pos="0"/>
          <w:tab w:val="left" w:pos="709"/>
          <w:tab w:val="left" w:pos="851"/>
        </w:tabs>
        <w:spacing w:after="0" w:line="276" w:lineRule="auto"/>
        <w:ind w:left="142" w:firstLine="284"/>
        <w:jc w:val="both"/>
      </w:pPr>
      <w:r>
        <w:rPr>
          <w:rFonts w:ascii="Times New Roman" w:hAnsi="Times New Roman"/>
          <w:color w:val="171717"/>
          <w:sz w:val="28"/>
          <w:szCs w:val="28"/>
          <w:lang w:val="ro-MD"/>
        </w:rPr>
        <w:lastRenderedPageBreak/>
        <w:t>•</w:t>
      </w:r>
      <w:r>
        <w:rPr>
          <w:rFonts w:ascii="Times New Roman" w:hAnsi="Times New Roman"/>
          <w:color w:val="171717"/>
          <w:sz w:val="28"/>
          <w:szCs w:val="28"/>
          <w:lang w:val="ro-MD"/>
        </w:rPr>
        <w:tab/>
        <w:t>accizele la rachiu, lichioruri, divinuri și alte băuturi spirtoase produse pe teritoriul RM cu 25,2 mil.lei, ca urmare a majorării volumului de producție expediat din antrepozitul fiscal, precum și majorării cotelor accizelor începând cu 01.01.2023;</w:t>
      </w:r>
    </w:p>
    <w:p w:rsidR="00C82F48" w:rsidRDefault="00C82F48">
      <w:pPr>
        <w:tabs>
          <w:tab w:val="left" w:pos="0"/>
          <w:tab w:val="left" w:pos="851"/>
        </w:tabs>
        <w:spacing w:after="0" w:line="276" w:lineRule="auto"/>
        <w:ind w:left="142" w:firstLine="398"/>
        <w:jc w:val="both"/>
      </w:pPr>
      <w:r>
        <w:rPr>
          <w:rFonts w:ascii="Times New Roman" w:hAnsi="Times New Roman"/>
          <w:color w:val="171717"/>
          <w:sz w:val="28"/>
          <w:szCs w:val="28"/>
        </w:rPr>
        <w:t>•</w:t>
      </w:r>
      <w:r>
        <w:rPr>
          <w:rFonts w:ascii="Times New Roman" w:hAnsi="Times New Roman"/>
          <w:color w:val="171717"/>
          <w:sz w:val="28"/>
          <w:szCs w:val="28"/>
        </w:rPr>
        <w:tab/>
        <w:t>accizele la produsele din tutun cu 83,9 mil. lei, ca urmare a achitărilor mai mari în primele luni ale anului 2023 față de perioada similară a anului precedent .</w:t>
      </w:r>
      <w:r>
        <w:rPr>
          <w:rFonts w:ascii="Times New Roman" w:hAnsi="Times New Roman"/>
          <w:i/>
          <w:color w:val="171717"/>
          <w:sz w:val="28"/>
          <w:szCs w:val="28"/>
        </w:rPr>
        <w:t xml:space="preserve">          </w:t>
      </w:r>
    </w:p>
    <w:p w:rsidR="00C82F48" w:rsidRDefault="00C82F48">
      <w:pPr>
        <w:tabs>
          <w:tab w:val="left" w:pos="0"/>
          <w:tab w:val="left" w:pos="567"/>
        </w:tabs>
        <w:spacing w:after="0" w:line="276" w:lineRule="auto"/>
        <w:ind w:firstLine="540"/>
        <w:jc w:val="right"/>
      </w:pPr>
      <w:r>
        <w:rPr>
          <w:rFonts w:ascii="Times New Roman" w:hAnsi="Times New Roman"/>
          <w:b/>
          <w:i/>
          <w:color w:val="171717"/>
          <w:sz w:val="28"/>
          <w:szCs w:val="28"/>
        </w:rPr>
        <w:t xml:space="preserve">                                                                                                                                          </w:t>
      </w:r>
      <w:r>
        <w:t>mil. lei</w:t>
      </w:r>
    </w:p>
    <w:tbl>
      <w:tblPr>
        <w:tblW w:w="0" w:type="auto"/>
        <w:jc w:val="center"/>
        <w:tblLayout w:type="fixed"/>
        <w:tblLook w:val="0000" w:firstRow="0" w:lastRow="0" w:firstColumn="0" w:lastColumn="0" w:noHBand="0" w:noVBand="0"/>
      </w:tblPr>
      <w:tblGrid>
        <w:gridCol w:w="3843"/>
        <w:gridCol w:w="1448"/>
        <w:gridCol w:w="1451"/>
        <w:gridCol w:w="1256"/>
        <w:gridCol w:w="1643"/>
      </w:tblGrid>
      <w:tr w:rsidR="00C82F48">
        <w:trPr>
          <w:trHeight w:val="100"/>
          <w:jc w:val="center"/>
        </w:trPr>
        <w:tc>
          <w:tcPr>
            <w:tcW w:w="3843" w:type="dxa"/>
            <w:vMerge w:val="restart"/>
            <w:tcBorders>
              <w:top w:val="single" w:sz="4" w:space="0" w:color="000000"/>
              <w:left w:val="single" w:sz="4" w:space="0" w:color="000000"/>
              <w:bottom w:val="single" w:sz="4" w:space="0" w:color="000000"/>
              <w:right w:val="single" w:sz="4" w:space="0" w:color="000000"/>
            </w:tcBorders>
            <w:shd w:val="clear" w:color="auto" w:fill="E5E5E5"/>
            <w:vAlign w:val="bottom"/>
          </w:tcPr>
          <w:p w:rsidR="00C82F48" w:rsidRDefault="00C82F48">
            <w:pPr>
              <w:tabs>
                <w:tab w:val="left" w:pos="0"/>
                <w:tab w:val="left" w:pos="567"/>
              </w:tabs>
              <w:spacing w:after="0" w:line="276" w:lineRule="auto"/>
              <w:jc w:val="center"/>
            </w:pPr>
            <w:r>
              <w:rPr>
                <w:rFonts w:ascii="Times New Roman" w:hAnsi="Times New Roman"/>
                <w:color w:val="171717"/>
                <w:sz w:val="26"/>
                <w:szCs w:val="26"/>
                <w:lang w:eastAsia="ro-RO"/>
              </w:rPr>
              <w:t> </w:t>
            </w:r>
          </w:p>
        </w:tc>
        <w:tc>
          <w:tcPr>
            <w:tcW w:w="1448" w:type="dxa"/>
            <w:tcBorders>
              <w:top w:val="single" w:sz="4" w:space="0" w:color="000000"/>
              <w:bottom w:val="single" w:sz="4" w:space="0" w:color="000000"/>
              <w:right w:val="single" w:sz="4" w:space="0" w:color="000000"/>
            </w:tcBorders>
            <w:shd w:val="clear" w:color="auto" w:fill="E5E5E5"/>
            <w:vAlign w:val="bottom"/>
          </w:tcPr>
          <w:p w:rsidR="00C82F48" w:rsidRDefault="00C82F48">
            <w:pPr>
              <w:tabs>
                <w:tab w:val="left" w:pos="0"/>
                <w:tab w:val="left" w:pos="567"/>
              </w:tabs>
              <w:spacing w:after="0" w:line="240" w:lineRule="auto"/>
              <w:jc w:val="center"/>
            </w:pPr>
            <w:r>
              <w:rPr>
                <w:rFonts w:ascii="Times New Roman" w:hAnsi="Times New Roman"/>
                <w:b/>
                <w:i/>
                <w:color w:val="171717"/>
                <w:sz w:val="26"/>
                <w:szCs w:val="26"/>
                <w:lang w:eastAsia="ro-RO"/>
              </w:rPr>
              <w:t>2022</w:t>
            </w:r>
          </w:p>
        </w:tc>
        <w:tc>
          <w:tcPr>
            <w:tcW w:w="1451" w:type="dxa"/>
            <w:tcBorders>
              <w:top w:val="single" w:sz="4" w:space="0" w:color="000000"/>
              <w:bottom w:val="single" w:sz="4" w:space="0" w:color="000000"/>
              <w:right w:val="single" w:sz="4" w:space="0" w:color="000000"/>
            </w:tcBorders>
            <w:shd w:val="clear" w:color="auto" w:fill="E5E5E5"/>
            <w:vAlign w:val="bottom"/>
          </w:tcPr>
          <w:p w:rsidR="00C82F48" w:rsidRDefault="00C82F48">
            <w:pPr>
              <w:tabs>
                <w:tab w:val="left" w:pos="0"/>
                <w:tab w:val="left" w:pos="567"/>
              </w:tabs>
              <w:spacing w:after="0" w:line="240" w:lineRule="auto"/>
              <w:jc w:val="center"/>
            </w:pPr>
            <w:r>
              <w:rPr>
                <w:rFonts w:ascii="Times New Roman" w:hAnsi="Times New Roman"/>
                <w:b/>
                <w:i/>
                <w:color w:val="171717"/>
                <w:sz w:val="26"/>
                <w:szCs w:val="26"/>
                <w:lang w:eastAsia="ro-RO"/>
              </w:rPr>
              <w:t>2023</w:t>
            </w:r>
          </w:p>
        </w:tc>
        <w:tc>
          <w:tcPr>
            <w:tcW w:w="2899" w:type="dxa"/>
            <w:gridSpan w:val="2"/>
            <w:tcBorders>
              <w:top w:val="single" w:sz="4" w:space="0" w:color="000000"/>
              <w:bottom w:val="single" w:sz="4" w:space="0" w:color="000000"/>
              <w:right w:val="single" w:sz="4" w:space="0" w:color="000000"/>
            </w:tcBorders>
            <w:shd w:val="clear" w:color="auto" w:fill="E5E5E5"/>
            <w:vAlign w:val="bottom"/>
          </w:tcPr>
          <w:p w:rsidR="00C82F48" w:rsidRDefault="00C82F48">
            <w:pPr>
              <w:tabs>
                <w:tab w:val="left" w:pos="0"/>
                <w:tab w:val="left" w:pos="567"/>
              </w:tabs>
              <w:spacing w:after="0" w:line="240" w:lineRule="auto"/>
              <w:jc w:val="center"/>
            </w:pPr>
            <w:r>
              <w:rPr>
                <w:rFonts w:ascii="Times New Roman" w:hAnsi="Times New Roman"/>
                <w:b/>
                <w:i/>
                <w:color w:val="171717"/>
                <w:sz w:val="26"/>
                <w:szCs w:val="26"/>
                <w:lang w:eastAsia="ro-RO"/>
              </w:rPr>
              <w:t>devieri</w:t>
            </w:r>
          </w:p>
        </w:tc>
      </w:tr>
      <w:tr w:rsidR="00C82F48">
        <w:trPr>
          <w:trHeight w:val="63"/>
          <w:jc w:val="center"/>
        </w:trPr>
        <w:tc>
          <w:tcPr>
            <w:tcW w:w="3843" w:type="dxa"/>
            <w:vMerge/>
            <w:tcBorders>
              <w:top w:val="single" w:sz="4" w:space="0" w:color="000000"/>
              <w:left w:val="single" w:sz="4" w:space="0" w:color="000000"/>
              <w:bottom w:val="single" w:sz="4" w:space="0" w:color="000000"/>
              <w:right w:val="single" w:sz="4" w:space="0" w:color="000000"/>
            </w:tcBorders>
            <w:shd w:val="clear" w:color="auto" w:fill="E5E5E5"/>
            <w:vAlign w:val="bottom"/>
          </w:tcPr>
          <w:p w:rsidR="00C82F48" w:rsidRDefault="00C82F48">
            <w:pPr>
              <w:tabs>
                <w:tab w:val="left" w:pos="0"/>
                <w:tab w:val="left" w:pos="567"/>
              </w:tabs>
              <w:snapToGrid w:val="0"/>
              <w:spacing w:after="0" w:line="276" w:lineRule="auto"/>
              <w:rPr>
                <w:rFonts w:ascii="Times New Roman" w:hAnsi="Times New Roman"/>
                <w:b/>
                <w:i/>
                <w:color w:val="171717"/>
                <w:sz w:val="26"/>
                <w:szCs w:val="26"/>
                <w:lang w:eastAsia="ro-RO"/>
              </w:rPr>
            </w:pPr>
          </w:p>
        </w:tc>
        <w:tc>
          <w:tcPr>
            <w:tcW w:w="2899" w:type="dxa"/>
            <w:gridSpan w:val="2"/>
            <w:tcBorders>
              <w:top w:val="single" w:sz="4" w:space="0" w:color="000000"/>
              <w:bottom w:val="single" w:sz="4" w:space="0" w:color="000000"/>
              <w:right w:val="single" w:sz="4" w:space="0" w:color="000000"/>
            </w:tcBorders>
            <w:shd w:val="clear" w:color="auto" w:fill="E5E5E5"/>
            <w:vAlign w:val="bottom"/>
          </w:tcPr>
          <w:p w:rsidR="00C82F48" w:rsidRDefault="00C82F48">
            <w:pPr>
              <w:tabs>
                <w:tab w:val="left" w:pos="0"/>
                <w:tab w:val="left" w:pos="567"/>
              </w:tabs>
              <w:spacing w:after="0" w:line="240" w:lineRule="auto"/>
              <w:jc w:val="center"/>
            </w:pPr>
            <w:r>
              <w:rPr>
                <w:rFonts w:ascii="Times New Roman" w:hAnsi="Times New Roman"/>
                <w:color w:val="171717"/>
                <w:sz w:val="26"/>
                <w:szCs w:val="26"/>
                <w:lang w:eastAsia="ro-RO"/>
              </w:rPr>
              <w:t xml:space="preserve">semestrul I </w:t>
            </w:r>
          </w:p>
        </w:tc>
        <w:tc>
          <w:tcPr>
            <w:tcW w:w="1256" w:type="dxa"/>
            <w:tcBorders>
              <w:bottom w:val="single" w:sz="4" w:space="0" w:color="000000"/>
              <w:right w:val="single" w:sz="4" w:space="0" w:color="000000"/>
            </w:tcBorders>
            <w:shd w:val="clear" w:color="auto" w:fill="E5E5E5"/>
            <w:vAlign w:val="bottom"/>
          </w:tcPr>
          <w:p w:rsidR="00C82F48" w:rsidRDefault="00C82F48">
            <w:pPr>
              <w:tabs>
                <w:tab w:val="left" w:pos="0"/>
                <w:tab w:val="left" w:pos="567"/>
              </w:tabs>
              <w:spacing w:after="0" w:line="240" w:lineRule="auto"/>
              <w:jc w:val="center"/>
            </w:pPr>
            <w:r>
              <w:rPr>
                <w:rFonts w:ascii="Times New Roman" w:hAnsi="Times New Roman"/>
                <w:color w:val="171717"/>
                <w:sz w:val="26"/>
                <w:szCs w:val="26"/>
                <w:lang w:eastAsia="ro-RO"/>
              </w:rPr>
              <w:t>+,-</w:t>
            </w:r>
          </w:p>
        </w:tc>
        <w:tc>
          <w:tcPr>
            <w:tcW w:w="1643" w:type="dxa"/>
            <w:tcBorders>
              <w:bottom w:val="single" w:sz="4" w:space="0" w:color="000000"/>
              <w:right w:val="single" w:sz="4" w:space="0" w:color="000000"/>
            </w:tcBorders>
            <w:shd w:val="clear" w:color="auto" w:fill="E5E5E5"/>
            <w:vAlign w:val="bottom"/>
          </w:tcPr>
          <w:p w:rsidR="00C82F48" w:rsidRDefault="00C82F48">
            <w:pPr>
              <w:tabs>
                <w:tab w:val="left" w:pos="0"/>
                <w:tab w:val="left" w:pos="567"/>
              </w:tabs>
              <w:spacing w:after="0" w:line="240" w:lineRule="auto"/>
              <w:jc w:val="center"/>
            </w:pPr>
            <w:r>
              <w:rPr>
                <w:rFonts w:ascii="Times New Roman" w:hAnsi="Times New Roman"/>
                <w:color w:val="171717"/>
                <w:sz w:val="26"/>
                <w:szCs w:val="26"/>
                <w:lang w:eastAsia="ro-RO"/>
              </w:rPr>
              <w:t>%</w:t>
            </w:r>
          </w:p>
        </w:tc>
      </w:tr>
      <w:tr w:rsidR="00C82F48">
        <w:trPr>
          <w:trHeight w:val="349"/>
          <w:jc w:val="center"/>
        </w:trPr>
        <w:tc>
          <w:tcPr>
            <w:tcW w:w="3843" w:type="dxa"/>
            <w:tcBorders>
              <w:left w:val="single" w:sz="4" w:space="0" w:color="000000"/>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pPr>
            <w:r>
              <w:rPr>
                <w:rFonts w:ascii="Times New Roman" w:hAnsi="Times New Roman"/>
                <w:b/>
                <w:bCs/>
                <w:i/>
                <w:iCs/>
                <w:color w:val="171717"/>
                <w:sz w:val="26"/>
                <w:szCs w:val="26"/>
                <w:lang w:eastAsia="ro-RO"/>
              </w:rPr>
              <w:t>Total accize</w:t>
            </w:r>
          </w:p>
        </w:tc>
        <w:tc>
          <w:tcPr>
            <w:tcW w:w="1448" w:type="dxa"/>
            <w:tcBorders>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jc w:val="center"/>
            </w:pPr>
            <w:r>
              <w:rPr>
                <w:rFonts w:ascii="Times New Roman" w:hAnsi="Times New Roman"/>
                <w:b/>
                <w:color w:val="171717"/>
                <w:sz w:val="26"/>
                <w:szCs w:val="26"/>
                <w:lang w:eastAsia="ro-RO"/>
              </w:rPr>
              <w:t>3 517,5</w:t>
            </w:r>
          </w:p>
        </w:tc>
        <w:tc>
          <w:tcPr>
            <w:tcW w:w="1451" w:type="dxa"/>
            <w:tcBorders>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jc w:val="center"/>
            </w:pPr>
            <w:r>
              <w:rPr>
                <w:rFonts w:ascii="Times New Roman" w:hAnsi="Times New Roman"/>
                <w:b/>
                <w:color w:val="171717"/>
                <w:sz w:val="26"/>
                <w:szCs w:val="26"/>
                <w:lang w:eastAsia="ro-RO"/>
              </w:rPr>
              <w:t>4 210,3</w:t>
            </w:r>
          </w:p>
        </w:tc>
        <w:tc>
          <w:tcPr>
            <w:tcW w:w="1256" w:type="dxa"/>
            <w:tcBorders>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jc w:val="center"/>
            </w:pPr>
            <w:r>
              <w:rPr>
                <w:rFonts w:ascii="Times New Roman" w:hAnsi="Times New Roman"/>
                <w:b/>
                <w:i/>
                <w:color w:val="171717"/>
                <w:sz w:val="26"/>
                <w:szCs w:val="26"/>
                <w:lang w:eastAsia="ro-RO"/>
              </w:rPr>
              <w:t>692,8</w:t>
            </w:r>
          </w:p>
        </w:tc>
        <w:tc>
          <w:tcPr>
            <w:tcW w:w="1643" w:type="dxa"/>
            <w:tcBorders>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jc w:val="center"/>
            </w:pPr>
            <w:r>
              <w:rPr>
                <w:rFonts w:ascii="Times New Roman" w:hAnsi="Times New Roman"/>
                <w:b/>
                <w:i/>
                <w:color w:val="171717"/>
                <w:sz w:val="26"/>
                <w:szCs w:val="26"/>
                <w:lang w:eastAsia="ro-RO"/>
              </w:rPr>
              <w:t>119,7</w:t>
            </w:r>
          </w:p>
        </w:tc>
      </w:tr>
      <w:tr w:rsidR="00C82F48">
        <w:trPr>
          <w:trHeight w:val="273"/>
          <w:jc w:val="center"/>
        </w:trPr>
        <w:tc>
          <w:tcPr>
            <w:tcW w:w="3843" w:type="dxa"/>
            <w:tcBorders>
              <w:left w:val="single" w:sz="4" w:space="0" w:color="000000"/>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pPr>
            <w:r>
              <w:rPr>
                <w:rFonts w:ascii="Times New Roman" w:hAnsi="Times New Roman"/>
                <w:color w:val="171717"/>
                <w:sz w:val="26"/>
                <w:szCs w:val="26"/>
                <w:lang w:eastAsia="ro-RO"/>
              </w:rPr>
              <w:t>accize interne</w:t>
            </w:r>
          </w:p>
        </w:tc>
        <w:tc>
          <w:tcPr>
            <w:tcW w:w="1448" w:type="dxa"/>
            <w:tcBorders>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jc w:val="center"/>
            </w:pPr>
            <w:r>
              <w:rPr>
                <w:rFonts w:ascii="Times New Roman" w:hAnsi="Times New Roman"/>
                <w:color w:val="171717"/>
                <w:sz w:val="26"/>
                <w:szCs w:val="26"/>
                <w:lang w:eastAsia="ro-RO"/>
              </w:rPr>
              <w:t>407,6</w:t>
            </w:r>
          </w:p>
        </w:tc>
        <w:tc>
          <w:tcPr>
            <w:tcW w:w="1451" w:type="dxa"/>
            <w:tcBorders>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jc w:val="center"/>
            </w:pPr>
            <w:r>
              <w:rPr>
                <w:rFonts w:ascii="Times New Roman" w:hAnsi="Times New Roman"/>
                <w:color w:val="171717"/>
                <w:sz w:val="26"/>
                <w:szCs w:val="26"/>
                <w:lang w:eastAsia="ro-RO"/>
              </w:rPr>
              <w:t>513,4</w:t>
            </w:r>
          </w:p>
        </w:tc>
        <w:tc>
          <w:tcPr>
            <w:tcW w:w="1256" w:type="dxa"/>
            <w:tcBorders>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jc w:val="center"/>
            </w:pPr>
            <w:r>
              <w:rPr>
                <w:rFonts w:ascii="Times New Roman" w:hAnsi="Times New Roman"/>
                <w:i/>
                <w:color w:val="171717"/>
                <w:sz w:val="26"/>
                <w:szCs w:val="26"/>
                <w:lang w:eastAsia="ro-RO"/>
              </w:rPr>
              <w:t>105,8</w:t>
            </w:r>
          </w:p>
        </w:tc>
        <w:tc>
          <w:tcPr>
            <w:tcW w:w="1643" w:type="dxa"/>
            <w:tcBorders>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jc w:val="center"/>
            </w:pPr>
            <w:r>
              <w:rPr>
                <w:rFonts w:ascii="Times New Roman" w:hAnsi="Times New Roman"/>
                <w:i/>
                <w:color w:val="171717"/>
                <w:sz w:val="26"/>
                <w:szCs w:val="26"/>
                <w:lang w:eastAsia="ro-RO"/>
              </w:rPr>
              <w:t>126,0</w:t>
            </w:r>
          </w:p>
        </w:tc>
      </w:tr>
      <w:tr w:rsidR="00C82F48">
        <w:trPr>
          <w:trHeight w:val="310"/>
          <w:jc w:val="center"/>
        </w:trPr>
        <w:tc>
          <w:tcPr>
            <w:tcW w:w="3843" w:type="dxa"/>
            <w:tcBorders>
              <w:left w:val="single" w:sz="4" w:space="0" w:color="000000"/>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pPr>
            <w:r>
              <w:rPr>
                <w:rFonts w:ascii="Times New Roman" w:hAnsi="Times New Roman"/>
                <w:color w:val="171717"/>
                <w:sz w:val="26"/>
                <w:szCs w:val="26"/>
                <w:lang w:eastAsia="ro-RO"/>
              </w:rPr>
              <w:t>accize la import</w:t>
            </w:r>
          </w:p>
        </w:tc>
        <w:tc>
          <w:tcPr>
            <w:tcW w:w="1448" w:type="dxa"/>
            <w:tcBorders>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jc w:val="center"/>
            </w:pPr>
            <w:r>
              <w:rPr>
                <w:rFonts w:ascii="Times New Roman" w:hAnsi="Times New Roman"/>
                <w:color w:val="171717"/>
                <w:sz w:val="26"/>
                <w:szCs w:val="26"/>
                <w:lang w:eastAsia="ro-RO"/>
              </w:rPr>
              <w:t>3 119,7</w:t>
            </w:r>
          </w:p>
        </w:tc>
        <w:tc>
          <w:tcPr>
            <w:tcW w:w="1451" w:type="dxa"/>
            <w:tcBorders>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jc w:val="center"/>
            </w:pPr>
            <w:r>
              <w:rPr>
                <w:rFonts w:ascii="Times New Roman" w:hAnsi="Times New Roman"/>
                <w:color w:val="171717"/>
                <w:sz w:val="26"/>
                <w:szCs w:val="26"/>
                <w:lang w:eastAsia="ro-RO"/>
              </w:rPr>
              <w:t>3 716,5</w:t>
            </w:r>
          </w:p>
        </w:tc>
        <w:tc>
          <w:tcPr>
            <w:tcW w:w="1256" w:type="dxa"/>
            <w:tcBorders>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jc w:val="center"/>
            </w:pPr>
            <w:r>
              <w:rPr>
                <w:rFonts w:ascii="Times New Roman" w:hAnsi="Times New Roman"/>
                <w:i/>
                <w:color w:val="171717"/>
                <w:sz w:val="26"/>
                <w:szCs w:val="26"/>
                <w:lang w:eastAsia="ro-RO"/>
              </w:rPr>
              <w:t>596,8</w:t>
            </w:r>
          </w:p>
        </w:tc>
        <w:tc>
          <w:tcPr>
            <w:tcW w:w="1643" w:type="dxa"/>
            <w:tcBorders>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jc w:val="center"/>
            </w:pPr>
            <w:r>
              <w:rPr>
                <w:rFonts w:ascii="Times New Roman" w:hAnsi="Times New Roman"/>
                <w:i/>
                <w:color w:val="171717"/>
                <w:sz w:val="26"/>
                <w:szCs w:val="26"/>
                <w:lang w:eastAsia="ro-RO"/>
              </w:rPr>
              <w:t>119,1</w:t>
            </w:r>
          </w:p>
        </w:tc>
      </w:tr>
      <w:tr w:rsidR="00C82F48">
        <w:trPr>
          <w:trHeight w:val="151"/>
          <w:jc w:val="center"/>
        </w:trPr>
        <w:tc>
          <w:tcPr>
            <w:tcW w:w="3843" w:type="dxa"/>
            <w:tcBorders>
              <w:left w:val="single" w:sz="4" w:space="0" w:color="000000"/>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pPr>
            <w:r>
              <w:rPr>
                <w:rFonts w:ascii="Times New Roman" w:hAnsi="Times New Roman"/>
                <w:color w:val="000000"/>
                <w:sz w:val="26"/>
                <w:szCs w:val="26"/>
                <w:lang w:eastAsia="ro-RO"/>
              </w:rPr>
              <w:t>restituirea accizelor</w:t>
            </w:r>
          </w:p>
        </w:tc>
        <w:tc>
          <w:tcPr>
            <w:tcW w:w="1448" w:type="dxa"/>
            <w:tcBorders>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jc w:val="center"/>
            </w:pPr>
            <w:r>
              <w:rPr>
                <w:rFonts w:ascii="Times New Roman" w:hAnsi="Times New Roman"/>
                <w:color w:val="000000"/>
                <w:sz w:val="26"/>
                <w:szCs w:val="26"/>
                <w:lang w:eastAsia="ro-RO"/>
              </w:rPr>
              <w:t>-9,8</w:t>
            </w:r>
          </w:p>
        </w:tc>
        <w:tc>
          <w:tcPr>
            <w:tcW w:w="1451" w:type="dxa"/>
            <w:tcBorders>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jc w:val="center"/>
            </w:pPr>
            <w:r>
              <w:rPr>
                <w:rFonts w:ascii="Times New Roman" w:hAnsi="Times New Roman"/>
                <w:color w:val="000000"/>
                <w:sz w:val="26"/>
                <w:szCs w:val="26"/>
                <w:lang w:eastAsia="ro-RO"/>
              </w:rPr>
              <w:t>-19,6</w:t>
            </w:r>
          </w:p>
        </w:tc>
        <w:tc>
          <w:tcPr>
            <w:tcW w:w="1256" w:type="dxa"/>
            <w:tcBorders>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jc w:val="center"/>
            </w:pPr>
            <w:r>
              <w:rPr>
                <w:rFonts w:ascii="Times New Roman" w:hAnsi="Times New Roman"/>
                <w:i/>
                <w:color w:val="000000"/>
                <w:sz w:val="26"/>
                <w:szCs w:val="26"/>
                <w:lang w:eastAsia="ro-RO"/>
              </w:rPr>
              <w:t>-9,8</w:t>
            </w:r>
          </w:p>
        </w:tc>
        <w:tc>
          <w:tcPr>
            <w:tcW w:w="1643" w:type="dxa"/>
            <w:tcBorders>
              <w:bottom w:val="single" w:sz="4" w:space="0" w:color="000000"/>
              <w:right w:val="single" w:sz="4" w:space="0" w:color="000000"/>
            </w:tcBorders>
            <w:shd w:val="clear" w:color="auto" w:fill="auto"/>
            <w:vAlign w:val="bottom"/>
          </w:tcPr>
          <w:p w:rsidR="00C82F48" w:rsidRDefault="00C82F48">
            <w:pPr>
              <w:tabs>
                <w:tab w:val="left" w:pos="0"/>
                <w:tab w:val="left" w:pos="567"/>
              </w:tabs>
              <w:spacing w:after="0" w:line="276" w:lineRule="auto"/>
              <w:jc w:val="center"/>
            </w:pPr>
            <w:r>
              <w:rPr>
                <w:rFonts w:ascii="Times New Roman" w:hAnsi="Times New Roman"/>
                <w:i/>
                <w:sz w:val="26"/>
                <w:szCs w:val="26"/>
                <w:lang w:val="en-GB" w:eastAsia="ro-RO"/>
              </w:rPr>
              <w:t>200,0</w:t>
            </w:r>
          </w:p>
        </w:tc>
      </w:tr>
    </w:tbl>
    <w:p w:rsidR="00C82F48" w:rsidRDefault="00C82F48">
      <w:pPr>
        <w:keepNext/>
        <w:keepLines/>
        <w:tabs>
          <w:tab w:val="left" w:pos="0"/>
          <w:tab w:val="left" w:pos="567"/>
          <w:tab w:val="left" w:pos="709"/>
          <w:tab w:val="left" w:pos="851"/>
        </w:tabs>
        <w:spacing w:after="0" w:line="276" w:lineRule="auto"/>
        <w:outlineLvl w:val="1"/>
      </w:pPr>
      <w:r>
        <w:rPr>
          <w:rFonts w:ascii="Times New Roman" w:hAnsi="Times New Roman"/>
          <w:sz w:val="28"/>
          <w:szCs w:val="28"/>
        </w:rPr>
        <w:t xml:space="preserve">     </w:t>
      </w:r>
    </w:p>
    <w:p w:rsidR="00C82F48" w:rsidRDefault="00C82F48">
      <w:pPr>
        <w:keepNext/>
        <w:keepLines/>
        <w:tabs>
          <w:tab w:val="left" w:pos="0"/>
          <w:tab w:val="left" w:pos="567"/>
          <w:tab w:val="left" w:pos="709"/>
          <w:tab w:val="left" w:pos="851"/>
        </w:tabs>
        <w:spacing w:after="120" w:line="276" w:lineRule="auto"/>
        <w:ind w:left="142" w:right="232" w:firstLine="284"/>
        <w:outlineLvl w:val="1"/>
      </w:pPr>
      <w:r>
        <w:rPr>
          <w:rFonts w:ascii="Times New Roman" w:hAnsi="Times New Roman"/>
          <w:b/>
          <w:bCs/>
          <w:i/>
          <w:sz w:val="28"/>
          <w:szCs w:val="28"/>
        </w:rPr>
        <w:t>Taxa asupra comerțului exterior și operațiunilor externe</w:t>
      </w:r>
    </w:p>
    <w:p w:rsidR="00C82F48" w:rsidRDefault="00C82F48">
      <w:pPr>
        <w:tabs>
          <w:tab w:val="left" w:pos="0"/>
          <w:tab w:val="left" w:pos="567"/>
        </w:tabs>
        <w:spacing w:after="0" w:line="276" w:lineRule="auto"/>
        <w:ind w:left="142" w:right="232" w:firstLine="284"/>
        <w:jc w:val="both"/>
      </w:pPr>
      <w:r>
        <w:rPr>
          <w:rFonts w:ascii="Times New Roman" w:hAnsi="Times New Roman"/>
          <w:sz w:val="28"/>
          <w:szCs w:val="28"/>
        </w:rPr>
        <w:tab/>
      </w:r>
      <w:r>
        <w:rPr>
          <w:rFonts w:ascii="Times New Roman" w:hAnsi="Times New Roman"/>
          <w:sz w:val="28"/>
          <w:szCs w:val="28"/>
        </w:rPr>
        <w:tab/>
        <w:t xml:space="preserve">Taxa asupra comerțului exterior în semestrul I 2023 s-a majorat cu 102,8 mil lei sau cu 8,4% față de aceeași perioadă a anului 2022 din contul majorării încasărilor din taxa vamală cu 112,4 mil.lei </w:t>
      </w:r>
      <w:r>
        <w:rPr>
          <w:rFonts w:ascii="Times New Roman" w:hAnsi="Times New Roman"/>
          <w:sz w:val="28"/>
          <w:szCs w:val="28"/>
          <w:lang w:val="ro-MD"/>
        </w:rPr>
        <w:t>ș</w:t>
      </w:r>
      <w:r>
        <w:rPr>
          <w:rFonts w:ascii="Times New Roman" w:hAnsi="Times New Roman"/>
          <w:sz w:val="28"/>
          <w:szCs w:val="28"/>
        </w:rPr>
        <w:t>i din taxa pentru efectuarea procedurilor vamale de 3,6 mil.lei</w:t>
      </w:r>
      <w:r>
        <w:rPr>
          <w:rFonts w:ascii="Times New Roman" w:hAnsi="Times New Roman"/>
          <w:color w:val="000000"/>
          <w:sz w:val="28"/>
          <w:szCs w:val="28"/>
        </w:rPr>
        <w:t>.</w:t>
      </w:r>
      <w:r>
        <w:rPr>
          <w:rFonts w:ascii="Times New Roman" w:hAnsi="Times New Roman"/>
          <w:color w:val="FF0000"/>
          <w:sz w:val="28"/>
          <w:szCs w:val="28"/>
        </w:rPr>
        <w:t xml:space="preserve">  </w:t>
      </w:r>
    </w:p>
    <w:p w:rsidR="00C82F48" w:rsidRDefault="00C82F48">
      <w:pPr>
        <w:tabs>
          <w:tab w:val="left" w:pos="0"/>
          <w:tab w:val="left" w:pos="567"/>
        </w:tabs>
        <w:spacing w:after="0" w:line="276" w:lineRule="auto"/>
        <w:jc w:val="right"/>
      </w:pPr>
      <w:r>
        <w:rPr>
          <w:rFonts w:ascii="Times New Roman" w:hAnsi="Times New Roman"/>
          <w:b/>
          <w:i/>
          <w:sz w:val="28"/>
          <w:szCs w:val="28"/>
        </w:rPr>
        <w:t xml:space="preserve">                                                                                                                                                    </w:t>
      </w:r>
      <w:r>
        <w:t>mil. lei</w:t>
      </w:r>
    </w:p>
    <w:tbl>
      <w:tblPr>
        <w:tblW w:w="0" w:type="auto"/>
        <w:jc w:val="center"/>
        <w:tblLayout w:type="fixed"/>
        <w:tblLook w:val="0000" w:firstRow="0" w:lastRow="0" w:firstColumn="0" w:lastColumn="0" w:noHBand="0" w:noVBand="0"/>
      </w:tblPr>
      <w:tblGrid>
        <w:gridCol w:w="5393"/>
        <w:gridCol w:w="1148"/>
        <w:gridCol w:w="1148"/>
        <w:gridCol w:w="924"/>
        <w:gridCol w:w="924"/>
      </w:tblGrid>
      <w:tr w:rsidR="00C82F48">
        <w:trPr>
          <w:trHeight w:val="211"/>
          <w:jc w:val="center"/>
        </w:trPr>
        <w:tc>
          <w:tcPr>
            <w:tcW w:w="5393" w:type="dxa"/>
            <w:vMerge w:val="restart"/>
            <w:tcBorders>
              <w:top w:val="single" w:sz="4" w:space="0" w:color="000000"/>
              <w:left w:val="single" w:sz="4" w:space="0" w:color="000000"/>
              <w:bottom w:val="single" w:sz="4" w:space="0" w:color="000000"/>
              <w:right w:val="single" w:sz="4" w:space="0" w:color="000000"/>
            </w:tcBorders>
            <w:shd w:val="clear" w:color="auto" w:fill="E5E5E5"/>
            <w:vAlign w:val="bottom"/>
          </w:tcPr>
          <w:p w:rsidR="00C82F48" w:rsidRDefault="00C82F48">
            <w:pPr>
              <w:tabs>
                <w:tab w:val="left" w:pos="0"/>
              </w:tabs>
              <w:spacing w:after="0" w:line="276" w:lineRule="auto"/>
              <w:jc w:val="center"/>
            </w:pPr>
            <w:r>
              <w:rPr>
                <w:rFonts w:ascii="Times New Roman" w:hAnsi="Times New Roman"/>
                <w:color w:val="000000"/>
                <w:sz w:val="26"/>
                <w:szCs w:val="26"/>
                <w:lang w:eastAsia="ro-RO"/>
              </w:rPr>
              <w:t> </w:t>
            </w:r>
          </w:p>
        </w:tc>
        <w:tc>
          <w:tcPr>
            <w:tcW w:w="1148" w:type="dxa"/>
            <w:tcBorders>
              <w:top w:val="single" w:sz="4" w:space="0" w:color="000000"/>
              <w:bottom w:val="single" w:sz="4" w:space="0" w:color="000000"/>
              <w:right w:val="single" w:sz="4" w:space="0" w:color="000000"/>
            </w:tcBorders>
            <w:shd w:val="clear" w:color="auto" w:fill="E5E5E5"/>
            <w:vAlign w:val="bottom"/>
          </w:tcPr>
          <w:p w:rsidR="00C82F48" w:rsidRDefault="00C82F48">
            <w:pPr>
              <w:tabs>
                <w:tab w:val="left" w:pos="0"/>
              </w:tabs>
              <w:spacing w:after="0" w:line="240" w:lineRule="auto"/>
              <w:jc w:val="center"/>
            </w:pPr>
            <w:r>
              <w:rPr>
                <w:rFonts w:ascii="Times New Roman" w:hAnsi="Times New Roman"/>
                <w:b/>
                <w:i/>
                <w:color w:val="000000"/>
                <w:sz w:val="26"/>
                <w:szCs w:val="26"/>
                <w:lang w:eastAsia="ro-RO"/>
              </w:rPr>
              <w:t>2022</w:t>
            </w:r>
          </w:p>
        </w:tc>
        <w:tc>
          <w:tcPr>
            <w:tcW w:w="1148" w:type="dxa"/>
            <w:tcBorders>
              <w:top w:val="single" w:sz="4" w:space="0" w:color="000000"/>
              <w:bottom w:val="single" w:sz="4" w:space="0" w:color="000000"/>
              <w:right w:val="single" w:sz="4" w:space="0" w:color="000000"/>
            </w:tcBorders>
            <w:shd w:val="clear" w:color="auto" w:fill="E5E5E5"/>
            <w:vAlign w:val="bottom"/>
          </w:tcPr>
          <w:p w:rsidR="00C82F48" w:rsidRDefault="00C82F48">
            <w:pPr>
              <w:tabs>
                <w:tab w:val="left" w:pos="0"/>
              </w:tabs>
              <w:spacing w:after="0" w:line="240" w:lineRule="auto"/>
              <w:jc w:val="center"/>
            </w:pPr>
            <w:r>
              <w:rPr>
                <w:rFonts w:ascii="Times New Roman" w:hAnsi="Times New Roman"/>
                <w:b/>
                <w:i/>
                <w:color w:val="000000"/>
                <w:sz w:val="26"/>
                <w:szCs w:val="26"/>
                <w:lang w:eastAsia="ro-RO"/>
              </w:rPr>
              <w:t>2023</w:t>
            </w:r>
          </w:p>
        </w:tc>
        <w:tc>
          <w:tcPr>
            <w:tcW w:w="1848" w:type="dxa"/>
            <w:gridSpan w:val="2"/>
            <w:tcBorders>
              <w:top w:val="single" w:sz="4" w:space="0" w:color="000000"/>
              <w:bottom w:val="single" w:sz="4" w:space="0" w:color="000000"/>
              <w:right w:val="single" w:sz="4" w:space="0" w:color="000000"/>
            </w:tcBorders>
            <w:shd w:val="clear" w:color="auto" w:fill="E5E5E5"/>
            <w:vAlign w:val="bottom"/>
          </w:tcPr>
          <w:p w:rsidR="00C82F48" w:rsidRDefault="00C82F48">
            <w:pPr>
              <w:tabs>
                <w:tab w:val="left" w:pos="0"/>
              </w:tabs>
              <w:spacing w:after="0" w:line="240" w:lineRule="auto"/>
              <w:jc w:val="center"/>
            </w:pPr>
            <w:r>
              <w:rPr>
                <w:rFonts w:ascii="Times New Roman" w:hAnsi="Times New Roman"/>
                <w:b/>
                <w:i/>
                <w:color w:val="000000"/>
                <w:sz w:val="26"/>
                <w:szCs w:val="26"/>
                <w:lang w:eastAsia="ro-RO"/>
              </w:rPr>
              <w:t>devieri</w:t>
            </w:r>
          </w:p>
        </w:tc>
      </w:tr>
      <w:tr w:rsidR="00C82F48">
        <w:trPr>
          <w:trHeight w:val="92"/>
          <w:jc w:val="center"/>
        </w:trPr>
        <w:tc>
          <w:tcPr>
            <w:tcW w:w="5393" w:type="dxa"/>
            <w:vMerge/>
            <w:tcBorders>
              <w:top w:val="single" w:sz="4" w:space="0" w:color="000000"/>
              <w:left w:val="single" w:sz="4" w:space="0" w:color="000000"/>
              <w:bottom w:val="single" w:sz="4" w:space="0" w:color="000000"/>
              <w:right w:val="single" w:sz="4" w:space="0" w:color="000000"/>
            </w:tcBorders>
            <w:shd w:val="clear" w:color="auto" w:fill="E5E5E5"/>
            <w:vAlign w:val="bottom"/>
          </w:tcPr>
          <w:p w:rsidR="00C82F48" w:rsidRDefault="00C82F48">
            <w:pPr>
              <w:tabs>
                <w:tab w:val="left" w:pos="0"/>
              </w:tabs>
              <w:snapToGrid w:val="0"/>
              <w:spacing w:after="0" w:line="276" w:lineRule="auto"/>
              <w:rPr>
                <w:rFonts w:ascii="Times New Roman" w:hAnsi="Times New Roman"/>
                <w:b/>
                <w:i/>
                <w:color w:val="000000"/>
                <w:sz w:val="26"/>
                <w:szCs w:val="26"/>
                <w:lang w:eastAsia="ro-RO"/>
              </w:rPr>
            </w:pPr>
          </w:p>
        </w:tc>
        <w:tc>
          <w:tcPr>
            <w:tcW w:w="2296" w:type="dxa"/>
            <w:gridSpan w:val="2"/>
            <w:tcBorders>
              <w:top w:val="single" w:sz="4" w:space="0" w:color="000000"/>
              <w:bottom w:val="single" w:sz="4" w:space="0" w:color="000000"/>
              <w:right w:val="single" w:sz="4" w:space="0" w:color="000000"/>
            </w:tcBorders>
            <w:shd w:val="clear" w:color="auto" w:fill="E5E5E5"/>
            <w:vAlign w:val="bottom"/>
          </w:tcPr>
          <w:p w:rsidR="00C82F48" w:rsidRDefault="00C82F48">
            <w:pPr>
              <w:tabs>
                <w:tab w:val="left" w:pos="0"/>
              </w:tabs>
              <w:spacing w:after="0" w:line="240" w:lineRule="auto"/>
              <w:jc w:val="center"/>
            </w:pPr>
            <w:r>
              <w:rPr>
                <w:rFonts w:ascii="Times New Roman" w:hAnsi="Times New Roman"/>
                <w:color w:val="000000"/>
                <w:sz w:val="26"/>
                <w:szCs w:val="26"/>
                <w:lang w:eastAsia="ro-RO"/>
              </w:rPr>
              <w:t xml:space="preserve">semestrul I </w:t>
            </w:r>
          </w:p>
        </w:tc>
        <w:tc>
          <w:tcPr>
            <w:tcW w:w="924" w:type="dxa"/>
            <w:tcBorders>
              <w:bottom w:val="single" w:sz="4" w:space="0" w:color="000000"/>
              <w:right w:val="single" w:sz="4" w:space="0" w:color="000000"/>
            </w:tcBorders>
            <w:shd w:val="clear" w:color="auto" w:fill="E5E5E5"/>
            <w:vAlign w:val="bottom"/>
          </w:tcPr>
          <w:p w:rsidR="00C82F48" w:rsidRDefault="00C82F48">
            <w:pPr>
              <w:tabs>
                <w:tab w:val="left" w:pos="0"/>
              </w:tabs>
              <w:spacing w:after="0" w:line="240" w:lineRule="auto"/>
              <w:jc w:val="center"/>
            </w:pPr>
            <w:r>
              <w:rPr>
                <w:rFonts w:ascii="Times New Roman" w:hAnsi="Times New Roman"/>
                <w:color w:val="000000"/>
                <w:sz w:val="26"/>
                <w:szCs w:val="26"/>
                <w:lang w:eastAsia="ro-RO"/>
              </w:rPr>
              <w:t>+,-</w:t>
            </w:r>
          </w:p>
        </w:tc>
        <w:tc>
          <w:tcPr>
            <w:tcW w:w="924" w:type="dxa"/>
            <w:tcBorders>
              <w:bottom w:val="single" w:sz="4" w:space="0" w:color="000000"/>
              <w:right w:val="single" w:sz="4" w:space="0" w:color="000000"/>
            </w:tcBorders>
            <w:shd w:val="clear" w:color="auto" w:fill="E5E5E5"/>
            <w:vAlign w:val="bottom"/>
          </w:tcPr>
          <w:p w:rsidR="00C82F48" w:rsidRDefault="00C82F48">
            <w:pPr>
              <w:tabs>
                <w:tab w:val="left" w:pos="0"/>
              </w:tabs>
              <w:spacing w:after="0" w:line="240" w:lineRule="auto"/>
              <w:jc w:val="center"/>
            </w:pPr>
            <w:r>
              <w:rPr>
                <w:rFonts w:ascii="Times New Roman" w:hAnsi="Times New Roman"/>
                <w:color w:val="000000"/>
                <w:sz w:val="26"/>
                <w:szCs w:val="26"/>
                <w:lang w:eastAsia="ro-RO"/>
              </w:rPr>
              <w:t>%</w:t>
            </w:r>
          </w:p>
        </w:tc>
      </w:tr>
      <w:tr w:rsidR="00C82F48">
        <w:trPr>
          <w:trHeight w:val="319"/>
          <w:jc w:val="center"/>
        </w:trPr>
        <w:tc>
          <w:tcPr>
            <w:tcW w:w="5393" w:type="dxa"/>
            <w:tcBorders>
              <w:left w:val="single" w:sz="4" w:space="0" w:color="000000"/>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pPr>
            <w:r>
              <w:rPr>
                <w:rFonts w:ascii="Times New Roman" w:hAnsi="Times New Roman"/>
                <w:b/>
                <w:bCs/>
                <w:i/>
                <w:iCs/>
                <w:color w:val="000000"/>
                <w:sz w:val="26"/>
                <w:szCs w:val="26"/>
                <w:lang w:eastAsia="ro-RO"/>
              </w:rPr>
              <w:t xml:space="preserve">Total </w:t>
            </w:r>
          </w:p>
        </w:tc>
        <w:tc>
          <w:tcPr>
            <w:tcW w:w="1148" w:type="dxa"/>
            <w:tcBorders>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jc w:val="center"/>
            </w:pPr>
            <w:r>
              <w:rPr>
                <w:rFonts w:ascii="Times New Roman" w:hAnsi="Times New Roman"/>
                <w:b/>
                <w:color w:val="000000"/>
                <w:sz w:val="26"/>
                <w:szCs w:val="26"/>
                <w:lang w:eastAsia="ro-RO"/>
              </w:rPr>
              <w:t>1 223,0</w:t>
            </w:r>
          </w:p>
        </w:tc>
        <w:tc>
          <w:tcPr>
            <w:tcW w:w="1148" w:type="dxa"/>
            <w:tcBorders>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jc w:val="center"/>
            </w:pPr>
            <w:r>
              <w:rPr>
                <w:rFonts w:ascii="Times New Roman" w:hAnsi="Times New Roman"/>
                <w:b/>
                <w:color w:val="000000"/>
                <w:sz w:val="26"/>
                <w:szCs w:val="26"/>
                <w:lang w:eastAsia="ro-RO"/>
              </w:rPr>
              <w:t>1 325,8</w:t>
            </w:r>
          </w:p>
        </w:tc>
        <w:tc>
          <w:tcPr>
            <w:tcW w:w="924" w:type="dxa"/>
            <w:tcBorders>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jc w:val="center"/>
            </w:pPr>
            <w:r>
              <w:rPr>
                <w:rFonts w:ascii="Times New Roman" w:hAnsi="Times New Roman"/>
                <w:b/>
                <w:i/>
                <w:color w:val="000000"/>
                <w:sz w:val="26"/>
                <w:szCs w:val="26"/>
                <w:lang w:eastAsia="ro-RO"/>
              </w:rPr>
              <w:t>102,8</w:t>
            </w:r>
          </w:p>
        </w:tc>
        <w:tc>
          <w:tcPr>
            <w:tcW w:w="924" w:type="dxa"/>
            <w:tcBorders>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jc w:val="center"/>
            </w:pPr>
            <w:r>
              <w:rPr>
                <w:rFonts w:ascii="Times New Roman" w:hAnsi="Times New Roman"/>
                <w:b/>
                <w:i/>
                <w:sz w:val="26"/>
                <w:szCs w:val="26"/>
                <w:lang w:eastAsia="ro-RO"/>
              </w:rPr>
              <w:t>108,4</w:t>
            </w:r>
          </w:p>
        </w:tc>
      </w:tr>
      <w:tr w:rsidR="00C82F48">
        <w:trPr>
          <w:trHeight w:val="244"/>
          <w:jc w:val="center"/>
        </w:trPr>
        <w:tc>
          <w:tcPr>
            <w:tcW w:w="5393" w:type="dxa"/>
            <w:tcBorders>
              <w:left w:val="single" w:sz="4" w:space="0" w:color="000000"/>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pPr>
            <w:r>
              <w:rPr>
                <w:rFonts w:ascii="Times New Roman" w:hAnsi="Times New Roman"/>
                <w:color w:val="000000"/>
                <w:sz w:val="26"/>
                <w:szCs w:val="26"/>
                <w:lang w:eastAsia="ro-RO"/>
              </w:rPr>
              <w:t>taxa vamală</w:t>
            </w:r>
          </w:p>
        </w:tc>
        <w:tc>
          <w:tcPr>
            <w:tcW w:w="1148" w:type="dxa"/>
            <w:tcBorders>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jc w:val="center"/>
            </w:pPr>
            <w:r>
              <w:rPr>
                <w:rFonts w:ascii="Times New Roman" w:hAnsi="Times New Roman"/>
                <w:color w:val="000000"/>
                <w:sz w:val="26"/>
                <w:szCs w:val="26"/>
                <w:lang w:eastAsia="ro-RO"/>
              </w:rPr>
              <w:t>830,6</w:t>
            </w:r>
          </w:p>
        </w:tc>
        <w:tc>
          <w:tcPr>
            <w:tcW w:w="1148" w:type="dxa"/>
            <w:tcBorders>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jc w:val="center"/>
            </w:pPr>
            <w:r>
              <w:rPr>
                <w:rFonts w:ascii="Times New Roman" w:hAnsi="Times New Roman"/>
                <w:color w:val="000000"/>
                <w:sz w:val="26"/>
                <w:szCs w:val="26"/>
                <w:lang w:eastAsia="ro-RO"/>
              </w:rPr>
              <w:t>943,0</w:t>
            </w:r>
          </w:p>
        </w:tc>
        <w:tc>
          <w:tcPr>
            <w:tcW w:w="924" w:type="dxa"/>
            <w:tcBorders>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jc w:val="center"/>
            </w:pPr>
            <w:r>
              <w:rPr>
                <w:rFonts w:ascii="Times New Roman" w:hAnsi="Times New Roman"/>
                <w:i/>
                <w:color w:val="000000"/>
                <w:sz w:val="26"/>
                <w:szCs w:val="26"/>
                <w:lang w:eastAsia="ro-RO"/>
              </w:rPr>
              <w:t>112,4</w:t>
            </w:r>
          </w:p>
        </w:tc>
        <w:tc>
          <w:tcPr>
            <w:tcW w:w="924" w:type="dxa"/>
            <w:tcBorders>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jc w:val="center"/>
            </w:pPr>
            <w:r>
              <w:rPr>
                <w:rFonts w:ascii="Times New Roman" w:hAnsi="Times New Roman"/>
                <w:i/>
                <w:sz w:val="26"/>
                <w:szCs w:val="26"/>
                <w:lang w:eastAsia="ro-RO"/>
              </w:rPr>
              <w:t>113,5</w:t>
            </w:r>
          </w:p>
        </w:tc>
      </w:tr>
      <w:tr w:rsidR="00C82F48">
        <w:trPr>
          <w:trHeight w:val="319"/>
          <w:jc w:val="center"/>
        </w:trPr>
        <w:tc>
          <w:tcPr>
            <w:tcW w:w="5393" w:type="dxa"/>
            <w:tcBorders>
              <w:left w:val="single" w:sz="4" w:space="0" w:color="000000"/>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pPr>
            <w:r>
              <w:rPr>
                <w:rFonts w:ascii="Times New Roman" w:hAnsi="Times New Roman"/>
                <w:color w:val="000000"/>
                <w:sz w:val="26"/>
                <w:szCs w:val="26"/>
                <w:lang w:eastAsia="ro-RO"/>
              </w:rPr>
              <w:t>taxa pentru efectuarea procedurilor vamale</w:t>
            </w:r>
          </w:p>
        </w:tc>
        <w:tc>
          <w:tcPr>
            <w:tcW w:w="1148" w:type="dxa"/>
            <w:tcBorders>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jc w:val="center"/>
            </w:pPr>
            <w:r>
              <w:rPr>
                <w:rFonts w:ascii="Times New Roman" w:hAnsi="Times New Roman"/>
                <w:color w:val="000000"/>
                <w:sz w:val="26"/>
                <w:szCs w:val="26"/>
                <w:lang w:eastAsia="ro-RO"/>
              </w:rPr>
              <w:t>353,2</w:t>
            </w:r>
          </w:p>
        </w:tc>
        <w:tc>
          <w:tcPr>
            <w:tcW w:w="1148" w:type="dxa"/>
            <w:tcBorders>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jc w:val="center"/>
            </w:pPr>
            <w:r>
              <w:rPr>
                <w:rFonts w:ascii="Times New Roman" w:hAnsi="Times New Roman"/>
                <w:color w:val="000000"/>
                <w:sz w:val="26"/>
                <w:szCs w:val="26"/>
                <w:lang w:eastAsia="ro-RO"/>
              </w:rPr>
              <w:t>356,8</w:t>
            </w:r>
          </w:p>
        </w:tc>
        <w:tc>
          <w:tcPr>
            <w:tcW w:w="924" w:type="dxa"/>
            <w:tcBorders>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jc w:val="center"/>
            </w:pPr>
            <w:r>
              <w:rPr>
                <w:rFonts w:ascii="Times New Roman" w:hAnsi="Times New Roman"/>
                <w:i/>
                <w:color w:val="000000"/>
                <w:sz w:val="26"/>
                <w:szCs w:val="26"/>
                <w:lang w:eastAsia="ro-RO"/>
              </w:rPr>
              <w:t>3,6</w:t>
            </w:r>
          </w:p>
        </w:tc>
        <w:tc>
          <w:tcPr>
            <w:tcW w:w="924" w:type="dxa"/>
            <w:tcBorders>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jc w:val="center"/>
            </w:pPr>
            <w:r>
              <w:rPr>
                <w:rFonts w:ascii="Times New Roman" w:hAnsi="Times New Roman"/>
                <w:i/>
                <w:sz w:val="26"/>
                <w:szCs w:val="26"/>
                <w:lang w:eastAsia="ro-RO"/>
              </w:rPr>
              <w:t>101,0</w:t>
            </w:r>
          </w:p>
        </w:tc>
      </w:tr>
      <w:tr w:rsidR="00C82F48">
        <w:trPr>
          <w:trHeight w:val="241"/>
          <w:jc w:val="center"/>
        </w:trPr>
        <w:tc>
          <w:tcPr>
            <w:tcW w:w="5393" w:type="dxa"/>
            <w:tcBorders>
              <w:left w:val="single" w:sz="4" w:space="0" w:color="000000"/>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pPr>
            <w:r>
              <w:rPr>
                <w:rFonts w:ascii="Times New Roman" w:hAnsi="Times New Roman"/>
                <w:color w:val="000000"/>
                <w:sz w:val="26"/>
                <w:szCs w:val="26"/>
                <w:lang w:eastAsia="ro-RO"/>
              </w:rPr>
              <w:t>taxa consulară</w:t>
            </w:r>
          </w:p>
        </w:tc>
        <w:tc>
          <w:tcPr>
            <w:tcW w:w="1148" w:type="dxa"/>
            <w:tcBorders>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jc w:val="center"/>
            </w:pPr>
            <w:r>
              <w:rPr>
                <w:rFonts w:ascii="Times New Roman" w:hAnsi="Times New Roman"/>
                <w:color w:val="000000"/>
                <w:sz w:val="26"/>
                <w:szCs w:val="26"/>
                <w:lang w:eastAsia="ro-RO"/>
              </w:rPr>
              <w:t>39,2</w:t>
            </w:r>
          </w:p>
        </w:tc>
        <w:tc>
          <w:tcPr>
            <w:tcW w:w="1148" w:type="dxa"/>
            <w:tcBorders>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jc w:val="center"/>
            </w:pPr>
            <w:r>
              <w:rPr>
                <w:rFonts w:ascii="Times New Roman" w:hAnsi="Times New Roman"/>
                <w:color w:val="000000"/>
                <w:sz w:val="26"/>
                <w:szCs w:val="26"/>
                <w:lang w:eastAsia="ro-RO"/>
              </w:rPr>
              <w:t>26,0</w:t>
            </w:r>
          </w:p>
        </w:tc>
        <w:tc>
          <w:tcPr>
            <w:tcW w:w="924" w:type="dxa"/>
            <w:tcBorders>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jc w:val="center"/>
            </w:pPr>
            <w:r>
              <w:rPr>
                <w:rFonts w:ascii="Times New Roman" w:hAnsi="Times New Roman"/>
                <w:color w:val="000000"/>
                <w:sz w:val="26"/>
                <w:szCs w:val="26"/>
                <w:lang w:eastAsia="ro-RO"/>
              </w:rPr>
              <w:t>-13,2</w:t>
            </w:r>
          </w:p>
        </w:tc>
        <w:tc>
          <w:tcPr>
            <w:tcW w:w="924" w:type="dxa"/>
            <w:tcBorders>
              <w:bottom w:val="single" w:sz="4" w:space="0" w:color="000000"/>
              <w:right w:val="single" w:sz="4" w:space="0" w:color="000000"/>
            </w:tcBorders>
            <w:shd w:val="clear" w:color="auto" w:fill="auto"/>
            <w:vAlign w:val="bottom"/>
          </w:tcPr>
          <w:p w:rsidR="00C82F48" w:rsidRDefault="00C82F48">
            <w:pPr>
              <w:tabs>
                <w:tab w:val="left" w:pos="0"/>
              </w:tabs>
              <w:spacing w:after="0" w:line="276" w:lineRule="auto"/>
              <w:jc w:val="center"/>
            </w:pPr>
            <w:r>
              <w:rPr>
                <w:rFonts w:ascii="Times New Roman" w:hAnsi="Times New Roman"/>
                <w:i/>
                <w:sz w:val="26"/>
                <w:szCs w:val="26"/>
                <w:lang w:eastAsia="ro-RO"/>
              </w:rPr>
              <w:t>66,3</w:t>
            </w:r>
          </w:p>
        </w:tc>
      </w:tr>
    </w:tbl>
    <w:p w:rsidR="00C82F48" w:rsidRDefault="00C82F48">
      <w:pPr>
        <w:tabs>
          <w:tab w:val="left" w:pos="0"/>
          <w:tab w:val="left" w:pos="567"/>
        </w:tabs>
        <w:spacing w:after="0" w:line="276" w:lineRule="auto"/>
        <w:jc w:val="both"/>
        <w:rPr>
          <w:rFonts w:ascii="Times New Roman" w:hAnsi="Times New Roman"/>
          <w:b/>
          <w:bCs/>
          <w:color w:val="171717"/>
          <w:sz w:val="28"/>
          <w:szCs w:val="28"/>
        </w:rPr>
      </w:pPr>
    </w:p>
    <w:p w:rsidR="00C82F48" w:rsidRDefault="00C82F48">
      <w:pPr>
        <w:tabs>
          <w:tab w:val="left" w:pos="0"/>
          <w:tab w:val="left" w:pos="567"/>
        </w:tabs>
        <w:spacing w:after="0" w:line="276" w:lineRule="auto"/>
        <w:jc w:val="both"/>
      </w:pPr>
      <w:r>
        <w:rPr>
          <w:rFonts w:ascii="Times New Roman" w:hAnsi="Times New Roman"/>
          <w:b/>
          <w:bCs/>
          <w:i/>
          <w:sz w:val="28"/>
          <w:szCs w:val="28"/>
        </w:rPr>
        <w:t>Alte venituri</w:t>
      </w:r>
    </w:p>
    <w:p w:rsidR="00C82F48" w:rsidRDefault="00C82F48">
      <w:pPr>
        <w:tabs>
          <w:tab w:val="left" w:pos="0"/>
          <w:tab w:val="left" w:pos="567"/>
        </w:tabs>
        <w:spacing w:after="120" w:line="276" w:lineRule="auto"/>
        <w:ind w:left="142" w:right="232" w:firstLine="284"/>
        <w:jc w:val="both"/>
      </w:pPr>
      <w:r>
        <w:rPr>
          <w:rFonts w:ascii="Times New Roman" w:hAnsi="Times New Roman"/>
          <w:sz w:val="28"/>
          <w:szCs w:val="28"/>
        </w:rPr>
        <w:tab/>
      </w:r>
      <w:r>
        <w:rPr>
          <w:rFonts w:ascii="Times New Roman" w:hAnsi="Times New Roman"/>
          <w:sz w:val="28"/>
          <w:szCs w:val="28"/>
        </w:rPr>
        <w:tab/>
        <w:t xml:space="preserve">Încasările din </w:t>
      </w:r>
      <w:r>
        <w:rPr>
          <w:rFonts w:ascii="Times New Roman" w:hAnsi="Times New Roman"/>
          <w:i/>
          <w:sz w:val="28"/>
          <w:szCs w:val="28"/>
          <w:u w:val="single"/>
        </w:rPr>
        <w:t>taxele pentru folosirea drumurilor</w:t>
      </w:r>
      <w:r>
        <w:rPr>
          <w:rFonts w:ascii="Times New Roman" w:hAnsi="Times New Roman"/>
          <w:sz w:val="28"/>
          <w:szCs w:val="28"/>
        </w:rPr>
        <w:t xml:space="preserve">, în semestrul I 2023, au constituit 542,7 mil.lei, cu 41,5 mil. lei </w:t>
      </w:r>
      <w:r>
        <w:rPr>
          <w:rFonts w:ascii="Times New Roman" w:hAnsi="Times New Roman"/>
          <w:bCs/>
          <w:sz w:val="28"/>
          <w:szCs w:val="28"/>
        </w:rPr>
        <w:t>sau cu 8,3%</w:t>
      </w:r>
      <w:r>
        <w:rPr>
          <w:rFonts w:ascii="Times New Roman" w:hAnsi="Times New Roman"/>
          <w:sz w:val="28"/>
          <w:szCs w:val="28"/>
        </w:rPr>
        <w:t xml:space="preserve"> </w:t>
      </w:r>
      <w:r>
        <w:rPr>
          <w:rFonts w:ascii="Times New Roman" w:hAnsi="Times New Roman"/>
          <w:bCs/>
          <w:sz w:val="28"/>
          <w:szCs w:val="28"/>
        </w:rPr>
        <w:t>mai mult</w:t>
      </w:r>
      <w:r>
        <w:rPr>
          <w:rFonts w:ascii="Times New Roman" w:hAnsi="Times New Roman"/>
          <w:sz w:val="28"/>
          <w:szCs w:val="28"/>
        </w:rPr>
        <w:t xml:space="preserve"> față de semestrul I al anului precedent. </w:t>
      </w:r>
    </w:p>
    <w:p w:rsidR="00C82F48" w:rsidRDefault="00C82F48">
      <w:pPr>
        <w:spacing w:after="120" w:line="276" w:lineRule="auto"/>
        <w:ind w:left="142" w:right="232" w:firstLine="566"/>
        <w:jc w:val="both"/>
      </w:pPr>
      <w:r>
        <w:rPr>
          <w:rFonts w:ascii="Times New Roman" w:hAnsi="Times New Roman"/>
          <w:i/>
          <w:sz w:val="28"/>
          <w:szCs w:val="28"/>
          <w:u w:val="single"/>
        </w:rPr>
        <w:t xml:space="preserve"> Plățile pentru poluarea mediului</w:t>
      </w:r>
      <w:r>
        <w:rPr>
          <w:rFonts w:ascii="Times New Roman" w:hAnsi="Times New Roman"/>
          <w:sz w:val="28"/>
          <w:szCs w:val="28"/>
        </w:rPr>
        <w:t>, în semestrul I 2023, au fost încasate în sumă de 211,0 mil.lei, cu 12 mil.lei (-5,5%) mai puțin decât în semestrul I 2022 din contul micșorării importului și producerii mărfurilor care în procesul utilizării cauzează poluarea mediului.</w:t>
      </w:r>
    </w:p>
    <w:p w:rsidR="00C82F48" w:rsidRDefault="00C82F48">
      <w:pPr>
        <w:spacing w:after="120" w:line="276" w:lineRule="auto"/>
        <w:ind w:left="142" w:right="232" w:firstLine="566"/>
        <w:jc w:val="both"/>
      </w:pPr>
      <w:r>
        <w:rPr>
          <w:rFonts w:ascii="Times New Roman" w:hAnsi="Times New Roman"/>
          <w:sz w:val="28"/>
          <w:szCs w:val="28"/>
        </w:rPr>
        <w:t xml:space="preserve">Încasările din </w:t>
      </w:r>
      <w:r>
        <w:rPr>
          <w:rFonts w:ascii="Times New Roman" w:hAnsi="Times New Roman"/>
          <w:i/>
          <w:sz w:val="28"/>
          <w:szCs w:val="28"/>
          <w:u w:val="single"/>
        </w:rPr>
        <w:t>amenzi și sancțiuni</w:t>
      </w:r>
      <w:r>
        <w:rPr>
          <w:rFonts w:ascii="Times New Roman" w:hAnsi="Times New Roman"/>
          <w:sz w:val="28"/>
          <w:szCs w:val="28"/>
        </w:rPr>
        <w:t xml:space="preserve"> s-au majorat în semestrul I al anului 2023 față de perioada similară a anului 2022 cu circa 44,6 mil. lei sau cu 26,6%, în </w:t>
      </w:r>
      <w:r>
        <w:rPr>
          <w:rFonts w:ascii="Times New Roman" w:hAnsi="Times New Roman"/>
          <w:sz w:val="28"/>
          <w:szCs w:val="28"/>
        </w:rPr>
        <w:lastRenderedPageBreak/>
        <w:t xml:space="preserve">special din contul majorării încasărilor din amenzile aplicate de Inspectoratul Național de Securitate Publică cu 19,7 mil.lei, amenzile aplicate de către organele Serviciului Fiscal de Stat cu 10,5 mil.lei și amenzi aplicate de alte organe de stat cu 8,8 mil.lei </w:t>
      </w:r>
    </w:p>
    <w:p w:rsidR="00C82F48" w:rsidRDefault="00C82F48">
      <w:pPr>
        <w:spacing w:after="120" w:line="276" w:lineRule="auto"/>
        <w:ind w:left="142" w:right="232" w:firstLine="566"/>
        <w:jc w:val="both"/>
      </w:pPr>
      <w:r>
        <w:rPr>
          <w:rFonts w:ascii="Times New Roman" w:hAnsi="Times New Roman"/>
          <w:i/>
          <w:sz w:val="28"/>
          <w:szCs w:val="28"/>
          <w:u w:val="single"/>
        </w:rPr>
        <w:t>Donațiile voluntare</w:t>
      </w:r>
      <w:r>
        <w:rPr>
          <w:rFonts w:ascii="Times New Roman" w:hAnsi="Times New Roman"/>
          <w:sz w:val="28"/>
          <w:szCs w:val="28"/>
        </w:rPr>
        <w:t xml:space="preserve"> în semestrul I 2023, au constituit 29,6 mil.lei</w:t>
      </w:r>
      <w:r w:rsidR="00914528">
        <w:rPr>
          <w:rFonts w:ascii="Times New Roman" w:hAnsi="Times New Roman"/>
          <w:sz w:val="28"/>
          <w:szCs w:val="28"/>
        </w:rPr>
        <w:t xml:space="preserve">, dintre care 13,8 mil. lei pentru gestionarea crizei refugiaților din Ucraina. Față de semestrul I al anului precedent încasările respective s-au diminuat </w:t>
      </w:r>
      <w:r>
        <w:rPr>
          <w:rFonts w:ascii="Times New Roman" w:hAnsi="Times New Roman"/>
          <w:sz w:val="28"/>
          <w:szCs w:val="28"/>
        </w:rPr>
        <w:t>cu 148,0 mil. lei  (</w:t>
      </w:r>
      <w:r>
        <w:rPr>
          <w:rFonts w:ascii="Times New Roman" w:hAnsi="Times New Roman"/>
          <w:bCs/>
          <w:sz w:val="28"/>
          <w:szCs w:val="28"/>
        </w:rPr>
        <w:t>sau la nivel de 16,7%)</w:t>
      </w:r>
      <w:r>
        <w:rPr>
          <w:rFonts w:ascii="Times New Roman" w:hAnsi="Times New Roman"/>
          <w:sz w:val="28"/>
          <w:szCs w:val="28"/>
        </w:rPr>
        <w:t>. Diferența dată s-a produs ca urmare a încasărilor în anul 2022 a mijloacelor bănești primite sub formă de donație destinate asistenței umanitare pentru gestionarea crizei refugiaților din Ucraina în sumă de 159,4 mil. lei.</w:t>
      </w:r>
    </w:p>
    <w:p w:rsidR="00C82F48" w:rsidRDefault="00C82F48">
      <w:pPr>
        <w:tabs>
          <w:tab w:val="left" w:pos="567"/>
        </w:tabs>
        <w:spacing w:line="276" w:lineRule="auto"/>
        <w:ind w:left="142" w:right="232" w:firstLine="284"/>
        <w:contextualSpacing/>
        <w:jc w:val="both"/>
      </w:pPr>
      <w:r>
        <w:rPr>
          <w:rFonts w:ascii="Times New Roman" w:hAnsi="Times New Roman"/>
          <w:i/>
          <w:sz w:val="28"/>
          <w:szCs w:val="28"/>
          <w:u w:val="single"/>
        </w:rPr>
        <w:t>Veniturile din proprietate</w:t>
      </w:r>
      <w:r>
        <w:rPr>
          <w:rFonts w:ascii="Times New Roman" w:hAnsi="Times New Roman"/>
          <w:sz w:val="28"/>
          <w:szCs w:val="28"/>
        </w:rPr>
        <w:t xml:space="preserve"> (dobânzi, dividende și defalcări din profitul net, soldul profitului net al BNM) în semestrul I al anului 2023 au fost încasate în sumă de 300,7 mil. lei, cu 126,3 mil. lei mai puțin față de semestrul I 2022 ca urmare a modificării termenului de achitarea a defalcărilor de la profitul net al întreprinderilor de stat și dividendelor primite de la cota parte a proprietății publice în societățile pe acțiuni către data de 30 august. Un alt factor care a influențat diminuarea veniturilor respective în I semestru al anului 2023 este legat de obținerea unui rezultat financiar negativ al activității BNM în anul 2022, ceea ce a lipsit bugetul de stat de încasări din soldul profitului net al BNM.</w:t>
      </w:r>
    </w:p>
    <w:p w:rsidR="00C82F48" w:rsidRDefault="00C82F48">
      <w:pPr>
        <w:tabs>
          <w:tab w:val="left" w:pos="567"/>
        </w:tabs>
        <w:spacing w:line="276" w:lineRule="auto"/>
        <w:ind w:left="142" w:right="232" w:firstLine="284"/>
        <w:contextualSpacing/>
        <w:jc w:val="both"/>
        <w:rPr>
          <w:rFonts w:ascii="Times New Roman" w:hAnsi="Times New Roman"/>
          <w:sz w:val="28"/>
          <w:szCs w:val="28"/>
        </w:rPr>
      </w:pPr>
    </w:p>
    <w:p w:rsidR="00C82F48" w:rsidRDefault="00C82F48">
      <w:pPr>
        <w:tabs>
          <w:tab w:val="left" w:pos="142"/>
          <w:tab w:val="left" w:pos="567"/>
          <w:tab w:val="left" w:pos="851"/>
        </w:tabs>
        <w:spacing w:after="0" w:line="276" w:lineRule="auto"/>
        <w:jc w:val="both"/>
      </w:pPr>
      <w:r>
        <w:rPr>
          <w:rFonts w:ascii="Times New Roman" w:hAnsi="Times New Roman"/>
          <w:b/>
          <w:i/>
          <w:color w:val="2E74B5"/>
          <w:sz w:val="24"/>
          <w:lang w:val="ro-MD"/>
        </w:rPr>
        <w:t xml:space="preserve">  </w:t>
      </w:r>
      <w:r>
        <w:rPr>
          <w:rFonts w:ascii="Times New Roman" w:hAnsi="Times New Roman"/>
          <w:b/>
          <w:i/>
          <w:color w:val="2E74B5"/>
          <w:sz w:val="24"/>
          <w:lang w:val="ro-MD"/>
        </w:rPr>
        <w:tab/>
        <w:t xml:space="preserve">  </w:t>
      </w:r>
      <w:r>
        <w:rPr>
          <w:rFonts w:ascii="Times New Roman" w:hAnsi="Times New Roman"/>
          <w:b/>
          <w:i/>
          <w:color w:val="2E74B5"/>
          <w:sz w:val="24"/>
          <w:lang w:val="ro-MD"/>
        </w:rPr>
        <w:tab/>
      </w:r>
      <w:r>
        <w:rPr>
          <w:rFonts w:ascii="Times New Roman" w:hAnsi="Times New Roman"/>
          <w:b/>
          <w:i/>
          <w:color w:val="171717"/>
          <w:sz w:val="28"/>
          <w:szCs w:val="28"/>
          <w:lang w:val="ro-MD"/>
        </w:rPr>
        <w:t>Restanțele la plata impozitelor și taxelor</w:t>
      </w:r>
      <w:r>
        <w:rPr>
          <w:rFonts w:ascii="Times New Roman" w:hAnsi="Times New Roman"/>
          <w:sz w:val="28"/>
          <w:szCs w:val="28"/>
          <w:lang w:val="ro-MD"/>
        </w:rPr>
        <w:t xml:space="preserve"> la bugetul de stat la 30 iunie 2023, au constituit 1 136,8 mil. lei, micșorând-se cu 258,9 mil. lei sau cu 18,5% față de situația de la începutul anului. Restanțele la impozitele și taxele administrate de către Serviciul Fiscal de Stat s-au majorat cu 3,5 mil.lei, iar la cele administrate de Serviciul Vamal s-au micșorat cu 265,8 mil.lei.</w:t>
      </w:r>
    </w:p>
    <w:p w:rsidR="00C82F48" w:rsidRDefault="00C82F48">
      <w:pPr>
        <w:tabs>
          <w:tab w:val="left" w:pos="1134"/>
        </w:tabs>
        <w:spacing w:after="0" w:line="276" w:lineRule="auto"/>
        <w:ind w:firstLine="567"/>
        <w:jc w:val="both"/>
      </w:pPr>
      <w:r>
        <w:rPr>
          <w:rFonts w:ascii="Times New Roman" w:hAnsi="Times New Roman"/>
          <w:sz w:val="28"/>
          <w:szCs w:val="28"/>
          <w:lang w:val="ro-MD"/>
        </w:rPr>
        <w:t>Comparativ cu situația din 31 decembrie 2022, micșorarea restanțelor la impozitele și taxele administrate de către Serviciul Vamal s-a produs din contul TVA la mărfurile importate în sumă de circa 277,9 mil. lei.</w:t>
      </w:r>
    </w:p>
    <w:p w:rsidR="00C82F48" w:rsidRDefault="00C82F48">
      <w:pPr>
        <w:tabs>
          <w:tab w:val="left" w:pos="1134"/>
        </w:tabs>
        <w:spacing w:after="0" w:line="276" w:lineRule="auto"/>
        <w:ind w:firstLine="567"/>
        <w:jc w:val="both"/>
        <w:rPr>
          <w:rFonts w:ascii="Times New Roman" w:hAnsi="Times New Roman"/>
          <w:sz w:val="28"/>
          <w:szCs w:val="28"/>
          <w:lang w:val="ro-MD"/>
        </w:rPr>
      </w:pPr>
    </w:p>
    <w:p w:rsidR="00C82F48" w:rsidRDefault="00C82F48">
      <w:pPr>
        <w:tabs>
          <w:tab w:val="left" w:pos="1134"/>
        </w:tabs>
        <w:spacing w:after="0" w:line="276" w:lineRule="auto"/>
        <w:ind w:firstLine="567"/>
        <w:jc w:val="both"/>
      </w:pPr>
      <w:r>
        <w:rPr>
          <w:rFonts w:ascii="Times New Roman" w:hAnsi="Times New Roman"/>
          <w:b/>
          <w:i/>
          <w:sz w:val="28"/>
          <w:szCs w:val="28"/>
        </w:rPr>
        <w:t>Cheltuielile bugetului de stat</w:t>
      </w:r>
      <w:r>
        <w:rPr>
          <w:rFonts w:ascii="Times New Roman" w:hAnsi="Times New Roman"/>
          <w:sz w:val="28"/>
          <w:szCs w:val="28"/>
        </w:rPr>
        <w:t xml:space="preserve"> în semestrul I 2023 au fost executate în sumă de 36 797,4 mil. lei, incluzând cheltuielile aferente proiectelor finanțate din surse externe în suma de 933,4 mil. lei. Prevederile anuale la cheltuieli au fost realizate la nivel de 43,5%, inclusiv la proiecte finanțate din surse externe – 20,8%. Totodată, în comparație cu perioada similară a anului 2022 executarea cheltuielilor a fost  în creștere  cu 5 379,7 mil. lei sau cu 17,1%, iar la proiectele finanțate din surse externe acestea sunt în creștere cu 82,3 mil. lei sau cu 9,7 la sută. </w:t>
      </w:r>
    </w:p>
    <w:p w:rsidR="00C82F48" w:rsidRDefault="00C82F48">
      <w:pPr>
        <w:tabs>
          <w:tab w:val="left" w:pos="567"/>
          <w:tab w:val="left" w:pos="851"/>
        </w:tabs>
        <w:spacing w:before="60" w:line="276" w:lineRule="auto"/>
        <w:ind w:firstLine="567"/>
        <w:jc w:val="both"/>
      </w:pPr>
      <w:r>
        <w:rPr>
          <w:rFonts w:ascii="Times New Roman" w:hAnsi="Times New Roman"/>
          <w:sz w:val="28"/>
          <w:szCs w:val="28"/>
        </w:rPr>
        <w:lastRenderedPageBreak/>
        <w:t xml:space="preserve">Peste nivelul de 50% față de prevederile anuale au fost executate cheltuielile în domeniul </w:t>
      </w:r>
      <w:r>
        <w:rPr>
          <w:rFonts w:ascii="Times New Roman" w:hAnsi="Times New Roman"/>
          <w:i/>
          <w:sz w:val="28"/>
          <w:szCs w:val="28"/>
        </w:rPr>
        <w:t xml:space="preserve">protecției sociale </w:t>
      </w:r>
      <w:r>
        <w:rPr>
          <w:rFonts w:ascii="Times New Roman" w:hAnsi="Times New Roman"/>
          <w:sz w:val="28"/>
          <w:szCs w:val="28"/>
        </w:rPr>
        <w:t xml:space="preserve">(54,9%) și în </w:t>
      </w:r>
      <w:r>
        <w:rPr>
          <w:rFonts w:ascii="Times New Roman" w:hAnsi="Times New Roman"/>
          <w:i/>
          <w:sz w:val="28"/>
          <w:szCs w:val="28"/>
        </w:rPr>
        <w:t>învățământ</w:t>
      </w:r>
      <w:r>
        <w:rPr>
          <w:rFonts w:ascii="Times New Roman" w:hAnsi="Times New Roman"/>
          <w:sz w:val="28"/>
          <w:szCs w:val="28"/>
        </w:rPr>
        <w:t xml:space="preserve"> (51,3%). La celelalte domenii, nivelul de executare a cheltuielilor a constituit de la 23,1% (o</w:t>
      </w:r>
      <w:r>
        <w:rPr>
          <w:rFonts w:ascii="Times New Roman" w:hAnsi="Times New Roman"/>
          <w:i/>
          <w:sz w:val="28"/>
          <w:szCs w:val="28"/>
        </w:rPr>
        <w:t xml:space="preserve">crotirea sănătății) </w:t>
      </w:r>
      <w:r>
        <w:rPr>
          <w:rFonts w:ascii="Times New Roman" w:hAnsi="Times New Roman"/>
          <w:sz w:val="28"/>
          <w:szCs w:val="28"/>
        </w:rPr>
        <w:t>până la 42,3%</w:t>
      </w:r>
      <w:r>
        <w:t xml:space="preserve"> (</w:t>
      </w:r>
      <w:r>
        <w:rPr>
          <w:rFonts w:ascii="Times New Roman" w:hAnsi="Times New Roman"/>
          <w:sz w:val="28"/>
          <w:szCs w:val="28"/>
        </w:rPr>
        <w:t>o</w:t>
      </w:r>
      <w:r>
        <w:rPr>
          <w:rFonts w:ascii="Times New Roman" w:hAnsi="Times New Roman"/>
          <w:i/>
          <w:sz w:val="28"/>
          <w:szCs w:val="28"/>
        </w:rPr>
        <w:t>rdinea publică și securitate națională).</w:t>
      </w:r>
    </w:p>
    <w:p w:rsidR="00C82F48" w:rsidRDefault="00C82F48">
      <w:pPr>
        <w:tabs>
          <w:tab w:val="left" w:pos="567"/>
          <w:tab w:val="left" w:pos="851"/>
        </w:tabs>
        <w:spacing w:before="60" w:line="276" w:lineRule="auto"/>
        <w:ind w:firstLine="567"/>
        <w:jc w:val="both"/>
      </w:pPr>
      <w:r>
        <w:rPr>
          <w:rFonts w:ascii="Times New Roman" w:hAnsi="Times New Roman"/>
          <w:sz w:val="28"/>
          <w:szCs w:val="28"/>
        </w:rPr>
        <w:t xml:space="preserve">Comparativ cu semestrul I 2022 majoritatea domeniilor au înregistrat </w:t>
      </w:r>
      <w:r>
        <w:rPr>
          <w:rFonts w:ascii="Times New Roman" w:hAnsi="Times New Roman"/>
          <w:i/>
          <w:sz w:val="28"/>
          <w:szCs w:val="28"/>
          <w:u w:val="single"/>
        </w:rPr>
        <w:t>majorări la cheltuieli,</w:t>
      </w:r>
      <w:r>
        <w:rPr>
          <w:rFonts w:ascii="Times New Roman" w:hAnsi="Times New Roman"/>
          <w:i/>
          <w:sz w:val="28"/>
          <w:szCs w:val="28"/>
        </w:rPr>
        <w:t xml:space="preserve"> </w:t>
      </w:r>
      <w:r>
        <w:rPr>
          <w:rFonts w:ascii="Times New Roman" w:hAnsi="Times New Roman"/>
          <w:sz w:val="28"/>
          <w:szCs w:val="28"/>
        </w:rPr>
        <w:t xml:space="preserve">cele mai semnificative fiind la </w:t>
      </w:r>
      <w:r>
        <w:rPr>
          <w:rFonts w:ascii="Times New Roman" w:hAnsi="Times New Roman"/>
          <w:i/>
          <w:sz w:val="28"/>
          <w:szCs w:val="28"/>
        </w:rPr>
        <w:t xml:space="preserve">protecția socială </w:t>
      </w:r>
      <w:r>
        <w:rPr>
          <w:rFonts w:ascii="Times New Roman" w:hAnsi="Times New Roman"/>
          <w:sz w:val="28"/>
          <w:szCs w:val="28"/>
        </w:rPr>
        <w:t xml:space="preserve">(+3 405,0 mil.lei sau cu 35,5%) ca urmare, a majorării prestațiilor sociale de stat precum și acordării </w:t>
      </w:r>
      <w:r>
        <w:rPr>
          <w:rFonts w:ascii="Times New Roman" w:hAnsi="Times New Roman"/>
          <w:sz w:val="28"/>
          <w:szCs w:val="28"/>
          <w:lang w:val="ro-MD"/>
        </w:rPr>
        <w:t>compensațiilor</w:t>
      </w:r>
      <w:r>
        <w:rPr>
          <w:rFonts w:ascii="Times New Roman" w:hAnsi="Times New Roman"/>
          <w:sz w:val="28"/>
          <w:szCs w:val="28"/>
        </w:rPr>
        <w:t xml:space="preserve"> </w:t>
      </w:r>
      <w:r>
        <w:rPr>
          <w:rFonts w:ascii="Times New Roman" w:hAnsi="Times New Roman"/>
          <w:sz w:val="28"/>
          <w:szCs w:val="28"/>
          <w:lang w:val="ro-MD"/>
        </w:rPr>
        <w:t>pentru achitarea facturilor la energie destinate consumatorilor casnici</w:t>
      </w:r>
      <w:r>
        <w:rPr>
          <w:rFonts w:ascii="Times New Roman" w:hAnsi="Times New Roman"/>
          <w:sz w:val="28"/>
          <w:szCs w:val="28"/>
        </w:rPr>
        <w:t xml:space="preserve">. De asemenea, s-au majorat cheltuielile pentru </w:t>
      </w:r>
      <w:r>
        <w:rPr>
          <w:rFonts w:ascii="Times New Roman" w:hAnsi="Times New Roman"/>
          <w:i/>
          <w:sz w:val="28"/>
          <w:szCs w:val="28"/>
        </w:rPr>
        <w:t>învățământ</w:t>
      </w:r>
      <w:r>
        <w:rPr>
          <w:rFonts w:ascii="Times New Roman" w:hAnsi="Times New Roman"/>
          <w:sz w:val="28"/>
          <w:szCs w:val="28"/>
        </w:rPr>
        <w:t xml:space="preserve"> (+1 287,9 mil. lei sau cu 17,2%);</w:t>
      </w:r>
      <w:r>
        <w:rPr>
          <w:rFonts w:ascii="Times New Roman" w:hAnsi="Times New Roman"/>
          <w:i/>
          <w:sz w:val="28"/>
          <w:szCs w:val="28"/>
        </w:rPr>
        <w:t xml:space="preserve"> servicii de stat cu destinație generală</w:t>
      </w:r>
      <w:r>
        <w:rPr>
          <w:rFonts w:ascii="Times New Roman" w:hAnsi="Times New Roman"/>
          <w:sz w:val="28"/>
          <w:szCs w:val="28"/>
        </w:rPr>
        <w:t xml:space="preserve"> (+1 181,6 mil. lei sau cu 26,2%);</w:t>
      </w:r>
      <w:r>
        <w:rPr>
          <w:rFonts w:ascii="Times New Roman" w:hAnsi="Times New Roman"/>
          <w:i/>
          <w:sz w:val="28"/>
          <w:szCs w:val="28"/>
        </w:rPr>
        <w:t xml:space="preserve"> ordine publică și securitate națională </w:t>
      </w:r>
      <w:r>
        <w:rPr>
          <w:rFonts w:ascii="Times New Roman" w:hAnsi="Times New Roman"/>
          <w:sz w:val="28"/>
          <w:szCs w:val="28"/>
        </w:rPr>
        <w:t xml:space="preserve">(+245,9 mil. lei sau cu 9,5%). Totodată, se atestă </w:t>
      </w:r>
      <w:r>
        <w:rPr>
          <w:rFonts w:ascii="Times New Roman" w:hAnsi="Times New Roman"/>
          <w:i/>
          <w:sz w:val="28"/>
          <w:szCs w:val="28"/>
          <w:u w:val="single"/>
        </w:rPr>
        <w:t>diminuări</w:t>
      </w:r>
      <w:r>
        <w:rPr>
          <w:rFonts w:ascii="Times New Roman" w:hAnsi="Times New Roman"/>
          <w:i/>
          <w:sz w:val="28"/>
          <w:szCs w:val="28"/>
        </w:rPr>
        <w:t xml:space="preserve">  </w:t>
      </w:r>
      <w:r>
        <w:rPr>
          <w:rFonts w:ascii="Times New Roman" w:hAnsi="Times New Roman"/>
          <w:sz w:val="28"/>
          <w:szCs w:val="28"/>
        </w:rPr>
        <w:t xml:space="preserve">la cheltuielile pentru </w:t>
      </w:r>
      <w:r>
        <w:rPr>
          <w:rFonts w:ascii="Times New Roman" w:hAnsi="Times New Roman"/>
          <w:i/>
          <w:sz w:val="28"/>
          <w:szCs w:val="28"/>
        </w:rPr>
        <w:t xml:space="preserve">ocrotirea sănătății </w:t>
      </w:r>
      <w:r>
        <w:rPr>
          <w:rFonts w:ascii="Times New Roman" w:hAnsi="Times New Roman"/>
          <w:sz w:val="28"/>
          <w:szCs w:val="28"/>
        </w:rPr>
        <w:t xml:space="preserve">comparativ cu anul precedent, (- 961,6 mil. lei, sau cu 30,9%). </w:t>
      </w:r>
      <w:r>
        <w:rPr>
          <w:rFonts w:ascii="Times New Roman" w:hAnsi="Times New Roman"/>
          <w:i/>
          <w:sz w:val="28"/>
          <w:szCs w:val="28"/>
        </w:rPr>
        <w:t>Servicii în domeniul economiei</w:t>
      </w:r>
      <w:r>
        <w:rPr>
          <w:rFonts w:ascii="Times New Roman" w:hAnsi="Times New Roman"/>
          <w:sz w:val="28"/>
          <w:szCs w:val="28"/>
        </w:rPr>
        <w:t xml:space="preserve"> (- 196,9 mil. lei sau cu 6,4%);  </w:t>
      </w:r>
      <w:r>
        <w:rPr>
          <w:rFonts w:ascii="Times New Roman" w:hAnsi="Times New Roman"/>
          <w:i/>
          <w:sz w:val="28"/>
          <w:szCs w:val="28"/>
        </w:rPr>
        <w:t>protecția mediului</w:t>
      </w:r>
      <w:r>
        <w:rPr>
          <w:rFonts w:ascii="Times New Roman" w:hAnsi="Times New Roman"/>
          <w:sz w:val="28"/>
          <w:szCs w:val="28"/>
        </w:rPr>
        <w:t xml:space="preserve"> (- 7,5 mil. lei, sau cu 4,9%). </w:t>
      </w:r>
    </w:p>
    <w:p w:rsidR="00C82F48" w:rsidRDefault="00C82F48">
      <w:pPr>
        <w:pStyle w:val="12"/>
        <w:tabs>
          <w:tab w:val="left" w:pos="-142"/>
          <w:tab w:val="left" w:pos="567"/>
          <w:tab w:val="left" w:pos="709"/>
        </w:tabs>
        <w:spacing w:after="0" w:line="276" w:lineRule="auto"/>
        <w:ind w:left="0" w:firstLine="567"/>
        <w:jc w:val="both"/>
      </w:pPr>
      <w:r>
        <w:rPr>
          <w:rFonts w:ascii="Times New Roman" w:hAnsi="Times New Roman"/>
          <w:sz w:val="28"/>
          <w:szCs w:val="28"/>
        </w:rPr>
        <w:t>Evoluția cheltuielilor bugetului de stat în semestrul I al anilor 2022-2023 pe grupe funcționale se prezintă în diagrama care urmează:</w:t>
      </w:r>
    </w:p>
    <w:p w:rsidR="00C82F48" w:rsidRDefault="00C82F48">
      <w:pPr>
        <w:pStyle w:val="12"/>
        <w:tabs>
          <w:tab w:val="left" w:pos="-142"/>
          <w:tab w:val="left" w:pos="567"/>
          <w:tab w:val="left" w:pos="709"/>
        </w:tabs>
        <w:spacing w:after="0" w:line="276" w:lineRule="auto"/>
        <w:ind w:left="0" w:firstLine="567"/>
        <w:jc w:val="both"/>
        <w:rPr>
          <w:rFonts w:ascii="Times New Roman" w:hAnsi="Times New Roman"/>
          <w:sz w:val="28"/>
          <w:szCs w:val="28"/>
        </w:rPr>
      </w:pPr>
    </w:p>
    <w:p w:rsidR="00C82F48" w:rsidRDefault="00C82F48">
      <w:pPr>
        <w:pStyle w:val="Heading2"/>
        <w:spacing w:before="0"/>
        <w:jc w:val="center"/>
      </w:pPr>
      <w:r>
        <w:rPr>
          <w:rFonts w:ascii="Times New Roman" w:hAnsi="Times New Roman"/>
          <w:i/>
          <w:color w:val="323E4F"/>
          <w:sz w:val="28"/>
          <w:szCs w:val="24"/>
        </w:rPr>
        <w:t xml:space="preserve">Diagrama 5. Evoluția cheltuielilor bugetului de stat, </w:t>
      </w:r>
    </w:p>
    <w:p w:rsidR="00C82F48" w:rsidRDefault="00C82F48">
      <w:pPr>
        <w:pStyle w:val="Heading2"/>
        <w:spacing w:before="0"/>
        <w:jc w:val="center"/>
      </w:pPr>
      <w:r>
        <w:rPr>
          <w:rFonts w:ascii="Times New Roman" w:hAnsi="Times New Roman"/>
          <w:i/>
          <w:color w:val="323E4F"/>
          <w:sz w:val="28"/>
          <w:szCs w:val="24"/>
        </w:rPr>
        <w:t>30 iunie 2022 - 30 iunie 2023(pe grupe funcționale</w:t>
      </w:r>
      <w:r w:rsidR="00FA5C43">
        <w:rPr>
          <w:rFonts w:ascii="Times New Roman" w:hAnsi="Times New Roman"/>
          <w:i/>
          <w:color w:val="323E4F"/>
          <w:sz w:val="28"/>
          <w:szCs w:val="24"/>
        </w:rPr>
        <w:t>, mil. lei</w:t>
      </w:r>
      <w:r>
        <w:rPr>
          <w:rFonts w:ascii="Times New Roman" w:hAnsi="Times New Roman"/>
          <w:i/>
          <w:color w:val="323E4F"/>
          <w:sz w:val="28"/>
          <w:szCs w:val="24"/>
        </w:rPr>
        <w:t>)</w:t>
      </w:r>
    </w:p>
    <w:p w:rsidR="00FA5C43" w:rsidRDefault="00FA5C43" w:rsidP="00FA5C43">
      <w:pPr>
        <w:spacing w:before="60" w:line="264" w:lineRule="auto"/>
        <w:ind w:hanging="709"/>
        <w:jc w:val="center"/>
        <w:rPr>
          <w:rFonts w:ascii="Times New Roman" w:hAnsi="Times New Roman"/>
          <w:sz w:val="28"/>
          <w:szCs w:val="28"/>
        </w:rPr>
      </w:pPr>
    </w:p>
    <w:p w:rsidR="00FA5C43" w:rsidRDefault="00447B48" w:rsidP="009A34D4">
      <w:pPr>
        <w:spacing w:before="60" w:line="264" w:lineRule="auto"/>
        <w:ind w:hanging="709"/>
        <w:rPr>
          <w:rFonts w:ascii="Times New Roman" w:hAnsi="Times New Roman"/>
          <w:sz w:val="28"/>
          <w:szCs w:val="28"/>
        </w:rPr>
      </w:pPr>
      <w:r>
        <w:rPr>
          <w:rFonts w:ascii="Times New Roman" w:hAnsi="Times New Roman"/>
          <w:noProof/>
          <w:sz w:val="28"/>
          <w:szCs w:val="28"/>
          <w:lang w:val="en-US" w:eastAsia="en-US"/>
        </w:rPr>
        <w:drawing>
          <wp:inline distT="0" distB="0" distL="0" distR="0">
            <wp:extent cx="6899910" cy="3206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99910" cy="3206750"/>
                    </a:xfrm>
                    <a:prstGeom prst="rect">
                      <a:avLst/>
                    </a:prstGeom>
                    <a:noFill/>
                  </pic:spPr>
                </pic:pic>
              </a:graphicData>
            </a:graphic>
          </wp:inline>
        </w:drawing>
      </w:r>
    </w:p>
    <w:p w:rsidR="00C82F48" w:rsidRDefault="00C82F48">
      <w:pPr>
        <w:tabs>
          <w:tab w:val="left" w:pos="567"/>
          <w:tab w:val="left" w:pos="851"/>
        </w:tabs>
        <w:spacing w:before="60" w:line="276" w:lineRule="auto"/>
        <w:ind w:firstLine="567"/>
        <w:jc w:val="both"/>
      </w:pPr>
      <w:r>
        <w:rPr>
          <w:rFonts w:ascii="Times New Roman" w:hAnsi="Times New Roman"/>
          <w:sz w:val="28"/>
          <w:szCs w:val="28"/>
        </w:rPr>
        <w:t xml:space="preserve">În aspect economic, comparativ cu semestrul I 2022, cele mai considerabile majorări au fost înregistrate la transferurile către alte bugete (+2 089,5 mil. lei) transferurile de la bugetul de stat către bugetele locale și bugetul asigurărilor sociale de stat s-au majorat respectiv cu  + 1 693,3 mil. lei și +1 544,9 mil.lei, iar transferuri </w:t>
      </w:r>
      <w:r>
        <w:rPr>
          <w:rFonts w:ascii="Times New Roman" w:hAnsi="Times New Roman"/>
          <w:sz w:val="28"/>
          <w:szCs w:val="28"/>
        </w:rPr>
        <w:lastRenderedPageBreak/>
        <w:t>către fondurile asigurării obligatorii  de asistență medicală s-au diminuat cu (-1 148,7 mil. lei)),  dobânzi (+1 388,2 mil.lei),</w:t>
      </w:r>
      <w:r>
        <w:t xml:space="preserve"> </w:t>
      </w:r>
      <w:r>
        <w:rPr>
          <w:rFonts w:ascii="Times New Roman" w:hAnsi="Times New Roman"/>
          <w:sz w:val="28"/>
          <w:szCs w:val="28"/>
        </w:rPr>
        <w:t>prestații sociale (+1 279,7 mil.lei).</w:t>
      </w:r>
    </w:p>
    <w:p w:rsidR="00C82F48" w:rsidRDefault="00C82F48">
      <w:pPr>
        <w:tabs>
          <w:tab w:val="left" w:pos="567"/>
          <w:tab w:val="left" w:pos="851"/>
        </w:tabs>
        <w:spacing w:before="60" w:line="276" w:lineRule="auto"/>
        <w:ind w:firstLine="567"/>
        <w:jc w:val="both"/>
      </w:pPr>
      <w:r>
        <w:rPr>
          <w:rFonts w:ascii="Times New Roman" w:hAnsi="Times New Roman"/>
          <w:sz w:val="28"/>
          <w:szCs w:val="28"/>
        </w:rPr>
        <w:t>Diminuări se atestă la cheltuielile pentru mijloace fixe</w:t>
      </w:r>
      <w:r w:rsidR="009B2A33">
        <w:rPr>
          <w:rFonts w:ascii="Times New Roman" w:hAnsi="Times New Roman"/>
          <w:sz w:val="28"/>
          <w:szCs w:val="28"/>
        </w:rPr>
        <w:t>, datorită</w:t>
      </w:r>
      <w:r>
        <w:rPr>
          <w:rFonts w:ascii="Times New Roman" w:hAnsi="Times New Roman"/>
          <w:sz w:val="28"/>
          <w:szCs w:val="28"/>
        </w:rPr>
        <w:t xml:space="preserve"> </w:t>
      </w:r>
      <w:r w:rsidR="009B2A33">
        <w:rPr>
          <w:rFonts w:ascii="Times New Roman" w:hAnsi="Times New Roman"/>
          <w:sz w:val="28"/>
          <w:szCs w:val="28"/>
        </w:rPr>
        <w:t>execută</w:t>
      </w:r>
      <w:r>
        <w:rPr>
          <w:rFonts w:ascii="Times New Roman" w:hAnsi="Times New Roman"/>
          <w:sz w:val="28"/>
          <w:szCs w:val="28"/>
        </w:rPr>
        <w:t>rii foarte reduse a cheltuielilor în cadrul proiectelor finanțate din surse externe, acestea fiind executate la nivel de 20,8% din prevederile anuale.</w:t>
      </w:r>
    </w:p>
    <w:p w:rsidR="00C82F48" w:rsidRDefault="00C82F48">
      <w:pPr>
        <w:pStyle w:val="12"/>
        <w:tabs>
          <w:tab w:val="left" w:pos="-142"/>
          <w:tab w:val="left" w:pos="567"/>
          <w:tab w:val="left" w:pos="709"/>
        </w:tabs>
        <w:spacing w:after="0" w:line="276" w:lineRule="auto"/>
        <w:ind w:left="0" w:firstLine="567"/>
        <w:jc w:val="both"/>
      </w:pPr>
      <w:r>
        <w:rPr>
          <w:rFonts w:ascii="Times New Roman" w:hAnsi="Times New Roman"/>
          <w:sz w:val="28"/>
          <w:szCs w:val="28"/>
        </w:rPr>
        <w:t>Evoluția cheltuielilor bugetului de stat în semestrul I al anilor 2022-2023 pe categorii economice se prezintă în diagrama care urmează:</w:t>
      </w:r>
    </w:p>
    <w:p w:rsidR="00C82F48" w:rsidRDefault="00C82F48">
      <w:pPr>
        <w:tabs>
          <w:tab w:val="left" w:pos="567"/>
          <w:tab w:val="left" w:pos="851"/>
        </w:tabs>
        <w:spacing w:before="60" w:line="276" w:lineRule="auto"/>
        <w:ind w:firstLine="567"/>
        <w:jc w:val="both"/>
        <w:rPr>
          <w:rFonts w:ascii="Times New Roman" w:hAnsi="Times New Roman"/>
          <w:i/>
          <w:sz w:val="28"/>
          <w:szCs w:val="28"/>
        </w:rPr>
      </w:pPr>
    </w:p>
    <w:p w:rsidR="00C82F48" w:rsidRDefault="00C82F48">
      <w:pPr>
        <w:pStyle w:val="Heading2"/>
        <w:spacing w:before="0"/>
        <w:jc w:val="center"/>
      </w:pPr>
      <w:r>
        <w:rPr>
          <w:rFonts w:ascii="Times New Roman" w:hAnsi="Times New Roman"/>
          <w:i/>
          <w:color w:val="323E4F"/>
          <w:sz w:val="28"/>
          <w:szCs w:val="24"/>
        </w:rPr>
        <w:t xml:space="preserve">Diagrama 6. Evoluția cheltuielilor bugetului de stat, </w:t>
      </w:r>
    </w:p>
    <w:p w:rsidR="00C82F48" w:rsidRDefault="00C82F48">
      <w:pPr>
        <w:pStyle w:val="Heading2"/>
        <w:spacing w:before="0"/>
        <w:jc w:val="center"/>
        <w:rPr>
          <w:rFonts w:ascii="Times New Roman" w:hAnsi="Times New Roman"/>
          <w:i/>
          <w:color w:val="323E4F"/>
          <w:sz w:val="28"/>
          <w:szCs w:val="28"/>
          <w:lang w:val="en-US"/>
        </w:rPr>
      </w:pPr>
      <w:r>
        <w:rPr>
          <w:rFonts w:ascii="Times New Roman" w:hAnsi="Times New Roman"/>
          <w:i/>
          <w:color w:val="323E4F"/>
          <w:sz w:val="28"/>
          <w:szCs w:val="24"/>
        </w:rPr>
        <w:t>30 iunie 2022-30 iunie 2023(pe categorii economice</w:t>
      </w:r>
      <w:r w:rsidR="00FA5C43">
        <w:rPr>
          <w:rFonts w:ascii="Times New Roman" w:hAnsi="Times New Roman"/>
          <w:i/>
          <w:color w:val="323E4F"/>
          <w:sz w:val="28"/>
          <w:szCs w:val="24"/>
        </w:rPr>
        <w:t>, mil. lei</w:t>
      </w:r>
      <w:r>
        <w:rPr>
          <w:rFonts w:ascii="Times New Roman" w:hAnsi="Times New Roman"/>
          <w:i/>
          <w:color w:val="323E4F"/>
          <w:sz w:val="28"/>
          <w:szCs w:val="24"/>
        </w:rPr>
        <w:t>)</w:t>
      </w:r>
    </w:p>
    <w:p w:rsidR="00C82F48" w:rsidRDefault="00C82F48">
      <w:pPr>
        <w:spacing w:after="120" w:line="276" w:lineRule="auto"/>
        <w:ind w:hanging="630"/>
        <w:jc w:val="both"/>
        <w:rPr>
          <w:rFonts w:ascii="Times New Roman" w:hAnsi="Times New Roman"/>
          <w:b/>
          <w:i/>
          <w:color w:val="323E4F"/>
          <w:sz w:val="28"/>
          <w:szCs w:val="28"/>
          <w:lang w:val="en-US"/>
        </w:rPr>
      </w:pPr>
    </w:p>
    <w:p w:rsidR="00FA5C43" w:rsidRDefault="00FA5C43" w:rsidP="00FA5C43">
      <w:pPr>
        <w:spacing w:after="120" w:line="276" w:lineRule="auto"/>
        <w:ind w:hanging="630"/>
        <w:jc w:val="both"/>
        <w:rPr>
          <w:rFonts w:ascii="Times New Roman" w:hAnsi="Times New Roman"/>
          <w:b/>
          <w:i/>
          <w:sz w:val="28"/>
          <w:szCs w:val="28"/>
        </w:rPr>
      </w:pPr>
    </w:p>
    <w:p w:rsidR="00FA5C43" w:rsidRDefault="00447B48" w:rsidP="00FA5C43">
      <w:pPr>
        <w:spacing w:after="120" w:line="276" w:lineRule="auto"/>
        <w:ind w:hanging="630"/>
        <w:jc w:val="both"/>
        <w:rPr>
          <w:rFonts w:ascii="Times New Roman" w:hAnsi="Times New Roman"/>
          <w:b/>
          <w:i/>
          <w:sz w:val="28"/>
          <w:szCs w:val="28"/>
        </w:rPr>
      </w:pPr>
      <w:r>
        <w:rPr>
          <w:rFonts w:ascii="Times New Roman" w:hAnsi="Times New Roman"/>
          <w:b/>
          <w:i/>
          <w:noProof/>
          <w:sz w:val="28"/>
          <w:szCs w:val="28"/>
          <w:lang w:val="en-US" w:eastAsia="en-US"/>
        </w:rPr>
        <w:drawing>
          <wp:inline distT="0" distB="0" distL="0" distR="0">
            <wp:extent cx="6879590" cy="3735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9590" cy="3735705"/>
                    </a:xfrm>
                    <a:prstGeom prst="rect">
                      <a:avLst/>
                    </a:prstGeom>
                    <a:noFill/>
                  </pic:spPr>
                </pic:pic>
              </a:graphicData>
            </a:graphic>
          </wp:inline>
        </w:drawing>
      </w:r>
    </w:p>
    <w:p w:rsidR="00C82F48" w:rsidRDefault="00C82F48">
      <w:pPr>
        <w:spacing w:line="276" w:lineRule="auto"/>
        <w:ind w:firstLine="567"/>
        <w:jc w:val="both"/>
      </w:pPr>
      <w:r>
        <w:rPr>
          <w:rFonts w:ascii="Times New Roman" w:hAnsi="Times New Roman"/>
          <w:b/>
          <w:i/>
          <w:sz w:val="28"/>
          <w:szCs w:val="28"/>
        </w:rPr>
        <w:t>Cheltuielile de personal</w:t>
      </w:r>
      <w:r>
        <w:rPr>
          <w:rFonts w:ascii="Times New Roman" w:hAnsi="Times New Roman"/>
          <w:sz w:val="28"/>
          <w:szCs w:val="28"/>
        </w:rPr>
        <w:t xml:space="preserve"> au fost executate în sumă de 4 422,7 mil.lei, la nivel de 44,8% din prevederi, fiind în creștere cu 161,0 mil. lei sau cu 3,8% comparativ cu semestrul I al anului 2022. Factorii principali care au influențat majorarea cheltuielilor de personal în perioada de raportare au fost măsurile noi de politică salarială prevăzute pentru calcularea salariilor angajaților din sectorul bugetar</w:t>
      </w:r>
      <w:r w:rsidR="009A34D4">
        <w:rPr>
          <w:rFonts w:ascii="Times New Roman" w:hAnsi="Times New Roman"/>
          <w:sz w:val="28"/>
          <w:szCs w:val="28"/>
        </w:rPr>
        <w:t xml:space="preserve">, dintre care </w:t>
      </w:r>
      <w:r>
        <w:rPr>
          <w:rFonts w:ascii="Times New Roman" w:hAnsi="Times New Roman"/>
          <w:sz w:val="28"/>
          <w:szCs w:val="28"/>
        </w:rPr>
        <w:t>acordarea sporului lunar în valoare fixă de 1300 lei pentru  angajații din sectorul bugetar; acordarea plăților compensatorii angajaților a căror salariu lunar, calculat începând cu 01 ianuarie 2023, pentru o funcție cu durata normală a timpului de muncă, este mai mic decât 4000 lei, în conformitate cu prevederile</w:t>
      </w:r>
      <w:r>
        <w:t xml:space="preserve"> </w:t>
      </w:r>
      <w:r>
        <w:rPr>
          <w:rFonts w:ascii="Times New Roman" w:hAnsi="Times New Roman"/>
          <w:sz w:val="28"/>
          <w:szCs w:val="28"/>
        </w:rPr>
        <w:t xml:space="preserve">art.27 alin.(2) al </w:t>
      </w:r>
      <w:r>
        <w:rPr>
          <w:rFonts w:ascii="Times New Roman" w:hAnsi="Times New Roman"/>
          <w:sz w:val="28"/>
          <w:szCs w:val="28"/>
        </w:rPr>
        <w:lastRenderedPageBreak/>
        <w:t>Legii nr.270/2018 privind sistemul unitar de salarizare în sectorul bugetar; acordarea sporului pentru realizarea sarcinilor prioritare în contextul implementării cerințelor de aderare la Uniunea Europeană personalului direct implicat în realizarea sarcinilor din cadrul autorităților bugetare.</w:t>
      </w:r>
    </w:p>
    <w:p w:rsidR="00C82F48" w:rsidRDefault="00C82F48">
      <w:pPr>
        <w:spacing w:after="120" w:line="276" w:lineRule="auto"/>
        <w:ind w:firstLine="567"/>
        <w:jc w:val="both"/>
      </w:pPr>
      <w:r>
        <w:rPr>
          <w:rFonts w:ascii="Times New Roman" w:hAnsi="Times New Roman"/>
          <w:sz w:val="28"/>
          <w:szCs w:val="28"/>
        </w:rPr>
        <w:t xml:space="preserve">Cheltuielile prevăzute pentru </w:t>
      </w:r>
      <w:r>
        <w:rPr>
          <w:rFonts w:ascii="Times New Roman" w:hAnsi="Times New Roman"/>
          <w:b/>
          <w:i/>
          <w:sz w:val="28"/>
          <w:szCs w:val="28"/>
        </w:rPr>
        <w:t>bunuri și servicii</w:t>
      </w:r>
      <w:r>
        <w:rPr>
          <w:rFonts w:ascii="Times New Roman" w:hAnsi="Times New Roman"/>
          <w:b/>
          <w:sz w:val="28"/>
          <w:szCs w:val="28"/>
        </w:rPr>
        <w:t xml:space="preserve"> </w:t>
      </w:r>
      <w:r>
        <w:rPr>
          <w:rFonts w:ascii="Times New Roman" w:hAnsi="Times New Roman"/>
          <w:sz w:val="28"/>
          <w:szCs w:val="28"/>
        </w:rPr>
        <w:t>au fost</w:t>
      </w:r>
      <w:r>
        <w:rPr>
          <w:rFonts w:ascii="Times New Roman" w:hAnsi="Times New Roman"/>
          <w:b/>
          <w:sz w:val="28"/>
          <w:szCs w:val="28"/>
        </w:rPr>
        <w:t xml:space="preserve"> </w:t>
      </w:r>
      <w:r>
        <w:rPr>
          <w:rFonts w:ascii="Times New Roman" w:hAnsi="Times New Roman"/>
          <w:sz w:val="28"/>
          <w:szCs w:val="28"/>
        </w:rPr>
        <w:t>executate în sumă de          1 147,3 mil.lei sau la nivel de 40,0%, cu o creștere de 26,8% comparativ cu perioada similară a anului 2022, urmare creșterii semnificative a pre</w:t>
      </w:r>
      <w:r w:rsidR="009B2A33">
        <w:rPr>
          <w:rFonts w:ascii="Times New Roman" w:hAnsi="Times New Roman"/>
          <w:sz w:val="28"/>
          <w:szCs w:val="28"/>
        </w:rPr>
        <w:t>ț</w:t>
      </w:r>
      <w:r>
        <w:rPr>
          <w:rFonts w:ascii="Times New Roman" w:hAnsi="Times New Roman"/>
          <w:sz w:val="28"/>
          <w:szCs w:val="28"/>
        </w:rPr>
        <w:t>urilor la   resursele energetice.</w:t>
      </w:r>
    </w:p>
    <w:p w:rsidR="00C82F48" w:rsidRDefault="00C82F48">
      <w:pPr>
        <w:pStyle w:val="BodyText"/>
        <w:spacing w:line="276" w:lineRule="auto"/>
        <w:ind w:right="0" w:firstLine="567"/>
      </w:pPr>
      <w:r>
        <w:rPr>
          <w:sz w:val="28"/>
          <w:szCs w:val="28"/>
          <w:lang w:val="ro-RO"/>
        </w:rPr>
        <w:t xml:space="preserve">Cheltuielile pentru </w:t>
      </w:r>
      <w:r>
        <w:rPr>
          <w:b/>
          <w:i/>
          <w:sz w:val="28"/>
          <w:szCs w:val="28"/>
          <w:lang w:val="ro-RO"/>
        </w:rPr>
        <w:t>dobânzi</w:t>
      </w:r>
      <w:r>
        <w:rPr>
          <w:b/>
          <w:sz w:val="28"/>
          <w:szCs w:val="28"/>
          <w:lang w:val="ro-RO"/>
        </w:rPr>
        <w:t xml:space="preserve"> </w:t>
      </w:r>
      <w:r>
        <w:rPr>
          <w:sz w:val="28"/>
          <w:szCs w:val="28"/>
          <w:lang w:val="ro-RO"/>
        </w:rPr>
        <w:t xml:space="preserve">au fost executate </w:t>
      </w:r>
      <w:r>
        <w:rPr>
          <w:sz w:val="28"/>
          <w:szCs w:val="28"/>
          <w:lang w:val="ro-MD"/>
        </w:rPr>
        <w:t>în sumă de 2 525,6 mil.lei</w:t>
      </w:r>
      <w:r w:rsidR="00F31090">
        <w:rPr>
          <w:sz w:val="28"/>
          <w:szCs w:val="28"/>
          <w:lang w:val="ro-MD"/>
        </w:rPr>
        <w:t xml:space="preserve"> sau</w:t>
      </w:r>
      <w:r>
        <w:rPr>
          <w:sz w:val="28"/>
          <w:szCs w:val="28"/>
          <w:lang w:val="ro-MD"/>
        </w:rPr>
        <w:t xml:space="preserve"> la nivel de 47,4% din prevederi</w:t>
      </w:r>
      <w:r w:rsidR="00F31090">
        <w:rPr>
          <w:sz w:val="28"/>
          <w:szCs w:val="28"/>
          <w:lang w:val="ro-MD"/>
        </w:rPr>
        <w:t>,</w:t>
      </w:r>
      <w:r>
        <w:rPr>
          <w:sz w:val="28"/>
          <w:szCs w:val="28"/>
          <w:lang w:val="ro-MD"/>
        </w:rPr>
        <w:t xml:space="preserve"> fiind în creștere cu 1 388,2 mil. lei sau de circa 2 ori față de semestrul I 2022. </w:t>
      </w:r>
    </w:p>
    <w:p w:rsidR="00C82F48" w:rsidRDefault="00C82F48">
      <w:pPr>
        <w:pStyle w:val="BodyText"/>
        <w:spacing w:line="276" w:lineRule="auto"/>
        <w:ind w:right="0" w:firstLine="567"/>
        <w:rPr>
          <w:sz w:val="28"/>
          <w:szCs w:val="28"/>
          <w:lang w:val="ro-MD"/>
        </w:rPr>
      </w:pPr>
    </w:p>
    <w:p w:rsidR="00C82F48" w:rsidRDefault="00C82F48">
      <w:pPr>
        <w:spacing w:after="0" w:line="276" w:lineRule="auto"/>
        <w:ind w:firstLine="567"/>
        <w:jc w:val="both"/>
      </w:pPr>
      <w:r>
        <w:rPr>
          <w:rFonts w:ascii="Times New Roman" w:hAnsi="Times New Roman"/>
          <w:sz w:val="28"/>
          <w:szCs w:val="28"/>
        </w:rPr>
        <w:t xml:space="preserve">Pentru </w:t>
      </w:r>
      <w:r>
        <w:rPr>
          <w:rFonts w:ascii="Times New Roman" w:hAnsi="Times New Roman"/>
          <w:i/>
          <w:sz w:val="28"/>
          <w:szCs w:val="28"/>
          <w:u w:val="single"/>
        </w:rPr>
        <w:t>serviciul datoriei de stat externe</w:t>
      </w:r>
      <w:r>
        <w:rPr>
          <w:rFonts w:ascii="Times New Roman" w:hAnsi="Times New Roman"/>
          <w:sz w:val="28"/>
          <w:szCs w:val="28"/>
        </w:rPr>
        <w:t xml:space="preserve"> au fost utilizate mijloace în sumă de 558,36 mil. lei (30,54 mil. dolari SUA), ceea ce constituie 60,2% din prevederile pe an și cu o majorare de 359,3 mil.lei comparativ cu aceeași perioadă a anului 2022. Această evoluție este cauzată de majorarea ratei Euribor 6 luni și ratei DST, precum și de contractarea unor noi împrumuturi</w:t>
      </w:r>
      <w:r>
        <w:rPr>
          <w:color w:val="000000"/>
          <w:sz w:val="28"/>
          <w:szCs w:val="28"/>
          <w:shd w:val="clear" w:color="auto" w:fill="FFFFFF"/>
        </w:rPr>
        <w:t>.</w:t>
      </w:r>
    </w:p>
    <w:p w:rsidR="00C82F48" w:rsidRDefault="00C82F48">
      <w:pPr>
        <w:spacing w:after="0" w:line="276" w:lineRule="auto"/>
        <w:ind w:firstLine="567"/>
        <w:jc w:val="both"/>
      </w:pPr>
      <w:r>
        <w:rPr>
          <w:rFonts w:ascii="Times New Roman" w:hAnsi="Times New Roman"/>
          <w:sz w:val="28"/>
          <w:szCs w:val="28"/>
        </w:rPr>
        <w:t xml:space="preserve">Pentru </w:t>
      </w:r>
      <w:r>
        <w:rPr>
          <w:rFonts w:ascii="Times New Roman" w:hAnsi="Times New Roman"/>
          <w:i/>
          <w:sz w:val="28"/>
          <w:szCs w:val="28"/>
          <w:u w:val="single"/>
        </w:rPr>
        <w:t>serviciul datoriei de stat interne</w:t>
      </w:r>
      <w:r>
        <w:rPr>
          <w:rFonts w:ascii="Times New Roman" w:hAnsi="Times New Roman"/>
          <w:sz w:val="28"/>
          <w:szCs w:val="28"/>
        </w:rPr>
        <w:t xml:space="preserve"> în această perioadă au fost utilizate mijloace bănești în sumă de 1 967,3 mil. lei, ceea ce constituie 44,7% din  prevederile  anuale, cu o majorare de 1 029,0 mil. lei sau de 2,1 ori comparativ cu semestrul I 2022. Acest fapt se datorează majorării volumelor de emisiune a VMS emise pe piața primară și de majorarea ratei dobânzii la VMS comercializate prin licitații în anul 2022. </w:t>
      </w:r>
    </w:p>
    <w:p w:rsidR="00C82F48" w:rsidRDefault="00C82F48">
      <w:pPr>
        <w:spacing w:after="0" w:line="276" w:lineRule="auto"/>
        <w:ind w:firstLine="567"/>
        <w:jc w:val="both"/>
      </w:pPr>
      <w:r>
        <w:rPr>
          <w:rFonts w:ascii="Times New Roman" w:hAnsi="Times New Roman"/>
          <w:sz w:val="28"/>
          <w:szCs w:val="28"/>
        </w:rPr>
        <w:t>Din suma totală pentru serviciul datoriei de stat interne au fost utilizate:</w:t>
      </w:r>
    </w:p>
    <w:p w:rsidR="00C82F48" w:rsidRDefault="00C82F48">
      <w:pPr>
        <w:numPr>
          <w:ilvl w:val="0"/>
          <w:numId w:val="9"/>
        </w:numPr>
        <w:spacing w:after="0" w:line="276" w:lineRule="auto"/>
        <w:ind w:left="0" w:firstLine="426"/>
        <w:jc w:val="both"/>
      </w:pPr>
      <w:r>
        <w:rPr>
          <w:rFonts w:ascii="Times New Roman" w:hAnsi="Times New Roman"/>
          <w:sz w:val="28"/>
          <w:szCs w:val="28"/>
        </w:rPr>
        <w:t xml:space="preserve">1 427,4 mil. lei pentru plata dobânzilor și cupoanelor la VMS emise pe piața primară (72,6%), </w:t>
      </w:r>
    </w:p>
    <w:p w:rsidR="00C82F48" w:rsidRDefault="00C82F48">
      <w:pPr>
        <w:numPr>
          <w:ilvl w:val="0"/>
          <w:numId w:val="9"/>
        </w:numPr>
        <w:spacing w:after="0" w:line="276" w:lineRule="auto"/>
        <w:ind w:hanging="861"/>
        <w:jc w:val="both"/>
      </w:pPr>
      <w:r>
        <w:rPr>
          <w:rFonts w:ascii="Times New Roman" w:hAnsi="Times New Roman"/>
          <w:sz w:val="28"/>
          <w:szCs w:val="28"/>
        </w:rPr>
        <w:t>240,6 mil. lei pentru plata dobânzilor la VMS convertite (12,2%);</w:t>
      </w:r>
    </w:p>
    <w:p w:rsidR="00C82F48" w:rsidRDefault="00C82F48">
      <w:pPr>
        <w:numPr>
          <w:ilvl w:val="0"/>
          <w:numId w:val="9"/>
        </w:numPr>
        <w:spacing w:after="0" w:line="276" w:lineRule="auto"/>
        <w:ind w:left="0" w:firstLine="426"/>
        <w:jc w:val="both"/>
      </w:pPr>
      <w:r>
        <w:rPr>
          <w:rFonts w:ascii="Times New Roman" w:hAnsi="Times New Roman"/>
          <w:sz w:val="28"/>
          <w:szCs w:val="28"/>
        </w:rPr>
        <w:t>299,3 mil. lei pentru plata dobânzilor la VMS emise pentru executarea obligațiilor de plată derivate din garanțiile de stat (15,2%).</w:t>
      </w:r>
    </w:p>
    <w:p w:rsidR="00C82F48" w:rsidRDefault="00C82F48">
      <w:pPr>
        <w:spacing w:after="0" w:line="276" w:lineRule="auto"/>
        <w:ind w:left="927"/>
        <w:jc w:val="both"/>
        <w:rPr>
          <w:rFonts w:ascii="Times New Roman" w:hAnsi="Times New Roman"/>
          <w:sz w:val="28"/>
          <w:szCs w:val="28"/>
        </w:rPr>
      </w:pPr>
    </w:p>
    <w:p w:rsidR="00C82F48" w:rsidRDefault="00C82F48">
      <w:pPr>
        <w:spacing w:after="0" w:line="276" w:lineRule="auto"/>
        <w:ind w:firstLine="567"/>
        <w:jc w:val="both"/>
      </w:pPr>
      <w:r>
        <w:rPr>
          <w:rFonts w:ascii="Times New Roman" w:hAnsi="Times New Roman"/>
          <w:sz w:val="28"/>
          <w:szCs w:val="28"/>
        </w:rPr>
        <w:t xml:space="preserve">Cheltuielile pentru </w:t>
      </w:r>
      <w:r>
        <w:rPr>
          <w:rFonts w:ascii="Times New Roman" w:hAnsi="Times New Roman"/>
          <w:b/>
          <w:i/>
          <w:sz w:val="28"/>
          <w:szCs w:val="28"/>
        </w:rPr>
        <w:t>subvenții</w:t>
      </w:r>
      <w:r>
        <w:rPr>
          <w:rFonts w:ascii="Times New Roman" w:hAnsi="Times New Roman"/>
          <w:sz w:val="28"/>
          <w:szCs w:val="28"/>
        </w:rPr>
        <w:t xml:space="preserve"> au fost realizate în sumă de 1 623,7 mil. lei sau la </w:t>
      </w:r>
      <w:r>
        <w:rPr>
          <w:rFonts w:ascii="Times New Roman" w:hAnsi="Times New Roman"/>
          <w:sz w:val="28"/>
          <w:szCs w:val="28"/>
          <w:lang w:val="ro-MD"/>
        </w:rPr>
        <w:t xml:space="preserve"> nivel de</w:t>
      </w:r>
      <w:r>
        <w:rPr>
          <w:rFonts w:ascii="Times New Roman" w:hAnsi="Times New Roman"/>
          <w:sz w:val="28"/>
          <w:szCs w:val="28"/>
        </w:rPr>
        <w:t xml:space="preserve"> 35,2 %</w:t>
      </w:r>
      <w:r>
        <w:rPr>
          <w:rFonts w:ascii="Times New Roman" w:hAnsi="Times New Roman"/>
          <w:sz w:val="28"/>
          <w:szCs w:val="28"/>
          <w:lang w:val="ro-MD"/>
        </w:rPr>
        <w:t xml:space="preserve"> din prevederi</w:t>
      </w:r>
      <w:r>
        <w:rPr>
          <w:rFonts w:ascii="Times New Roman" w:hAnsi="Times New Roman"/>
          <w:sz w:val="28"/>
          <w:szCs w:val="28"/>
        </w:rPr>
        <w:t xml:space="preserve"> și au înregistrat o diminuare cu 5,7% sau cu 97,8 mil lei comparativ cu aceeași perioadă a anului precedent.  </w:t>
      </w:r>
    </w:p>
    <w:p w:rsidR="00C82F48" w:rsidRDefault="00C82F48">
      <w:pPr>
        <w:spacing w:after="0" w:line="276" w:lineRule="auto"/>
        <w:ind w:firstLine="567"/>
        <w:jc w:val="both"/>
        <w:rPr>
          <w:rFonts w:ascii="Times New Roman" w:hAnsi="Times New Roman"/>
          <w:sz w:val="28"/>
          <w:szCs w:val="28"/>
        </w:rPr>
      </w:pPr>
    </w:p>
    <w:p w:rsidR="00C82F48" w:rsidRDefault="00C82F48">
      <w:pPr>
        <w:spacing w:after="0" w:line="276" w:lineRule="auto"/>
        <w:ind w:firstLine="567"/>
        <w:jc w:val="both"/>
      </w:pPr>
      <w:r>
        <w:rPr>
          <w:rFonts w:ascii="Times New Roman" w:hAnsi="Times New Roman"/>
          <w:sz w:val="28"/>
          <w:szCs w:val="28"/>
        </w:rPr>
        <w:t>Cheltuielile pentru</w:t>
      </w:r>
      <w:r>
        <w:rPr>
          <w:rFonts w:ascii="Times New Roman" w:hAnsi="Times New Roman"/>
          <w:b/>
          <w:sz w:val="28"/>
          <w:szCs w:val="28"/>
        </w:rPr>
        <w:t xml:space="preserve"> g</w:t>
      </w:r>
      <w:r>
        <w:rPr>
          <w:rFonts w:ascii="Times New Roman" w:hAnsi="Times New Roman"/>
          <w:b/>
          <w:i/>
          <w:sz w:val="28"/>
          <w:szCs w:val="28"/>
        </w:rPr>
        <w:t xml:space="preserve">ranturi acordate </w:t>
      </w:r>
      <w:r>
        <w:rPr>
          <w:rFonts w:ascii="Times New Roman" w:hAnsi="Times New Roman"/>
          <w:sz w:val="28"/>
          <w:szCs w:val="28"/>
        </w:rPr>
        <w:t>au constituit 223,9</w:t>
      </w:r>
      <w:r>
        <w:rPr>
          <w:rFonts w:ascii="Times New Roman" w:hAnsi="Times New Roman"/>
          <w:sz w:val="28"/>
          <w:szCs w:val="28"/>
          <w:lang w:val="fr-FR"/>
        </w:rPr>
        <w:t xml:space="preserve"> mil. </w:t>
      </w:r>
      <w:proofErr w:type="gramStart"/>
      <w:r>
        <w:rPr>
          <w:rFonts w:ascii="Times New Roman" w:hAnsi="Times New Roman"/>
          <w:sz w:val="28"/>
          <w:szCs w:val="28"/>
          <w:lang w:val="fr-FR"/>
        </w:rPr>
        <w:t>lei</w:t>
      </w:r>
      <w:proofErr w:type="gramEnd"/>
      <w:r>
        <w:rPr>
          <w:rFonts w:ascii="Times New Roman" w:hAnsi="Times New Roman"/>
          <w:sz w:val="28"/>
          <w:szCs w:val="28"/>
          <w:lang w:val="ro-MD"/>
        </w:rPr>
        <w:t xml:space="preserve"> fiind executate la nivel de 12,7% din prevederi, iar comparativ cu perioada similară a anului precedent au înregistrat o creștere de 64,1%. </w:t>
      </w:r>
    </w:p>
    <w:p w:rsidR="00C82F48" w:rsidRDefault="00C82F48">
      <w:pPr>
        <w:pStyle w:val="12"/>
        <w:tabs>
          <w:tab w:val="left" w:pos="426"/>
        </w:tabs>
        <w:spacing w:after="0" w:line="276" w:lineRule="auto"/>
        <w:ind w:left="0" w:firstLine="567"/>
        <w:jc w:val="both"/>
      </w:pPr>
      <w:r>
        <w:rPr>
          <w:rFonts w:ascii="Times New Roman" w:hAnsi="Times New Roman"/>
          <w:sz w:val="28"/>
          <w:szCs w:val="28"/>
        </w:rPr>
        <w:lastRenderedPageBreak/>
        <w:t>Pentru</w:t>
      </w:r>
      <w:r>
        <w:rPr>
          <w:rFonts w:ascii="Times New Roman" w:hAnsi="Times New Roman"/>
          <w:b/>
          <w:sz w:val="28"/>
          <w:szCs w:val="28"/>
        </w:rPr>
        <w:t xml:space="preserve"> </w:t>
      </w:r>
      <w:r>
        <w:rPr>
          <w:rFonts w:ascii="Times New Roman" w:hAnsi="Times New Roman"/>
          <w:b/>
          <w:i/>
          <w:sz w:val="28"/>
          <w:szCs w:val="28"/>
        </w:rPr>
        <w:t>prestații sociale</w:t>
      </w:r>
      <w:r>
        <w:rPr>
          <w:rFonts w:ascii="Times New Roman" w:hAnsi="Times New Roman"/>
          <w:sz w:val="28"/>
          <w:szCs w:val="28"/>
        </w:rPr>
        <w:t xml:space="preserve"> au fost executate cheltuieli în sumă de 3 227,2 mil.lei, la nivel de 57,3% din prevederi, cu o creștere de 65,7%  </w:t>
      </w:r>
      <w:r>
        <w:rPr>
          <w:rFonts w:ascii="Times New Roman" w:hAnsi="Times New Roman"/>
          <w:color w:val="000000"/>
          <w:sz w:val="28"/>
          <w:szCs w:val="28"/>
        </w:rPr>
        <w:t>comparativ cu perioada similară a anului 2022,</w:t>
      </w:r>
      <w:r>
        <w:t xml:space="preserve"> </w:t>
      </w:r>
      <w:r>
        <w:rPr>
          <w:rFonts w:ascii="Times New Roman" w:hAnsi="Times New Roman"/>
          <w:color w:val="000000"/>
          <w:sz w:val="28"/>
          <w:szCs w:val="28"/>
        </w:rPr>
        <w:t xml:space="preserve">acordarea </w:t>
      </w:r>
      <w:r>
        <w:rPr>
          <w:rFonts w:ascii="Times New Roman" w:hAnsi="Times New Roman"/>
          <w:color w:val="000000"/>
          <w:sz w:val="28"/>
          <w:szCs w:val="28"/>
          <w:lang w:val="ro-MD"/>
        </w:rPr>
        <w:t>compensațiilor pentru achitarea facturilor la energie destinate consumatorilor vulnerabili de energie (Fondul de reducere a vulnerabilității energetice)</w:t>
      </w:r>
      <w:r>
        <w:rPr>
          <w:rFonts w:ascii="Times New Roman" w:hAnsi="Times New Roman"/>
          <w:color w:val="000000"/>
          <w:sz w:val="28"/>
          <w:szCs w:val="28"/>
        </w:rPr>
        <w:t>.</w:t>
      </w:r>
    </w:p>
    <w:p w:rsidR="00C82F48" w:rsidRDefault="00C82F48">
      <w:pPr>
        <w:spacing w:after="120" w:line="276" w:lineRule="auto"/>
        <w:ind w:firstLine="567"/>
        <w:jc w:val="both"/>
      </w:pPr>
      <w:r>
        <w:rPr>
          <w:rFonts w:ascii="Times New Roman" w:hAnsi="Times New Roman"/>
          <w:b/>
          <w:i/>
          <w:color w:val="000000"/>
          <w:sz w:val="28"/>
          <w:szCs w:val="28"/>
        </w:rPr>
        <w:t>Transferurile către alte bugete</w:t>
      </w:r>
      <w:r>
        <w:rPr>
          <w:rFonts w:ascii="Times New Roman" w:hAnsi="Times New Roman"/>
          <w:color w:val="000000"/>
          <w:sz w:val="28"/>
          <w:szCs w:val="28"/>
        </w:rPr>
        <w:t xml:space="preserve"> au fost executate în sumă de 20 746,5 mil.lei,  constituind 56,4% din cheltuielile bugetului de stat, cu o creștere de 11,2% comparativ cu aceeași perioadă a anului 2022. În cadrul acestora, cea mai mare creștere (cu 20,4%) au atins transferurile către bugetele locale (inclusiv s-au majorat transferuri destinate </w:t>
      </w:r>
      <w:r>
        <w:rPr>
          <w:rFonts w:ascii="Times New Roman" w:hAnsi="Times New Roman"/>
          <w:color w:val="000000"/>
          <w:sz w:val="28"/>
          <w:szCs w:val="28"/>
          <w:lang w:val="ro-MD"/>
        </w:rPr>
        <w:t>învățământului general, pentru</w:t>
      </w:r>
      <w:r>
        <w:rPr>
          <w:rFonts w:ascii="Times New Roman" w:eastAsia="Calibri" w:hAnsi="Times New Roman"/>
          <w:bCs/>
          <w:color w:val="000000"/>
          <w:sz w:val="28"/>
          <w:szCs w:val="28"/>
          <w:lang w:val="ro-MD"/>
        </w:rPr>
        <w:t xml:space="preserve"> </w:t>
      </w:r>
      <w:r>
        <w:rPr>
          <w:rFonts w:ascii="Times New Roman" w:hAnsi="Times New Roman"/>
          <w:bCs/>
          <w:color w:val="000000"/>
          <w:sz w:val="28"/>
          <w:szCs w:val="28"/>
          <w:lang w:val="ro-MD"/>
        </w:rPr>
        <w:t>domeniul dezvoltării regionale și locale</w:t>
      </w:r>
      <w:r>
        <w:rPr>
          <w:rFonts w:ascii="Times New Roman" w:hAnsi="Times New Roman"/>
          <w:bCs/>
          <w:i/>
          <w:color w:val="000000"/>
          <w:sz w:val="28"/>
          <w:szCs w:val="28"/>
          <w:lang w:val="ro-MD"/>
        </w:rPr>
        <w:t>,</w:t>
      </w:r>
      <w:r>
        <w:rPr>
          <w:rFonts w:ascii="Times New Roman" w:hAnsi="Times New Roman"/>
          <w:b/>
          <w:bCs/>
          <w:i/>
          <w:color w:val="000000"/>
          <w:sz w:val="28"/>
          <w:szCs w:val="28"/>
          <w:lang w:val="ro-MD"/>
        </w:rPr>
        <w:t xml:space="preserve"> </w:t>
      </w:r>
      <w:r>
        <w:rPr>
          <w:rFonts w:ascii="Times New Roman" w:hAnsi="Times New Roman"/>
          <w:color w:val="000000"/>
          <w:sz w:val="28"/>
          <w:szCs w:val="28"/>
          <w:lang w:val="ro-MD"/>
        </w:rPr>
        <w:t xml:space="preserve">asistența socială și alte transferuri curente cu destinație generală și specială). </w:t>
      </w:r>
      <w:r>
        <w:rPr>
          <w:rFonts w:ascii="Times New Roman" w:hAnsi="Times New Roman"/>
          <w:color w:val="000000"/>
          <w:sz w:val="28"/>
          <w:szCs w:val="28"/>
        </w:rPr>
        <w:t xml:space="preserve">Transferurile către bugetul asigurărilor sociale de stat au crescut cu 19,7%, dintre care mare parte pentru </w:t>
      </w:r>
      <w:r>
        <w:rPr>
          <w:rFonts w:ascii="Times New Roman" w:hAnsi="Times New Roman"/>
          <w:bCs/>
          <w:iCs/>
          <w:color w:val="000000"/>
          <w:sz w:val="28"/>
          <w:szCs w:val="28"/>
        </w:rPr>
        <w:t>acoperirea deficitului bugetului asigurărilor sociale de stat, precum și în urma index</w:t>
      </w:r>
      <w:r w:rsidR="00FA5C43">
        <w:rPr>
          <w:rFonts w:ascii="Times New Roman" w:hAnsi="Times New Roman"/>
          <w:bCs/>
          <w:iCs/>
          <w:color w:val="000000"/>
          <w:sz w:val="28"/>
          <w:szCs w:val="28"/>
        </w:rPr>
        <w:t>ării prestaț</w:t>
      </w:r>
      <w:r>
        <w:rPr>
          <w:rFonts w:ascii="Times New Roman" w:hAnsi="Times New Roman"/>
          <w:bCs/>
          <w:iCs/>
          <w:color w:val="000000"/>
          <w:sz w:val="28"/>
          <w:szCs w:val="28"/>
        </w:rPr>
        <w:t>iilor sociale cu 15% din 1 a</w:t>
      </w:r>
      <w:r w:rsidR="00FA5C43">
        <w:rPr>
          <w:rFonts w:ascii="Times New Roman" w:hAnsi="Times New Roman"/>
          <w:bCs/>
          <w:iCs/>
          <w:color w:val="000000"/>
          <w:sz w:val="28"/>
          <w:szCs w:val="28"/>
        </w:rPr>
        <w:t>p</w:t>
      </w:r>
      <w:r>
        <w:rPr>
          <w:rFonts w:ascii="Times New Roman" w:hAnsi="Times New Roman"/>
          <w:bCs/>
          <w:iCs/>
          <w:color w:val="000000"/>
          <w:sz w:val="28"/>
          <w:szCs w:val="28"/>
        </w:rPr>
        <w:t xml:space="preserve">rilie 2023. Transferurile către fondurile asigurării obligatorii de asistență medicală au constituit 1 381,3 mil. lei </w:t>
      </w:r>
      <w:r>
        <w:rPr>
          <w:rFonts w:ascii="Times New Roman" w:hAnsi="Times New Roman"/>
          <w:bCs/>
          <w:iCs/>
          <w:color w:val="000000"/>
          <w:sz w:val="28"/>
          <w:szCs w:val="28"/>
          <w:lang w:val="ro-MD"/>
        </w:rPr>
        <w:t xml:space="preserve">fiind executate la nivel de 20,1% din prevederi, </w:t>
      </w:r>
      <w:r>
        <w:rPr>
          <w:rFonts w:ascii="Times New Roman" w:hAnsi="Times New Roman"/>
          <w:bCs/>
          <w:iCs/>
          <w:color w:val="000000"/>
          <w:sz w:val="28"/>
          <w:szCs w:val="28"/>
        </w:rPr>
        <w:t xml:space="preserve">cu o diminuare de 45,4% sau cu 1 148,7 mil. lei față de semestrul I 2022. </w:t>
      </w:r>
    </w:p>
    <w:p w:rsidR="00C82F48" w:rsidRDefault="00C82F48">
      <w:pPr>
        <w:spacing w:after="120" w:line="276" w:lineRule="auto"/>
        <w:ind w:firstLine="567"/>
        <w:jc w:val="both"/>
      </w:pPr>
      <w:r>
        <w:rPr>
          <w:rFonts w:ascii="Times New Roman" w:hAnsi="Times New Roman"/>
          <w:color w:val="000000"/>
          <w:sz w:val="28"/>
          <w:szCs w:val="28"/>
        </w:rPr>
        <w:t xml:space="preserve">Cheltuielile pentru </w:t>
      </w:r>
      <w:r>
        <w:rPr>
          <w:rFonts w:ascii="Times New Roman" w:hAnsi="Times New Roman"/>
          <w:b/>
          <w:i/>
          <w:color w:val="000000"/>
          <w:sz w:val="28"/>
          <w:szCs w:val="28"/>
        </w:rPr>
        <w:t>mijloace fixe</w:t>
      </w:r>
      <w:r>
        <w:rPr>
          <w:rFonts w:ascii="Times New Roman" w:hAnsi="Times New Roman"/>
          <w:b/>
          <w:color w:val="000000"/>
          <w:sz w:val="28"/>
          <w:szCs w:val="28"/>
        </w:rPr>
        <w:t xml:space="preserve"> </w:t>
      </w:r>
      <w:r>
        <w:rPr>
          <w:rFonts w:ascii="Times New Roman" w:hAnsi="Times New Roman"/>
          <w:color w:val="000000"/>
          <w:sz w:val="28"/>
          <w:szCs w:val="28"/>
        </w:rPr>
        <w:t xml:space="preserve">au fost executate în sumă de 835,2 mil. lei, ce constituie 18,3% din prevederi, fiind  în </w:t>
      </w:r>
      <w:r>
        <w:rPr>
          <w:rFonts w:ascii="Times New Roman" w:hAnsi="Times New Roman"/>
          <w:sz w:val="28"/>
          <w:szCs w:val="28"/>
        </w:rPr>
        <w:t>diminuare cu 0,3</w:t>
      </w:r>
      <w:r>
        <w:rPr>
          <w:rFonts w:ascii="Times New Roman" w:hAnsi="Times New Roman"/>
          <w:color w:val="000000"/>
          <w:sz w:val="28"/>
          <w:szCs w:val="28"/>
        </w:rPr>
        <w:t>% comparativ cu  perioada similară a anului 2022, urmare a diminuării acestor cheltuieli î</w:t>
      </w:r>
      <w:r>
        <w:rPr>
          <w:rFonts w:ascii="Times New Roman" w:hAnsi="Times New Roman"/>
          <w:color w:val="000000"/>
          <w:sz w:val="28"/>
          <w:szCs w:val="28"/>
          <w:lang w:val="ro-MD"/>
        </w:rPr>
        <w:t>n cadrul proiectelor finanțate din surse externe.</w:t>
      </w:r>
      <w:r>
        <w:rPr>
          <w:rFonts w:ascii="Times New Roman" w:hAnsi="Times New Roman"/>
          <w:color w:val="000000"/>
          <w:sz w:val="28"/>
          <w:szCs w:val="28"/>
        </w:rPr>
        <w:t xml:space="preserve"> În mod corespunzător, cheltuielile pentru </w:t>
      </w:r>
      <w:r>
        <w:rPr>
          <w:rFonts w:ascii="Times New Roman" w:hAnsi="Times New Roman"/>
          <w:b/>
          <w:i/>
          <w:color w:val="000000"/>
          <w:sz w:val="28"/>
          <w:szCs w:val="28"/>
        </w:rPr>
        <w:t>investiții capitale</w:t>
      </w:r>
      <w:r>
        <w:rPr>
          <w:rFonts w:ascii="Times New Roman" w:hAnsi="Times New Roman"/>
          <w:color w:val="000000"/>
          <w:sz w:val="28"/>
          <w:szCs w:val="28"/>
        </w:rPr>
        <w:t xml:space="preserve"> sunt în diminuare, fiind executate la nivel de 23,5% din prevederi, cu o diminuare de 16,4% sau 109,3 mil.lei față de semestrul I 2022.</w:t>
      </w:r>
    </w:p>
    <w:p w:rsidR="00C82F48" w:rsidRDefault="00C82F48">
      <w:pPr>
        <w:spacing w:after="120" w:line="276" w:lineRule="auto"/>
        <w:ind w:firstLine="567"/>
        <w:jc w:val="both"/>
      </w:pPr>
      <w:r>
        <w:rPr>
          <w:rFonts w:ascii="Times New Roman" w:hAnsi="Times New Roman"/>
          <w:color w:val="000000"/>
          <w:sz w:val="28"/>
          <w:szCs w:val="28"/>
        </w:rPr>
        <w:t xml:space="preserve">Cheltuielile pentru </w:t>
      </w:r>
      <w:r>
        <w:rPr>
          <w:rFonts w:ascii="Times New Roman" w:hAnsi="Times New Roman"/>
          <w:b/>
          <w:i/>
          <w:color w:val="000000"/>
          <w:sz w:val="28"/>
          <w:szCs w:val="28"/>
        </w:rPr>
        <w:t>stocuri de materiale</w:t>
      </w:r>
      <w:r>
        <w:rPr>
          <w:rFonts w:ascii="Times New Roman" w:hAnsi="Times New Roman"/>
          <w:color w:val="000000"/>
          <w:sz w:val="28"/>
          <w:szCs w:val="28"/>
        </w:rPr>
        <w:t xml:space="preserve"> au fost executate în sumă de 288,1 mil.lei, la nivel de 20,6% din prevederi fiind în diminuare cu 0,8 % comparativ cu perioada similară a anului 2022.</w:t>
      </w:r>
    </w:p>
    <w:p w:rsidR="00C82F48" w:rsidRDefault="00C82F48">
      <w:pPr>
        <w:spacing w:line="276" w:lineRule="auto"/>
        <w:ind w:firstLine="567"/>
        <w:jc w:val="both"/>
      </w:pPr>
      <w:r>
        <w:rPr>
          <w:rFonts w:ascii="Times New Roman" w:hAnsi="Times New Roman"/>
          <w:color w:val="000000"/>
          <w:sz w:val="28"/>
          <w:szCs w:val="28"/>
        </w:rPr>
        <w:t>Pentru</w:t>
      </w:r>
      <w:r>
        <w:rPr>
          <w:rFonts w:ascii="Times New Roman" w:hAnsi="Times New Roman"/>
          <w:b/>
          <w:i/>
          <w:color w:val="000000"/>
          <w:sz w:val="28"/>
          <w:szCs w:val="28"/>
        </w:rPr>
        <w:t xml:space="preserve"> alte cheltuieli</w:t>
      </w:r>
      <w:r>
        <w:rPr>
          <w:rFonts w:ascii="Times New Roman" w:hAnsi="Times New Roman"/>
          <w:b/>
          <w:color w:val="000000"/>
          <w:sz w:val="28"/>
          <w:szCs w:val="28"/>
        </w:rPr>
        <w:t xml:space="preserve"> </w:t>
      </w:r>
      <w:r>
        <w:rPr>
          <w:rFonts w:ascii="Times New Roman" w:hAnsi="Times New Roman"/>
          <w:color w:val="000000"/>
          <w:sz w:val="28"/>
          <w:szCs w:val="28"/>
        </w:rPr>
        <w:t xml:space="preserve">au fost utilizate mijloace financiare în sumă de 1 757,0 mil.lei, executate la nivel de 36,3% din prevederi cu o creștere de  15,4% comparativ cu semestrul I al anului 2022. </w:t>
      </w:r>
    </w:p>
    <w:p w:rsidR="00C82F48" w:rsidRDefault="00C82F48">
      <w:pPr>
        <w:ind w:firstLine="567"/>
        <w:jc w:val="both"/>
      </w:pPr>
      <w:r>
        <w:rPr>
          <w:rFonts w:ascii="Times New Roman" w:hAnsi="Times New Roman"/>
          <w:color w:val="000000"/>
          <w:sz w:val="28"/>
          <w:szCs w:val="28"/>
        </w:rPr>
        <w:t xml:space="preserve">Prin intermediul  </w:t>
      </w:r>
      <w:r>
        <w:rPr>
          <w:rFonts w:ascii="Times New Roman" w:hAnsi="Times New Roman"/>
          <w:i/>
          <w:sz w:val="28"/>
          <w:szCs w:val="28"/>
          <w:u w:val="single"/>
        </w:rPr>
        <w:t>fondurilor de urgență</w:t>
      </w:r>
      <w:r>
        <w:rPr>
          <w:rFonts w:ascii="Times New Roman" w:hAnsi="Times New Roman"/>
          <w:sz w:val="28"/>
          <w:szCs w:val="28"/>
        </w:rPr>
        <w:t xml:space="preserve"> ale Guvernului, în </w:t>
      </w:r>
      <w:r>
        <w:rPr>
          <w:rFonts w:ascii="Times New Roman" w:hAnsi="Times New Roman"/>
          <w:sz w:val="28"/>
          <w:szCs w:val="28"/>
          <w:lang w:val="ro-MD"/>
        </w:rPr>
        <w:t xml:space="preserve">semestrul I al anului 2023, au fost </w:t>
      </w:r>
      <w:r>
        <w:rPr>
          <w:rFonts w:ascii="Times New Roman" w:hAnsi="Times New Roman"/>
          <w:sz w:val="28"/>
          <w:szCs w:val="28"/>
          <w:lang w:eastAsia="ru-RU"/>
        </w:rPr>
        <w:t>repartizate mijloace financiare în sumă de 554,3 mil.lei, comparativ cu semestrul I al anului 2022, cu o diminuare de 352,0 mil. lei. Mijloacele financiare alocate din fondurilor de urgență ale Guvernului au fost executate în sumă de 181,3 mil. lei.</w:t>
      </w:r>
    </w:p>
    <w:p w:rsidR="00C82F48" w:rsidRDefault="00C82F48">
      <w:pPr>
        <w:jc w:val="both"/>
      </w:pPr>
      <w:r>
        <w:rPr>
          <w:rFonts w:ascii="Times New Roman" w:hAnsi="Times New Roman"/>
          <w:sz w:val="28"/>
          <w:szCs w:val="28"/>
          <w:lang w:eastAsia="ru-RU"/>
        </w:rPr>
        <w:tab/>
        <w:t>Mijloace financiare repartizate conform hotărârilor Guvernului și dispozițiilor Comisiei pentru Situații Excepționale a Republicii Moldova și executate în semestrul I 2022 și semestrul I 2023 sunt reflectate în tabelul care urmează</w:t>
      </w:r>
      <w:r>
        <w:t>.</w:t>
      </w:r>
    </w:p>
    <w:tbl>
      <w:tblPr>
        <w:tblW w:w="0" w:type="auto"/>
        <w:tblInd w:w="288" w:type="dxa"/>
        <w:tblLayout w:type="fixed"/>
        <w:tblLook w:val="0000" w:firstRow="0" w:lastRow="0" w:firstColumn="0" w:lastColumn="0" w:noHBand="0" w:noVBand="0"/>
      </w:tblPr>
      <w:tblGrid>
        <w:gridCol w:w="2725"/>
        <w:gridCol w:w="1168"/>
        <w:gridCol w:w="1052"/>
        <w:gridCol w:w="1168"/>
        <w:gridCol w:w="1054"/>
        <w:gridCol w:w="1218"/>
        <w:gridCol w:w="1170"/>
      </w:tblGrid>
      <w:tr w:rsidR="00C82F48">
        <w:trPr>
          <w:trHeight w:val="324"/>
        </w:trPr>
        <w:tc>
          <w:tcPr>
            <w:tcW w:w="2725" w:type="dxa"/>
            <w:tcBorders>
              <w:top w:val="none" w:sz="0" w:space="0" w:color="000000"/>
              <w:left w:val="none" w:sz="0" w:space="0" w:color="000000"/>
              <w:bottom w:val="none" w:sz="0" w:space="0" w:color="000000"/>
              <w:right w:val="none" w:sz="0" w:space="0" w:color="000000"/>
            </w:tcBorders>
            <w:shd w:val="clear" w:color="auto" w:fill="auto"/>
            <w:vAlign w:val="bottom"/>
          </w:tcPr>
          <w:p w:rsidR="00C82F48" w:rsidRDefault="00C82F48">
            <w:pPr>
              <w:snapToGrid w:val="0"/>
              <w:spacing w:after="0" w:line="240" w:lineRule="auto"/>
              <w:rPr>
                <w:rFonts w:ascii="Times New Roman" w:hAnsi="Times New Roman"/>
                <w:sz w:val="20"/>
                <w:szCs w:val="20"/>
                <w:lang w:eastAsia="ru-RU"/>
              </w:rPr>
            </w:pPr>
          </w:p>
        </w:tc>
        <w:tc>
          <w:tcPr>
            <w:tcW w:w="1168" w:type="dxa"/>
            <w:tcBorders>
              <w:top w:val="none" w:sz="0" w:space="0" w:color="000000"/>
              <w:left w:val="none" w:sz="0" w:space="0" w:color="000000"/>
              <w:bottom w:val="none" w:sz="0" w:space="0" w:color="000000"/>
              <w:right w:val="none" w:sz="0" w:space="0" w:color="000000"/>
            </w:tcBorders>
            <w:shd w:val="clear" w:color="auto" w:fill="auto"/>
            <w:vAlign w:val="bottom"/>
          </w:tcPr>
          <w:p w:rsidR="00C82F48" w:rsidRDefault="00C82F48">
            <w:pPr>
              <w:snapToGrid w:val="0"/>
              <w:spacing w:after="0" w:line="240" w:lineRule="auto"/>
              <w:rPr>
                <w:rFonts w:ascii="Times New Roman" w:hAnsi="Times New Roman"/>
                <w:sz w:val="20"/>
                <w:szCs w:val="20"/>
                <w:lang w:eastAsia="ru-RU"/>
              </w:rPr>
            </w:pPr>
          </w:p>
        </w:tc>
        <w:tc>
          <w:tcPr>
            <w:tcW w:w="1052" w:type="dxa"/>
            <w:tcBorders>
              <w:top w:val="none" w:sz="0" w:space="0" w:color="000000"/>
              <w:left w:val="none" w:sz="0" w:space="0" w:color="000000"/>
              <w:bottom w:val="none" w:sz="0" w:space="0" w:color="000000"/>
              <w:right w:val="none" w:sz="0" w:space="0" w:color="000000"/>
            </w:tcBorders>
            <w:shd w:val="clear" w:color="auto" w:fill="auto"/>
            <w:vAlign w:val="bottom"/>
          </w:tcPr>
          <w:p w:rsidR="00C82F48" w:rsidRDefault="00C82F48">
            <w:pPr>
              <w:snapToGrid w:val="0"/>
              <w:spacing w:after="0" w:line="240" w:lineRule="auto"/>
              <w:rPr>
                <w:rFonts w:ascii="Times New Roman" w:hAnsi="Times New Roman"/>
                <w:sz w:val="20"/>
                <w:szCs w:val="20"/>
                <w:lang w:eastAsia="ru-RU"/>
              </w:rPr>
            </w:pPr>
          </w:p>
        </w:tc>
        <w:tc>
          <w:tcPr>
            <w:tcW w:w="1168" w:type="dxa"/>
            <w:tcBorders>
              <w:top w:val="none" w:sz="0" w:space="0" w:color="000000"/>
              <w:left w:val="none" w:sz="0" w:space="0" w:color="000000"/>
              <w:bottom w:val="none" w:sz="0" w:space="0" w:color="000000"/>
              <w:right w:val="none" w:sz="0" w:space="0" w:color="000000"/>
            </w:tcBorders>
            <w:shd w:val="clear" w:color="auto" w:fill="auto"/>
            <w:vAlign w:val="bottom"/>
          </w:tcPr>
          <w:p w:rsidR="00C82F48" w:rsidRDefault="00C82F48">
            <w:pPr>
              <w:snapToGrid w:val="0"/>
              <w:spacing w:after="0" w:line="240" w:lineRule="auto"/>
              <w:rPr>
                <w:rFonts w:ascii="Times New Roman" w:hAnsi="Times New Roman"/>
                <w:sz w:val="20"/>
                <w:szCs w:val="20"/>
                <w:lang w:eastAsia="ru-RU"/>
              </w:rPr>
            </w:pPr>
          </w:p>
        </w:tc>
        <w:tc>
          <w:tcPr>
            <w:tcW w:w="1054" w:type="dxa"/>
            <w:tcBorders>
              <w:top w:val="none" w:sz="0" w:space="0" w:color="000000"/>
              <w:left w:val="none" w:sz="0" w:space="0" w:color="000000"/>
              <w:bottom w:val="none" w:sz="0" w:space="0" w:color="000000"/>
              <w:right w:val="none" w:sz="0" w:space="0" w:color="000000"/>
            </w:tcBorders>
            <w:shd w:val="clear" w:color="auto" w:fill="auto"/>
            <w:vAlign w:val="bottom"/>
          </w:tcPr>
          <w:p w:rsidR="00C82F48" w:rsidRDefault="00C82F48">
            <w:pPr>
              <w:snapToGrid w:val="0"/>
              <w:spacing w:after="0" w:line="240" w:lineRule="auto"/>
              <w:rPr>
                <w:rFonts w:ascii="Times New Roman" w:hAnsi="Times New Roman"/>
                <w:sz w:val="20"/>
                <w:szCs w:val="20"/>
                <w:lang w:eastAsia="ru-RU"/>
              </w:rPr>
            </w:pPr>
          </w:p>
        </w:tc>
        <w:tc>
          <w:tcPr>
            <w:tcW w:w="1218" w:type="dxa"/>
            <w:tcBorders>
              <w:top w:val="none" w:sz="0" w:space="0" w:color="000000"/>
              <w:left w:val="none" w:sz="0" w:space="0" w:color="000000"/>
              <w:bottom w:val="none" w:sz="0" w:space="0" w:color="000000"/>
              <w:right w:val="none" w:sz="0" w:space="0" w:color="000000"/>
            </w:tcBorders>
            <w:shd w:val="clear" w:color="auto" w:fill="auto"/>
            <w:vAlign w:val="bottom"/>
          </w:tcPr>
          <w:p w:rsidR="00C82F48" w:rsidRDefault="00C82F48">
            <w:pPr>
              <w:snapToGrid w:val="0"/>
              <w:spacing w:after="0" w:line="240" w:lineRule="auto"/>
              <w:rPr>
                <w:rFonts w:ascii="Times New Roman" w:hAnsi="Times New Roman"/>
                <w:sz w:val="20"/>
                <w:szCs w:val="20"/>
                <w:lang w:eastAsia="ru-RU"/>
              </w:rPr>
            </w:pPr>
          </w:p>
        </w:tc>
        <w:tc>
          <w:tcPr>
            <w:tcW w:w="1170" w:type="dxa"/>
            <w:tcBorders>
              <w:top w:val="none" w:sz="0" w:space="0" w:color="000000"/>
              <w:left w:val="none" w:sz="0" w:space="0" w:color="000000"/>
              <w:bottom w:val="none" w:sz="0" w:space="0" w:color="000000"/>
              <w:right w:val="none" w:sz="0" w:space="0" w:color="000000"/>
            </w:tcBorders>
            <w:shd w:val="clear" w:color="auto" w:fill="auto"/>
            <w:vAlign w:val="bottom"/>
          </w:tcPr>
          <w:p w:rsidR="00C82F48" w:rsidRDefault="00C82F48">
            <w:pPr>
              <w:spacing w:after="0" w:line="240" w:lineRule="auto"/>
            </w:pPr>
            <w:r>
              <w:rPr>
                <w:rFonts w:ascii="Times New Roman" w:hAnsi="Times New Roman"/>
                <w:iCs/>
                <w:color w:val="000000"/>
                <w:lang w:eastAsia="ru-RU"/>
              </w:rPr>
              <w:t xml:space="preserve">    mii lei </w:t>
            </w:r>
          </w:p>
        </w:tc>
      </w:tr>
      <w:tr w:rsidR="00C82F48">
        <w:trPr>
          <w:trHeight w:val="746"/>
        </w:trPr>
        <w:tc>
          <w:tcPr>
            <w:tcW w:w="2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sz w:val="20"/>
                <w:szCs w:val="20"/>
                <w:lang w:eastAsia="ru-RU"/>
              </w:rPr>
              <w:t> </w:t>
            </w:r>
          </w:p>
        </w:tc>
        <w:tc>
          <w:tcPr>
            <w:tcW w:w="2220" w:type="dxa"/>
            <w:gridSpan w:val="2"/>
            <w:tcBorders>
              <w:top w:val="single" w:sz="4"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i/>
                <w:iCs/>
                <w:sz w:val="24"/>
                <w:szCs w:val="24"/>
                <w:lang w:eastAsia="ru-RU"/>
              </w:rPr>
              <w:t>2022</w:t>
            </w:r>
          </w:p>
          <w:p w:rsidR="00C82F48" w:rsidRDefault="00C82F48">
            <w:pPr>
              <w:spacing w:after="0" w:line="240" w:lineRule="auto"/>
              <w:jc w:val="center"/>
            </w:pPr>
            <w:r>
              <w:rPr>
                <w:rFonts w:ascii="Times New Roman" w:hAnsi="Times New Roman"/>
                <w:b/>
                <w:bCs/>
                <w:i/>
                <w:iCs/>
                <w:sz w:val="24"/>
                <w:szCs w:val="24"/>
                <w:lang w:eastAsia="ru-RU"/>
              </w:rPr>
              <w:t>semestrul I</w:t>
            </w:r>
          </w:p>
        </w:tc>
        <w:tc>
          <w:tcPr>
            <w:tcW w:w="2222" w:type="dxa"/>
            <w:gridSpan w:val="2"/>
            <w:tcBorders>
              <w:top w:val="single" w:sz="4"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i/>
                <w:iCs/>
                <w:sz w:val="24"/>
                <w:szCs w:val="24"/>
                <w:lang w:eastAsia="ru-RU"/>
              </w:rPr>
              <w:t>2023</w:t>
            </w:r>
          </w:p>
          <w:p w:rsidR="00C82F48" w:rsidRDefault="00C82F48">
            <w:pPr>
              <w:spacing w:after="0" w:line="240" w:lineRule="auto"/>
              <w:jc w:val="center"/>
            </w:pPr>
            <w:r>
              <w:rPr>
                <w:rFonts w:ascii="Times New Roman" w:hAnsi="Times New Roman"/>
                <w:b/>
                <w:bCs/>
                <w:i/>
                <w:iCs/>
                <w:sz w:val="24"/>
                <w:szCs w:val="24"/>
                <w:lang w:eastAsia="ru-RU"/>
              </w:rPr>
              <w:t>semestrul I</w:t>
            </w:r>
          </w:p>
        </w:tc>
        <w:tc>
          <w:tcPr>
            <w:tcW w:w="2388" w:type="dxa"/>
            <w:gridSpan w:val="2"/>
            <w:tcBorders>
              <w:top w:val="single" w:sz="4"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i/>
                <w:iCs/>
                <w:sz w:val="24"/>
                <w:szCs w:val="24"/>
                <w:lang w:eastAsia="ru-RU"/>
              </w:rPr>
              <w:t>Devieri 2023/2022 (+,-)</w:t>
            </w:r>
          </w:p>
        </w:tc>
      </w:tr>
      <w:tr w:rsidR="00C82F48">
        <w:trPr>
          <w:trHeight w:val="339"/>
        </w:trPr>
        <w:tc>
          <w:tcPr>
            <w:tcW w:w="2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2F48" w:rsidRDefault="00C82F48">
            <w:pPr>
              <w:snapToGrid w:val="0"/>
              <w:spacing w:after="0" w:line="240" w:lineRule="auto"/>
              <w:rPr>
                <w:rFonts w:ascii="Times New Roman" w:hAnsi="Times New Roman"/>
                <w:b/>
                <w:bCs/>
                <w:i/>
                <w:iCs/>
                <w:sz w:val="20"/>
                <w:szCs w:val="20"/>
                <w:lang w:eastAsia="ru-RU"/>
              </w:rPr>
            </w:pPr>
          </w:p>
        </w:tc>
        <w:tc>
          <w:tcPr>
            <w:tcW w:w="1168"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sz w:val="20"/>
                <w:szCs w:val="20"/>
                <w:lang w:eastAsia="ru-RU"/>
              </w:rPr>
              <w:t>repartizat</w:t>
            </w:r>
          </w:p>
        </w:tc>
        <w:tc>
          <w:tcPr>
            <w:tcW w:w="1052"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sz w:val="20"/>
                <w:szCs w:val="20"/>
                <w:lang w:eastAsia="ru-RU"/>
              </w:rPr>
              <w:t>finanțat</w:t>
            </w:r>
          </w:p>
        </w:tc>
        <w:tc>
          <w:tcPr>
            <w:tcW w:w="1168"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sz w:val="20"/>
                <w:szCs w:val="20"/>
                <w:lang w:eastAsia="ru-RU"/>
              </w:rPr>
              <w:t>repartizat</w:t>
            </w:r>
          </w:p>
        </w:tc>
        <w:tc>
          <w:tcPr>
            <w:tcW w:w="1054"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sz w:val="20"/>
                <w:szCs w:val="20"/>
                <w:lang w:eastAsia="ru-RU"/>
              </w:rPr>
              <w:t>finanțat</w:t>
            </w:r>
          </w:p>
        </w:tc>
        <w:tc>
          <w:tcPr>
            <w:tcW w:w="1218"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sz w:val="20"/>
                <w:szCs w:val="20"/>
                <w:lang w:eastAsia="ru-RU"/>
              </w:rPr>
              <w:t>repartizat</w:t>
            </w:r>
          </w:p>
        </w:tc>
        <w:tc>
          <w:tcPr>
            <w:tcW w:w="1170"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sz w:val="20"/>
                <w:szCs w:val="20"/>
                <w:lang w:eastAsia="ru-RU"/>
              </w:rPr>
              <w:t>finanțat</w:t>
            </w:r>
          </w:p>
        </w:tc>
      </w:tr>
      <w:tr w:rsidR="00C82F48">
        <w:trPr>
          <w:trHeight w:val="324"/>
        </w:trPr>
        <w:tc>
          <w:tcPr>
            <w:tcW w:w="2725" w:type="dxa"/>
            <w:tcBorders>
              <w:top w:val="none" w:sz="0"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line="240" w:lineRule="auto"/>
              <w:jc w:val="both"/>
            </w:pPr>
            <w:r>
              <w:rPr>
                <w:rFonts w:ascii="Times New Roman" w:hAnsi="Times New Roman"/>
                <w:sz w:val="20"/>
                <w:szCs w:val="20"/>
                <w:lang w:eastAsia="ru-RU"/>
              </w:rPr>
              <w:t>Total fondurile de urgență</w:t>
            </w:r>
          </w:p>
        </w:tc>
        <w:tc>
          <w:tcPr>
            <w:tcW w:w="1168"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sz w:val="20"/>
                <w:szCs w:val="20"/>
                <w:lang w:eastAsia="ru-RU"/>
              </w:rPr>
              <w:t>906</w:t>
            </w:r>
            <w:r w:rsidR="00AC67EE">
              <w:rPr>
                <w:rFonts w:ascii="Times New Roman" w:hAnsi="Times New Roman"/>
                <w:b/>
                <w:bCs/>
                <w:sz w:val="20"/>
                <w:szCs w:val="20"/>
                <w:lang w:eastAsia="ru-RU"/>
              </w:rPr>
              <w:t xml:space="preserve"> </w:t>
            </w:r>
            <w:r>
              <w:rPr>
                <w:rFonts w:ascii="Times New Roman" w:hAnsi="Times New Roman"/>
                <w:b/>
                <w:bCs/>
                <w:sz w:val="20"/>
                <w:szCs w:val="20"/>
                <w:lang w:eastAsia="ru-RU"/>
              </w:rPr>
              <w:t>299,5</w:t>
            </w:r>
          </w:p>
        </w:tc>
        <w:tc>
          <w:tcPr>
            <w:tcW w:w="1052"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sz w:val="20"/>
                <w:szCs w:val="20"/>
                <w:lang w:eastAsia="ru-RU"/>
              </w:rPr>
              <w:t>742</w:t>
            </w:r>
            <w:r w:rsidR="00AC67EE">
              <w:rPr>
                <w:rFonts w:ascii="Times New Roman" w:hAnsi="Times New Roman"/>
                <w:b/>
                <w:bCs/>
                <w:sz w:val="20"/>
                <w:szCs w:val="20"/>
                <w:lang w:eastAsia="ru-RU"/>
              </w:rPr>
              <w:t xml:space="preserve"> </w:t>
            </w:r>
            <w:r>
              <w:rPr>
                <w:rFonts w:ascii="Times New Roman" w:hAnsi="Times New Roman"/>
                <w:b/>
                <w:bCs/>
                <w:sz w:val="20"/>
                <w:szCs w:val="20"/>
                <w:lang w:eastAsia="ru-RU"/>
              </w:rPr>
              <w:t>892,9</w:t>
            </w:r>
          </w:p>
        </w:tc>
        <w:tc>
          <w:tcPr>
            <w:tcW w:w="1168"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sz w:val="20"/>
                <w:szCs w:val="20"/>
                <w:lang w:eastAsia="ru-RU"/>
              </w:rPr>
              <w:t>554</w:t>
            </w:r>
            <w:r w:rsidR="00AC67EE">
              <w:rPr>
                <w:rFonts w:ascii="Times New Roman" w:hAnsi="Times New Roman"/>
                <w:b/>
                <w:bCs/>
                <w:sz w:val="20"/>
                <w:szCs w:val="20"/>
                <w:lang w:eastAsia="ru-RU"/>
              </w:rPr>
              <w:t xml:space="preserve"> </w:t>
            </w:r>
            <w:r>
              <w:rPr>
                <w:rFonts w:ascii="Times New Roman" w:hAnsi="Times New Roman"/>
                <w:b/>
                <w:bCs/>
                <w:sz w:val="20"/>
                <w:szCs w:val="20"/>
                <w:lang w:eastAsia="ru-RU"/>
              </w:rPr>
              <w:t>337,0</w:t>
            </w:r>
          </w:p>
        </w:tc>
        <w:tc>
          <w:tcPr>
            <w:tcW w:w="1054"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sz w:val="20"/>
                <w:szCs w:val="20"/>
                <w:lang w:eastAsia="ru-RU"/>
              </w:rPr>
              <w:t>181</w:t>
            </w:r>
            <w:r w:rsidR="00AC67EE">
              <w:rPr>
                <w:rFonts w:ascii="Times New Roman" w:hAnsi="Times New Roman"/>
                <w:b/>
                <w:bCs/>
                <w:sz w:val="20"/>
                <w:szCs w:val="20"/>
                <w:lang w:eastAsia="ru-RU"/>
              </w:rPr>
              <w:t xml:space="preserve"> </w:t>
            </w:r>
            <w:r>
              <w:rPr>
                <w:rFonts w:ascii="Times New Roman" w:hAnsi="Times New Roman"/>
                <w:b/>
                <w:bCs/>
                <w:sz w:val="20"/>
                <w:szCs w:val="20"/>
                <w:lang w:eastAsia="ru-RU"/>
              </w:rPr>
              <w:t>325,3</w:t>
            </w:r>
          </w:p>
        </w:tc>
        <w:tc>
          <w:tcPr>
            <w:tcW w:w="1218"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sz w:val="20"/>
                <w:szCs w:val="20"/>
                <w:lang w:eastAsia="ru-RU"/>
              </w:rPr>
              <w:t>-351</w:t>
            </w:r>
            <w:r w:rsidR="00AC67EE">
              <w:rPr>
                <w:rFonts w:ascii="Times New Roman" w:hAnsi="Times New Roman"/>
                <w:b/>
                <w:bCs/>
                <w:sz w:val="20"/>
                <w:szCs w:val="20"/>
                <w:lang w:eastAsia="ru-RU"/>
              </w:rPr>
              <w:t xml:space="preserve"> </w:t>
            </w:r>
            <w:r>
              <w:rPr>
                <w:rFonts w:ascii="Times New Roman" w:hAnsi="Times New Roman"/>
                <w:b/>
                <w:bCs/>
                <w:sz w:val="20"/>
                <w:szCs w:val="20"/>
                <w:lang w:eastAsia="ru-RU"/>
              </w:rPr>
              <w:t>962,5</w:t>
            </w:r>
          </w:p>
        </w:tc>
        <w:tc>
          <w:tcPr>
            <w:tcW w:w="1170"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sz w:val="20"/>
                <w:szCs w:val="20"/>
                <w:lang w:eastAsia="ru-RU"/>
              </w:rPr>
              <w:t>-561</w:t>
            </w:r>
            <w:r w:rsidR="00AC67EE">
              <w:rPr>
                <w:rFonts w:ascii="Times New Roman" w:hAnsi="Times New Roman"/>
                <w:b/>
                <w:bCs/>
                <w:sz w:val="20"/>
                <w:szCs w:val="20"/>
                <w:lang w:eastAsia="ru-RU"/>
              </w:rPr>
              <w:t xml:space="preserve"> </w:t>
            </w:r>
            <w:r>
              <w:rPr>
                <w:rFonts w:ascii="Times New Roman" w:hAnsi="Times New Roman"/>
                <w:b/>
                <w:bCs/>
                <w:sz w:val="20"/>
                <w:szCs w:val="20"/>
                <w:lang w:eastAsia="ru-RU"/>
              </w:rPr>
              <w:t>567,6</w:t>
            </w:r>
          </w:p>
        </w:tc>
      </w:tr>
      <w:tr w:rsidR="00C82F48">
        <w:trPr>
          <w:trHeight w:val="324"/>
        </w:trPr>
        <w:tc>
          <w:tcPr>
            <w:tcW w:w="2725" w:type="dxa"/>
            <w:tcBorders>
              <w:top w:val="none" w:sz="0"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i/>
                <w:iCs/>
                <w:sz w:val="20"/>
                <w:szCs w:val="20"/>
                <w:lang w:eastAsia="ru-RU"/>
              </w:rPr>
              <w:t>inclusiv:</w:t>
            </w:r>
          </w:p>
        </w:tc>
        <w:tc>
          <w:tcPr>
            <w:tcW w:w="1168"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sz w:val="20"/>
                <w:szCs w:val="20"/>
                <w:lang w:eastAsia="ru-RU"/>
              </w:rPr>
              <w:t> </w:t>
            </w:r>
          </w:p>
        </w:tc>
        <w:tc>
          <w:tcPr>
            <w:tcW w:w="1052"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center"/>
            </w:pPr>
            <w:r>
              <w:rPr>
                <w:rFonts w:ascii="Times New Roman" w:hAnsi="Times New Roman"/>
                <w:b/>
                <w:bCs/>
                <w:sz w:val="20"/>
                <w:szCs w:val="20"/>
                <w:lang w:eastAsia="ru-RU"/>
              </w:rPr>
              <w:t> </w:t>
            </w:r>
          </w:p>
        </w:tc>
        <w:tc>
          <w:tcPr>
            <w:tcW w:w="1168"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napToGrid w:val="0"/>
              <w:spacing w:after="0" w:line="240" w:lineRule="auto"/>
              <w:jc w:val="center"/>
              <w:rPr>
                <w:rFonts w:ascii="Times New Roman" w:hAnsi="Times New Roman"/>
                <w:b/>
                <w:bCs/>
                <w:sz w:val="20"/>
                <w:szCs w:val="20"/>
                <w:lang w:eastAsia="ru-RU"/>
              </w:rPr>
            </w:pPr>
          </w:p>
        </w:tc>
        <w:tc>
          <w:tcPr>
            <w:tcW w:w="1054"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napToGrid w:val="0"/>
              <w:spacing w:after="0" w:line="240" w:lineRule="auto"/>
              <w:jc w:val="center"/>
              <w:rPr>
                <w:rFonts w:ascii="Times New Roman" w:hAnsi="Times New Roman"/>
                <w:b/>
                <w:bCs/>
                <w:sz w:val="20"/>
                <w:szCs w:val="20"/>
                <w:lang w:eastAsia="ru-RU"/>
              </w:rPr>
            </w:pPr>
          </w:p>
        </w:tc>
        <w:tc>
          <w:tcPr>
            <w:tcW w:w="1218"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napToGrid w:val="0"/>
              <w:spacing w:after="0" w:line="240" w:lineRule="auto"/>
              <w:jc w:val="center"/>
              <w:rPr>
                <w:rFonts w:ascii="Times New Roman" w:hAnsi="Times New Roman"/>
                <w:b/>
                <w:bCs/>
                <w:sz w:val="20"/>
                <w:szCs w:val="20"/>
                <w:lang w:eastAsia="ru-RU"/>
              </w:rPr>
            </w:pPr>
          </w:p>
        </w:tc>
        <w:tc>
          <w:tcPr>
            <w:tcW w:w="1170"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napToGrid w:val="0"/>
              <w:spacing w:after="0" w:line="240" w:lineRule="auto"/>
              <w:jc w:val="center"/>
              <w:rPr>
                <w:rFonts w:ascii="Times New Roman" w:hAnsi="Times New Roman"/>
                <w:b/>
                <w:bCs/>
                <w:sz w:val="20"/>
                <w:szCs w:val="20"/>
                <w:lang w:eastAsia="ru-RU"/>
              </w:rPr>
            </w:pPr>
          </w:p>
        </w:tc>
      </w:tr>
      <w:tr w:rsidR="00C82F48">
        <w:trPr>
          <w:trHeight w:val="324"/>
        </w:trPr>
        <w:tc>
          <w:tcPr>
            <w:tcW w:w="2725" w:type="dxa"/>
            <w:tcBorders>
              <w:top w:val="none" w:sz="0"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line="240" w:lineRule="auto"/>
              <w:jc w:val="both"/>
            </w:pPr>
            <w:r>
              <w:rPr>
                <w:rFonts w:ascii="Times New Roman" w:hAnsi="Times New Roman"/>
                <w:sz w:val="20"/>
                <w:szCs w:val="20"/>
                <w:lang w:eastAsia="ru-RU"/>
              </w:rPr>
              <w:t>Fondul de rezervă</w:t>
            </w:r>
          </w:p>
        </w:tc>
        <w:tc>
          <w:tcPr>
            <w:tcW w:w="1168"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right"/>
            </w:pPr>
            <w:r>
              <w:rPr>
                <w:rFonts w:ascii="Times New Roman" w:hAnsi="Times New Roman"/>
                <w:sz w:val="20"/>
                <w:szCs w:val="20"/>
                <w:lang w:eastAsia="ru-RU"/>
              </w:rPr>
              <w:t>534 313,0</w:t>
            </w:r>
          </w:p>
        </w:tc>
        <w:tc>
          <w:tcPr>
            <w:tcW w:w="1052"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right"/>
            </w:pPr>
            <w:r>
              <w:rPr>
                <w:rFonts w:ascii="Times New Roman" w:hAnsi="Times New Roman"/>
                <w:sz w:val="20"/>
                <w:szCs w:val="20"/>
                <w:lang w:eastAsia="ru-RU"/>
              </w:rPr>
              <w:t>492 400,0</w:t>
            </w:r>
          </w:p>
        </w:tc>
        <w:tc>
          <w:tcPr>
            <w:tcW w:w="1168"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right"/>
            </w:pPr>
            <w:r>
              <w:rPr>
                <w:rFonts w:ascii="Times New Roman" w:hAnsi="Times New Roman"/>
                <w:sz w:val="20"/>
                <w:szCs w:val="20"/>
                <w:lang w:eastAsia="ru-RU"/>
              </w:rPr>
              <w:t>274 545,1</w:t>
            </w:r>
          </w:p>
        </w:tc>
        <w:tc>
          <w:tcPr>
            <w:tcW w:w="1054"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right"/>
            </w:pPr>
            <w:r>
              <w:rPr>
                <w:rFonts w:ascii="Times New Roman" w:hAnsi="Times New Roman"/>
                <w:sz w:val="20"/>
                <w:szCs w:val="20"/>
                <w:lang w:eastAsia="ru-RU"/>
              </w:rPr>
              <w:t>80 431,6</w:t>
            </w:r>
          </w:p>
        </w:tc>
        <w:tc>
          <w:tcPr>
            <w:tcW w:w="1218"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right"/>
            </w:pPr>
            <w:r>
              <w:rPr>
                <w:rFonts w:ascii="Times New Roman" w:hAnsi="Times New Roman"/>
                <w:sz w:val="20"/>
                <w:szCs w:val="20"/>
                <w:lang w:eastAsia="ru-RU"/>
              </w:rPr>
              <w:t>-259 767,9</w:t>
            </w:r>
          </w:p>
        </w:tc>
        <w:tc>
          <w:tcPr>
            <w:tcW w:w="1170"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right"/>
            </w:pPr>
            <w:r>
              <w:rPr>
                <w:rFonts w:ascii="Times New Roman" w:hAnsi="Times New Roman"/>
                <w:sz w:val="20"/>
                <w:szCs w:val="20"/>
                <w:lang w:eastAsia="ru-RU"/>
              </w:rPr>
              <w:t>-411 968,4</w:t>
            </w:r>
          </w:p>
        </w:tc>
      </w:tr>
      <w:tr w:rsidR="00C82F48">
        <w:trPr>
          <w:trHeight w:val="324"/>
        </w:trPr>
        <w:tc>
          <w:tcPr>
            <w:tcW w:w="2725" w:type="dxa"/>
            <w:tcBorders>
              <w:top w:val="none" w:sz="0" w:space="0" w:color="000000"/>
              <w:left w:val="single" w:sz="4" w:space="0" w:color="000000"/>
              <w:bottom w:val="single" w:sz="4" w:space="0" w:color="000000"/>
              <w:right w:val="single" w:sz="4" w:space="0" w:color="000000"/>
            </w:tcBorders>
            <w:shd w:val="clear" w:color="auto" w:fill="auto"/>
            <w:vAlign w:val="center"/>
          </w:tcPr>
          <w:p w:rsidR="00C82F48" w:rsidRDefault="00C82F48">
            <w:pPr>
              <w:spacing w:after="0" w:line="240" w:lineRule="auto"/>
              <w:jc w:val="both"/>
            </w:pPr>
            <w:r>
              <w:rPr>
                <w:rFonts w:ascii="Times New Roman" w:hAnsi="Times New Roman"/>
                <w:sz w:val="20"/>
                <w:szCs w:val="20"/>
                <w:lang w:eastAsia="ru-RU"/>
              </w:rPr>
              <w:t>Fondul de intervenție</w:t>
            </w:r>
          </w:p>
        </w:tc>
        <w:tc>
          <w:tcPr>
            <w:tcW w:w="1168"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right"/>
            </w:pPr>
            <w:r>
              <w:rPr>
                <w:rFonts w:ascii="Times New Roman" w:hAnsi="Times New Roman"/>
                <w:sz w:val="20"/>
                <w:szCs w:val="20"/>
                <w:lang w:eastAsia="ru-RU"/>
              </w:rPr>
              <w:t>371 986,5</w:t>
            </w:r>
          </w:p>
        </w:tc>
        <w:tc>
          <w:tcPr>
            <w:tcW w:w="1052"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right"/>
            </w:pPr>
            <w:r>
              <w:rPr>
                <w:rFonts w:ascii="Times New Roman" w:hAnsi="Times New Roman"/>
                <w:sz w:val="20"/>
                <w:szCs w:val="20"/>
                <w:lang w:eastAsia="ru-RU"/>
              </w:rPr>
              <w:t>250 492,9</w:t>
            </w:r>
          </w:p>
        </w:tc>
        <w:tc>
          <w:tcPr>
            <w:tcW w:w="1168"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right"/>
            </w:pPr>
            <w:r>
              <w:rPr>
                <w:rFonts w:ascii="Times New Roman" w:hAnsi="Times New Roman"/>
                <w:sz w:val="20"/>
                <w:szCs w:val="20"/>
                <w:lang w:eastAsia="ru-RU"/>
              </w:rPr>
              <w:t>279 791,9</w:t>
            </w:r>
          </w:p>
        </w:tc>
        <w:tc>
          <w:tcPr>
            <w:tcW w:w="1054"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right"/>
            </w:pPr>
            <w:r>
              <w:rPr>
                <w:rFonts w:ascii="Times New Roman" w:hAnsi="Times New Roman"/>
                <w:sz w:val="20"/>
                <w:szCs w:val="20"/>
                <w:lang w:eastAsia="ru-RU"/>
              </w:rPr>
              <w:t>100 893,7</w:t>
            </w:r>
          </w:p>
        </w:tc>
        <w:tc>
          <w:tcPr>
            <w:tcW w:w="1218"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right"/>
            </w:pPr>
            <w:r>
              <w:rPr>
                <w:rFonts w:ascii="Times New Roman" w:hAnsi="Times New Roman"/>
                <w:sz w:val="20"/>
                <w:szCs w:val="20"/>
                <w:lang w:eastAsia="ru-RU"/>
              </w:rPr>
              <w:t>-92 194,6</w:t>
            </w:r>
          </w:p>
        </w:tc>
        <w:tc>
          <w:tcPr>
            <w:tcW w:w="1170" w:type="dxa"/>
            <w:tcBorders>
              <w:top w:val="none" w:sz="0" w:space="0" w:color="000000"/>
              <w:left w:val="none" w:sz="0" w:space="0" w:color="000000"/>
              <w:bottom w:val="single" w:sz="4" w:space="0" w:color="000000"/>
              <w:right w:val="single" w:sz="4" w:space="0" w:color="000000"/>
            </w:tcBorders>
            <w:shd w:val="clear" w:color="auto" w:fill="auto"/>
            <w:vAlign w:val="center"/>
          </w:tcPr>
          <w:p w:rsidR="00C82F48" w:rsidRDefault="00C82F48">
            <w:pPr>
              <w:spacing w:after="0" w:line="240" w:lineRule="auto"/>
              <w:jc w:val="right"/>
            </w:pPr>
            <w:r>
              <w:rPr>
                <w:rFonts w:ascii="Times New Roman" w:hAnsi="Times New Roman"/>
                <w:sz w:val="20"/>
                <w:szCs w:val="20"/>
                <w:lang w:eastAsia="ru-RU"/>
              </w:rPr>
              <w:t>-149 599,2</w:t>
            </w:r>
          </w:p>
        </w:tc>
      </w:tr>
    </w:tbl>
    <w:p w:rsidR="00C82F48" w:rsidRDefault="00C82F48">
      <w:pPr>
        <w:spacing w:after="0"/>
        <w:ind w:firstLine="567"/>
        <w:jc w:val="both"/>
        <w:rPr>
          <w:rFonts w:ascii="Times New Roman" w:hAnsi="Times New Roman"/>
          <w:sz w:val="28"/>
          <w:szCs w:val="28"/>
          <w:lang w:val="ro-MD" w:eastAsia="ru-RU"/>
        </w:rPr>
      </w:pPr>
    </w:p>
    <w:p w:rsidR="00C82F48" w:rsidRDefault="00C82F48">
      <w:pPr>
        <w:spacing w:after="0" w:line="276" w:lineRule="auto"/>
        <w:ind w:firstLine="567"/>
        <w:jc w:val="both"/>
      </w:pPr>
      <w:r>
        <w:rPr>
          <w:rFonts w:ascii="Times New Roman" w:hAnsi="Times New Roman"/>
          <w:sz w:val="28"/>
          <w:szCs w:val="28"/>
        </w:rPr>
        <w:t xml:space="preserve">În perioada raportată, alocațiile fondurilor de urgență au fost utilizate pentru:  </w:t>
      </w:r>
    </w:p>
    <w:p w:rsidR="00C82F48" w:rsidRDefault="00C82F48">
      <w:pPr>
        <w:tabs>
          <w:tab w:val="left" w:pos="810"/>
        </w:tabs>
        <w:spacing w:after="0" w:line="276" w:lineRule="auto"/>
        <w:ind w:firstLine="540"/>
        <w:jc w:val="both"/>
      </w:pPr>
      <w:r>
        <w:rPr>
          <w:rFonts w:ascii="Times New Roman" w:hAnsi="Times New Roman"/>
          <w:sz w:val="28"/>
          <w:szCs w:val="28"/>
        </w:rPr>
        <w:t>- gestionarea crizei energetice în suma 71,2 mil. lei (compensarea pentru consumatorii non-casnici a diferenței de preț pentru furnizarea de gaze naturale);</w:t>
      </w:r>
    </w:p>
    <w:p w:rsidR="00C82F48" w:rsidRDefault="00C82F48">
      <w:pPr>
        <w:tabs>
          <w:tab w:val="left" w:pos="720"/>
          <w:tab w:val="left" w:pos="900"/>
        </w:tabs>
        <w:spacing w:after="0" w:line="276" w:lineRule="auto"/>
        <w:ind w:firstLine="567"/>
        <w:jc w:val="both"/>
      </w:pPr>
      <w:r>
        <w:rPr>
          <w:rFonts w:ascii="Times New Roman" w:hAnsi="Times New Roman"/>
          <w:sz w:val="28"/>
          <w:szCs w:val="28"/>
        </w:rPr>
        <w:t>-  întreținerea centrelor de plasament temporar a refugiaților din Ucraina și pentru acoperirea cheltuielilor suportate de prestatorii de servicii medicale încadrați în sistemul asigurării obligatorii de asistență medicală pentru acordarea asistenței medicale în anul 2022 cetățenilor străini refugiați din Ucraina −29,7 mil.lei;</w:t>
      </w:r>
    </w:p>
    <w:p w:rsidR="00C82F48" w:rsidRDefault="00C82F48">
      <w:pPr>
        <w:spacing w:after="0" w:line="276" w:lineRule="auto"/>
        <w:ind w:firstLine="567"/>
        <w:jc w:val="both"/>
      </w:pPr>
      <w:r>
        <w:rPr>
          <w:rFonts w:ascii="Times New Roman" w:hAnsi="Times New Roman"/>
          <w:sz w:val="28"/>
          <w:szCs w:val="28"/>
        </w:rPr>
        <w:t>- plata serviciilor de audit financiar și juridic al datoriei S.A. „Moldovagaz” către S.A.P. „Gazprom” și S.R.L. „Factoring Finance” pentru livrările de gaze consumatorilor Republicii Moldova de pe malul drept al râului Nistru – 15,3 mil. lei;</w:t>
      </w:r>
    </w:p>
    <w:p w:rsidR="00C82F48" w:rsidRDefault="00C82F48">
      <w:pPr>
        <w:spacing w:after="0" w:line="276" w:lineRule="auto"/>
        <w:ind w:firstLine="567"/>
        <w:jc w:val="both"/>
      </w:pPr>
      <w:r>
        <w:rPr>
          <w:rFonts w:ascii="Times New Roman" w:hAnsi="Times New Roman"/>
          <w:sz w:val="28"/>
          <w:szCs w:val="28"/>
        </w:rPr>
        <w:t>- pregătirea de cel de-al doilea Summit al Comunității Politice Europene din 1 iunie 2023 – 8,5 mil. lei;</w:t>
      </w:r>
    </w:p>
    <w:p w:rsidR="00C82F48" w:rsidRDefault="00C82F48">
      <w:pPr>
        <w:spacing w:after="0" w:line="276" w:lineRule="auto"/>
        <w:ind w:firstLine="567"/>
        <w:jc w:val="both"/>
      </w:pPr>
      <w:r>
        <w:rPr>
          <w:rFonts w:ascii="Times New Roman" w:hAnsi="Times New Roman"/>
          <w:sz w:val="28"/>
          <w:szCs w:val="28"/>
        </w:rPr>
        <w:t>- alte cheltuieli –56,6 mil. lei.</w:t>
      </w:r>
    </w:p>
    <w:p w:rsidR="00C82F48" w:rsidRDefault="00C82F48">
      <w:pPr>
        <w:spacing w:after="0" w:line="276" w:lineRule="auto"/>
        <w:ind w:firstLine="567"/>
        <w:jc w:val="both"/>
      </w:pPr>
      <w:r>
        <w:rPr>
          <w:rFonts w:ascii="Times New Roman" w:hAnsi="Times New Roman"/>
          <w:sz w:val="28"/>
          <w:szCs w:val="28"/>
        </w:rPr>
        <w:t xml:space="preserve">  </w:t>
      </w:r>
    </w:p>
    <w:p w:rsidR="00C82F48" w:rsidRDefault="00C82F48">
      <w:pPr>
        <w:spacing w:after="120" w:line="276" w:lineRule="auto"/>
        <w:ind w:firstLine="567"/>
        <w:jc w:val="both"/>
      </w:pPr>
      <w:r>
        <w:rPr>
          <w:rFonts w:ascii="Times New Roman" w:hAnsi="Times New Roman"/>
          <w:sz w:val="28"/>
          <w:szCs w:val="28"/>
        </w:rPr>
        <w:t xml:space="preserve">Executarea bugetului de stat în semestrul I al anului 2023 s-a încheiat cu un </w:t>
      </w:r>
      <w:r>
        <w:rPr>
          <w:rFonts w:ascii="Times New Roman" w:hAnsi="Times New Roman"/>
          <w:b/>
          <w:i/>
          <w:sz w:val="28"/>
          <w:szCs w:val="28"/>
        </w:rPr>
        <w:t>sold bugetar (deficit) în sumă de 7 895,9 mil. lei,</w:t>
      </w:r>
      <w:r>
        <w:rPr>
          <w:rFonts w:ascii="Times New Roman" w:hAnsi="Times New Roman"/>
          <w:sz w:val="28"/>
          <w:szCs w:val="28"/>
        </w:rPr>
        <w:t xml:space="preserve"> ce constituie 43,1% din prevederile pe an.</w:t>
      </w:r>
    </w:p>
    <w:p w:rsidR="00C82F48" w:rsidRDefault="00C82F48">
      <w:pPr>
        <w:spacing w:after="120" w:line="276" w:lineRule="auto"/>
        <w:ind w:firstLine="567"/>
        <w:jc w:val="both"/>
      </w:pPr>
      <w:r>
        <w:rPr>
          <w:rFonts w:ascii="Times New Roman" w:hAnsi="Times New Roman"/>
          <w:i/>
          <w:sz w:val="28"/>
          <w:szCs w:val="28"/>
          <w:u w:val="single"/>
        </w:rPr>
        <w:t>Sursele de finanțare a deficitului</w:t>
      </w:r>
      <w:r>
        <w:rPr>
          <w:rFonts w:ascii="Times New Roman" w:hAnsi="Times New Roman"/>
          <w:sz w:val="28"/>
          <w:szCs w:val="28"/>
        </w:rPr>
        <w:t xml:space="preserve"> au fost:</w:t>
      </w:r>
      <w:r>
        <w:rPr>
          <w:rFonts w:ascii="Times New Roman" w:hAnsi="Times New Roman"/>
          <w:sz w:val="28"/>
          <w:szCs w:val="28"/>
          <w:lang w:val="en-US" w:eastAsia="en-US"/>
        </w:rPr>
        <w:t xml:space="preserve"> finanțarea netă pozitivă din contul</w:t>
      </w:r>
      <w:r>
        <w:rPr>
          <w:rFonts w:ascii="Times New Roman" w:hAnsi="Times New Roman"/>
          <w:sz w:val="28"/>
          <w:szCs w:val="28"/>
        </w:rPr>
        <w:t xml:space="preserve"> VMS emise pe piața primară (2 756,9 mil.lei), împrumuturi debursate de către creditorii externi (6 823,8 mil. lei).</w:t>
      </w:r>
    </w:p>
    <w:p w:rsidR="00C82F48" w:rsidRDefault="00C82F48">
      <w:pPr>
        <w:spacing w:after="120" w:line="276" w:lineRule="auto"/>
        <w:ind w:firstLine="567"/>
        <w:jc w:val="both"/>
      </w:pPr>
      <w:r>
        <w:rPr>
          <w:rFonts w:ascii="Times New Roman" w:hAnsi="Times New Roman"/>
          <w:sz w:val="28"/>
          <w:szCs w:val="28"/>
        </w:rPr>
        <w:t>Din suma totală a împrumuturilor debursate, în semestrul I al anului 2023, împrumuturile pentru suport bugetar au constituit 3 048,0 mil. lei (167,5 mil. dolari SUA), dintre care împrumutul FMI – 2 260,9 mil. lei (123,7 mil. dolari SUA), împrumutul pentru asistența macrofinanciară pentru Republica Moldova oferită de Uniunea Europeană – 787,1 mil. lei (43,8 mil. dolari SUA) și 3 775,8 mil. lei (200,6 mil. dolari SUA) pentru proiecte finanțate din surse externe.</w:t>
      </w:r>
    </w:p>
    <w:p w:rsidR="00C82F48" w:rsidRDefault="00C82F48">
      <w:pPr>
        <w:spacing w:after="120" w:line="276" w:lineRule="auto"/>
        <w:ind w:firstLine="567"/>
        <w:jc w:val="both"/>
      </w:pPr>
      <w:r>
        <w:rPr>
          <w:rFonts w:ascii="Times New Roman" w:hAnsi="Times New Roman"/>
          <w:sz w:val="28"/>
          <w:szCs w:val="28"/>
        </w:rPr>
        <w:t xml:space="preserve">Totodată, în perioada gestionară au fost onorate obligațiuni față de creditorii externi în sumă de 1 743,9 mil. lei (echivalent a 96,00 mil. dolari SUA), recreditate împrumuturi instituțiilor financiare și nefinanciare (- 871,8 mil. lei). </w:t>
      </w:r>
    </w:p>
    <w:p w:rsidR="00C82F48" w:rsidRDefault="00C82F48">
      <w:pPr>
        <w:spacing w:after="120" w:line="276" w:lineRule="auto"/>
        <w:ind w:firstLine="567"/>
        <w:jc w:val="both"/>
      </w:pPr>
      <w:r>
        <w:rPr>
          <w:rFonts w:ascii="Times New Roman" w:hAnsi="Times New Roman"/>
          <w:sz w:val="28"/>
          <w:szCs w:val="28"/>
        </w:rPr>
        <w:lastRenderedPageBreak/>
        <w:t>Au fost utilizate alte surse interne, inclusiv soldurile mijloacelor bănești în conturi în sumă de 930,9 mil. lei.</w:t>
      </w:r>
    </w:p>
    <w:p w:rsidR="00C82F48" w:rsidRDefault="00C82F48">
      <w:pPr>
        <w:spacing w:after="120" w:line="276" w:lineRule="auto"/>
        <w:ind w:firstLine="567"/>
        <w:jc w:val="both"/>
      </w:pPr>
      <w:r>
        <w:rPr>
          <w:rFonts w:ascii="Times New Roman" w:hAnsi="Times New Roman"/>
          <w:sz w:val="28"/>
          <w:szCs w:val="28"/>
        </w:rPr>
        <w:t xml:space="preserve">La situația din 30 iunie 2023, </w:t>
      </w:r>
      <w:r>
        <w:rPr>
          <w:rFonts w:ascii="Times New Roman" w:hAnsi="Times New Roman"/>
          <w:b/>
          <w:i/>
          <w:sz w:val="28"/>
          <w:szCs w:val="28"/>
        </w:rPr>
        <w:t>soldurile mijloacelor bănești</w:t>
      </w:r>
      <w:r>
        <w:rPr>
          <w:rFonts w:ascii="Times New Roman" w:hAnsi="Times New Roman"/>
          <w:sz w:val="28"/>
          <w:szCs w:val="28"/>
        </w:rPr>
        <w:t xml:space="preserve"> în conturile  bugetului de stat, au constituit 3 811,9 mil. lei </w:t>
      </w:r>
      <w:r>
        <w:rPr>
          <w:rFonts w:ascii="Times New Roman" w:hAnsi="Times New Roman"/>
          <w:sz w:val="28"/>
          <w:szCs w:val="28"/>
          <w:lang w:val="en-GB"/>
        </w:rPr>
        <w:t xml:space="preserve">și s-au majorat cu 949,1 mil. lei </w:t>
      </w:r>
      <w:r>
        <w:rPr>
          <w:rFonts w:ascii="Times New Roman" w:hAnsi="Times New Roman"/>
          <w:sz w:val="28"/>
          <w:szCs w:val="28"/>
          <w:lang w:val="ro-MD"/>
        </w:rPr>
        <w:t>față de începutul anului 2023. La proiectele finanțate din surse externe soldurile în conturi constituie 999,9 mil. lei, care s-au majorat cu 9</w:t>
      </w:r>
      <w:r>
        <w:rPr>
          <w:rFonts w:ascii="Times New Roman" w:hAnsi="Times New Roman"/>
          <w:sz w:val="28"/>
          <w:szCs w:val="28"/>
          <w:lang w:val="en-US"/>
        </w:rPr>
        <w:t>0</w:t>
      </w:r>
      <w:r>
        <w:rPr>
          <w:rFonts w:ascii="Times New Roman" w:hAnsi="Times New Roman"/>
          <w:sz w:val="28"/>
          <w:szCs w:val="28"/>
          <w:lang w:val="ro-MD"/>
        </w:rPr>
        <w:t>,3 mil.lei</w:t>
      </w:r>
      <w:r>
        <w:t xml:space="preserve"> </w:t>
      </w:r>
      <w:r>
        <w:rPr>
          <w:rFonts w:ascii="Times New Roman" w:hAnsi="Times New Roman"/>
          <w:sz w:val="28"/>
          <w:szCs w:val="28"/>
          <w:lang w:val="ro-MD"/>
        </w:rPr>
        <w:t>față de începutul anului 2023.</w:t>
      </w:r>
    </w:p>
    <w:p w:rsidR="00C82F48" w:rsidRDefault="00C82F48">
      <w:pPr>
        <w:spacing w:after="0"/>
        <w:ind w:firstLine="567"/>
        <w:jc w:val="both"/>
      </w:pPr>
      <w:r>
        <w:rPr>
          <w:rFonts w:ascii="Times New Roman" w:hAnsi="Times New Roman"/>
          <w:sz w:val="28"/>
          <w:szCs w:val="28"/>
        </w:rPr>
        <w:t xml:space="preserve">La situația din 30 iunie 2023, la bugetul de stat s-au înregistrat </w:t>
      </w:r>
      <w:r>
        <w:rPr>
          <w:rFonts w:ascii="Times New Roman" w:hAnsi="Times New Roman"/>
          <w:b/>
          <w:i/>
          <w:sz w:val="28"/>
          <w:szCs w:val="28"/>
        </w:rPr>
        <w:t>creanțe cu termen expirat</w:t>
      </w:r>
      <w:r>
        <w:rPr>
          <w:rFonts w:ascii="Times New Roman" w:hAnsi="Times New Roman"/>
          <w:sz w:val="28"/>
          <w:szCs w:val="28"/>
        </w:rPr>
        <w:t xml:space="preserve"> în sumă de 9,2 mil.lei, care comparativ cu 1 ianuarie 2023 s-au micșorat cu 5,5 mil.lei </w:t>
      </w:r>
      <w:r>
        <w:rPr>
          <w:rFonts w:ascii="Times New Roman" w:hAnsi="Times New Roman"/>
          <w:sz w:val="28"/>
          <w:szCs w:val="28"/>
          <w:lang w:val="ro-MD"/>
        </w:rPr>
        <w:t>sau cu 37,4 la sută.</w:t>
      </w:r>
    </w:p>
    <w:p w:rsidR="00C82F48" w:rsidRDefault="00C82F48">
      <w:pPr>
        <w:spacing w:after="0"/>
        <w:ind w:firstLine="567"/>
        <w:jc w:val="both"/>
        <w:rPr>
          <w:rFonts w:ascii="Times New Roman" w:hAnsi="Times New Roman"/>
          <w:sz w:val="28"/>
          <w:szCs w:val="28"/>
        </w:rPr>
      </w:pPr>
    </w:p>
    <w:p w:rsidR="00C82F48" w:rsidRDefault="00C82F48">
      <w:pPr>
        <w:spacing w:line="276" w:lineRule="auto"/>
        <w:ind w:firstLine="567"/>
        <w:jc w:val="both"/>
      </w:pPr>
      <w:r>
        <w:rPr>
          <w:rFonts w:ascii="Times New Roman" w:hAnsi="Times New Roman"/>
          <w:b/>
          <w:i/>
          <w:sz w:val="28"/>
          <w:szCs w:val="28"/>
        </w:rPr>
        <w:t>Datoriile cu termen de achitare expirat (arierate)</w:t>
      </w:r>
      <w:r>
        <w:rPr>
          <w:rFonts w:ascii="Times New Roman" w:hAnsi="Times New Roman"/>
          <w:sz w:val="28"/>
          <w:szCs w:val="28"/>
        </w:rPr>
        <w:t xml:space="preserve"> ale bugetului de stat la situația din 30 iunie 2023 au constituit 11,9 mil.lei. În comparație cu 1 ianuarie 2023, acestea s-au </w:t>
      </w:r>
      <w:r>
        <w:rPr>
          <w:rFonts w:ascii="Times New Roman" w:hAnsi="Times New Roman"/>
          <w:sz w:val="28"/>
          <w:szCs w:val="28"/>
          <w:lang w:val="ro-MD"/>
        </w:rPr>
        <w:t>majorat cu 11,5 mil.lei sau cu 200,0 % mai mult, motivele principale invocate de autoritățile/instituțiile bugetare fiind insuficiența alocațiilor bugetare și a mijloacelor bănești, lipsa soldului de alocații bugetare pe contract, precum și neonorarea condițiilor contractuale.</w:t>
      </w:r>
    </w:p>
    <w:p w:rsidR="00C82F48" w:rsidRDefault="00C82F48">
      <w:pPr>
        <w:pStyle w:val="Heading1"/>
      </w:pPr>
      <w:bookmarkStart w:id="9" w:name="__RefHeading___Toc144793160"/>
      <w:bookmarkEnd w:id="9"/>
      <w:r>
        <w:rPr>
          <w:rFonts w:ascii="Times New Roman" w:hAnsi="Times New Roman"/>
          <w:color w:val="171717"/>
          <w:sz w:val="32"/>
          <w:szCs w:val="32"/>
        </w:rPr>
        <w:t>Evoluții în domeniul datoriei de stat și altor angajamente condiționate în semestrul I 2023</w:t>
      </w:r>
    </w:p>
    <w:p w:rsidR="00C82F48" w:rsidRDefault="00C82F48">
      <w:pPr>
        <w:pStyle w:val="Heading2"/>
        <w:spacing w:after="120" w:line="276" w:lineRule="auto"/>
      </w:pPr>
      <w:r>
        <w:rPr>
          <w:rFonts w:ascii="Times New Roman" w:hAnsi="Times New Roman"/>
          <w:color w:val="171717"/>
          <w:sz w:val="28"/>
          <w:szCs w:val="28"/>
        </w:rPr>
        <w:t>Soldul datoriei de stat</w:t>
      </w:r>
    </w:p>
    <w:p w:rsidR="00C82F48" w:rsidRDefault="00C82F48">
      <w:pPr>
        <w:tabs>
          <w:tab w:val="left" w:pos="567"/>
          <w:tab w:val="left" w:pos="1560"/>
        </w:tabs>
        <w:spacing w:after="0" w:line="276" w:lineRule="auto"/>
        <w:ind w:firstLine="567"/>
        <w:jc w:val="both"/>
      </w:pPr>
      <w:r>
        <w:rPr>
          <w:rFonts w:ascii="Times New Roman" w:hAnsi="Times New Roman"/>
          <w:color w:val="000000"/>
          <w:sz w:val="28"/>
          <w:szCs w:val="28"/>
        </w:rPr>
        <w:t xml:space="preserve">La situația din 30 iunie 2023, </w:t>
      </w:r>
      <w:r>
        <w:rPr>
          <w:rFonts w:ascii="Times New Roman" w:hAnsi="Times New Roman"/>
          <w:b/>
          <w:i/>
          <w:color w:val="000000"/>
          <w:sz w:val="28"/>
          <w:szCs w:val="28"/>
        </w:rPr>
        <w:t>soldul datoriei de stat</w:t>
      </w:r>
      <w:r>
        <w:rPr>
          <w:rFonts w:ascii="Times New Roman" w:hAnsi="Times New Roman"/>
          <w:color w:val="000000"/>
          <w:sz w:val="28"/>
          <w:szCs w:val="28"/>
        </w:rPr>
        <w:t xml:space="preserve"> a constituit </w:t>
      </w:r>
      <w:r>
        <w:rPr>
          <w:rFonts w:ascii="Times New Roman" w:hAnsi="Times New Roman"/>
          <w:b/>
          <w:i/>
          <w:color w:val="000000"/>
          <w:sz w:val="28"/>
          <w:szCs w:val="28"/>
        </w:rPr>
        <w:t>99 937,2  mil.lei</w:t>
      </w:r>
      <w:r>
        <w:rPr>
          <w:rFonts w:ascii="Times New Roman" w:hAnsi="Times New Roman"/>
          <w:color w:val="000000"/>
          <w:sz w:val="28"/>
          <w:szCs w:val="28"/>
        </w:rPr>
        <w:t xml:space="preserve">, fiind compus din 3 453,7 mil. dolari SUA </w:t>
      </w:r>
      <w:r>
        <w:rPr>
          <w:rFonts w:ascii="Times New Roman" w:hAnsi="Times New Roman"/>
          <w:i/>
          <w:color w:val="000000"/>
          <w:sz w:val="28"/>
          <w:szCs w:val="28"/>
        </w:rPr>
        <w:t>datorie de stat externă</w:t>
      </w:r>
      <w:r>
        <w:rPr>
          <w:rFonts w:ascii="Times New Roman" w:hAnsi="Times New Roman"/>
          <w:color w:val="000000"/>
          <w:sz w:val="28"/>
          <w:szCs w:val="28"/>
        </w:rPr>
        <w:t xml:space="preserve"> (echivalentul a 63 124,9 mil. lei) și 36 0812,1 mil. lei </w:t>
      </w:r>
      <w:r>
        <w:rPr>
          <w:rFonts w:ascii="Times New Roman" w:hAnsi="Times New Roman"/>
          <w:i/>
          <w:color w:val="000000"/>
          <w:sz w:val="28"/>
          <w:szCs w:val="28"/>
        </w:rPr>
        <w:t>datorie de stat internă.</w:t>
      </w:r>
      <w:r>
        <w:rPr>
          <w:rFonts w:ascii="Times New Roman" w:hAnsi="Times New Roman"/>
          <w:color w:val="000000"/>
          <w:sz w:val="28"/>
          <w:szCs w:val="28"/>
        </w:rPr>
        <w:t xml:space="preserve">  </w:t>
      </w:r>
    </w:p>
    <w:p w:rsidR="00C82F48" w:rsidRDefault="00C82F48">
      <w:pPr>
        <w:tabs>
          <w:tab w:val="left" w:pos="1560"/>
        </w:tabs>
        <w:spacing w:after="0" w:line="276" w:lineRule="auto"/>
        <w:ind w:firstLine="567"/>
        <w:jc w:val="both"/>
      </w:pPr>
      <w:r>
        <w:rPr>
          <w:rFonts w:ascii="Times New Roman" w:hAnsi="Times New Roman"/>
          <w:color w:val="000000"/>
          <w:sz w:val="28"/>
          <w:szCs w:val="28"/>
        </w:rPr>
        <w:t>Majorarea soldului datoriei de stat la situația din 30 iunie 2023 comparativ cu sfârșitul anului 2022 se datorează majorării datoriei de stat interne cu 2 320,0 mil.lei, cât și datoriei de stat externe pe fonul finanțării externe nete pozitive în valoare de 272,1 mil. dolari SUA.</w:t>
      </w:r>
    </w:p>
    <w:p w:rsidR="00C82F48" w:rsidRDefault="00C82F48">
      <w:pPr>
        <w:tabs>
          <w:tab w:val="left" w:pos="1560"/>
        </w:tabs>
        <w:spacing w:after="0" w:line="276" w:lineRule="auto"/>
        <w:ind w:firstLine="567"/>
        <w:jc w:val="both"/>
      </w:pPr>
      <w:r>
        <w:rPr>
          <w:rFonts w:ascii="Times New Roman" w:hAnsi="Times New Roman"/>
          <w:b/>
          <w:i/>
          <w:color w:val="000000"/>
          <w:sz w:val="28"/>
          <w:szCs w:val="28"/>
        </w:rPr>
        <w:t>Ponderea datoriei de stat în PIB</w:t>
      </w:r>
      <w:r>
        <w:rPr>
          <w:rFonts w:ascii="Times New Roman" w:hAnsi="Times New Roman"/>
          <w:color w:val="000000"/>
          <w:sz w:val="28"/>
          <w:szCs w:val="28"/>
        </w:rPr>
        <w:t>, la situația din 30 iunie 2023, a constituit 32,3%, înregistrând o micșorare în raport cu situația de la sfârșitul anului 2022 cu 2,2 p.p</w:t>
      </w:r>
    </w:p>
    <w:p w:rsidR="00C82F48" w:rsidRDefault="00C82F48">
      <w:pPr>
        <w:tabs>
          <w:tab w:val="left" w:pos="1560"/>
        </w:tabs>
        <w:spacing w:after="0" w:line="276" w:lineRule="auto"/>
        <w:ind w:firstLine="567"/>
        <w:jc w:val="both"/>
        <w:rPr>
          <w:rFonts w:ascii="Times New Roman" w:hAnsi="Times New Roman"/>
          <w:b/>
          <w:i/>
          <w:color w:val="323E4F"/>
          <w:sz w:val="28"/>
          <w:szCs w:val="24"/>
        </w:rPr>
      </w:pPr>
    </w:p>
    <w:p w:rsidR="00C82F48" w:rsidRDefault="00C82F48">
      <w:pPr>
        <w:tabs>
          <w:tab w:val="left" w:pos="1560"/>
        </w:tabs>
        <w:spacing w:after="0" w:line="276" w:lineRule="auto"/>
        <w:ind w:firstLine="567"/>
        <w:jc w:val="both"/>
      </w:pPr>
      <w:r>
        <w:rPr>
          <w:rFonts w:ascii="Times New Roman" w:hAnsi="Times New Roman"/>
          <w:b/>
          <w:i/>
          <w:color w:val="323E4F"/>
          <w:sz w:val="28"/>
          <w:szCs w:val="24"/>
        </w:rPr>
        <w:t xml:space="preserve">Diagrama 7. Evoluția datoriei de stat în PIB, 30 iunie 2022–30 iunie 2023, </w:t>
      </w:r>
      <w:r>
        <w:rPr>
          <w:rFonts w:ascii="Times New Roman" w:hAnsi="Times New Roman"/>
          <w:b/>
          <w:i/>
          <w:color w:val="323E4F"/>
          <w:sz w:val="28"/>
          <w:szCs w:val="24"/>
          <w:lang w:val="en-GB"/>
        </w:rPr>
        <w:t>(</w:t>
      </w:r>
      <w:r>
        <w:rPr>
          <w:rFonts w:ascii="Times New Roman" w:hAnsi="Times New Roman"/>
          <w:b/>
          <w:i/>
          <w:color w:val="323E4F"/>
          <w:sz w:val="28"/>
          <w:szCs w:val="24"/>
        </w:rPr>
        <w:t>%)</w:t>
      </w:r>
      <w:r>
        <w:rPr>
          <w:rFonts w:ascii="Times New Roman" w:hAnsi="Times New Roman"/>
          <w:b/>
          <w:i/>
          <w:color w:val="323E4F"/>
          <w:sz w:val="28"/>
          <w:szCs w:val="24"/>
          <w:lang w:val="en-GB"/>
        </w:rPr>
        <w:t xml:space="preserve">  </w:t>
      </w:r>
    </w:p>
    <w:p w:rsidR="00C82F48" w:rsidRDefault="00447B48">
      <w:pPr>
        <w:tabs>
          <w:tab w:val="left" w:pos="1560"/>
        </w:tabs>
        <w:spacing w:after="0" w:line="276" w:lineRule="auto"/>
        <w:ind w:firstLine="284"/>
        <w:jc w:val="both"/>
        <w:rPr>
          <w:rFonts w:ascii="Times New Roman" w:hAnsi="Times New Roman"/>
          <w:b/>
          <w:i/>
          <w:color w:val="323E4F"/>
          <w:sz w:val="28"/>
          <w:szCs w:val="24"/>
          <w:lang w:val="en-GB"/>
        </w:rPr>
      </w:pPr>
      <w:r>
        <w:rPr>
          <w:noProof/>
          <w:lang w:val="en-US" w:eastAsia="en-US"/>
        </w:rPr>
        <w:lastRenderedPageBreak/>
        <w:drawing>
          <wp:inline distT="0" distB="0" distL="0" distR="0">
            <wp:extent cx="5219700" cy="2457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r="-12" b="-40"/>
                    <a:stretch>
                      <a:fillRect/>
                    </a:stretch>
                  </pic:blipFill>
                  <pic:spPr bwMode="auto">
                    <a:xfrm>
                      <a:off x="0" y="0"/>
                      <a:ext cx="5219700" cy="2457450"/>
                    </a:xfrm>
                    <a:prstGeom prst="rect">
                      <a:avLst/>
                    </a:prstGeom>
                    <a:solidFill>
                      <a:srgbClr val="FFFFFF"/>
                    </a:solidFill>
                    <a:ln>
                      <a:noFill/>
                    </a:ln>
                  </pic:spPr>
                </pic:pic>
              </a:graphicData>
            </a:graphic>
          </wp:inline>
        </w:drawing>
      </w:r>
    </w:p>
    <w:p w:rsidR="00C82F48" w:rsidRDefault="00C82F48">
      <w:pPr>
        <w:tabs>
          <w:tab w:val="left" w:pos="1560"/>
        </w:tabs>
        <w:spacing w:after="0" w:line="276" w:lineRule="auto"/>
        <w:ind w:firstLine="180"/>
        <w:jc w:val="both"/>
      </w:pPr>
      <w:r>
        <w:rPr>
          <w:rFonts w:ascii="Times New Roman" w:hAnsi="Times New Roman"/>
          <w:b/>
          <w:i/>
          <w:color w:val="323E4F"/>
          <w:sz w:val="28"/>
          <w:szCs w:val="24"/>
          <w:lang w:val="en-GB"/>
        </w:rPr>
        <w:t xml:space="preserve"> </w:t>
      </w:r>
      <w:r>
        <w:rPr>
          <w:rFonts w:ascii="Times New Roman" w:hAnsi="Times New Roman"/>
          <w:color w:val="000000"/>
          <w:sz w:val="28"/>
          <w:szCs w:val="28"/>
          <w:lang w:eastAsia="ru-RU"/>
        </w:rPr>
        <w:t xml:space="preserve">La situația din 30 iunie 2023, </w:t>
      </w:r>
      <w:r>
        <w:rPr>
          <w:rFonts w:ascii="Times New Roman" w:hAnsi="Times New Roman"/>
          <w:i/>
          <w:color w:val="000000"/>
          <w:sz w:val="28"/>
          <w:szCs w:val="28"/>
          <w:u w:val="single"/>
          <w:lang w:eastAsia="ru-RU"/>
        </w:rPr>
        <w:t>soldul datoriilor beneficiarilor recreditați</w:t>
      </w:r>
      <w:r>
        <w:rPr>
          <w:rFonts w:ascii="Times New Roman" w:hAnsi="Times New Roman"/>
          <w:color w:val="000000"/>
          <w:sz w:val="28"/>
          <w:szCs w:val="28"/>
          <w:lang w:eastAsia="ru-RU"/>
        </w:rPr>
        <w:t xml:space="preserve"> constituie 12 374,9  mil. lei, dintre care:</w:t>
      </w:r>
    </w:p>
    <w:p w:rsidR="00C82F48" w:rsidRDefault="00C82F48">
      <w:pPr>
        <w:numPr>
          <w:ilvl w:val="0"/>
          <w:numId w:val="11"/>
        </w:numPr>
        <w:tabs>
          <w:tab w:val="left" w:pos="990"/>
        </w:tabs>
        <w:spacing w:after="0" w:line="276" w:lineRule="auto"/>
        <w:ind w:left="990"/>
        <w:jc w:val="both"/>
      </w:pPr>
      <w:r>
        <w:rPr>
          <w:rFonts w:ascii="Times New Roman" w:hAnsi="Times New Roman"/>
          <w:color w:val="000000"/>
          <w:sz w:val="28"/>
          <w:szCs w:val="28"/>
          <w:lang w:eastAsia="ru-RU"/>
        </w:rPr>
        <w:t>502,9 mil. lei – autoritățile publice locale;</w:t>
      </w:r>
    </w:p>
    <w:p w:rsidR="00C82F48" w:rsidRDefault="00C82F48">
      <w:pPr>
        <w:numPr>
          <w:ilvl w:val="0"/>
          <w:numId w:val="11"/>
        </w:numPr>
        <w:spacing w:after="0" w:line="276" w:lineRule="auto"/>
        <w:ind w:left="990"/>
        <w:jc w:val="both"/>
      </w:pPr>
      <w:r>
        <w:rPr>
          <w:rFonts w:ascii="Times New Roman" w:hAnsi="Times New Roman"/>
          <w:color w:val="000000"/>
          <w:sz w:val="28"/>
          <w:szCs w:val="28"/>
          <w:lang w:eastAsia="ru-RU"/>
        </w:rPr>
        <w:t>6 436,1 mil. lei – instituțiile nefinanciare;</w:t>
      </w:r>
    </w:p>
    <w:p w:rsidR="00C82F48" w:rsidRDefault="00C82F48">
      <w:pPr>
        <w:numPr>
          <w:ilvl w:val="0"/>
          <w:numId w:val="11"/>
        </w:numPr>
        <w:spacing w:after="0" w:line="276" w:lineRule="auto"/>
        <w:ind w:left="990"/>
        <w:jc w:val="both"/>
      </w:pPr>
      <w:r>
        <w:rPr>
          <w:rFonts w:ascii="Times New Roman" w:hAnsi="Times New Roman"/>
          <w:color w:val="000000"/>
          <w:sz w:val="28"/>
          <w:szCs w:val="28"/>
          <w:lang w:eastAsia="ru-RU"/>
        </w:rPr>
        <w:t>5 435,9 mil. lei – instituțiile financiare.</w:t>
      </w:r>
    </w:p>
    <w:p w:rsidR="00C82F48" w:rsidRDefault="00C82F48">
      <w:pPr>
        <w:spacing w:after="0" w:line="276" w:lineRule="auto"/>
        <w:ind w:firstLine="567"/>
        <w:jc w:val="both"/>
        <w:rPr>
          <w:rFonts w:ascii="Times New Roman" w:hAnsi="Times New Roman"/>
          <w:color w:val="000000"/>
          <w:sz w:val="28"/>
          <w:szCs w:val="28"/>
          <w:lang w:eastAsia="ru-RU"/>
        </w:rPr>
      </w:pPr>
    </w:p>
    <w:p w:rsidR="00C82F48" w:rsidRDefault="00C82F48">
      <w:pPr>
        <w:spacing w:after="0" w:line="276" w:lineRule="auto"/>
        <w:ind w:firstLine="567"/>
        <w:jc w:val="both"/>
      </w:pPr>
      <w:r>
        <w:rPr>
          <w:rFonts w:ascii="Times New Roman" w:hAnsi="Times New Roman"/>
          <w:color w:val="000000"/>
          <w:sz w:val="28"/>
          <w:szCs w:val="28"/>
          <w:lang w:eastAsia="ru-RU"/>
        </w:rPr>
        <w:t>În comparație cu situația din 31 decembrie 2022, soldul datoriilor beneficiarilor recreditați s-a majorat 875,1 mil. lei, ce constituie o creștere de cca 7,6%, iar comparativ cu situația din 30 iunie 2022 s-a majorat cu 4 805,6 mil. lei sau cu cca 63,5%, fiind condiționată de o cerere mai mare de recreditare a împrumuturilor din partea beneficiarilor recreditați,</w:t>
      </w:r>
      <w:r>
        <w:t/>
      </w:r>
      <w:r>
        <w:rPr>
          <w:rFonts w:ascii="Times New Roman" w:hAnsi="Times New Roman"/>
          <w:color w:val="000000"/>
          <w:sz w:val="28"/>
          <w:szCs w:val="28"/>
          <w:lang w:eastAsia="ru-RU"/>
        </w:rPr>
        <w:t xml:space="preserve"> precum și de implementarea proiectelor noi, finanțate din contul împrumuturilor de stat externe.</w:t>
      </w:r>
    </w:p>
    <w:p w:rsidR="00C82F48" w:rsidRDefault="00C82F48">
      <w:pPr>
        <w:spacing w:after="0" w:line="276" w:lineRule="auto"/>
        <w:ind w:firstLine="567"/>
        <w:jc w:val="both"/>
        <w:rPr>
          <w:rFonts w:ascii="Times New Roman" w:hAnsi="Times New Roman"/>
          <w:i/>
          <w:color w:val="000000"/>
          <w:sz w:val="28"/>
          <w:szCs w:val="28"/>
          <w:u w:val="single"/>
          <w:lang w:eastAsia="ru-RU"/>
        </w:rPr>
      </w:pPr>
    </w:p>
    <w:p w:rsidR="00C82F48" w:rsidRDefault="00C82F48">
      <w:pPr>
        <w:spacing w:after="0" w:line="276" w:lineRule="auto"/>
        <w:ind w:firstLine="567"/>
        <w:jc w:val="both"/>
      </w:pPr>
      <w:r>
        <w:rPr>
          <w:rFonts w:ascii="Times New Roman" w:hAnsi="Times New Roman"/>
          <w:i/>
          <w:color w:val="000000"/>
          <w:sz w:val="28"/>
          <w:szCs w:val="28"/>
          <w:u w:val="single"/>
          <w:lang w:eastAsia="ru-RU"/>
        </w:rPr>
        <w:t>Datoria cu termen expirat</w:t>
      </w:r>
      <w:r>
        <w:rPr>
          <w:rFonts w:ascii="Times New Roman" w:hAnsi="Times New Roman"/>
          <w:color w:val="000000"/>
          <w:sz w:val="28"/>
          <w:szCs w:val="28"/>
          <w:lang w:eastAsia="ru-RU"/>
        </w:rPr>
        <w:t xml:space="preserve"> la situația din 30 iunie 2023 constituie 269,8 mil. lei sau 2,2% din suma datoriilor totale, inclusiv:</w:t>
      </w:r>
    </w:p>
    <w:p w:rsidR="00C82F48" w:rsidRDefault="00C82F48">
      <w:pPr>
        <w:numPr>
          <w:ilvl w:val="0"/>
          <w:numId w:val="3"/>
        </w:numPr>
        <w:spacing w:after="0" w:line="276" w:lineRule="auto"/>
        <w:ind w:left="993" w:hanging="426"/>
        <w:jc w:val="both"/>
      </w:pPr>
      <w:r>
        <w:rPr>
          <w:rFonts w:ascii="Times New Roman" w:hAnsi="Times New Roman"/>
          <w:color w:val="000000"/>
          <w:sz w:val="28"/>
          <w:szCs w:val="28"/>
          <w:lang w:eastAsia="ru-RU"/>
        </w:rPr>
        <w:t>8,2 mil. lei – autoritățile publice locale;</w:t>
      </w:r>
    </w:p>
    <w:p w:rsidR="00C82F48" w:rsidRDefault="00C82F48">
      <w:pPr>
        <w:numPr>
          <w:ilvl w:val="0"/>
          <w:numId w:val="3"/>
        </w:numPr>
        <w:spacing w:after="0" w:line="276" w:lineRule="auto"/>
        <w:ind w:left="993" w:hanging="426"/>
        <w:jc w:val="both"/>
      </w:pPr>
      <w:r>
        <w:rPr>
          <w:rFonts w:ascii="Times New Roman" w:hAnsi="Times New Roman"/>
          <w:color w:val="000000"/>
          <w:sz w:val="28"/>
          <w:szCs w:val="28"/>
          <w:lang w:eastAsia="ru-RU"/>
        </w:rPr>
        <w:t>258,6 mil. lei – instituțiile nefinanciare;</w:t>
      </w:r>
    </w:p>
    <w:p w:rsidR="00C82F48" w:rsidRDefault="00C82F48">
      <w:pPr>
        <w:numPr>
          <w:ilvl w:val="0"/>
          <w:numId w:val="3"/>
        </w:numPr>
        <w:spacing w:after="0" w:line="276" w:lineRule="auto"/>
        <w:ind w:left="993" w:hanging="426"/>
        <w:jc w:val="both"/>
      </w:pPr>
      <w:r>
        <w:rPr>
          <w:rFonts w:ascii="Times New Roman" w:hAnsi="Times New Roman"/>
          <w:color w:val="000000"/>
          <w:sz w:val="28"/>
          <w:szCs w:val="28"/>
          <w:lang w:eastAsia="ru-RU"/>
        </w:rPr>
        <w:t>3,0 mil. lei – instituțiile financiare.</w:t>
      </w:r>
    </w:p>
    <w:p w:rsidR="00C82F48" w:rsidRDefault="00C82F48">
      <w:pPr>
        <w:spacing w:after="0"/>
        <w:ind w:firstLine="567"/>
        <w:jc w:val="both"/>
        <w:rPr>
          <w:rFonts w:ascii="Times New Roman" w:hAnsi="Times New Roman"/>
          <w:color w:val="000000"/>
          <w:sz w:val="28"/>
          <w:szCs w:val="28"/>
          <w:lang w:eastAsia="ru-RU"/>
        </w:rPr>
      </w:pPr>
    </w:p>
    <w:p w:rsidR="00C82F48" w:rsidRDefault="00C82F48">
      <w:pPr>
        <w:spacing w:after="0" w:line="276" w:lineRule="auto"/>
        <w:ind w:firstLine="567"/>
        <w:jc w:val="both"/>
      </w:pPr>
      <w:r>
        <w:rPr>
          <w:rFonts w:ascii="Times New Roman" w:hAnsi="Times New Roman"/>
          <w:color w:val="000000"/>
          <w:sz w:val="28"/>
          <w:szCs w:val="28"/>
          <w:lang w:eastAsia="ru-RU"/>
        </w:rPr>
        <w:t>În comparație cu situația din 31 decembrie 2022, datoria cu termen expirat s-a micșorat cu 3,6 mil. lei sau cu 13%, fiind condiționată de reeșalonarea datoriilor unor beneficiari recreditați, iar comparativ cu situația din perioada similară a anului 2022 s-a majorat cu 3,6 mil. lei sau cu 1,3%, din cauza neexecutării graficelor de rambursare a datoriilor, precum și de fluctuațiile cursului valutar.</w:t>
      </w:r>
    </w:p>
    <w:p w:rsidR="00C82F48" w:rsidRDefault="00C82F48">
      <w:pPr>
        <w:spacing w:after="0" w:line="276" w:lineRule="auto"/>
        <w:rPr>
          <w:rFonts w:ascii="Times New Roman" w:hAnsi="Times New Roman"/>
          <w:color w:val="000000"/>
          <w:sz w:val="28"/>
          <w:szCs w:val="28"/>
          <w:lang w:eastAsia="ru-RU"/>
        </w:rPr>
      </w:pPr>
    </w:p>
    <w:p w:rsidR="00C82F48" w:rsidRDefault="00C82F48">
      <w:pPr>
        <w:pStyle w:val="Heading2"/>
        <w:spacing w:before="0" w:after="120" w:line="276" w:lineRule="auto"/>
      </w:pPr>
      <w:r>
        <w:rPr>
          <w:rFonts w:ascii="Times New Roman" w:hAnsi="Times New Roman"/>
          <w:color w:val="171717"/>
          <w:sz w:val="28"/>
          <w:szCs w:val="28"/>
        </w:rPr>
        <w:lastRenderedPageBreak/>
        <w:t>Datoria de stat externă</w:t>
      </w:r>
    </w:p>
    <w:p w:rsidR="00C82F48" w:rsidRDefault="00C82F48">
      <w:pPr>
        <w:tabs>
          <w:tab w:val="left" w:pos="567"/>
        </w:tabs>
        <w:spacing w:after="0" w:line="276" w:lineRule="auto"/>
        <w:ind w:firstLine="567"/>
        <w:jc w:val="both"/>
      </w:pPr>
      <w:r>
        <w:rPr>
          <w:rFonts w:ascii="Times New Roman" w:hAnsi="Times New Roman"/>
          <w:color w:val="000000"/>
          <w:sz w:val="28"/>
          <w:szCs w:val="28"/>
        </w:rPr>
        <w:t xml:space="preserve">La situația din 30 iunie 2023, </w:t>
      </w:r>
      <w:r>
        <w:rPr>
          <w:rFonts w:ascii="Times New Roman" w:hAnsi="Times New Roman"/>
          <w:b/>
          <w:i/>
          <w:color w:val="000000"/>
          <w:sz w:val="28"/>
          <w:szCs w:val="28"/>
        </w:rPr>
        <w:t>soldul datoriei de stat externe</w:t>
      </w:r>
      <w:r>
        <w:rPr>
          <w:rFonts w:ascii="Times New Roman" w:hAnsi="Times New Roman"/>
          <w:color w:val="000000"/>
          <w:sz w:val="28"/>
          <w:szCs w:val="28"/>
        </w:rPr>
        <w:t xml:space="preserve"> a constituit </w:t>
      </w:r>
      <w:r>
        <w:rPr>
          <w:rFonts w:ascii="Times New Roman" w:hAnsi="Times New Roman"/>
          <w:b/>
          <w:i/>
          <w:color w:val="000000"/>
          <w:sz w:val="28"/>
          <w:szCs w:val="28"/>
        </w:rPr>
        <w:t>3 453,7 mil. dolari SUA</w:t>
      </w:r>
      <w:r>
        <w:rPr>
          <w:rFonts w:ascii="Times New Roman" w:hAnsi="Times New Roman"/>
          <w:color w:val="000000"/>
          <w:sz w:val="28"/>
          <w:szCs w:val="28"/>
        </w:rPr>
        <w:t xml:space="preserve"> (echivalentul a 63 124,9 mil. lei), fiind format în totalitate din datorie de stat externă directă.</w:t>
      </w:r>
    </w:p>
    <w:p w:rsidR="00C82F48" w:rsidRDefault="00C82F48">
      <w:pPr>
        <w:tabs>
          <w:tab w:val="left" w:pos="567"/>
        </w:tabs>
        <w:spacing w:after="0" w:line="276" w:lineRule="auto"/>
        <w:ind w:firstLine="567"/>
        <w:jc w:val="both"/>
      </w:pPr>
    </w:p>
    <w:p w:rsidR="00C82F48" w:rsidRDefault="008D7D89">
      <w:pPr>
        <w:spacing w:after="0" w:line="240" w:lineRule="auto"/>
        <w:ind w:firstLine="539"/>
        <w:jc w:val="both"/>
      </w:pPr>
      <w:r w:rsidRPr="008D7D89">
        <w:rPr>
          <w:rFonts w:ascii="Times New Roman" w:hAnsi="Times New Roman"/>
          <w:color w:val="000000"/>
          <w:sz w:val="28"/>
          <w:szCs w:val="28"/>
        </w:rPr>
        <w:t>Comparativ cu situația din 31 decembrie 2022</w:t>
      </w:r>
      <w:r w:rsidR="00C82F48" w:rsidRPr="008D7D89">
        <w:rPr>
          <w:rFonts w:ascii="Times New Roman" w:hAnsi="Times New Roman"/>
          <w:color w:val="000000"/>
          <w:sz w:val="28"/>
          <w:szCs w:val="28"/>
        </w:rPr>
        <w:t>, soldul datoriei de stat externe exprimat în dolari SUA a înregistrat o majorare cu 313,1 mil. dolari SUA sau cu 9,97%, iar comparativ cu situația din 30 iunie 2022 s-a majorat cu 1012,9 mil. dolari SUA sau cu 41,5 la</w:t>
      </w:r>
      <w:r w:rsidR="00C82F48">
        <w:rPr>
          <w:rFonts w:ascii="Times New Roman" w:hAnsi="Times New Roman"/>
          <w:color w:val="000000"/>
          <w:sz w:val="28"/>
          <w:szCs w:val="28"/>
        </w:rPr>
        <w:t xml:space="preserve"> sută. </w:t>
      </w:r>
    </w:p>
    <w:p w:rsidR="00C82F48" w:rsidRDefault="00C82F48">
      <w:pPr>
        <w:spacing w:after="0" w:line="240" w:lineRule="auto"/>
        <w:ind w:firstLine="539"/>
        <w:jc w:val="both"/>
        <w:rPr>
          <w:rFonts w:ascii="Times New Roman" w:hAnsi="Times New Roman"/>
          <w:color w:val="000000"/>
          <w:sz w:val="28"/>
          <w:szCs w:val="28"/>
        </w:rPr>
      </w:pPr>
    </w:p>
    <w:p w:rsidR="008D7D89" w:rsidRDefault="008D7D89" w:rsidP="008D7D89">
      <w:pPr>
        <w:pStyle w:val="Heading2"/>
        <w:spacing w:before="0"/>
        <w:jc w:val="center"/>
      </w:pPr>
      <w:r>
        <w:rPr>
          <w:rFonts w:ascii="Times New Roman" w:hAnsi="Times New Roman"/>
          <w:i/>
          <w:color w:val="323E4F"/>
          <w:sz w:val="28"/>
          <w:szCs w:val="24"/>
        </w:rPr>
        <w:t xml:space="preserve">Diagrama 8. Structura datoriei de stat externe pe creditori, </w:t>
      </w:r>
    </w:p>
    <w:p w:rsidR="008D7D89" w:rsidRDefault="008D7D89" w:rsidP="008D7D89">
      <w:pPr>
        <w:pStyle w:val="Heading2"/>
        <w:spacing w:before="0" w:after="120"/>
        <w:jc w:val="center"/>
      </w:pPr>
      <w:r>
        <w:rPr>
          <w:rFonts w:ascii="Times New Roman" w:hAnsi="Times New Roman"/>
          <w:i/>
          <w:color w:val="323E4F"/>
          <w:sz w:val="28"/>
          <w:szCs w:val="24"/>
        </w:rPr>
        <w:t>30 iunie 2022-30 iunie 2023</w:t>
      </w:r>
    </w:p>
    <w:p w:rsidR="00AC67EE" w:rsidRDefault="00447B48">
      <w:pPr>
        <w:rPr>
          <w:b/>
          <w:color w:val="171717"/>
          <w:sz w:val="28"/>
          <w:szCs w:val="28"/>
          <w:lang w:val="ro-MD"/>
        </w:rPr>
      </w:pPr>
      <w:r>
        <w:rPr>
          <w:noProof/>
          <w:lang w:val="en-US" w:eastAsia="en-US"/>
        </w:rPr>
        <w:drawing>
          <wp:inline distT="0" distB="0" distL="0" distR="0">
            <wp:extent cx="5724525" cy="3019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l="-8" t="-12" r="-8" b="-12"/>
                    <a:stretch>
                      <a:fillRect/>
                    </a:stretch>
                  </pic:blipFill>
                  <pic:spPr bwMode="auto">
                    <a:xfrm>
                      <a:off x="0" y="0"/>
                      <a:ext cx="5724525" cy="3019425"/>
                    </a:xfrm>
                    <a:prstGeom prst="rect">
                      <a:avLst/>
                    </a:prstGeom>
                    <a:solidFill>
                      <a:srgbClr val="FFFFFF">
                        <a:alpha val="0"/>
                      </a:srgbClr>
                    </a:solidFill>
                    <a:ln>
                      <a:noFill/>
                    </a:ln>
                  </pic:spPr>
                </pic:pic>
              </a:graphicData>
            </a:graphic>
          </wp:inline>
        </w:drawing>
      </w:r>
    </w:p>
    <w:p w:rsidR="00C82F48" w:rsidRDefault="00C82F48">
      <w:pPr>
        <w:pStyle w:val="19"/>
        <w:tabs>
          <w:tab w:val="left" w:pos="1276"/>
          <w:tab w:val="left" w:pos="1701"/>
        </w:tabs>
        <w:spacing w:before="0" w:after="0"/>
        <w:ind w:firstLine="709"/>
      </w:pPr>
      <w:r>
        <w:rPr>
          <w:b/>
          <w:color w:val="171717"/>
          <w:sz w:val="28"/>
          <w:szCs w:val="28"/>
          <w:lang w:val="ro-MD"/>
        </w:rPr>
        <w:t>Datoria de stat internă</w:t>
      </w:r>
    </w:p>
    <w:p w:rsidR="00C82F48" w:rsidRDefault="00C82F48">
      <w:pPr>
        <w:pStyle w:val="19"/>
        <w:tabs>
          <w:tab w:val="left" w:pos="1276"/>
          <w:tab w:val="left" w:pos="1701"/>
        </w:tabs>
        <w:spacing w:before="0" w:after="0"/>
        <w:ind w:firstLine="709"/>
        <w:rPr>
          <w:b/>
          <w:color w:val="171717"/>
          <w:sz w:val="28"/>
          <w:szCs w:val="28"/>
          <w:lang w:val="ro-MD"/>
        </w:rPr>
      </w:pPr>
    </w:p>
    <w:p w:rsidR="00C82F48" w:rsidRDefault="00C82F48">
      <w:pPr>
        <w:spacing w:after="0" w:line="276" w:lineRule="auto"/>
        <w:ind w:right="-1" w:firstLine="567"/>
        <w:jc w:val="both"/>
      </w:pPr>
      <w:r>
        <w:rPr>
          <w:rFonts w:ascii="Times New Roman" w:hAnsi="Times New Roman"/>
          <w:color w:val="000000"/>
          <w:sz w:val="28"/>
          <w:szCs w:val="28"/>
        </w:rPr>
        <w:t xml:space="preserve">La situația din 30 iunie 2023, </w:t>
      </w:r>
      <w:r>
        <w:rPr>
          <w:rFonts w:ascii="Times New Roman" w:hAnsi="Times New Roman"/>
          <w:b/>
          <w:i/>
          <w:color w:val="000000"/>
          <w:sz w:val="28"/>
          <w:szCs w:val="28"/>
        </w:rPr>
        <w:t>soldul datoriei de stat interne</w:t>
      </w:r>
      <w:r>
        <w:rPr>
          <w:rFonts w:ascii="Times New Roman" w:hAnsi="Times New Roman"/>
          <w:color w:val="000000"/>
          <w:sz w:val="28"/>
          <w:szCs w:val="28"/>
        </w:rPr>
        <w:t xml:space="preserve"> a constituit </w:t>
      </w:r>
      <w:r>
        <w:rPr>
          <w:rFonts w:ascii="Times New Roman" w:hAnsi="Times New Roman"/>
          <w:b/>
          <w:i/>
          <w:color w:val="000000"/>
          <w:sz w:val="28"/>
          <w:szCs w:val="28"/>
        </w:rPr>
        <w:t xml:space="preserve">36 812,1 </w:t>
      </w:r>
      <w:r>
        <w:rPr>
          <w:rFonts w:ascii="Times New Roman" w:hAnsi="Times New Roman"/>
          <w:color w:val="000000"/>
          <w:sz w:val="28"/>
          <w:szCs w:val="28"/>
        </w:rPr>
        <w:t>mil. lei la valoarea nominală, dintre care:</w:t>
      </w:r>
    </w:p>
    <w:p w:rsidR="00C82F48" w:rsidRDefault="00C82F48">
      <w:pPr>
        <w:spacing w:after="0" w:line="276" w:lineRule="auto"/>
        <w:ind w:right="-1" w:firstLine="567"/>
        <w:jc w:val="both"/>
      </w:pPr>
      <w:r>
        <w:rPr>
          <w:rFonts w:ascii="Times New Roman" w:hAnsi="Times New Roman"/>
          <w:color w:val="000000"/>
          <w:sz w:val="28"/>
          <w:szCs w:val="28"/>
        </w:rPr>
        <w:t>- VMS emise pe piața primară - 22 617,5  mil. lei (61,4%)</w:t>
      </w:r>
    </w:p>
    <w:p w:rsidR="00C82F48" w:rsidRDefault="00C82F48">
      <w:pPr>
        <w:spacing w:after="0" w:line="276" w:lineRule="auto"/>
        <w:ind w:right="-1" w:firstLine="567"/>
        <w:jc w:val="both"/>
      </w:pPr>
      <w:r>
        <w:rPr>
          <w:rFonts w:ascii="Times New Roman" w:hAnsi="Times New Roman"/>
          <w:color w:val="000000"/>
          <w:sz w:val="28"/>
          <w:szCs w:val="28"/>
        </w:rPr>
        <w:t>- VMS convertite - 2 133,4  mil. lei ( 5,8%)</w:t>
      </w:r>
    </w:p>
    <w:p w:rsidR="00C82F48" w:rsidRDefault="00C82F48">
      <w:pPr>
        <w:spacing w:after="0" w:line="276" w:lineRule="auto"/>
        <w:ind w:right="-1" w:firstLine="567"/>
        <w:jc w:val="both"/>
      </w:pPr>
      <w:r>
        <w:rPr>
          <w:rFonts w:ascii="Times New Roman" w:hAnsi="Times New Roman"/>
          <w:color w:val="000000"/>
          <w:sz w:val="28"/>
          <w:szCs w:val="28"/>
        </w:rPr>
        <w:t xml:space="preserve">- VMS emise pentru executarea obligațiilor de plată derivate din garanțiile de stat   -12 061,2  mil.lei (32,8 %). </w:t>
      </w:r>
    </w:p>
    <w:p w:rsidR="00C82F48" w:rsidRDefault="00C82F48">
      <w:pPr>
        <w:spacing w:after="0" w:line="276" w:lineRule="auto"/>
        <w:ind w:right="-1" w:firstLine="567"/>
        <w:jc w:val="both"/>
      </w:pPr>
      <w:r>
        <w:rPr>
          <w:rFonts w:ascii="Times New Roman" w:hAnsi="Times New Roman"/>
          <w:color w:val="000000"/>
          <w:sz w:val="28"/>
          <w:szCs w:val="28"/>
        </w:rPr>
        <w:t xml:space="preserve">   </w:t>
      </w:r>
    </w:p>
    <w:p w:rsidR="00C82F48" w:rsidRDefault="00C82F48">
      <w:pPr>
        <w:pStyle w:val="Heading2"/>
        <w:spacing w:before="0"/>
        <w:jc w:val="center"/>
      </w:pPr>
      <w:r>
        <w:rPr>
          <w:rFonts w:ascii="Times New Roman" w:hAnsi="Times New Roman"/>
          <w:i/>
          <w:color w:val="323E4F"/>
          <w:sz w:val="28"/>
          <w:szCs w:val="24"/>
        </w:rPr>
        <w:lastRenderedPageBreak/>
        <w:t>Diagrama 9. Evoluția datoriei de stat interne, 30 iunie 2021 - 30 iunie 2023</w:t>
      </w:r>
    </w:p>
    <w:p w:rsidR="00C82F48" w:rsidRDefault="00447B48">
      <w:pPr>
        <w:tabs>
          <w:tab w:val="left" w:pos="450"/>
          <w:tab w:val="left" w:pos="540"/>
          <w:tab w:val="left" w:pos="630"/>
        </w:tabs>
        <w:spacing w:after="0" w:line="240" w:lineRule="auto"/>
        <w:jc w:val="center"/>
        <w:rPr>
          <w:rFonts w:cs="Calibri"/>
          <w:color w:val="000000"/>
          <w:sz w:val="24"/>
          <w:szCs w:val="24"/>
          <w:lang w:val="en-US"/>
        </w:rPr>
      </w:pPr>
      <w:r>
        <w:rPr>
          <w:noProof/>
          <w:lang w:val="en-US" w:eastAsia="en-US"/>
        </w:rPr>
        <w:drawing>
          <wp:inline distT="0" distB="0" distL="0" distR="0">
            <wp:extent cx="5381625" cy="2781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r="-47" b="-69"/>
                    <a:stretch>
                      <a:fillRect/>
                    </a:stretch>
                  </pic:blipFill>
                  <pic:spPr bwMode="auto">
                    <a:xfrm>
                      <a:off x="0" y="0"/>
                      <a:ext cx="5381625" cy="2781300"/>
                    </a:xfrm>
                    <a:prstGeom prst="rect">
                      <a:avLst/>
                    </a:prstGeom>
                    <a:solidFill>
                      <a:srgbClr val="FFFFFF"/>
                    </a:solidFill>
                    <a:ln>
                      <a:noFill/>
                    </a:ln>
                  </pic:spPr>
                </pic:pic>
              </a:graphicData>
            </a:graphic>
          </wp:inline>
        </w:drawing>
      </w:r>
    </w:p>
    <w:p w:rsidR="00C82F48" w:rsidRDefault="00C82F48">
      <w:pPr>
        <w:spacing w:after="0" w:line="240" w:lineRule="auto"/>
        <w:ind w:firstLine="851"/>
        <w:jc w:val="both"/>
        <w:rPr>
          <w:rFonts w:cs="Calibri"/>
          <w:color w:val="000000"/>
          <w:sz w:val="24"/>
          <w:szCs w:val="24"/>
          <w:lang w:val="en-US"/>
        </w:rPr>
      </w:pPr>
    </w:p>
    <w:p w:rsidR="00C82F48" w:rsidRDefault="00C82F48">
      <w:pPr>
        <w:tabs>
          <w:tab w:val="left" w:pos="567"/>
        </w:tabs>
        <w:spacing w:after="0" w:line="276" w:lineRule="auto"/>
        <w:jc w:val="both"/>
      </w:pPr>
      <w:r>
        <w:rPr>
          <w:rFonts w:ascii="Times New Roman" w:hAnsi="Times New Roman"/>
          <w:color w:val="000000"/>
          <w:sz w:val="28"/>
          <w:szCs w:val="28"/>
        </w:rPr>
        <w:tab/>
        <w:t xml:space="preserve">De la începutul anului, datoria de stat internă la valoarea nominală s-a micșorat cu 2 320 mil. lei sau cu 6,7 la sută, iar comparativ cu situația din 30 iunie 2022 s-a majorat cu 4 591,6 mil. lei sau cu 7,2 la sută.   </w:t>
      </w:r>
    </w:p>
    <w:p w:rsidR="00C82F48" w:rsidRDefault="00C82F48">
      <w:pPr>
        <w:tabs>
          <w:tab w:val="left" w:pos="567"/>
        </w:tabs>
        <w:spacing w:after="0" w:line="276" w:lineRule="auto"/>
        <w:jc w:val="both"/>
        <w:rPr>
          <w:rFonts w:ascii="Times New Roman" w:hAnsi="Times New Roman"/>
          <w:color w:val="000000"/>
          <w:sz w:val="28"/>
          <w:szCs w:val="28"/>
        </w:rPr>
      </w:pPr>
    </w:p>
    <w:p w:rsidR="00C82F48" w:rsidRDefault="00C82F48">
      <w:pPr>
        <w:pStyle w:val="Heading2"/>
        <w:spacing w:before="0" w:after="120" w:line="276" w:lineRule="auto"/>
      </w:pPr>
      <w:r>
        <w:rPr>
          <w:rFonts w:ascii="Times New Roman" w:hAnsi="Times New Roman"/>
          <w:color w:val="171717"/>
          <w:sz w:val="28"/>
          <w:szCs w:val="28"/>
        </w:rPr>
        <w:t xml:space="preserve">Creanțele interne </w:t>
      </w:r>
    </w:p>
    <w:p w:rsidR="00C82F48" w:rsidRDefault="00C82F48">
      <w:pPr>
        <w:spacing w:line="276" w:lineRule="auto"/>
        <w:ind w:firstLine="567"/>
        <w:contextualSpacing/>
        <w:jc w:val="both"/>
      </w:pPr>
      <w:r>
        <w:rPr>
          <w:rFonts w:ascii="Times New Roman" w:hAnsi="Times New Roman"/>
          <w:sz w:val="28"/>
          <w:szCs w:val="28"/>
        </w:rPr>
        <w:t>În semestrul I al anului 202</w:t>
      </w:r>
      <w:r>
        <w:rPr>
          <w:rFonts w:ascii="Times New Roman" w:hAnsi="Times New Roman"/>
          <w:sz w:val="28"/>
          <w:szCs w:val="28"/>
          <w:lang w:val="en-US"/>
        </w:rPr>
        <w:t>3</w:t>
      </w:r>
      <w:r>
        <w:rPr>
          <w:rFonts w:ascii="Times New Roman" w:hAnsi="Times New Roman"/>
          <w:sz w:val="28"/>
          <w:szCs w:val="28"/>
        </w:rPr>
        <w:t xml:space="preserve"> băncile comerciale în proces de lichidare au transferat la bugetul de stat din </w:t>
      </w:r>
      <w:r>
        <w:rPr>
          <w:rFonts w:ascii="Times New Roman" w:hAnsi="Times New Roman"/>
          <w:b/>
          <w:i/>
          <w:sz w:val="28"/>
          <w:szCs w:val="28"/>
        </w:rPr>
        <w:t>valorificarea activelor</w:t>
      </w:r>
      <w:r>
        <w:rPr>
          <w:rFonts w:ascii="Times New Roman" w:hAnsi="Times New Roman"/>
          <w:sz w:val="28"/>
          <w:szCs w:val="28"/>
        </w:rPr>
        <w:t xml:space="preserve"> proprii mijloace bănești în sumă de </w:t>
      </w:r>
      <w:r>
        <w:rPr>
          <w:rFonts w:ascii="Times New Roman" w:hAnsi="Times New Roman"/>
          <w:b/>
          <w:i/>
          <w:sz w:val="28"/>
          <w:szCs w:val="28"/>
          <w:lang w:val="en-US"/>
        </w:rPr>
        <w:t>36,5</w:t>
      </w:r>
      <w:r>
        <w:rPr>
          <w:rFonts w:ascii="Times New Roman" w:hAnsi="Times New Roman"/>
          <w:b/>
          <w:i/>
          <w:sz w:val="28"/>
          <w:szCs w:val="28"/>
        </w:rPr>
        <w:t xml:space="preserve"> mil.lei</w:t>
      </w:r>
      <w:r>
        <w:rPr>
          <w:rFonts w:ascii="Times New Roman" w:hAnsi="Times New Roman"/>
          <w:sz w:val="28"/>
          <w:szCs w:val="28"/>
        </w:rPr>
        <w:t>, dintre care:</w:t>
      </w:r>
    </w:p>
    <w:p w:rsidR="00C82F48" w:rsidRDefault="00C82F48">
      <w:pPr>
        <w:numPr>
          <w:ilvl w:val="0"/>
          <w:numId w:val="10"/>
        </w:numPr>
        <w:spacing w:after="0" w:line="240" w:lineRule="auto"/>
        <w:ind w:left="993" w:hanging="426"/>
        <w:contextualSpacing/>
        <w:jc w:val="both"/>
      </w:pPr>
      <w:r>
        <w:rPr>
          <w:rFonts w:ascii="Times New Roman" w:hAnsi="Times New Roman"/>
          <w:sz w:val="28"/>
          <w:szCs w:val="28"/>
        </w:rPr>
        <w:t>„Banca de Economii” S.A. – 21,0 mil.lei;</w:t>
      </w:r>
    </w:p>
    <w:p w:rsidR="00C82F48" w:rsidRDefault="00C82F48">
      <w:pPr>
        <w:numPr>
          <w:ilvl w:val="0"/>
          <w:numId w:val="10"/>
        </w:numPr>
        <w:spacing w:after="0" w:line="240" w:lineRule="auto"/>
        <w:ind w:left="992" w:hanging="425"/>
        <w:jc w:val="both"/>
      </w:pPr>
      <w:r>
        <w:rPr>
          <w:rFonts w:ascii="Times New Roman" w:hAnsi="Times New Roman"/>
          <w:sz w:val="28"/>
          <w:szCs w:val="28"/>
        </w:rPr>
        <w:t>BC „Banca Socială” S.A. – 15,0 mil.lei;</w:t>
      </w:r>
    </w:p>
    <w:p w:rsidR="00C82F48" w:rsidRDefault="00C82F48">
      <w:pPr>
        <w:numPr>
          <w:ilvl w:val="0"/>
          <w:numId w:val="10"/>
        </w:numPr>
        <w:spacing w:after="0" w:line="276" w:lineRule="auto"/>
        <w:ind w:left="992" w:hanging="425"/>
        <w:jc w:val="both"/>
      </w:pPr>
      <w:r>
        <w:rPr>
          <w:rFonts w:ascii="Times New Roman" w:hAnsi="Times New Roman"/>
          <w:sz w:val="28"/>
          <w:szCs w:val="28"/>
        </w:rPr>
        <w:t>BC „Unibank” S.A – 0,5 mil.lei.</w:t>
      </w:r>
    </w:p>
    <w:p w:rsidR="00C82F48" w:rsidRDefault="00C82F48">
      <w:pPr>
        <w:spacing w:after="0" w:line="276" w:lineRule="auto"/>
        <w:ind w:firstLine="567"/>
        <w:jc w:val="both"/>
      </w:pPr>
      <w:r>
        <w:rPr>
          <w:rFonts w:ascii="Times New Roman" w:hAnsi="Times New Roman"/>
          <w:sz w:val="28"/>
          <w:szCs w:val="28"/>
        </w:rPr>
        <w:t xml:space="preserve">Astfel, la situația din 30 iunie 2023, </w:t>
      </w:r>
      <w:r>
        <w:rPr>
          <w:rFonts w:ascii="Times New Roman" w:hAnsi="Times New Roman"/>
          <w:b/>
          <w:i/>
          <w:sz w:val="28"/>
          <w:szCs w:val="28"/>
        </w:rPr>
        <w:t>datoria băncilor în proces de lichidare</w:t>
      </w:r>
      <w:r>
        <w:rPr>
          <w:rFonts w:ascii="Times New Roman" w:hAnsi="Times New Roman"/>
          <w:sz w:val="28"/>
          <w:szCs w:val="28"/>
        </w:rPr>
        <w:t xml:space="preserve"> respective față de Ministerul Finanțelor a constituit </w:t>
      </w:r>
      <w:r>
        <w:rPr>
          <w:rFonts w:ascii="Times New Roman" w:hAnsi="Times New Roman"/>
          <w:b/>
          <w:i/>
          <w:sz w:val="28"/>
          <w:szCs w:val="28"/>
        </w:rPr>
        <w:t>11 706,4 mil. lei</w:t>
      </w:r>
      <w:r>
        <w:rPr>
          <w:rFonts w:ascii="Times New Roman" w:hAnsi="Times New Roman"/>
          <w:sz w:val="28"/>
          <w:szCs w:val="28"/>
        </w:rPr>
        <w:t xml:space="preserve">, dintre care: </w:t>
      </w:r>
    </w:p>
    <w:p w:rsidR="00C82F48" w:rsidRDefault="00C82F48">
      <w:pPr>
        <w:numPr>
          <w:ilvl w:val="0"/>
          <w:numId w:val="7"/>
        </w:numPr>
        <w:spacing w:after="0" w:line="276" w:lineRule="auto"/>
        <w:ind w:left="993" w:hanging="426"/>
        <w:jc w:val="both"/>
      </w:pPr>
      <w:r>
        <w:rPr>
          <w:rFonts w:ascii="Times New Roman" w:hAnsi="Times New Roman"/>
          <w:sz w:val="28"/>
          <w:szCs w:val="28"/>
        </w:rPr>
        <w:t>BC ,,Investprivatbank” S.A. – 350,6 mil.lei;</w:t>
      </w:r>
    </w:p>
    <w:p w:rsidR="00C82F48" w:rsidRDefault="00C82F48">
      <w:pPr>
        <w:numPr>
          <w:ilvl w:val="0"/>
          <w:numId w:val="7"/>
        </w:numPr>
        <w:spacing w:after="0" w:line="276" w:lineRule="auto"/>
        <w:ind w:left="993" w:hanging="426"/>
        <w:jc w:val="both"/>
      </w:pPr>
      <w:r>
        <w:rPr>
          <w:rFonts w:ascii="Times New Roman" w:hAnsi="Times New Roman"/>
          <w:sz w:val="28"/>
          <w:szCs w:val="28"/>
        </w:rPr>
        <w:t>„Banca de Economii” S.A. – 7 724,0 mil.lei;</w:t>
      </w:r>
    </w:p>
    <w:p w:rsidR="00C82F48" w:rsidRDefault="00C82F48">
      <w:pPr>
        <w:numPr>
          <w:ilvl w:val="0"/>
          <w:numId w:val="7"/>
        </w:numPr>
        <w:spacing w:after="0" w:line="276" w:lineRule="auto"/>
        <w:ind w:left="993" w:hanging="426"/>
        <w:jc w:val="both"/>
      </w:pPr>
      <w:r>
        <w:rPr>
          <w:rFonts w:ascii="Times New Roman" w:hAnsi="Times New Roman"/>
          <w:sz w:val="28"/>
          <w:szCs w:val="28"/>
        </w:rPr>
        <w:t>BC „Banca Socială” S.A – 1 825,0 mil.lei;</w:t>
      </w:r>
    </w:p>
    <w:p w:rsidR="00C82F48" w:rsidRDefault="00C82F48">
      <w:pPr>
        <w:numPr>
          <w:ilvl w:val="0"/>
          <w:numId w:val="7"/>
        </w:numPr>
        <w:spacing w:after="120" w:line="276" w:lineRule="auto"/>
        <w:ind w:left="992" w:hanging="425"/>
        <w:jc w:val="both"/>
      </w:pPr>
      <w:r>
        <w:rPr>
          <w:rFonts w:ascii="Times New Roman" w:hAnsi="Times New Roman"/>
          <w:sz w:val="28"/>
          <w:szCs w:val="28"/>
        </w:rPr>
        <w:t>BC „Unibank” S.A – 1806,8 mil.lei.</w:t>
      </w:r>
    </w:p>
    <w:p w:rsidR="00C82F48" w:rsidRDefault="00C82F48">
      <w:pPr>
        <w:ind w:firstLine="567"/>
        <w:jc w:val="both"/>
      </w:pPr>
      <w:r>
        <w:rPr>
          <w:rFonts w:ascii="Times New Roman" w:hAnsi="Times New Roman"/>
          <w:sz w:val="28"/>
          <w:szCs w:val="28"/>
        </w:rPr>
        <w:t xml:space="preserve">În semestrul I al anului 2023 au fost activate 3 garanții de stat acordate în cadrul Programului de stat „Prima casă” în sumă de 739,3 mii lei, dintre care au fost executate din contul bugetului de stat 2 garanții  în suma de 465,5 mii lei. </w:t>
      </w:r>
      <w:r>
        <w:rPr>
          <w:rFonts w:ascii="Times New Roman" w:hAnsi="Times New Roman"/>
          <w:sz w:val="28"/>
          <w:szCs w:val="28"/>
          <w:lang w:val="ro-MD"/>
        </w:rPr>
        <w:t xml:space="preserve">În aceeași perioadă,  în bugetul de stat de către debitorii garantați au fost restabilite 54,1 mii lei. </w:t>
      </w:r>
    </w:p>
    <w:p w:rsidR="00C82F48" w:rsidRDefault="00C82F48">
      <w:pPr>
        <w:spacing w:after="0" w:line="276" w:lineRule="auto"/>
        <w:ind w:firstLine="567"/>
        <w:jc w:val="both"/>
      </w:pPr>
      <w:r>
        <w:rPr>
          <w:rFonts w:ascii="Times New Roman" w:hAnsi="Times New Roman"/>
          <w:sz w:val="28"/>
          <w:szCs w:val="28"/>
        </w:rPr>
        <w:t xml:space="preserve">Astfel, la situația din 30 iunie 2023, </w:t>
      </w:r>
      <w:r>
        <w:rPr>
          <w:rFonts w:ascii="Times New Roman" w:hAnsi="Times New Roman"/>
          <w:b/>
          <w:i/>
          <w:sz w:val="28"/>
          <w:szCs w:val="28"/>
        </w:rPr>
        <w:t>datoria debitorilor garantați</w:t>
      </w:r>
      <w:r>
        <w:rPr>
          <w:rFonts w:ascii="Times New Roman" w:hAnsi="Times New Roman"/>
          <w:sz w:val="28"/>
          <w:szCs w:val="28"/>
        </w:rPr>
        <w:t xml:space="preserve"> față de Ministerul Finanțelor a constituit </w:t>
      </w:r>
      <w:r>
        <w:rPr>
          <w:rFonts w:ascii="Times New Roman" w:hAnsi="Times New Roman"/>
          <w:b/>
          <w:i/>
          <w:sz w:val="28"/>
          <w:szCs w:val="28"/>
        </w:rPr>
        <w:t>470,7 mil. lei</w:t>
      </w:r>
      <w:r>
        <w:rPr>
          <w:rFonts w:ascii="Times New Roman" w:hAnsi="Times New Roman"/>
          <w:sz w:val="28"/>
          <w:szCs w:val="28"/>
        </w:rPr>
        <w:t xml:space="preserve">.(interne 3,3 mil.lei, externe 467,4 mil. lei) </w:t>
      </w:r>
    </w:p>
    <w:p w:rsidR="00C82F48" w:rsidRDefault="00C82F48">
      <w:pPr>
        <w:pStyle w:val="Heading2"/>
        <w:spacing w:after="120" w:line="276" w:lineRule="auto"/>
      </w:pPr>
      <w:r>
        <w:rPr>
          <w:rFonts w:ascii="Times New Roman" w:hAnsi="Times New Roman"/>
          <w:color w:val="171717"/>
          <w:sz w:val="28"/>
          <w:szCs w:val="28"/>
        </w:rPr>
        <w:lastRenderedPageBreak/>
        <w:t xml:space="preserve">Garanțiile de stat </w:t>
      </w:r>
    </w:p>
    <w:p w:rsidR="00C82F48" w:rsidRDefault="00C82F48">
      <w:pPr>
        <w:spacing w:after="0" w:line="276" w:lineRule="auto"/>
        <w:ind w:firstLine="567"/>
        <w:jc w:val="both"/>
      </w:pPr>
      <w:r>
        <w:rPr>
          <w:rFonts w:ascii="Times New Roman" w:hAnsi="Times New Roman"/>
          <w:sz w:val="28"/>
          <w:szCs w:val="28"/>
        </w:rPr>
        <w:t xml:space="preserve">În conformitate cu Legea nr.293/2017 privind unele măsuri în vederea implementării Programului de stat „Prima casă” și Hotărârea Guvernului nr.202/2018 „Cu privire la aprobarea Regulamentului de implementare a Programului de stat „Prima casă” în anul 2023 continuă implementarea Programului nominalizat. Acest program este realizat prin intermediul </w:t>
      </w:r>
      <w:r>
        <w:rPr>
          <w:rFonts w:ascii="Times New Roman" w:hAnsi="Times New Roman"/>
          <w:bCs/>
          <w:sz w:val="28"/>
          <w:szCs w:val="28"/>
        </w:rPr>
        <w:t>Organizației pentru Dezvoltarea Antreprenorialului (ODA)</w:t>
      </w:r>
      <w:r>
        <w:rPr>
          <w:rFonts w:ascii="Times New Roman" w:hAnsi="Times New Roman"/>
          <w:sz w:val="28"/>
          <w:szCs w:val="28"/>
        </w:rPr>
        <w:t xml:space="preserve">, delegată să emită garanții în numele și pe contul statului, în favoarea băncilor care acordă credite persoanelor fizice pentru procurarea unei locuințe, în limita plafoanelor aprobate anual de către Parlament pentru acest scop. Creditele bancare acordate în cadrul Programului sunt garantate de către stat în mărime de 50% din soldul creditului. </w:t>
      </w:r>
    </w:p>
    <w:p w:rsidR="00C82F48" w:rsidRDefault="00C82F48">
      <w:pPr>
        <w:spacing w:after="0" w:line="276" w:lineRule="auto"/>
        <w:ind w:firstLine="567"/>
        <w:jc w:val="both"/>
      </w:pPr>
      <w:r>
        <w:rPr>
          <w:rFonts w:ascii="Times New Roman" w:hAnsi="Times New Roman"/>
          <w:sz w:val="28"/>
          <w:szCs w:val="28"/>
        </w:rPr>
        <w:t xml:space="preserve">Pe parcursul semestrului I al anului 2023 de către băncile comerciale: BC „Moldova-Agroindbank” S.A., BC „Moldindconbank” S.A., BC „Victoriabank” S.A., BC ” OTP Bank”, S.A., BC ”Energbank”  și BC „Eximbank” S.A. în cadrul Programului au fost acordate </w:t>
      </w:r>
      <w:r>
        <w:rPr>
          <w:rFonts w:ascii="Times New Roman" w:hAnsi="Times New Roman"/>
          <w:b/>
          <w:i/>
          <w:sz w:val="28"/>
          <w:szCs w:val="28"/>
        </w:rPr>
        <w:t>noi credite garantate de către stat</w:t>
      </w:r>
      <w:r>
        <w:rPr>
          <w:rFonts w:ascii="Times New Roman" w:hAnsi="Times New Roman"/>
          <w:sz w:val="28"/>
          <w:szCs w:val="28"/>
        </w:rPr>
        <w:t xml:space="preserve"> în sumă de </w:t>
      </w:r>
      <w:r>
        <w:rPr>
          <w:rFonts w:ascii="Times New Roman" w:hAnsi="Times New Roman"/>
          <w:b/>
          <w:i/>
          <w:sz w:val="28"/>
          <w:szCs w:val="28"/>
        </w:rPr>
        <w:t>3,7 mil.lei</w:t>
      </w:r>
      <w:r>
        <w:rPr>
          <w:rFonts w:ascii="Times New Roman" w:hAnsi="Times New Roman"/>
          <w:sz w:val="28"/>
          <w:szCs w:val="28"/>
        </w:rPr>
        <w:t xml:space="preserve">. În aceeași perioadă, de către beneficiarii Programului au fost rambursate credite garantate în sumă de 88,1 mil.lei.  </w:t>
      </w:r>
    </w:p>
    <w:p w:rsidR="00C82F48" w:rsidRDefault="00C82F48">
      <w:pPr>
        <w:spacing w:after="0" w:line="276" w:lineRule="auto"/>
        <w:ind w:firstLine="567"/>
        <w:jc w:val="both"/>
      </w:pPr>
      <w:r>
        <w:rPr>
          <w:rFonts w:ascii="Times New Roman" w:hAnsi="Times New Roman"/>
          <w:sz w:val="28"/>
          <w:szCs w:val="28"/>
        </w:rPr>
        <w:t xml:space="preserve">Conform Legii bugetului de stat pentru anul 2023 soldul garanțiilor de stat interne nu va depăși 2 500,0 mil. lei. Astfel, la situația din 30 iunie 2023 </w:t>
      </w:r>
      <w:r>
        <w:rPr>
          <w:rFonts w:ascii="Times New Roman" w:hAnsi="Times New Roman"/>
          <w:b/>
          <w:i/>
          <w:sz w:val="28"/>
          <w:szCs w:val="28"/>
        </w:rPr>
        <w:t>soldul garanțiilor de stat</w:t>
      </w:r>
      <w:r>
        <w:rPr>
          <w:rFonts w:ascii="Times New Roman" w:hAnsi="Times New Roman"/>
          <w:sz w:val="28"/>
          <w:szCs w:val="28"/>
        </w:rPr>
        <w:t xml:space="preserve"> (acordate în cadrul Programului) a constituit </w:t>
      </w:r>
      <w:r>
        <w:rPr>
          <w:rFonts w:ascii="Times New Roman" w:hAnsi="Times New Roman"/>
          <w:b/>
          <w:i/>
          <w:sz w:val="28"/>
          <w:szCs w:val="28"/>
        </w:rPr>
        <w:t>1 749,2 mil. lei</w:t>
      </w:r>
      <w:r>
        <w:rPr>
          <w:rFonts w:ascii="Times New Roman" w:hAnsi="Times New Roman"/>
          <w:sz w:val="28"/>
          <w:szCs w:val="28"/>
        </w:rPr>
        <w:t xml:space="preserve"> sau cu 84,4 mil. lei mai puțin comparativ cu situația de la începutul anului 2023.</w:t>
      </w:r>
    </w:p>
    <w:p w:rsidR="00C82F48" w:rsidRDefault="00C82F48">
      <w:pPr>
        <w:spacing w:after="0" w:line="276" w:lineRule="auto"/>
        <w:ind w:firstLine="567"/>
        <w:jc w:val="both"/>
        <w:rPr>
          <w:rFonts w:ascii="Times New Roman" w:hAnsi="Times New Roman"/>
          <w:sz w:val="28"/>
          <w:szCs w:val="28"/>
        </w:rPr>
      </w:pPr>
    </w:p>
    <w:p w:rsidR="00C82F48" w:rsidRDefault="00C82F48">
      <w:pPr>
        <w:pStyle w:val="Heading1"/>
        <w:spacing w:after="120" w:line="276" w:lineRule="auto"/>
        <w:rPr>
          <w:rFonts w:ascii="Times New Roman" w:hAnsi="Times New Roman"/>
          <w:lang w:val="ro-MD"/>
        </w:rPr>
      </w:pPr>
      <w:bookmarkStart w:id="10" w:name="__RefHeading___Toc144793161"/>
      <w:bookmarkEnd w:id="10"/>
      <w:r>
        <w:rPr>
          <w:rFonts w:ascii="Times New Roman" w:hAnsi="Times New Roman"/>
          <w:color w:val="171717"/>
          <w:sz w:val="32"/>
          <w:szCs w:val="32"/>
        </w:rPr>
        <w:t>Perspectivele executării bugetului public național până la finele anului 2023</w:t>
      </w:r>
    </w:p>
    <w:p w:rsidR="00C82F48" w:rsidRDefault="00C82F48">
      <w:pPr>
        <w:pStyle w:val="Default"/>
        <w:spacing w:line="276" w:lineRule="auto"/>
        <w:ind w:firstLine="720"/>
        <w:jc w:val="both"/>
      </w:pPr>
      <w:r>
        <w:rPr>
          <w:rFonts w:ascii="Times New Roman" w:hAnsi="Times New Roman" w:cs="Times New Roman"/>
          <w:sz w:val="28"/>
          <w:szCs w:val="28"/>
          <w:lang w:val="ro-MD"/>
        </w:rPr>
        <w:t>Analiza execuției bugetare semianuale în raport cu bugetul aprobat la partea de venituri și cheltuieli, precum și necesitatea menținerii soldului bugetar au determinat inițierea exercițiului de revizuire a bugetului de stat</w:t>
      </w:r>
      <w:r w:rsidR="00AC67EE">
        <w:rPr>
          <w:rFonts w:ascii="Times New Roman" w:hAnsi="Times New Roman" w:cs="Times New Roman"/>
          <w:sz w:val="28"/>
          <w:szCs w:val="28"/>
          <w:lang w:val="ro-MD"/>
        </w:rPr>
        <w:t>, bugetului asigurărilor sociale de stat și a fondurilor asigurării obligatorii de asistență medicală</w:t>
      </w:r>
      <w:r>
        <w:rPr>
          <w:rFonts w:ascii="Times New Roman" w:hAnsi="Times New Roman" w:cs="Times New Roman"/>
          <w:sz w:val="28"/>
          <w:szCs w:val="28"/>
          <w:lang w:val="ro-MD"/>
        </w:rPr>
        <w:t>.</w:t>
      </w:r>
    </w:p>
    <w:p w:rsidR="00AC67EE" w:rsidRDefault="00C82F48">
      <w:pPr>
        <w:pStyle w:val="Default"/>
        <w:spacing w:line="276" w:lineRule="auto"/>
        <w:ind w:firstLine="720"/>
        <w:jc w:val="both"/>
        <w:rPr>
          <w:rFonts w:ascii="Times New Roman" w:hAnsi="Times New Roman" w:cs="Times New Roman"/>
          <w:sz w:val="28"/>
          <w:szCs w:val="28"/>
          <w:lang w:val="ro-MD"/>
        </w:rPr>
      </w:pPr>
      <w:r>
        <w:rPr>
          <w:rFonts w:ascii="Times New Roman" w:hAnsi="Times New Roman" w:cs="Times New Roman"/>
          <w:sz w:val="28"/>
          <w:szCs w:val="28"/>
          <w:lang w:val="ro-MD"/>
        </w:rPr>
        <w:t>Finalitatea acestui exercițiu are menirea de a identifica măsurile necesare pentru executarea conformă a buget</w:t>
      </w:r>
      <w:r w:rsidR="00AC67EE">
        <w:rPr>
          <w:rFonts w:ascii="Times New Roman" w:hAnsi="Times New Roman" w:cs="Times New Roman"/>
          <w:sz w:val="28"/>
          <w:szCs w:val="28"/>
          <w:lang w:val="ro-MD"/>
        </w:rPr>
        <w:t>elor</w:t>
      </w:r>
      <w:r>
        <w:rPr>
          <w:rFonts w:ascii="Times New Roman" w:hAnsi="Times New Roman" w:cs="Times New Roman"/>
          <w:sz w:val="28"/>
          <w:szCs w:val="28"/>
          <w:lang w:val="ro-MD"/>
        </w:rPr>
        <w:t xml:space="preserve"> aprobat</w:t>
      </w:r>
      <w:r w:rsidR="00AC67EE">
        <w:rPr>
          <w:rFonts w:ascii="Times New Roman" w:hAnsi="Times New Roman" w:cs="Times New Roman"/>
          <w:sz w:val="28"/>
          <w:szCs w:val="28"/>
          <w:lang w:val="ro-MD"/>
        </w:rPr>
        <w:t>e</w:t>
      </w:r>
      <w:r>
        <w:rPr>
          <w:rFonts w:ascii="Times New Roman" w:hAnsi="Times New Roman" w:cs="Times New Roman"/>
          <w:sz w:val="28"/>
          <w:szCs w:val="28"/>
          <w:lang w:val="ro-MD"/>
        </w:rPr>
        <w:t>, revizuirea estimărilor în cadrul proiectelor finanțate din surse externe, precum și formularea propunerilor de modificare a Legi</w:t>
      </w:r>
      <w:r w:rsidR="00AC67EE">
        <w:rPr>
          <w:rFonts w:ascii="Times New Roman" w:hAnsi="Times New Roman" w:cs="Times New Roman"/>
          <w:sz w:val="28"/>
          <w:szCs w:val="28"/>
          <w:lang w:val="ro-MD"/>
        </w:rPr>
        <w:t>lor respective</w:t>
      </w:r>
      <w:r>
        <w:rPr>
          <w:rFonts w:ascii="Times New Roman" w:hAnsi="Times New Roman" w:cs="Times New Roman"/>
          <w:sz w:val="28"/>
          <w:szCs w:val="28"/>
          <w:lang w:val="ro-MD"/>
        </w:rPr>
        <w:t xml:space="preserve"> pentru anul 2023.</w:t>
      </w:r>
    </w:p>
    <w:p w:rsidR="00AC67EE" w:rsidRDefault="00AC67EE">
      <w:pPr>
        <w:pStyle w:val="Default"/>
        <w:spacing w:line="276" w:lineRule="auto"/>
        <w:ind w:firstLine="72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Estimările executării scontate a bugetului public național </w:t>
      </w:r>
      <w:r w:rsidR="00B0020A">
        <w:rPr>
          <w:rFonts w:ascii="Times New Roman" w:hAnsi="Times New Roman" w:cs="Times New Roman"/>
          <w:sz w:val="28"/>
          <w:szCs w:val="28"/>
          <w:lang w:val="ro-MD"/>
        </w:rPr>
        <w:t xml:space="preserve">pentru anul 2023 </w:t>
      </w:r>
      <w:r>
        <w:rPr>
          <w:rFonts w:ascii="Times New Roman" w:hAnsi="Times New Roman" w:cs="Times New Roman"/>
          <w:sz w:val="28"/>
          <w:szCs w:val="28"/>
          <w:lang w:val="ro-MD"/>
        </w:rPr>
        <w:t>se prezintă în tabelul 4.</w:t>
      </w:r>
    </w:p>
    <w:p w:rsidR="00C82F48" w:rsidRDefault="00AC67EE" w:rsidP="00AC67EE">
      <w:pPr>
        <w:pStyle w:val="Default"/>
        <w:spacing w:line="276" w:lineRule="auto"/>
        <w:ind w:firstLine="720"/>
        <w:jc w:val="both"/>
        <w:rPr>
          <w:rFonts w:ascii="Times New Roman" w:hAnsi="Times New Roman" w:cs="Times New Roman"/>
          <w:b/>
          <w:i/>
          <w:sz w:val="28"/>
          <w:szCs w:val="28"/>
          <w:lang w:val="ro-MD"/>
        </w:rPr>
      </w:pPr>
      <w:r w:rsidRPr="00AC67EE">
        <w:rPr>
          <w:rFonts w:ascii="Times New Roman" w:hAnsi="Times New Roman" w:cs="Times New Roman"/>
          <w:b/>
          <w:i/>
          <w:sz w:val="28"/>
          <w:szCs w:val="28"/>
          <w:lang w:val="ro-MD"/>
        </w:rPr>
        <w:t>Tabelul 4 E</w:t>
      </w:r>
      <w:r w:rsidR="00B0020A">
        <w:rPr>
          <w:rFonts w:ascii="Times New Roman" w:hAnsi="Times New Roman" w:cs="Times New Roman"/>
          <w:b/>
          <w:i/>
          <w:sz w:val="28"/>
          <w:szCs w:val="28"/>
          <w:lang w:val="ro-MD"/>
        </w:rPr>
        <w:t>stimările e</w:t>
      </w:r>
      <w:r w:rsidRPr="00AC67EE">
        <w:rPr>
          <w:rFonts w:ascii="Times New Roman" w:hAnsi="Times New Roman" w:cs="Times New Roman"/>
          <w:b/>
          <w:i/>
          <w:sz w:val="28"/>
          <w:szCs w:val="28"/>
          <w:lang w:val="ro-MD"/>
        </w:rPr>
        <w:t>xecut</w:t>
      </w:r>
      <w:r w:rsidR="00B0020A">
        <w:rPr>
          <w:rFonts w:ascii="Times New Roman" w:hAnsi="Times New Roman" w:cs="Times New Roman"/>
          <w:b/>
          <w:i/>
          <w:sz w:val="28"/>
          <w:szCs w:val="28"/>
          <w:lang w:val="ro-MD"/>
        </w:rPr>
        <w:t>ării scontate</w:t>
      </w:r>
      <w:r w:rsidRPr="00AC67EE">
        <w:rPr>
          <w:rFonts w:ascii="Times New Roman" w:hAnsi="Times New Roman" w:cs="Times New Roman"/>
          <w:b/>
          <w:i/>
          <w:sz w:val="28"/>
          <w:szCs w:val="28"/>
          <w:lang w:val="ro-MD"/>
        </w:rPr>
        <w:t xml:space="preserve"> a </w:t>
      </w:r>
      <w:r w:rsidR="00B0020A">
        <w:rPr>
          <w:rFonts w:ascii="Times New Roman" w:hAnsi="Times New Roman" w:cs="Times New Roman"/>
          <w:b/>
          <w:i/>
          <w:sz w:val="28"/>
          <w:szCs w:val="28"/>
          <w:lang w:val="ro-MD"/>
        </w:rPr>
        <w:t xml:space="preserve">indicatorilor </w:t>
      </w:r>
      <w:r w:rsidRPr="00AC67EE">
        <w:rPr>
          <w:rFonts w:ascii="Times New Roman" w:hAnsi="Times New Roman" w:cs="Times New Roman"/>
          <w:b/>
          <w:i/>
          <w:sz w:val="28"/>
          <w:szCs w:val="28"/>
          <w:lang w:val="ro-MD"/>
        </w:rPr>
        <w:t xml:space="preserve">bugetului public național </w:t>
      </w:r>
      <w:r w:rsidR="00B0020A">
        <w:rPr>
          <w:rFonts w:ascii="Times New Roman" w:hAnsi="Times New Roman" w:cs="Times New Roman"/>
          <w:b/>
          <w:i/>
          <w:sz w:val="28"/>
          <w:szCs w:val="28"/>
          <w:lang w:val="ro-MD"/>
        </w:rPr>
        <w:t xml:space="preserve">pentru </w:t>
      </w:r>
      <w:r w:rsidRPr="00AC67EE">
        <w:rPr>
          <w:rFonts w:ascii="Times New Roman" w:hAnsi="Times New Roman" w:cs="Times New Roman"/>
          <w:b/>
          <w:i/>
          <w:sz w:val="28"/>
          <w:szCs w:val="28"/>
          <w:lang w:val="ro-MD"/>
        </w:rPr>
        <w:t>anul 2023</w:t>
      </w:r>
    </w:p>
    <w:p w:rsidR="00B0020A" w:rsidRDefault="00B0020A" w:rsidP="00AC67EE">
      <w:pPr>
        <w:pStyle w:val="Default"/>
        <w:spacing w:line="276" w:lineRule="auto"/>
        <w:ind w:firstLine="720"/>
        <w:jc w:val="both"/>
        <w:rPr>
          <w:b/>
          <w:i/>
          <w:lang w:val="ro-MD"/>
        </w:rPr>
      </w:pPr>
    </w:p>
    <w:p w:rsidR="00B0020A" w:rsidRPr="00B0020A" w:rsidRDefault="00B0020A" w:rsidP="00B0020A">
      <w:pPr>
        <w:pStyle w:val="Default"/>
        <w:spacing w:line="276" w:lineRule="auto"/>
        <w:ind w:firstLine="720"/>
        <w:jc w:val="right"/>
        <w:rPr>
          <w:rFonts w:ascii="Times New Roman" w:hAnsi="Times New Roman" w:cs="Times New Roman"/>
          <w:b/>
          <w:i/>
          <w:sz w:val="20"/>
          <w:szCs w:val="20"/>
          <w:lang w:val="ro-MD"/>
        </w:rPr>
      </w:pPr>
      <w:r>
        <w:rPr>
          <w:rFonts w:ascii="Times New Roman" w:hAnsi="Times New Roman" w:cs="Times New Roman"/>
          <w:b/>
          <w:i/>
          <w:sz w:val="20"/>
          <w:szCs w:val="20"/>
          <w:lang w:val="ro-MD"/>
        </w:rPr>
        <w:lastRenderedPageBreak/>
        <w:t>mil. lei</w:t>
      </w:r>
    </w:p>
    <w:tbl>
      <w:tblPr>
        <w:tblW w:w="8106" w:type="dxa"/>
        <w:tblInd w:w="113" w:type="dxa"/>
        <w:tblLook w:val="04A0" w:firstRow="1" w:lastRow="0" w:firstColumn="1" w:lastColumn="0" w:noHBand="0" w:noVBand="1"/>
      </w:tblPr>
      <w:tblGrid>
        <w:gridCol w:w="2669"/>
        <w:gridCol w:w="781"/>
        <w:gridCol w:w="1075"/>
        <w:gridCol w:w="1075"/>
        <w:gridCol w:w="968"/>
        <w:gridCol w:w="1075"/>
        <w:gridCol w:w="886"/>
        <w:gridCol w:w="702"/>
      </w:tblGrid>
      <w:tr w:rsidR="00B0020A" w:rsidRPr="00B0020A" w:rsidTr="00B0020A">
        <w:trPr>
          <w:trHeight w:val="292"/>
        </w:trPr>
        <w:tc>
          <w:tcPr>
            <w:tcW w:w="272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 </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020A" w:rsidRPr="00B0020A" w:rsidRDefault="00B0020A" w:rsidP="00B0020A">
            <w:pPr>
              <w:suppressAutoHyphens w:val="0"/>
              <w:spacing w:after="0" w:line="240" w:lineRule="auto"/>
              <w:jc w:val="center"/>
              <w:rPr>
                <w:rFonts w:ascii="Times New Roman" w:hAnsi="Times New Roman"/>
                <w:color w:val="000000"/>
                <w:sz w:val="20"/>
                <w:szCs w:val="20"/>
                <w:lang w:val="ro-MD" w:eastAsia="en-US"/>
              </w:rPr>
            </w:pPr>
            <w:r w:rsidRPr="00B0020A">
              <w:rPr>
                <w:rFonts w:ascii="Times New Roman" w:hAnsi="Times New Roman"/>
                <w:color w:val="000000"/>
                <w:sz w:val="20"/>
                <w:szCs w:val="20"/>
                <w:lang w:val="ro-MD" w:eastAsia="en-US"/>
              </w:rPr>
              <w:t>Cod</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0020A" w:rsidRPr="00B0020A" w:rsidRDefault="00B0020A" w:rsidP="00B0020A">
            <w:pPr>
              <w:suppressAutoHyphens w:val="0"/>
              <w:spacing w:after="0" w:line="240" w:lineRule="auto"/>
              <w:jc w:val="center"/>
              <w:rPr>
                <w:rFonts w:ascii="Times New Roman" w:hAnsi="Times New Roman"/>
                <w:color w:val="000000"/>
                <w:sz w:val="20"/>
                <w:szCs w:val="20"/>
                <w:lang w:val="ro-MD" w:eastAsia="en-US"/>
              </w:rPr>
            </w:pPr>
            <w:r w:rsidRPr="00B0020A">
              <w:rPr>
                <w:rFonts w:ascii="Times New Roman" w:hAnsi="Times New Roman"/>
                <w:color w:val="000000"/>
                <w:sz w:val="20"/>
                <w:szCs w:val="20"/>
                <w:lang w:val="ro-MD" w:eastAsia="en-US"/>
              </w:rPr>
              <w:t>Aprobat</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020A" w:rsidRPr="00B0020A" w:rsidRDefault="00B0020A" w:rsidP="00B0020A">
            <w:pPr>
              <w:suppressAutoHyphens w:val="0"/>
              <w:spacing w:after="0" w:line="240" w:lineRule="auto"/>
              <w:jc w:val="center"/>
              <w:rPr>
                <w:rFonts w:ascii="Times New Roman" w:hAnsi="Times New Roman"/>
                <w:color w:val="000000"/>
                <w:sz w:val="20"/>
                <w:szCs w:val="20"/>
                <w:lang w:val="ro-MD" w:eastAsia="en-US"/>
              </w:rPr>
            </w:pPr>
            <w:r w:rsidRPr="00B0020A">
              <w:rPr>
                <w:rFonts w:ascii="Times New Roman" w:hAnsi="Times New Roman"/>
                <w:color w:val="000000"/>
                <w:sz w:val="20"/>
                <w:szCs w:val="20"/>
                <w:lang w:val="ro-MD" w:eastAsia="en-US"/>
              </w:rPr>
              <w:t>Modificat/  estimat</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020A" w:rsidRPr="00B0020A" w:rsidRDefault="00B0020A" w:rsidP="00B0020A">
            <w:pPr>
              <w:suppressAutoHyphens w:val="0"/>
              <w:spacing w:after="0" w:line="240" w:lineRule="auto"/>
              <w:jc w:val="center"/>
              <w:rPr>
                <w:rFonts w:ascii="Times New Roman" w:hAnsi="Times New Roman"/>
                <w:color w:val="000000"/>
                <w:sz w:val="20"/>
                <w:szCs w:val="20"/>
                <w:lang w:val="ro-MD" w:eastAsia="en-US"/>
              </w:rPr>
            </w:pPr>
            <w:r w:rsidRPr="00B0020A">
              <w:rPr>
                <w:rFonts w:ascii="Times New Roman" w:hAnsi="Times New Roman"/>
                <w:color w:val="000000"/>
                <w:sz w:val="20"/>
                <w:szCs w:val="20"/>
                <w:lang w:val="ro-MD" w:eastAsia="en-US"/>
              </w:rPr>
              <w:t>Executat semestrul I</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020A" w:rsidRPr="00B0020A" w:rsidRDefault="00B0020A" w:rsidP="00B0020A">
            <w:pPr>
              <w:suppressAutoHyphens w:val="0"/>
              <w:spacing w:after="0" w:line="240" w:lineRule="auto"/>
              <w:jc w:val="center"/>
              <w:rPr>
                <w:rFonts w:ascii="Times New Roman" w:hAnsi="Times New Roman"/>
                <w:color w:val="000000"/>
                <w:sz w:val="20"/>
                <w:szCs w:val="20"/>
                <w:lang w:val="ro-MD" w:eastAsia="en-US"/>
              </w:rPr>
            </w:pPr>
            <w:r w:rsidRPr="00B0020A">
              <w:rPr>
                <w:rFonts w:ascii="Times New Roman" w:hAnsi="Times New Roman"/>
                <w:color w:val="000000"/>
                <w:sz w:val="20"/>
                <w:szCs w:val="20"/>
                <w:lang w:val="ro-MD" w:eastAsia="en-US"/>
              </w:rPr>
              <w:t>Estimările executării scontate pe an</w:t>
            </w:r>
          </w:p>
        </w:tc>
        <w:tc>
          <w:tcPr>
            <w:tcW w:w="14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0020A" w:rsidRPr="00B0020A" w:rsidRDefault="00B0020A" w:rsidP="00B0020A">
            <w:pPr>
              <w:suppressAutoHyphens w:val="0"/>
              <w:spacing w:after="0" w:line="240" w:lineRule="auto"/>
              <w:jc w:val="center"/>
              <w:rPr>
                <w:rFonts w:ascii="Times New Roman" w:hAnsi="Times New Roman"/>
                <w:color w:val="000000"/>
                <w:sz w:val="20"/>
                <w:szCs w:val="20"/>
                <w:lang w:val="ro-MD" w:eastAsia="en-US"/>
              </w:rPr>
            </w:pPr>
            <w:r w:rsidRPr="00B0020A">
              <w:rPr>
                <w:rFonts w:ascii="Times New Roman" w:hAnsi="Times New Roman"/>
                <w:color w:val="000000"/>
                <w:sz w:val="20"/>
                <w:szCs w:val="20"/>
                <w:lang w:val="ro-MD" w:eastAsia="en-US"/>
              </w:rPr>
              <w:t>Estimările executării scontate pe an față de modificat/estimat</w:t>
            </w:r>
          </w:p>
        </w:tc>
      </w:tr>
      <w:tr w:rsidR="00B0020A" w:rsidRPr="00B0020A" w:rsidTr="00B0020A">
        <w:trPr>
          <w:trHeight w:val="516"/>
        </w:trPr>
        <w:tc>
          <w:tcPr>
            <w:tcW w:w="2728" w:type="dxa"/>
            <w:vMerge/>
            <w:tcBorders>
              <w:top w:val="single" w:sz="4" w:space="0" w:color="000000"/>
              <w:left w:val="single" w:sz="4" w:space="0" w:color="000000"/>
              <w:bottom w:val="single" w:sz="4" w:space="0" w:color="000000"/>
              <w:right w:val="single" w:sz="4" w:space="0" w:color="000000"/>
            </w:tcBorders>
            <w:vAlign w:val="center"/>
            <w:hideMark/>
          </w:tcPr>
          <w:p w:rsidR="00B0020A" w:rsidRPr="00B0020A" w:rsidRDefault="00B0020A" w:rsidP="00B0020A">
            <w:pPr>
              <w:suppressAutoHyphens w:val="0"/>
              <w:spacing w:after="0" w:line="240" w:lineRule="auto"/>
              <w:rPr>
                <w:rFonts w:ascii="Times New Roman" w:hAnsi="Times New Roman"/>
                <w:color w:val="000000"/>
                <w:lang w:val="ro-MD" w:eastAsia="en-US"/>
              </w:rPr>
            </w:pPr>
          </w:p>
        </w:tc>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B0020A" w:rsidRPr="00B0020A" w:rsidRDefault="00B0020A" w:rsidP="00B0020A">
            <w:pPr>
              <w:suppressAutoHyphens w:val="0"/>
              <w:spacing w:after="0" w:line="240" w:lineRule="auto"/>
              <w:rPr>
                <w:rFonts w:ascii="Times New Roman" w:hAnsi="Times New Roman"/>
                <w:color w:val="000000"/>
                <w:sz w:val="20"/>
                <w:szCs w:val="20"/>
                <w:lang w:val="ro-MD" w:eastAsia="en-US"/>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B0020A" w:rsidRPr="00B0020A" w:rsidRDefault="00B0020A" w:rsidP="00B0020A">
            <w:pPr>
              <w:suppressAutoHyphens w:val="0"/>
              <w:spacing w:after="0" w:line="240" w:lineRule="auto"/>
              <w:rPr>
                <w:rFonts w:ascii="Times New Roman" w:hAnsi="Times New Roman"/>
                <w:color w:val="000000"/>
                <w:sz w:val="20"/>
                <w:szCs w:val="20"/>
                <w:lang w:val="ro-MD" w:eastAsia="en-US"/>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B0020A" w:rsidRPr="00B0020A" w:rsidRDefault="00B0020A" w:rsidP="00B0020A">
            <w:pPr>
              <w:suppressAutoHyphens w:val="0"/>
              <w:spacing w:after="0" w:line="240" w:lineRule="auto"/>
              <w:rPr>
                <w:rFonts w:ascii="Times New Roman" w:hAnsi="Times New Roman"/>
                <w:color w:val="000000"/>
                <w:sz w:val="20"/>
                <w:szCs w:val="20"/>
                <w:lang w:val="ro-MD" w:eastAsia="en-US"/>
              </w:rPr>
            </w:pPr>
          </w:p>
        </w:tc>
        <w:tc>
          <w:tcPr>
            <w:tcW w:w="764" w:type="dxa"/>
            <w:vMerge/>
            <w:tcBorders>
              <w:top w:val="single" w:sz="4" w:space="0" w:color="000000"/>
              <w:left w:val="single" w:sz="4" w:space="0" w:color="000000"/>
              <w:bottom w:val="single" w:sz="4" w:space="0" w:color="000000"/>
              <w:right w:val="single" w:sz="4" w:space="0" w:color="000000"/>
            </w:tcBorders>
            <w:vAlign w:val="center"/>
            <w:hideMark/>
          </w:tcPr>
          <w:p w:rsidR="00B0020A" w:rsidRPr="00B0020A" w:rsidRDefault="00B0020A" w:rsidP="00B0020A">
            <w:pPr>
              <w:suppressAutoHyphens w:val="0"/>
              <w:spacing w:after="0" w:line="240" w:lineRule="auto"/>
              <w:rPr>
                <w:rFonts w:ascii="Times New Roman" w:hAnsi="Times New Roman"/>
                <w:color w:val="000000"/>
                <w:sz w:val="20"/>
                <w:szCs w:val="20"/>
                <w:lang w:val="ro-MD" w:eastAsia="en-US"/>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B0020A" w:rsidRPr="00B0020A" w:rsidRDefault="00B0020A" w:rsidP="00B0020A">
            <w:pPr>
              <w:suppressAutoHyphens w:val="0"/>
              <w:spacing w:after="0" w:line="240" w:lineRule="auto"/>
              <w:rPr>
                <w:rFonts w:ascii="Times New Roman" w:hAnsi="Times New Roman"/>
                <w:color w:val="000000"/>
                <w:sz w:val="20"/>
                <w:szCs w:val="20"/>
                <w:lang w:val="ro-MD" w:eastAsia="en-US"/>
              </w:rPr>
            </w:pPr>
          </w:p>
        </w:tc>
        <w:tc>
          <w:tcPr>
            <w:tcW w:w="1449" w:type="dxa"/>
            <w:gridSpan w:val="2"/>
            <w:vMerge/>
            <w:tcBorders>
              <w:top w:val="single" w:sz="4" w:space="0" w:color="000000"/>
              <w:left w:val="single" w:sz="4" w:space="0" w:color="000000"/>
              <w:bottom w:val="single" w:sz="4" w:space="0" w:color="000000"/>
              <w:right w:val="single" w:sz="4" w:space="0" w:color="000000"/>
            </w:tcBorders>
            <w:vAlign w:val="center"/>
            <w:hideMark/>
          </w:tcPr>
          <w:p w:rsidR="00B0020A" w:rsidRPr="00B0020A" w:rsidRDefault="00B0020A" w:rsidP="00B0020A">
            <w:pPr>
              <w:suppressAutoHyphens w:val="0"/>
              <w:spacing w:after="0" w:line="240" w:lineRule="auto"/>
              <w:rPr>
                <w:rFonts w:ascii="Times New Roman" w:hAnsi="Times New Roman"/>
                <w:color w:val="000000"/>
                <w:sz w:val="20"/>
                <w:szCs w:val="20"/>
                <w:lang w:val="ro-MD" w:eastAsia="en-US"/>
              </w:rPr>
            </w:pPr>
          </w:p>
        </w:tc>
      </w:tr>
      <w:tr w:rsidR="00B0020A" w:rsidRPr="00B0020A" w:rsidTr="00B0020A">
        <w:trPr>
          <w:trHeight w:val="292"/>
        </w:trPr>
        <w:tc>
          <w:tcPr>
            <w:tcW w:w="2728" w:type="dxa"/>
            <w:vMerge/>
            <w:tcBorders>
              <w:top w:val="single" w:sz="4" w:space="0" w:color="000000"/>
              <w:left w:val="single" w:sz="4" w:space="0" w:color="000000"/>
              <w:bottom w:val="single" w:sz="4" w:space="0" w:color="000000"/>
              <w:right w:val="single" w:sz="4" w:space="0" w:color="000000"/>
            </w:tcBorders>
            <w:vAlign w:val="center"/>
            <w:hideMark/>
          </w:tcPr>
          <w:p w:rsidR="00B0020A" w:rsidRPr="00B0020A" w:rsidRDefault="00B0020A" w:rsidP="00B0020A">
            <w:pPr>
              <w:suppressAutoHyphens w:val="0"/>
              <w:spacing w:after="0" w:line="240" w:lineRule="auto"/>
              <w:rPr>
                <w:rFonts w:ascii="Times New Roman" w:hAnsi="Times New Roman"/>
                <w:color w:val="000000"/>
                <w:lang w:val="ro-MD" w:eastAsia="en-US"/>
              </w:rPr>
            </w:pPr>
          </w:p>
        </w:tc>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B0020A" w:rsidRPr="00B0020A" w:rsidRDefault="00B0020A" w:rsidP="00B0020A">
            <w:pPr>
              <w:suppressAutoHyphens w:val="0"/>
              <w:spacing w:after="0" w:line="240" w:lineRule="auto"/>
              <w:rPr>
                <w:rFonts w:ascii="Times New Roman" w:hAnsi="Times New Roman"/>
                <w:color w:val="000000"/>
                <w:sz w:val="20"/>
                <w:szCs w:val="20"/>
                <w:lang w:val="ro-MD" w:eastAsia="en-US"/>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B0020A" w:rsidRPr="00B0020A" w:rsidRDefault="00B0020A" w:rsidP="00B0020A">
            <w:pPr>
              <w:suppressAutoHyphens w:val="0"/>
              <w:spacing w:after="0" w:line="240" w:lineRule="auto"/>
              <w:rPr>
                <w:rFonts w:ascii="Times New Roman" w:hAnsi="Times New Roman"/>
                <w:color w:val="000000"/>
                <w:sz w:val="20"/>
                <w:szCs w:val="20"/>
                <w:lang w:val="ro-MD" w:eastAsia="en-US"/>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B0020A" w:rsidRPr="00B0020A" w:rsidRDefault="00B0020A" w:rsidP="00B0020A">
            <w:pPr>
              <w:suppressAutoHyphens w:val="0"/>
              <w:spacing w:after="0" w:line="240" w:lineRule="auto"/>
              <w:rPr>
                <w:rFonts w:ascii="Times New Roman" w:hAnsi="Times New Roman"/>
                <w:color w:val="000000"/>
                <w:sz w:val="20"/>
                <w:szCs w:val="20"/>
                <w:lang w:val="ro-MD" w:eastAsia="en-US"/>
              </w:rPr>
            </w:pPr>
          </w:p>
        </w:tc>
        <w:tc>
          <w:tcPr>
            <w:tcW w:w="764" w:type="dxa"/>
            <w:vMerge/>
            <w:tcBorders>
              <w:top w:val="single" w:sz="4" w:space="0" w:color="000000"/>
              <w:left w:val="single" w:sz="4" w:space="0" w:color="000000"/>
              <w:bottom w:val="single" w:sz="4" w:space="0" w:color="000000"/>
              <w:right w:val="single" w:sz="4" w:space="0" w:color="000000"/>
            </w:tcBorders>
            <w:vAlign w:val="center"/>
            <w:hideMark/>
          </w:tcPr>
          <w:p w:rsidR="00B0020A" w:rsidRPr="00B0020A" w:rsidRDefault="00B0020A" w:rsidP="00B0020A">
            <w:pPr>
              <w:suppressAutoHyphens w:val="0"/>
              <w:spacing w:after="0" w:line="240" w:lineRule="auto"/>
              <w:rPr>
                <w:rFonts w:ascii="Times New Roman" w:hAnsi="Times New Roman"/>
                <w:color w:val="000000"/>
                <w:sz w:val="20"/>
                <w:szCs w:val="20"/>
                <w:lang w:val="ro-MD" w:eastAsia="en-US"/>
              </w:rPr>
            </w:pPr>
          </w:p>
        </w:tc>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B0020A" w:rsidRPr="00B0020A" w:rsidRDefault="00B0020A" w:rsidP="00B0020A">
            <w:pPr>
              <w:suppressAutoHyphens w:val="0"/>
              <w:spacing w:after="0" w:line="240" w:lineRule="auto"/>
              <w:rPr>
                <w:rFonts w:ascii="Times New Roman" w:hAnsi="Times New Roman"/>
                <w:color w:val="000000"/>
                <w:sz w:val="20"/>
                <w:szCs w:val="20"/>
                <w:lang w:val="ro-MD" w:eastAsia="en-US"/>
              </w:rPr>
            </w:pP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sz w:val="20"/>
                <w:szCs w:val="20"/>
                <w:lang w:val="ro-MD" w:eastAsia="en-US"/>
              </w:rPr>
            </w:pPr>
            <w:r w:rsidRPr="00B0020A">
              <w:rPr>
                <w:rFonts w:ascii="Times New Roman" w:hAnsi="Times New Roman"/>
                <w:color w:val="000000"/>
                <w:sz w:val="20"/>
                <w:szCs w:val="20"/>
                <w:lang w:val="ro-MD" w:eastAsia="en-US"/>
              </w:rPr>
              <w:t>devieri (+,-)</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sz w:val="20"/>
                <w:szCs w:val="20"/>
                <w:lang w:val="ro-MD" w:eastAsia="en-US"/>
              </w:rPr>
            </w:pPr>
            <w:r w:rsidRPr="00B0020A">
              <w:rPr>
                <w:rFonts w:ascii="Times New Roman" w:hAnsi="Times New Roman"/>
                <w:color w:val="000000"/>
                <w:sz w:val="20"/>
                <w:szCs w:val="20"/>
                <w:lang w:val="ro-MD" w:eastAsia="en-US"/>
              </w:rPr>
              <w:t>în %%</w:t>
            </w:r>
          </w:p>
        </w:tc>
      </w:tr>
      <w:tr w:rsidR="00B0020A" w:rsidRPr="00B0020A" w:rsidTr="00B0020A">
        <w:trPr>
          <w:trHeight w:val="516"/>
        </w:trPr>
        <w:tc>
          <w:tcPr>
            <w:tcW w:w="810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0020A" w:rsidRPr="00B0020A" w:rsidRDefault="00B0020A" w:rsidP="00B0020A">
            <w:pPr>
              <w:suppressAutoHyphens w:val="0"/>
              <w:spacing w:after="0" w:line="240" w:lineRule="auto"/>
              <w:jc w:val="center"/>
              <w:rPr>
                <w:rFonts w:ascii="Times New Roman" w:hAnsi="Times New Roman"/>
                <w:b/>
                <w:bCs/>
                <w:i/>
                <w:iCs/>
                <w:color w:val="000000"/>
                <w:lang w:val="ro-MD" w:eastAsia="en-US"/>
              </w:rPr>
            </w:pPr>
            <w:r w:rsidRPr="00B0020A">
              <w:rPr>
                <w:rFonts w:ascii="Times New Roman" w:hAnsi="Times New Roman"/>
                <w:b/>
                <w:bCs/>
                <w:i/>
                <w:iCs/>
                <w:color w:val="000000"/>
                <w:lang w:val="ro-MD" w:eastAsia="en-US"/>
              </w:rPr>
              <w:t>Bugetul Public Național</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 VENITURI, total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1</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100.659,0</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102.298,9</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47.063,6</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102.655,3</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356,4</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100,3</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II.CHELTUIELI, total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2+3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119.186,3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122.782,1</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54.226,6</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121.182,6</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-1.599,5</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98,7</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III.SOLD BUGETAR</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1-(2+3)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-18.527,3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-20.483,2</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-7.163,0</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-18.527,3</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1.955,9</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90,5</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IV.SURSE DE FINANȚARE, total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4+5+9</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18.527,3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20.483,2</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7.163,0</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18.527,3</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-1.955,9</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90,5</w:t>
            </w:r>
          </w:p>
        </w:tc>
      </w:tr>
      <w:tr w:rsidR="00B0020A" w:rsidRPr="00B0020A" w:rsidTr="00B0020A">
        <w:trPr>
          <w:trHeight w:val="351"/>
        </w:trPr>
        <w:tc>
          <w:tcPr>
            <w:tcW w:w="810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0020A" w:rsidRPr="00B0020A" w:rsidRDefault="00B0020A" w:rsidP="00B0020A">
            <w:pPr>
              <w:suppressAutoHyphens w:val="0"/>
              <w:spacing w:after="0" w:line="240" w:lineRule="auto"/>
              <w:jc w:val="center"/>
              <w:rPr>
                <w:rFonts w:ascii="Times New Roman" w:hAnsi="Times New Roman"/>
                <w:b/>
                <w:bCs/>
                <w:i/>
                <w:iCs/>
                <w:color w:val="000000"/>
                <w:lang w:val="ro-MD" w:eastAsia="en-US"/>
              </w:rPr>
            </w:pPr>
            <w:r w:rsidRPr="00B0020A">
              <w:rPr>
                <w:rFonts w:ascii="Times New Roman" w:hAnsi="Times New Roman"/>
                <w:b/>
                <w:bCs/>
                <w:i/>
                <w:iCs/>
                <w:color w:val="000000"/>
                <w:lang w:val="ro-MD" w:eastAsia="en-US"/>
              </w:rPr>
              <w:t>Bugetul de Stat</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 VENITURI, total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1</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64.868,4</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66.281,3</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28.901,5</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65.784,1</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-497,2</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99,2</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xml:space="preserve"> inclusiv: transferuri la alte bugete</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ind w:firstLineChars="100" w:firstLine="200"/>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15,4</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17,7</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12,4</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19,2</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1,5</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108,5</w:t>
            </w:r>
          </w:p>
        </w:tc>
      </w:tr>
      <w:tr w:rsidR="00B0020A" w:rsidRPr="00B0020A" w:rsidTr="00B0020A">
        <w:trPr>
          <w:trHeight w:val="512"/>
        </w:trPr>
        <w:tc>
          <w:tcPr>
            <w:tcW w:w="2728" w:type="dxa"/>
            <w:tcBorders>
              <w:top w:val="nil"/>
              <w:left w:val="single" w:sz="4" w:space="0" w:color="000000"/>
              <w:bottom w:val="single" w:sz="4" w:space="0" w:color="000000"/>
              <w:right w:val="single" w:sz="4" w:space="0" w:color="000000"/>
            </w:tcBorders>
            <w:shd w:val="clear" w:color="auto" w:fill="auto"/>
            <w:vAlign w:val="bottom"/>
            <w:hideMark/>
          </w:tcPr>
          <w:p w:rsidR="00B0020A" w:rsidRPr="00B0020A" w:rsidRDefault="00B0020A" w:rsidP="00B0020A">
            <w:pPr>
              <w:suppressAutoHyphens w:val="0"/>
              <w:spacing w:after="0" w:line="240" w:lineRule="auto"/>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inclusiv: dobânzi din împrumuturile recreditate bugetelor de alt nivel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ind w:firstLineChars="100" w:firstLine="200"/>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6,1</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2,5</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i/>
                <w:iCs/>
                <w:color w:val="000000"/>
                <w:lang w:val="ro-MD" w:eastAsia="en-US"/>
              </w:rPr>
            </w:pPr>
            <w:r w:rsidRPr="00B0020A">
              <w:rPr>
                <w:rFonts w:ascii="Times New Roman" w:hAnsi="Times New Roman"/>
                <w:i/>
                <w:iCs/>
                <w:color w:val="000000"/>
                <w:lang w:val="ro-MD" w:eastAsia="en-US"/>
              </w:rPr>
              <w:t> </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i/>
                <w:iCs/>
                <w:color w:val="000000"/>
                <w:lang w:val="ro-MD" w:eastAsia="en-US"/>
              </w:rPr>
            </w:pPr>
            <w:r w:rsidRPr="00B0020A">
              <w:rPr>
                <w:rFonts w:ascii="Times New Roman" w:hAnsi="Times New Roman"/>
                <w:i/>
                <w:iCs/>
                <w:color w:val="000000"/>
                <w:lang w:val="ro-MD" w:eastAsia="en-US"/>
              </w:rPr>
              <w:t> </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II.CHELTUIELI, total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2+3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83.195,7</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84.608,6</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36.797,4</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84.241,7</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-366,9</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99,6</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ind w:firstLineChars="100" w:firstLine="200"/>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xml:space="preserve"> inclusiv: transferuri la alte bugete</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ind w:firstLineChars="100" w:firstLine="200"/>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42.556,6</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43.057,7</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20.746,5</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42.355,0</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-702,7</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98,4</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III.SOLD BUGETAR</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1-(2+3)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-18.327,3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-18.327,3</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-7.895,9</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-18.457,6</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-130,3</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100,7</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IV.SURSE DE FINANȚARE, total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4+5+9</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18.327,3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18.327,3</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7.895,9</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18.457,6</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130,3</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100,7</w:t>
            </w:r>
          </w:p>
        </w:tc>
      </w:tr>
      <w:tr w:rsidR="00B0020A" w:rsidRPr="00B0020A" w:rsidTr="00B0020A">
        <w:trPr>
          <w:trHeight w:val="453"/>
        </w:trPr>
        <w:tc>
          <w:tcPr>
            <w:tcW w:w="8106"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b/>
                <w:bCs/>
                <w:i/>
                <w:iCs/>
                <w:color w:val="000000"/>
                <w:lang w:val="ro-MD" w:eastAsia="en-US"/>
              </w:rPr>
            </w:pPr>
            <w:r w:rsidRPr="00B0020A">
              <w:rPr>
                <w:rFonts w:ascii="Times New Roman" w:hAnsi="Times New Roman"/>
                <w:b/>
                <w:bCs/>
                <w:i/>
                <w:iCs/>
                <w:color w:val="000000"/>
                <w:lang w:val="ro-MD" w:eastAsia="en-US"/>
              </w:rPr>
              <w:t>Bugetul Asigurărilor Sociale de Stat</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 VENITURI, total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1</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38.735,6</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38.680,6</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19.956,3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38.747,6</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67,0</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100,2</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ind w:firstLineChars="100" w:firstLine="200"/>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xml:space="preserve"> inclusiv: transferuri la alte bugete</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ind w:firstLineChars="100" w:firstLine="200"/>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17.169,9</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17.114,9</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9.388,0</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16.706,7</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-408,2</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97,6</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II.CHELTUIELI, total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2+3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38.735,6</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38.680,6</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18.883,7</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38.747,6</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67,0</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100,2</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III.SOLD BUGETAR</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1-(2+3)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 </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 </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1.072,6</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 </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i/>
                <w:iCs/>
                <w:color w:val="000000"/>
                <w:lang w:val="ro-MD" w:eastAsia="en-US"/>
              </w:rPr>
            </w:pPr>
            <w:r w:rsidRPr="00B0020A">
              <w:rPr>
                <w:rFonts w:ascii="Times New Roman" w:hAnsi="Times New Roman"/>
                <w:i/>
                <w:iCs/>
                <w:color w:val="000000"/>
                <w:lang w:val="ro-MD" w:eastAsia="en-US"/>
              </w:rPr>
              <w:t> </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i/>
                <w:iCs/>
                <w:color w:val="000000"/>
                <w:lang w:val="ro-MD" w:eastAsia="en-US"/>
              </w:rPr>
            </w:pPr>
            <w:r w:rsidRPr="00B0020A">
              <w:rPr>
                <w:rFonts w:ascii="Times New Roman" w:hAnsi="Times New Roman"/>
                <w:i/>
                <w:iCs/>
                <w:color w:val="000000"/>
                <w:lang w:val="ro-MD" w:eastAsia="en-US"/>
              </w:rPr>
              <w:t> </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IV.SURSE DE FINANȚARE, total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4+5+9</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 </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 </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-1.072,6</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 </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i/>
                <w:iCs/>
                <w:color w:val="000000"/>
                <w:lang w:val="ro-MD" w:eastAsia="en-US"/>
              </w:rPr>
            </w:pPr>
            <w:r w:rsidRPr="00B0020A">
              <w:rPr>
                <w:rFonts w:ascii="Times New Roman" w:hAnsi="Times New Roman"/>
                <w:i/>
                <w:iCs/>
                <w:color w:val="000000"/>
                <w:lang w:val="ro-MD" w:eastAsia="en-US"/>
              </w:rPr>
              <w:t> </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i/>
                <w:iCs/>
                <w:color w:val="000000"/>
                <w:lang w:val="ro-MD" w:eastAsia="en-US"/>
              </w:rPr>
            </w:pPr>
            <w:r w:rsidRPr="00B0020A">
              <w:rPr>
                <w:rFonts w:ascii="Times New Roman" w:hAnsi="Times New Roman"/>
                <w:i/>
                <w:iCs/>
                <w:color w:val="000000"/>
                <w:lang w:val="ro-MD" w:eastAsia="en-US"/>
              </w:rPr>
              <w:t> </w:t>
            </w:r>
          </w:p>
        </w:tc>
      </w:tr>
      <w:tr w:rsidR="00B0020A" w:rsidRPr="00B0020A" w:rsidTr="00B0020A">
        <w:trPr>
          <w:trHeight w:val="424"/>
        </w:trPr>
        <w:tc>
          <w:tcPr>
            <w:tcW w:w="810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0020A" w:rsidRPr="00B0020A" w:rsidRDefault="00B0020A" w:rsidP="00B0020A">
            <w:pPr>
              <w:suppressAutoHyphens w:val="0"/>
              <w:spacing w:after="0" w:line="240" w:lineRule="auto"/>
              <w:jc w:val="center"/>
              <w:rPr>
                <w:rFonts w:ascii="Times New Roman" w:hAnsi="Times New Roman"/>
                <w:b/>
                <w:bCs/>
                <w:i/>
                <w:iCs/>
                <w:color w:val="000000"/>
                <w:lang w:val="ro-MD" w:eastAsia="en-US"/>
              </w:rPr>
            </w:pPr>
            <w:r w:rsidRPr="00B0020A">
              <w:rPr>
                <w:rFonts w:ascii="Times New Roman" w:hAnsi="Times New Roman"/>
                <w:b/>
                <w:bCs/>
                <w:i/>
                <w:iCs/>
                <w:color w:val="000000"/>
                <w:lang w:val="ro-MD" w:eastAsia="en-US"/>
              </w:rPr>
              <w:t>Fondurile Asigurării Obligatorii de Asistență Medicală</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 VENITURI, total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1</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14.138,6</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14.154,9</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5.138,7</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14.535,7</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380,8</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102,7</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ind w:firstLineChars="100" w:firstLine="200"/>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xml:space="preserve"> inclusiv: transferuri la alte bugete</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ind w:firstLineChars="100" w:firstLine="200"/>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6.847,6</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6.863,9</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1.381,3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6.847,6</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-16,3</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99,8</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II.CHELTUIELI, total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2+3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14.138,6</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14.138,6</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6.264,3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14.405,4</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266,8</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101,9</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III.SOLD BUGETAR</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1-(2+3)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 </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16,3</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-1.125,6</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130,3</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114,0</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&gt;200</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lastRenderedPageBreak/>
              <w:t>IV.SURSE DE FINANȚARE, total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4+5+9</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 </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-16,3</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1.125,6</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-130,3</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-114,0</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&gt;200</w:t>
            </w:r>
          </w:p>
        </w:tc>
      </w:tr>
      <w:tr w:rsidR="00B0020A" w:rsidRPr="00B0020A" w:rsidTr="00B0020A">
        <w:trPr>
          <w:trHeight w:val="527"/>
        </w:trPr>
        <w:tc>
          <w:tcPr>
            <w:tcW w:w="8106"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0020A" w:rsidRPr="00B0020A" w:rsidRDefault="00B0020A" w:rsidP="00B0020A">
            <w:pPr>
              <w:suppressAutoHyphens w:val="0"/>
              <w:spacing w:after="0" w:line="240" w:lineRule="auto"/>
              <w:jc w:val="center"/>
              <w:rPr>
                <w:rFonts w:ascii="Times New Roman" w:hAnsi="Times New Roman"/>
                <w:b/>
                <w:bCs/>
                <w:i/>
                <w:iCs/>
                <w:color w:val="000000"/>
                <w:lang w:val="ro-MD" w:eastAsia="en-US"/>
              </w:rPr>
            </w:pPr>
            <w:r w:rsidRPr="00B0020A">
              <w:rPr>
                <w:rFonts w:ascii="Times New Roman" w:hAnsi="Times New Roman"/>
                <w:b/>
                <w:bCs/>
                <w:i/>
                <w:iCs/>
                <w:color w:val="000000"/>
                <w:lang w:val="ro-MD" w:eastAsia="en-US"/>
              </w:rPr>
              <w:t>Bugetele Unităților Administrativ Teritoriale</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 VENITURI, total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1</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25.488,4</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26.263,6</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13.828,5</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25.962,1</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-301,5</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98,9</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ind w:firstLineChars="100" w:firstLine="200"/>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xml:space="preserve"> inclusiv: transferuri la alte bugete</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ind w:firstLineChars="100" w:firstLine="200"/>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18.539,1</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19.078,9</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9.977,2</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18.800,7</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-278,2</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98,5</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II.CHELTUIELI, total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2+3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25.688,4</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28.435,8</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13.042,6</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26.162,1</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-2.273,7</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92,0</w:t>
            </w:r>
          </w:p>
        </w:tc>
      </w:tr>
      <w:tr w:rsidR="00B0020A" w:rsidRPr="00B0020A" w:rsidTr="00B0020A">
        <w:trPr>
          <w:trHeight w:val="307"/>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xml:space="preserve"> inclusiv: transferuri la alte bugete</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ind w:firstLineChars="100" w:firstLine="200"/>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15,4</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17,7</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12,4</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19,2</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1,5</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108,5</w:t>
            </w:r>
          </w:p>
        </w:tc>
      </w:tr>
      <w:tr w:rsidR="00B0020A" w:rsidRPr="00B0020A" w:rsidTr="00B0020A">
        <w:trPr>
          <w:trHeight w:val="512"/>
        </w:trPr>
        <w:tc>
          <w:tcPr>
            <w:tcW w:w="2728" w:type="dxa"/>
            <w:tcBorders>
              <w:top w:val="nil"/>
              <w:left w:val="single" w:sz="4" w:space="0" w:color="000000"/>
              <w:bottom w:val="single" w:sz="4" w:space="0" w:color="000000"/>
              <w:right w:val="single" w:sz="4" w:space="0" w:color="000000"/>
            </w:tcBorders>
            <w:shd w:val="clear" w:color="auto" w:fill="auto"/>
            <w:vAlign w:val="bottom"/>
            <w:hideMark/>
          </w:tcPr>
          <w:p w:rsidR="00B0020A" w:rsidRPr="00B0020A" w:rsidRDefault="00B0020A" w:rsidP="00B0020A">
            <w:pPr>
              <w:suppressAutoHyphens w:val="0"/>
              <w:spacing w:after="0" w:line="240" w:lineRule="auto"/>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xml:space="preserve"> inclusiv: dobânzi din împrumuturile recreditate bugetelor de alt nivel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ind w:firstLineChars="100" w:firstLine="200"/>
              <w:rPr>
                <w:rFonts w:ascii="Times New Roman" w:hAnsi="Times New Roman"/>
                <w:i/>
                <w:iCs/>
                <w:color w:val="000000"/>
                <w:sz w:val="20"/>
                <w:szCs w:val="20"/>
                <w:lang w:val="ro-MD" w:eastAsia="en-US"/>
              </w:rPr>
            </w:pPr>
            <w:r w:rsidRPr="00B0020A">
              <w:rPr>
                <w:rFonts w:ascii="Times New Roman" w:hAnsi="Times New Roman"/>
                <w:i/>
                <w:iCs/>
                <w:color w:val="000000"/>
                <w:sz w:val="20"/>
                <w:szCs w:val="20"/>
                <w:lang w:val="ro-MD" w:eastAsia="en-US"/>
              </w:rPr>
              <w:t> </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 </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6,1</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2,5</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 </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-6,1</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i/>
                <w:iCs/>
                <w:color w:val="000000"/>
                <w:lang w:val="ro-MD" w:eastAsia="en-US"/>
              </w:rPr>
            </w:pPr>
            <w:r w:rsidRPr="00B0020A">
              <w:rPr>
                <w:rFonts w:ascii="Times New Roman" w:hAnsi="Times New Roman"/>
                <w:i/>
                <w:iCs/>
                <w:color w:val="000000"/>
                <w:lang w:val="ro-MD" w:eastAsia="en-US"/>
              </w:rPr>
              <w:t> </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III.SOLD BUGETAR</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1-(2+3)</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-200,0</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-2.172,2</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785,9</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-200,0</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1.972,2</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9,2</w:t>
            </w:r>
          </w:p>
        </w:tc>
      </w:tr>
      <w:tr w:rsidR="00B0020A" w:rsidRPr="00B0020A" w:rsidTr="00B0020A">
        <w:trPr>
          <w:trHeight w:val="292"/>
        </w:trPr>
        <w:tc>
          <w:tcPr>
            <w:tcW w:w="2728" w:type="dxa"/>
            <w:tcBorders>
              <w:top w:val="nil"/>
              <w:left w:val="single" w:sz="4" w:space="0" w:color="000000"/>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rPr>
                <w:rFonts w:ascii="Times New Roman" w:hAnsi="Times New Roman"/>
                <w:color w:val="000000"/>
                <w:lang w:val="ro-MD" w:eastAsia="en-US"/>
              </w:rPr>
            </w:pPr>
            <w:r w:rsidRPr="00B0020A">
              <w:rPr>
                <w:rFonts w:ascii="Times New Roman" w:hAnsi="Times New Roman"/>
                <w:color w:val="000000"/>
                <w:lang w:val="ro-MD" w:eastAsia="en-US"/>
              </w:rPr>
              <w:t>IV.SURSE DE FINANȚARE, total</w:t>
            </w:r>
          </w:p>
        </w:tc>
        <w:tc>
          <w:tcPr>
            <w:tcW w:w="616"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center"/>
              <w:rPr>
                <w:rFonts w:ascii="Times New Roman" w:hAnsi="Times New Roman"/>
                <w:color w:val="000000"/>
                <w:lang w:val="ro-MD" w:eastAsia="en-US"/>
              </w:rPr>
            </w:pPr>
            <w:r w:rsidRPr="00B0020A">
              <w:rPr>
                <w:rFonts w:ascii="Times New Roman" w:hAnsi="Times New Roman"/>
                <w:color w:val="000000"/>
                <w:lang w:val="ro-MD" w:eastAsia="en-US"/>
              </w:rPr>
              <w:t>4+5+9</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200,0</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2.172,2</w:t>
            </w:r>
          </w:p>
        </w:tc>
        <w:tc>
          <w:tcPr>
            <w:tcW w:w="764"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-785,9</w:t>
            </w:r>
          </w:p>
        </w:tc>
        <w:tc>
          <w:tcPr>
            <w:tcW w:w="849"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color w:val="000000"/>
                <w:lang w:val="ro-MD" w:eastAsia="en-US"/>
              </w:rPr>
            </w:pPr>
            <w:r w:rsidRPr="00B0020A">
              <w:rPr>
                <w:rFonts w:ascii="Times New Roman" w:hAnsi="Times New Roman"/>
                <w:color w:val="000000"/>
                <w:lang w:val="ro-MD" w:eastAsia="en-US"/>
              </w:rPr>
              <w:t>200,0</w:t>
            </w:r>
          </w:p>
        </w:tc>
        <w:tc>
          <w:tcPr>
            <w:tcW w:w="898"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-1.972,2</w:t>
            </w:r>
          </w:p>
        </w:tc>
        <w:tc>
          <w:tcPr>
            <w:tcW w:w="551" w:type="dxa"/>
            <w:tcBorders>
              <w:top w:val="nil"/>
              <w:left w:val="nil"/>
              <w:bottom w:val="single" w:sz="4" w:space="0" w:color="000000"/>
              <w:right w:val="single" w:sz="4" w:space="0" w:color="000000"/>
            </w:tcBorders>
            <w:shd w:val="clear" w:color="auto" w:fill="auto"/>
            <w:noWrap/>
            <w:vAlign w:val="bottom"/>
            <w:hideMark/>
          </w:tcPr>
          <w:p w:rsidR="00B0020A" w:rsidRPr="00B0020A" w:rsidRDefault="00B0020A" w:rsidP="00B0020A">
            <w:pPr>
              <w:suppressAutoHyphens w:val="0"/>
              <w:spacing w:after="0" w:line="240" w:lineRule="auto"/>
              <w:jc w:val="right"/>
              <w:rPr>
                <w:rFonts w:ascii="Times New Roman" w:hAnsi="Times New Roman"/>
                <w:i/>
                <w:iCs/>
                <w:color w:val="000000"/>
                <w:lang w:val="ro-MD" w:eastAsia="en-US"/>
              </w:rPr>
            </w:pPr>
            <w:r w:rsidRPr="00B0020A">
              <w:rPr>
                <w:rFonts w:ascii="Times New Roman" w:hAnsi="Times New Roman"/>
                <w:i/>
                <w:iCs/>
                <w:color w:val="000000"/>
                <w:lang w:val="ro-MD" w:eastAsia="en-US"/>
              </w:rPr>
              <w:t>9,2</w:t>
            </w:r>
          </w:p>
        </w:tc>
      </w:tr>
    </w:tbl>
    <w:p w:rsidR="00C82F48" w:rsidRDefault="00C82F48">
      <w:pPr>
        <w:pStyle w:val="Default"/>
        <w:spacing w:line="276" w:lineRule="auto"/>
        <w:ind w:firstLine="720"/>
        <w:jc w:val="both"/>
        <w:rPr>
          <w:lang w:val="ro-MD"/>
        </w:rPr>
      </w:pPr>
    </w:p>
    <w:p w:rsidR="00213734" w:rsidRPr="00B0020A" w:rsidRDefault="00213734" w:rsidP="00213734">
      <w:pPr>
        <w:pStyle w:val="Default"/>
        <w:spacing w:line="276" w:lineRule="auto"/>
        <w:jc w:val="both"/>
        <w:rPr>
          <w:lang w:val="ro-MD"/>
        </w:rPr>
      </w:pPr>
      <w:r w:rsidRPr="00F00732">
        <w:rPr>
          <w:rFonts w:ascii="Times New Roman" w:hAnsi="Times New Roman" w:cs="Times New Roman"/>
          <w:b/>
          <w:i/>
          <w:sz w:val="20"/>
          <w:szCs w:val="20"/>
          <w:lang w:val="ro-MD"/>
        </w:rPr>
        <w:t>Notă</w:t>
      </w:r>
      <w:r>
        <w:rPr>
          <w:rFonts w:ascii="Times New Roman" w:hAnsi="Times New Roman" w:cs="Times New Roman"/>
          <w:b/>
          <w:i/>
          <w:sz w:val="20"/>
          <w:szCs w:val="20"/>
          <w:lang w:val="ro-MD"/>
        </w:rPr>
        <w:t xml:space="preserve">: </w:t>
      </w:r>
      <w:r w:rsidRPr="00F00732">
        <w:rPr>
          <w:rFonts w:ascii="Times New Roman" w:hAnsi="Times New Roman" w:cs="Times New Roman"/>
          <w:i/>
          <w:sz w:val="20"/>
          <w:szCs w:val="20"/>
          <w:lang w:val="ro-MD"/>
        </w:rPr>
        <w:t>Indicatorii Modificat/estimat la transferuri de la bugetul de stat către bugetele locale și Fondurile asigurării obligatorii de asistență medicală includ modificări ale acestora efectuate pe parcursul semestrului I în temeiul hotărârilor de Guvern și altor acte normative.</w:t>
      </w:r>
    </w:p>
    <w:p w:rsidR="009A34D4" w:rsidRDefault="009A34D4">
      <w:pPr>
        <w:pStyle w:val="Default"/>
        <w:spacing w:line="276" w:lineRule="auto"/>
        <w:ind w:firstLine="720"/>
        <w:jc w:val="both"/>
        <w:rPr>
          <w:rFonts w:ascii="Times New Roman" w:hAnsi="Times New Roman" w:cs="Times New Roman"/>
          <w:sz w:val="28"/>
          <w:szCs w:val="28"/>
          <w:lang w:val="ro-MD"/>
        </w:rPr>
      </w:pPr>
    </w:p>
    <w:p w:rsidR="00C82F48" w:rsidRPr="00B0020A" w:rsidRDefault="00C82F48">
      <w:pPr>
        <w:pStyle w:val="Default"/>
        <w:spacing w:line="276" w:lineRule="auto"/>
        <w:ind w:firstLine="720"/>
        <w:jc w:val="both"/>
        <w:rPr>
          <w:lang w:val="ro-MD"/>
        </w:rPr>
      </w:pPr>
      <w:r w:rsidRPr="00B0020A">
        <w:rPr>
          <w:rFonts w:ascii="Times New Roman" w:hAnsi="Times New Roman" w:cs="Times New Roman"/>
          <w:sz w:val="28"/>
          <w:szCs w:val="28"/>
          <w:lang w:val="ro-MD"/>
        </w:rPr>
        <w:t>În continuare obiectivele primordiale vor rămâne asigurarea stabilității și disciplinei bugetar-fiscale și controlul strict asupra cheltuielilor. Articole prioritare de cheltuieli vor rămâne plățile sociale, salariile, deservirea datoriei și cheltuielile pentru resursele energetice.</w:t>
      </w:r>
    </w:p>
    <w:p w:rsidR="00C82F48" w:rsidRPr="00B0020A" w:rsidRDefault="00C82F48">
      <w:pPr>
        <w:pStyle w:val="Default"/>
        <w:ind w:firstLine="720"/>
        <w:jc w:val="both"/>
        <w:rPr>
          <w:rFonts w:ascii="Times New Roman" w:hAnsi="Times New Roman" w:cs="Times New Roman"/>
          <w:b/>
          <w:bCs/>
          <w:i/>
          <w:color w:val="323E4F"/>
          <w:sz w:val="28"/>
          <w:szCs w:val="28"/>
          <w:lang w:val="ro-MD"/>
        </w:rPr>
      </w:pPr>
    </w:p>
    <w:p w:rsidR="00C82F48" w:rsidRPr="00B0020A" w:rsidRDefault="00C82F48">
      <w:pPr>
        <w:tabs>
          <w:tab w:val="left" w:pos="567"/>
        </w:tabs>
        <w:spacing w:after="0" w:line="276" w:lineRule="auto"/>
        <w:ind w:firstLine="567"/>
        <w:jc w:val="both"/>
        <w:rPr>
          <w:rFonts w:ascii="Times New Roman" w:hAnsi="Times New Roman"/>
          <w:b/>
          <w:bCs/>
          <w:i/>
          <w:color w:val="323E4F"/>
          <w:sz w:val="28"/>
          <w:szCs w:val="24"/>
          <w:lang w:val="ro-MD"/>
        </w:rPr>
      </w:pPr>
    </w:p>
    <w:p w:rsidR="00C82F48" w:rsidRPr="00B0020A" w:rsidRDefault="00C82F48">
      <w:pPr>
        <w:tabs>
          <w:tab w:val="left" w:pos="567"/>
        </w:tabs>
        <w:spacing w:after="0" w:line="276" w:lineRule="auto"/>
        <w:ind w:firstLine="567"/>
        <w:jc w:val="both"/>
        <w:rPr>
          <w:rFonts w:ascii="Times New Roman" w:hAnsi="Times New Roman"/>
          <w:b/>
          <w:bCs/>
          <w:i/>
          <w:color w:val="323E4F"/>
          <w:sz w:val="28"/>
          <w:szCs w:val="24"/>
          <w:lang w:val="ro-MD"/>
        </w:rPr>
      </w:pPr>
    </w:p>
    <w:p w:rsidR="00C82F48" w:rsidRPr="00B0020A" w:rsidRDefault="00C82F48">
      <w:pPr>
        <w:spacing w:after="0" w:line="240" w:lineRule="auto"/>
        <w:jc w:val="both"/>
        <w:rPr>
          <w:rFonts w:ascii="Times New Roman" w:hAnsi="Times New Roman"/>
          <w:b/>
          <w:bCs/>
          <w:i/>
          <w:color w:val="17365D"/>
          <w:sz w:val="24"/>
          <w:szCs w:val="24"/>
          <w:lang w:val="ro-MD"/>
        </w:rPr>
      </w:pPr>
    </w:p>
    <w:p w:rsidR="00C82F48" w:rsidRPr="00B0020A" w:rsidRDefault="00C82F48">
      <w:pPr>
        <w:spacing w:after="0"/>
        <w:ind w:firstLine="567"/>
        <w:rPr>
          <w:lang w:val="ro-MD"/>
        </w:rPr>
      </w:pPr>
      <w:r w:rsidRPr="00B0020A">
        <w:rPr>
          <w:rFonts w:eastAsia="Calibri" w:cs="Calibri"/>
          <w:b/>
          <w:sz w:val="28"/>
          <w:szCs w:val="28"/>
          <w:lang w:val="ro-MD"/>
        </w:rPr>
        <w:t xml:space="preserve"> </w:t>
      </w:r>
    </w:p>
    <w:p w:rsidR="00C82F48" w:rsidRPr="00B0020A" w:rsidRDefault="00C82F48">
      <w:pPr>
        <w:spacing w:after="0" w:line="276" w:lineRule="auto"/>
        <w:ind w:firstLine="567"/>
        <w:rPr>
          <w:lang w:val="ro-MD"/>
        </w:rPr>
      </w:pPr>
      <w:r w:rsidRPr="00B0020A">
        <w:rPr>
          <w:rFonts w:ascii="Times New Roman" w:hAnsi="Times New Roman"/>
          <w:lang w:val="ro-MD"/>
        </w:rPr>
        <w:t xml:space="preserve">       </w:t>
      </w:r>
      <w:r w:rsidRPr="00B0020A">
        <w:rPr>
          <w:rFonts w:ascii="Times New Roman" w:hAnsi="Times New Roman"/>
          <w:b/>
          <w:sz w:val="28"/>
          <w:szCs w:val="28"/>
          <w:lang w:val="ro-MD"/>
        </w:rPr>
        <w:t>Ministru Finanțelor</w:t>
      </w:r>
      <w:r w:rsidRPr="00B0020A">
        <w:rPr>
          <w:rFonts w:ascii="Times New Roman" w:hAnsi="Times New Roman"/>
          <w:b/>
          <w:sz w:val="28"/>
          <w:szCs w:val="28"/>
          <w:lang w:val="ro-MD"/>
        </w:rPr>
        <w:tab/>
        <w:t xml:space="preserve">                             </w:t>
      </w:r>
      <w:r w:rsidRPr="00B0020A">
        <w:rPr>
          <w:rFonts w:ascii="Times New Roman" w:hAnsi="Times New Roman"/>
          <w:b/>
          <w:sz w:val="28"/>
          <w:szCs w:val="28"/>
          <w:lang w:val="ro-MD" w:eastAsia="ru-RU"/>
        </w:rPr>
        <w:t xml:space="preserve">      Veronica SIREȚEANU</w:t>
      </w:r>
      <w:r w:rsidRPr="00B0020A">
        <w:rPr>
          <w:b/>
          <w:sz w:val="28"/>
          <w:szCs w:val="28"/>
          <w:lang w:val="ro-MD"/>
        </w:rPr>
        <w:tab/>
      </w:r>
      <w:r w:rsidRPr="00B0020A">
        <w:rPr>
          <w:b/>
          <w:sz w:val="28"/>
          <w:szCs w:val="28"/>
          <w:lang w:val="ro-MD"/>
        </w:rPr>
        <w:tab/>
        <w:t xml:space="preserve">         </w:t>
      </w:r>
    </w:p>
    <w:sectPr w:rsidR="00C82F48" w:rsidRPr="00B0020A">
      <w:footerReference w:type="default" r:id="rId17"/>
      <w:footerReference w:type="first" r:id="rId18"/>
      <w:pgSz w:w="11906" w:h="16838"/>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970" w:rsidRDefault="00132970">
      <w:pPr>
        <w:spacing w:after="0" w:line="240" w:lineRule="auto"/>
      </w:pPr>
      <w:r>
        <w:separator/>
      </w:r>
    </w:p>
  </w:endnote>
  <w:endnote w:type="continuationSeparator" w:id="0">
    <w:p w:rsidR="00132970" w:rsidRDefault="0013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altica RR">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48" w:rsidRDefault="00C82F48">
    <w:pPr>
      <w:pStyle w:val="Foote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47533A">
      <w:rPr>
        <w:rFonts w:ascii="Times New Roman" w:hAnsi="Times New Roman"/>
        <w:noProof/>
        <w:sz w:val="24"/>
      </w:rPr>
      <w:t>12</w:t>
    </w:r>
    <w:r>
      <w:rPr>
        <w:rFonts w:ascii="Times New Roman" w:hAnsi="Times New Roman"/>
        <w:sz w:val="24"/>
      </w:rPr>
      <w:fldChar w:fldCharType="end"/>
    </w:r>
  </w:p>
  <w:p w:rsidR="00C82F48" w:rsidRDefault="00C82F48">
    <w:pPr>
      <w:pStyle w:val="Footer"/>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48" w:rsidRDefault="00C82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970" w:rsidRDefault="00132970">
      <w:pPr>
        <w:spacing w:after="0" w:line="240" w:lineRule="auto"/>
      </w:pPr>
      <w:r>
        <w:separator/>
      </w:r>
    </w:p>
  </w:footnote>
  <w:footnote w:type="continuationSeparator" w:id="0">
    <w:p w:rsidR="00132970" w:rsidRDefault="00132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0"/>
    <w:lvl w:ilvl="0">
      <w:start w:val="1"/>
      <w:numFmt w:val="bullet"/>
      <w:lvlText w:val=""/>
      <w:lvlJc w:val="left"/>
      <w:pPr>
        <w:tabs>
          <w:tab w:val="num" w:pos="0"/>
        </w:tabs>
        <w:ind w:left="1200" w:hanging="360"/>
      </w:pPr>
      <w:rPr>
        <w:rFonts w:ascii="Symbol" w:hAnsi="Symbol" w:cs="Symbol" w:hint="default"/>
      </w:rPr>
    </w:lvl>
  </w:abstractNum>
  <w:abstractNum w:abstractNumId="2" w15:restartNumberingAfterBreak="0">
    <w:nsid w:val="00000003"/>
    <w:multiLevelType w:val="singleLevel"/>
    <w:tmpl w:val="00000003"/>
    <w:name w:val="WW8Num16"/>
    <w:lvl w:ilvl="0">
      <w:start w:val="1"/>
      <w:numFmt w:val="bullet"/>
      <w:lvlText w:val=""/>
      <w:lvlJc w:val="left"/>
      <w:pPr>
        <w:tabs>
          <w:tab w:val="num" w:pos="0"/>
        </w:tabs>
        <w:ind w:left="786" w:hanging="360"/>
      </w:pPr>
      <w:rPr>
        <w:rFonts w:ascii="Wingdings" w:hAnsi="Wingdings" w:cs="Wingdings" w:hint="default"/>
      </w:rPr>
    </w:lvl>
  </w:abstractNum>
  <w:abstractNum w:abstractNumId="3" w15:restartNumberingAfterBreak="0">
    <w:nsid w:val="00000004"/>
    <w:multiLevelType w:val="singleLevel"/>
    <w:tmpl w:val="00000004"/>
    <w:name w:val="WW8Num18"/>
    <w:lvl w:ilvl="0">
      <w:start w:val="1"/>
      <w:numFmt w:val="bullet"/>
      <w:lvlText w:val=""/>
      <w:lvlJc w:val="left"/>
      <w:pPr>
        <w:tabs>
          <w:tab w:val="num" w:pos="709"/>
        </w:tabs>
        <w:ind w:left="927" w:hanging="360"/>
      </w:pPr>
      <w:rPr>
        <w:rFonts w:ascii="Symbol" w:hAnsi="Symbol" w:cs="Symbol" w:hint="default"/>
      </w:rPr>
    </w:lvl>
  </w:abstractNum>
  <w:abstractNum w:abstractNumId="4" w15:restartNumberingAfterBreak="0">
    <w:nsid w:val="00000005"/>
    <w:multiLevelType w:val="singleLevel"/>
    <w:tmpl w:val="00000005"/>
    <w:name w:val="WW8Num21"/>
    <w:lvl w:ilvl="0">
      <w:start w:val="1"/>
      <w:numFmt w:val="bullet"/>
      <w:lvlText w:val=""/>
      <w:lvlJc w:val="left"/>
      <w:pPr>
        <w:tabs>
          <w:tab w:val="num" w:pos="709"/>
        </w:tabs>
        <w:ind w:left="1070" w:hanging="360"/>
      </w:pPr>
      <w:rPr>
        <w:rFonts w:ascii="Wingdings" w:hAnsi="Wingdings" w:cs="Wingdings" w:hint="default"/>
        <w:sz w:val="28"/>
        <w:szCs w:val="28"/>
      </w:rPr>
    </w:lvl>
  </w:abstractNum>
  <w:abstractNum w:abstractNumId="5" w15:restartNumberingAfterBreak="0">
    <w:nsid w:val="00000006"/>
    <w:multiLevelType w:val="singleLevel"/>
    <w:tmpl w:val="00000006"/>
    <w:name w:val="WW8Num22"/>
    <w:lvl w:ilvl="0">
      <w:start w:val="1"/>
      <w:numFmt w:val="bullet"/>
      <w:lvlText w:val=""/>
      <w:lvlJc w:val="left"/>
      <w:pPr>
        <w:tabs>
          <w:tab w:val="num" w:pos="0"/>
        </w:tabs>
        <w:ind w:left="1146" w:hanging="360"/>
      </w:pPr>
      <w:rPr>
        <w:rFonts w:ascii="Symbol" w:hAnsi="Symbol" w:cs="Symbol" w:hint="default"/>
      </w:rPr>
    </w:lvl>
  </w:abstractNum>
  <w:abstractNum w:abstractNumId="6" w15:restartNumberingAfterBreak="0">
    <w:nsid w:val="00000007"/>
    <w:multiLevelType w:val="singleLevel"/>
    <w:tmpl w:val="00000007"/>
    <w:name w:val="WW8Num24"/>
    <w:lvl w:ilvl="0">
      <w:start w:val="1"/>
      <w:numFmt w:val="bullet"/>
      <w:lvlText w:val=""/>
      <w:lvlJc w:val="left"/>
      <w:pPr>
        <w:tabs>
          <w:tab w:val="num" w:pos="0"/>
        </w:tabs>
        <w:ind w:left="1287" w:hanging="360"/>
      </w:pPr>
      <w:rPr>
        <w:rFonts w:ascii="Wingdings" w:hAnsi="Wingdings" w:cs="Wingdings" w:hint="default"/>
      </w:rPr>
    </w:lvl>
  </w:abstractNum>
  <w:abstractNum w:abstractNumId="7" w15:restartNumberingAfterBreak="0">
    <w:nsid w:val="00000008"/>
    <w:multiLevelType w:val="singleLevel"/>
    <w:tmpl w:val="00000008"/>
    <w:name w:val="WW8Num27"/>
    <w:lvl w:ilvl="0">
      <w:start w:val="1"/>
      <w:numFmt w:val="bullet"/>
      <w:lvlText w:val=""/>
      <w:lvlJc w:val="left"/>
      <w:pPr>
        <w:tabs>
          <w:tab w:val="num" w:pos="709"/>
        </w:tabs>
        <w:ind w:left="720" w:hanging="360"/>
      </w:pPr>
      <w:rPr>
        <w:rFonts w:ascii="Wingdings" w:hAnsi="Wingdings" w:cs="Wingdings" w:hint="default"/>
      </w:rPr>
    </w:lvl>
  </w:abstractNum>
  <w:abstractNum w:abstractNumId="8" w15:restartNumberingAfterBreak="0">
    <w:nsid w:val="00000009"/>
    <w:multiLevelType w:val="singleLevel"/>
    <w:tmpl w:val="00000009"/>
    <w:name w:val="WW8Num29"/>
    <w:lvl w:ilvl="0">
      <w:start w:val="1"/>
      <w:numFmt w:val="bullet"/>
      <w:lvlText w:val=""/>
      <w:lvlJc w:val="left"/>
      <w:pPr>
        <w:tabs>
          <w:tab w:val="num" w:pos="709"/>
        </w:tabs>
        <w:ind w:left="1287" w:hanging="360"/>
      </w:pPr>
      <w:rPr>
        <w:rFonts w:ascii="Wingdings" w:hAnsi="Wingdings" w:cs="Wingdings" w:hint="default"/>
      </w:rPr>
    </w:lvl>
  </w:abstractNum>
  <w:abstractNum w:abstractNumId="9" w15:restartNumberingAfterBreak="0">
    <w:nsid w:val="0000000A"/>
    <w:multiLevelType w:val="singleLevel"/>
    <w:tmpl w:val="0000000A"/>
    <w:name w:val="WW8Num34"/>
    <w:lvl w:ilvl="0">
      <w:start w:val="1"/>
      <w:numFmt w:val="bullet"/>
      <w:lvlText w:val=""/>
      <w:lvlJc w:val="left"/>
      <w:pPr>
        <w:tabs>
          <w:tab w:val="num" w:pos="0"/>
        </w:tabs>
        <w:ind w:left="1287" w:hanging="360"/>
      </w:pPr>
      <w:rPr>
        <w:rFonts w:ascii="Wingdings" w:hAnsi="Wingdings" w:cs="Wingdings" w:hint="default"/>
      </w:rPr>
    </w:lvl>
  </w:abstractNum>
  <w:abstractNum w:abstractNumId="10" w15:restartNumberingAfterBreak="0">
    <w:nsid w:val="0000000B"/>
    <w:multiLevelType w:val="singleLevel"/>
    <w:tmpl w:val="0000000B"/>
    <w:name w:val="WW8Num38"/>
    <w:lvl w:ilvl="0">
      <w:start w:val="1"/>
      <w:numFmt w:val="bullet"/>
      <w:lvlText w:val=""/>
      <w:lvlJc w:val="left"/>
      <w:pPr>
        <w:tabs>
          <w:tab w:val="num" w:pos="0"/>
        </w:tabs>
        <w:ind w:left="1287" w:hanging="360"/>
      </w:pPr>
      <w:rPr>
        <w:rFonts w:ascii="Wingdings" w:hAnsi="Wingdings" w:cs="Wingdings" w:hint="default"/>
      </w:rPr>
    </w:lvl>
  </w:abstractNum>
  <w:abstractNum w:abstractNumId="11" w15:restartNumberingAfterBreak="0">
    <w:nsid w:val="0000000C"/>
    <w:multiLevelType w:val="singleLevel"/>
    <w:tmpl w:val="0000000C"/>
    <w:name w:val="WW8Num40"/>
    <w:lvl w:ilvl="0">
      <w:numFmt w:val="bullet"/>
      <w:lvlText w:val="-"/>
      <w:lvlJc w:val="left"/>
      <w:pPr>
        <w:tabs>
          <w:tab w:val="num" w:pos="0"/>
        </w:tabs>
        <w:ind w:left="786" w:hanging="360"/>
      </w:pPr>
      <w:rPr>
        <w:rFonts w:ascii="Times New Roman" w:hAnsi="Times New Roman" w:cs="Times New Roman" w:hint="default"/>
        <w:color w:val="00000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48"/>
    <w:rsid w:val="00032AFE"/>
    <w:rsid w:val="000B047F"/>
    <w:rsid w:val="00132970"/>
    <w:rsid w:val="0018491C"/>
    <w:rsid w:val="001F2274"/>
    <w:rsid w:val="00213734"/>
    <w:rsid w:val="00447B48"/>
    <w:rsid w:val="0047533A"/>
    <w:rsid w:val="005828A4"/>
    <w:rsid w:val="007B624C"/>
    <w:rsid w:val="008569B5"/>
    <w:rsid w:val="008D7D89"/>
    <w:rsid w:val="00914528"/>
    <w:rsid w:val="00960A13"/>
    <w:rsid w:val="00993440"/>
    <w:rsid w:val="009A34D4"/>
    <w:rsid w:val="009B2A33"/>
    <w:rsid w:val="00AC5D0B"/>
    <w:rsid w:val="00AC67EE"/>
    <w:rsid w:val="00AC74D0"/>
    <w:rsid w:val="00AF041C"/>
    <w:rsid w:val="00B0020A"/>
    <w:rsid w:val="00B27684"/>
    <w:rsid w:val="00B474F8"/>
    <w:rsid w:val="00BB5039"/>
    <w:rsid w:val="00C82F48"/>
    <w:rsid w:val="00F31090"/>
    <w:rsid w:val="00F85823"/>
    <w:rsid w:val="00F918EE"/>
    <w:rsid w:val="00F97635"/>
    <w:rsid w:val="00FA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907598E-88E8-486F-B546-006CC4E9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6" w:lineRule="auto"/>
    </w:pPr>
    <w:rPr>
      <w:rFonts w:ascii="Calibri" w:hAnsi="Calibri"/>
      <w:sz w:val="22"/>
      <w:szCs w:val="22"/>
      <w:lang w:val="ro-RO" w:eastAsia="zh-CN"/>
    </w:rPr>
  </w:style>
  <w:style w:type="paragraph" w:styleId="Heading1">
    <w:name w:val="heading 1"/>
    <w:basedOn w:val="Normal"/>
    <w:next w:val="Normal"/>
    <w:qFormat/>
    <w:pPr>
      <w:keepNext/>
      <w:keepLines/>
      <w:numPr>
        <w:numId w:val="1"/>
      </w:numPr>
      <w:spacing w:before="480" w:after="0"/>
      <w:outlineLvl w:val="0"/>
    </w:pPr>
    <w:rPr>
      <w:rFonts w:ascii="Cambria" w:hAnsi="Cambria"/>
      <w:b/>
      <w:bCs/>
      <w:color w:val="365F91"/>
      <w:sz w:val="28"/>
      <w:szCs w:val="28"/>
    </w:rPr>
  </w:style>
  <w:style w:type="paragraph" w:styleId="Heading2">
    <w:name w:val="heading 2"/>
    <w:basedOn w:val="Normal"/>
    <w:next w:val="Normal"/>
    <w:qFormat/>
    <w:pPr>
      <w:keepNext/>
      <w:keepLines/>
      <w:numPr>
        <w:ilvl w:val="1"/>
        <w:numId w:val="1"/>
      </w:numPr>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0">
    <w:name w:val="WW8Num4z0"/>
    <w:rPr>
      <w:rFonts w:hint="default"/>
    </w:rPr>
  </w:style>
  <w:style w:type="character" w:customStyle="1" w:styleId="WW8Num5z0">
    <w:name w:val="WW8Num5z0"/>
    <w:rPr>
      <w:rFonts w:ascii="Times New Roman" w:eastAsia="Calibri"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hint="default"/>
      <w:sz w:val="28"/>
    </w:rPr>
  </w:style>
  <w:style w:type="character" w:customStyle="1" w:styleId="WW8Num8z0">
    <w:name w:val="WW8Num8z0"/>
    <w:rPr>
      <w:rFonts w:ascii="Symbol" w:hAnsi="Symbol" w:cs="Symbol" w:hint="default"/>
      <w:sz w:val="16"/>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eastAsia="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sz w:val="28"/>
      <w:szCs w:val="28"/>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Calibri" w:eastAsia="Times New Roman" w:hAnsi="Calibri" w:cs="Calibri"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ascii="Times New Roman" w:eastAsia="Times New Roman" w:hAnsi="Times New Roman"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rFonts w:ascii="Wingdings" w:hAnsi="Wingdings" w:cs="Wingdings" w:hint="default"/>
    </w:rPr>
  </w:style>
  <w:style w:type="character" w:customStyle="1" w:styleId="WW8Num30z1">
    <w:name w:val="WW8Num30z1"/>
    <w:rPr>
      <w:rFonts w:ascii="Courier New" w:hAnsi="Courier New" w:cs="Courier New" w:hint="default"/>
    </w:rPr>
  </w:style>
  <w:style w:type="character" w:customStyle="1" w:styleId="WW8Num30z3">
    <w:name w:val="WW8Num30z3"/>
    <w:rPr>
      <w:rFonts w:ascii="Symbol" w:hAnsi="Symbol" w:cs="Symbol" w:hint="default"/>
    </w:rPr>
  </w:style>
  <w:style w:type="character" w:customStyle="1" w:styleId="WW8Num32z0">
    <w:name w:val="WW8Num32z0"/>
    <w:rPr>
      <w:rFonts w:hint="default"/>
    </w:rPr>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b w:val="0"/>
      <w:i w:val="0"/>
      <w:sz w:val="16"/>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cs="Times New Roman"/>
    </w:rPr>
  </w:style>
  <w:style w:type="character" w:customStyle="1" w:styleId="WW8Num36z1">
    <w:name w:val="WW8Num36z1"/>
    <w:rPr>
      <w:rFonts w:cs="Times New Roman" w:hint="default"/>
    </w:rPr>
  </w:style>
  <w:style w:type="character" w:customStyle="1" w:styleId="WW8Num37z0">
    <w:name w:val="WW8Num37z0"/>
    <w:rPr>
      <w:rFonts w:ascii="Wingdings" w:hAnsi="Wingdings" w:cs="Wingdings" w:hint="default"/>
    </w:rPr>
  </w:style>
  <w:style w:type="character" w:customStyle="1" w:styleId="WW8Num37z1">
    <w:name w:val="WW8Num37z1"/>
    <w:rPr>
      <w:rFonts w:ascii="Courier New" w:hAnsi="Courier New" w:cs="Courier New" w:hint="default"/>
    </w:rPr>
  </w:style>
  <w:style w:type="character" w:customStyle="1" w:styleId="WW8Num37z3">
    <w:name w:val="WW8Num37z3"/>
    <w:rPr>
      <w:rFonts w:ascii="Symbol" w:hAnsi="Symbol" w:cs="Symbol" w:hint="default"/>
    </w:rPr>
  </w:style>
  <w:style w:type="character" w:customStyle="1" w:styleId="WW8Num38z0">
    <w:name w:val="WW8Num38z0"/>
    <w:rPr>
      <w:rFonts w:ascii="Wingdings" w:hAnsi="Wingdings" w:cs="Wingdings" w:hint="default"/>
    </w:rPr>
  </w:style>
  <w:style w:type="character" w:customStyle="1" w:styleId="WW8Num38z1">
    <w:name w:val="WW8Num38z1"/>
    <w:rPr>
      <w:rFonts w:ascii="Courier New" w:hAnsi="Courier New" w:cs="Courier New" w:hint="default"/>
    </w:rPr>
  </w:style>
  <w:style w:type="character" w:customStyle="1" w:styleId="WW8Num38z3">
    <w:name w:val="WW8Num38z3"/>
    <w:rPr>
      <w:rFonts w:ascii="Symbol" w:hAnsi="Symbol" w:cs="Symbol" w:hint="default"/>
    </w:rPr>
  </w:style>
  <w:style w:type="character" w:customStyle="1" w:styleId="WW8Num39z0">
    <w:name w:val="WW8Num39z0"/>
    <w:rPr>
      <w:rFonts w:ascii="Wingdings" w:hAnsi="Wingdings" w:cs="Wingdings" w:hint="default"/>
    </w:rPr>
  </w:style>
  <w:style w:type="character" w:customStyle="1" w:styleId="WW8Num40z0">
    <w:name w:val="WW8Num40z0"/>
    <w:rPr>
      <w:rFonts w:ascii="Times New Roman" w:eastAsia="Calibri" w:hAnsi="Times New Roman" w:cs="Times New Roman" w:hint="default"/>
      <w:color w:val="000000"/>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1">
    <w:name w:val="Основной шрифт абзаца1"/>
  </w:style>
  <w:style w:type="character" w:customStyle="1" w:styleId="a">
    <w:name w:val="Текст выноски Знак"/>
    <w:rPr>
      <w:rFonts w:ascii="Tahoma" w:eastAsia="Times New Roman" w:hAnsi="Tahoma" w:cs="Tahoma"/>
      <w:sz w:val="16"/>
      <w:szCs w:val="16"/>
    </w:rPr>
  </w:style>
  <w:style w:type="character" w:customStyle="1" w:styleId="FontStyle28">
    <w:name w:val="Font Style28"/>
    <w:rPr>
      <w:rFonts w:ascii="Times New Roman" w:hAnsi="Times New Roman" w:cs="Times New Roman"/>
      <w:b/>
      <w:bCs/>
      <w:sz w:val="20"/>
      <w:szCs w:val="20"/>
    </w:rPr>
  </w:style>
  <w:style w:type="character" w:customStyle="1" w:styleId="apple-converted-space">
    <w:name w:val="apple-converted-space"/>
    <w:basedOn w:val="1"/>
  </w:style>
  <w:style w:type="character" w:styleId="Strong">
    <w:name w:val="Strong"/>
    <w:qFormat/>
    <w:rPr>
      <w:b/>
      <w:bCs/>
    </w:rPr>
  </w:style>
  <w:style w:type="character" w:customStyle="1" w:styleId="10">
    <w:name w:val="Заголовок 1 Знак"/>
    <w:rPr>
      <w:rFonts w:ascii="Cambria" w:eastAsia="Times New Roman" w:hAnsi="Cambria" w:cs="Times New Roman"/>
      <w:b/>
      <w:bCs/>
      <w:color w:val="365F91"/>
      <w:sz w:val="28"/>
      <w:szCs w:val="28"/>
    </w:rPr>
  </w:style>
  <w:style w:type="character" w:styleId="Hyperlink">
    <w:name w:val="Hyperlink"/>
    <w:rPr>
      <w:color w:val="0000FF"/>
      <w:u w:val="single"/>
    </w:rPr>
  </w:style>
  <w:style w:type="character" w:customStyle="1" w:styleId="a0">
    <w:name w:val="Верхний колонтитул Знак"/>
    <w:rPr>
      <w:rFonts w:ascii="Calibri" w:eastAsia="Times New Roman" w:hAnsi="Calibri" w:cs="Times New Roman"/>
    </w:rPr>
  </w:style>
  <w:style w:type="character" w:customStyle="1" w:styleId="a1">
    <w:name w:val="Нижний колонтитул Знак"/>
    <w:rPr>
      <w:rFonts w:ascii="Calibri" w:eastAsia="Times New Roman" w:hAnsi="Calibri" w:cs="Times New Roman"/>
    </w:rPr>
  </w:style>
  <w:style w:type="character" w:customStyle="1" w:styleId="2">
    <w:name w:val="Заголовок 2 Знак"/>
    <w:rPr>
      <w:rFonts w:ascii="Cambria" w:eastAsia="Times New Roman" w:hAnsi="Cambria" w:cs="Times New Roman"/>
      <w:b/>
      <w:bCs/>
      <w:color w:val="4F81BD"/>
      <w:sz w:val="26"/>
      <w:szCs w:val="26"/>
    </w:rPr>
  </w:style>
  <w:style w:type="character" w:customStyle="1" w:styleId="a2">
    <w:name w:val="Заголовок Знак"/>
    <w:rPr>
      <w:rFonts w:ascii="Cambria" w:eastAsia="Times New Roman" w:hAnsi="Cambria" w:cs="Times New Roman"/>
      <w:color w:val="17365D"/>
      <w:spacing w:val="5"/>
      <w:kern w:val="2"/>
      <w:sz w:val="52"/>
      <w:szCs w:val="52"/>
    </w:rPr>
  </w:style>
  <w:style w:type="character" w:styleId="Emphasis">
    <w:name w:val="Emphasis"/>
    <w:qFormat/>
    <w:rPr>
      <w:i/>
      <w:iCs/>
    </w:rPr>
  </w:style>
  <w:style w:type="character" w:customStyle="1" w:styleId="11">
    <w:name w:val="Знак примечания1"/>
    <w:rPr>
      <w:sz w:val="16"/>
      <w:szCs w:val="16"/>
    </w:rPr>
  </w:style>
  <w:style w:type="character" w:customStyle="1" w:styleId="a3">
    <w:name w:val="Текст примечания Знак"/>
    <w:rPr>
      <w:rFonts w:ascii="Calibri" w:eastAsia="Times New Roman" w:hAnsi="Calibri" w:cs="Times New Roman"/>
      <w:sz w:val="20"/>
      <w:szCs w:val="20"/>
    </w:rPr>
  </w:style>
  <w:style w:type="character" w:customStyle="1" w:styleId="a4">
    <w:name w:val="Тема примечания Знак"/>
    <w:rPr>
      <w:rFonts w:ascii="Calibri" w:eastAsia="Times New Roman" w:hAnsi="Calibri" w:cs="Times New Roman"/>
      <w:b/>
      <w:bCs/>
      <w:sz w:val="20"/>
      <w:szCs w:val="20"/>
    </w:rPr>
  </w:style>
  <w:style w:type="character" w:customStyle="1" w:styleId="a5">
    <w:name w:val="Текст сноски Знак"/>
    <w:rPr>
      <w:rFonts w:ascii="Calibri" w:eastAsia="Times New Roman" w:hAnsi="Calibri" w:cs="Times New Roman"/>
      <w:sz w:val="20"/>
      <w:szCs w:val="20"/>
    </w:rPr>
  </w:style>
  <w:style w:type="character" w:customStyle="1" w:styleId="FootnoteCharacters">
    <w:name w:val="Footnote Characters"/>
    <w:rPr>
      <w:vertAlign w:val="superscript"/>
    </w:rPr>
  </w:style>
  <w:style w:type="character" w:customStyle="1" w:styleId="a6">
    <w:name w:val="Основной текст Знак"/>
    <w:rPr>
      <w:rFonts w:ascii="Times New Roman" w:eastAsia="Times New Roman" w:hAnsi="Times New Roman" w:cs="Times New Roman"/>
      <w:sz w:val="24"/>
      <w:lang w:val="en-US"/>
    </w:rPr>
  </w:style>
  <w:style w:type="character" w:customStyle="1" w:styleId="20">
    <w:name w:val="Основной текст 2 Знак"/>
    <w:rPr>
      <w:rFonts w:eastAsia="Times New Roman"/>
      <w:sz w:val="22"/>
      <w:szCs w:val="22"/>
      <w:lang w:val="ro-RO"/>
    </w:rPr>
  </w:style>
  <w:style w:type="character" w:customStyle="1" w:styleId="21">
    <w:name w:val="Основной текст 2 Знак1"/>
    <w:rPr>
      <w:rFonts w:ascii="Times New Roman" w:eastAsia="Times New Roman" w:hAnsi="Times New Roman" w:cs="Times New Roman"/>
      <w:sz w:val="24"/>
      <w:lang w:val="en-US"/>
    </w:rPr>
  </w:style>
  <w:style w:type="character" w:customStyle="1" w:styleId="a7">
    <w:name w:val="Основной текст с отступом Знак"/>
    <w:rPr>
      <w:rFonts w:ascii="Times New Roman" w:eastAsia="Times New Roman" w:hAnsi="Times New Roman" w:cs="Times New Roman"/>
      <w:sz w:val="24"/>
      <w:szCs w:val="24"/>
      <w:lang w:val="ru-RU"/>
    </w:rPr>
  </w:style>
  <w:style w:type="character" w:customStyle="1" w:styleId="a8">
    <w:name w:val="Абзац списка Знак"/>
    <w:rPr>
      <w:rFonts w:eastAsia="Times New Roman"/>
      <w:sz w:val="22"/>
      <w:szCs w:val="22"/>
      <w:lang w:val="ro-RO"/>
    </w:rPr>
  </w:style>
  <w:style w:type="character" w:customStyle="1" w:styleId="IndexLink">
    <w:name w:val="Index Link"/>
  </w:style>
  <w:style w:type="character" w:styleId="LineNumber">
    <w:name w:val="line number"/>
  </w:style>
  <w:style w:type="paragraph" w:customStyle="1" w:styleId="Heading">
    <w:name w:val="Heading"/>
    <w:basedOn w:val="Normal"/>
    <w:next w:val="Normal"/>
    <w:pPr>
      <w:pBdr>
        <w:top w:val="none" w:sz="0" w:space="0" w:color="000000"/>
        <w:left w:val="none" w:sz="0" w:space="0" w:color="000000"/>
        <w:bottom w:val="single" w:sz="8" w:space="4" w:color="4F81BD"/>
        <w:right w:val="none" w:sz="0" w:space="0" w:color="000000"/>
      </w:pBdr>
      <w:spacing w:after="300" w:line="240" w:lineRule="auto"/>
      <w:contextualSpacing/>
    </w:pPr>
    <w:rPr>
      <w:rFonts w:ascii="Cambria" w:hAnsi="Cambria"/>
      <w:color w:val="17365D"/>
      <w:spacing w:val="5"/>
      <w:kern w:val="2"/>
      <w:sz w:val="52"/>
      <w:szCs w:val="52"/>
    </w:rPr>
  </w:style>
  <w:style w:type="paragraph" w:styleId="BodyText">
    <w:name w:val="Body Text"/>
    <w:basedOn w:val="Normal"/>
    <w:pPr>
      <w:spacing w:after="0" w:line="240" w:lineRule="auto"/>
      <w:ind w:right="144"/>
      <w:jc w:val="both"/>
    </w:pPr>
    <w:rPr>
      <w:rFonts w:ascii="Times New Roman" w:hAnsi="Times New Roman"/>
      <w:sz w:val="24"/>
      <w:szCs w:val="20"/>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12">
    <w:name w:val="Абзац списка1"/>
    <w:basedOn w:val="Normal"/>
    <w:pPr>
      <w:ind w:left="720"/>
    </w:pPr>
  </w:style>
  <w:style w:type="paragraph" w:customStyle="1" w:styleId="13">
    <w:name w:val="Текст выноски1"/>
    <w:basedOn w:val="Normal"/>
    <w:pPr>
      <w:spacing w:after="0" w:line="240" w:lineRule="auto"/>
    </w:pPr>
    <w:rPr>
      <w:rFonts w:ascii="Tahoma" w:hAnsi="Tahoma" w:cs="Tahoma"/>
      <w:sz w:val="16"/>
      <w:szCs w:val="16"/>
    </w:rPr>
  </w:style>
  <w:style w:type="paragraph" w:customStyle="1" w:styleId="Style2">
    <w:name w:val="Style2"/>
    <w:basedOn w:val="Normal"/>
    <w:pPr>
      <w:widowControl w:val="0"/>
      <w:autoSpaceDE w:val="0"/>
      <w:spacing w:after="0" w:line="283" w:lineRule="exact"/>
      <w:ind w:firstLine="1042"/>
    </w:pPr>
    <w:rPr>
      <w:rFonts w:ascii="Times New Roman" w:hAnsi="Times New Roman"/>
      <w:sz w:val="24"/>
      <w:szCs w:val="24"/>
    </w:rPr>
  </w:style>
  <w:style w:type="paragraph" w:customStyle="1" w:styleId="14">
    <w:name w:val="Название объекта1"/>
    <w:basedOn w:val="Normal"/>
    <w:next w:val="Normal"/>
    <w:pPr>
      <w:spacing w:before="120" w:after="120" w:line="360" w:lineRule="auto"/>
      <w:ind w:firstLine="709"/>
      <w:jc w:val="both"/>
    </w:pPr>
    <w:rPr>
      <w:rFonts w:ascii="Baltica RR" w:hAnsi="Baltica RR" w:cs="Baltica RR"/>
      <w:b/>
      <w:bCs/>
      <w:sz w:val="20"/>
      <w:szCs w:val="20"/>
      <w:lang w:val="ru-RU"/>
    </w:rPr>
  </w:style>
  <w:style w:type="paragraph" w:customStyle="1" w:styleId="15">
    <w:name w:val="Заголовок оглавления1"/>
    <w:basedOn w:val="Heading1"/>
    <w:next w:val="Normal"/>
    <w:pPr>
      <w:numPr>
        <w:numId w:val="0"/>
      </w:numPr>
      <w:spacing w:line="276" w:lineRule="auto"/>
      <w:outlineLvl w:val="9"/>
    </w:pPr>
    <w:rPr>
      <w:lang w:val="en-US"/>
    </w:rPr>
  </w:style>
  <w:style w:type="paragraph" w:styleId="TOC1">
    <w:name w:val="toc 1"/>
    <w:basedOn w:val="Normal"/>
    <w:next w:val="Normal"/>
    <w:pPr>
      <w:tabs>
        <w:tab w:val="right" w:leader="dot" w:pos="9497"/>
      </w:tabs>
      <w:spacing w:before="240" w:after="120"/>
    </w:pPr>
    <w:rPr>
      <w:rFonts w:cs="Calibri"/>
      <w:b/>
      <w:bCs/>
      <w:sz w:val="24"/>
      <w:szCs w:val="24"/>
    </w:rPr>
  </w:style>
  <w:style w:type="paragraph" w:customStyle="1" w:styleId="HeaderandFooter">
    <w:name w:val="Header and Footer"/>
    <w:basedOn w:val="Normal"/>
    <w:pPr>
      <w:suppressLineNumbers/>
      <w:tabs>
        <w:tab w:val="center" w:pos="4986"/>
        <w:tab w:val="right" w:pos="9972"/>
      </w:tabs>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TOC2">
    <w:name w:val="toc 2"/>
    <w:basedOn w:val="Normal"/>
    <w:next w:val="Normal"/>
    <w:pPr>
      <w:spacing w:before="120" w:after="0"/>
      <w:ind w:left="220"/>
    </w:pPr>
    <w:rPr>
      <w:rFonts w:cs="Calibri"/>
      <w:i/>
      <w:iCs/>
      <w:sz w:val="20"/>
      <w:szCs w:val="20"/>
    </w:rPr>
  </w:style>
  <w:style w:type="paragraph" w:styleId="TOC3">
    <w:name w:val="toc 3"/>
    <w:basedOn w:val="Normal"/>
    <w:next w:val="Normal"/>
    <w:pPr>
      <w:spacing w:after="0"/>
      <w:ind w:left="440"/>
    </w:pPr>
    <w:rPr>
      <w:rFonts w:cs="Calibri"/>
      <w:sz w:val="20"/>
      <w:szCs w:val="20"/>
    </w:rPr>
  </w:style>
  <w:style w:type="paragraph" w:styleId="TOC4">
    <w:name w:val="toc 4"/>
    <w:basedOn w:val="Normal"/>
    <w:next w:val="Normal"/>
    <w:pPr>
      <w:spacing w:after="0"/>
      <w:ind w:left="660"/>
    </w:pPr>
    <w:rPr>
      <w:rFonts w:cs="Calibri"/>
      <w:sz w:val="20"/>
      <w:szCs w:val="20"/>
    </w:rPr>
  </w:style>
  <w:style w:type="paragraph" w:styleId="TOC5">
    <w:name w:val="toc 5"/>
    <w:basedOn w:val="Normal"/>
    <w:next w:val="Normal"/>
    <w:pPr>
      <w:spacing w:after="0"/>
      <w:ind w:left="880"/>
    </w:pPr>
    <w:rPr>
      <w:rFonts w:cs="Calibri"/>
      <w:sz w:val="20"/>
      <w:szCs w:val="20"/>
    </w:rPr>
  </w:style>
  <w:style w:type="paragraph" w:styleId="TOC6">
    <w:name w:val="toc 6"/>
    <w:basedOn w:val="Normal"/>
    <w:next w:val="Normal"/>
    <w:pPr>
      <w:spacing w:after="0"/>
      <w:ind w:left="1100"/>
    </w:pPr>
    <w:rPr>
      <w:rFonts w:cs="Calibri"/>
      <w:sz w:val="20"/>
      <w:szCs w:val="20"/>
    </w:rPr>
  </w:style>
  <w:style w:type="paragraph" w:styleId="TOC7">
    <w:name w:val="toc 7"/>
    <w:basedOn w:val="Normal"/>
    <w:next w:val="Normal"/>
    <w:pPr>
      <w:spacing w:after="0"/>
      <w:ind w:left="1320"/>
    </w:pPr>
    <w:rPr>
      <w:rFonts w:cs="Calibri"/>
      <w:sz w:val="20"/>
      <w:szCs w:val="20"/>
    </w:rPr>
  </w:style>
  <w:style w:type="paragraph" w:styleId="TOC8">
    <w:name w:val="toc 8"/>
    <w:basedOn w:val="Normal"/>
    <w:next w:val="Normal"/>
    <w:pPr>
      <w:spacing w:after="0"/>
      <w:ind w:left="1540"/>
    </w:pPr>
    <w:rPr>
      <w:rFonts w:cs="Calibri"/>
      <w:sz w:val="20"/>
      <w:szCs w:val="20"/>
    </w:rPr>
  </w:style>
  <w:style w:type="paragraph" w:styleId="TOC9">
    <w:name w:val="toc 9"/>
    <w:basedOn w:val="Normal"/>
    <w:next w:val="Normal"/>
    <w:pPr>
      <w:spacing w:after="0"/>
      <w:ind w:left="1760"/>
    </w:pPr>
    <w:rPr>
      <w:rFonts w:cs="Calibri"/>
      <w:sz w:val="20"/>
      <w:szCs w:val="20"/>
    </w:rPr>
  </w:style>
  <w:style w:type="paragraph" w:customStyle="1" w:styleId="16">
    <w:name w:val="Текст примечания1"/>
    <w:basedOn w:val="Normal"/>
    <w:pPr>
      <w:spacing w:line="240" w:lineRule="auto"/>
    </w:pPr>
    <w:rPr>
      <w:sz w:val="20"/>
      <w:szCs w:val="20"/>
    </w:rPr>
  </w:style>
  <w:style w:type="paragraph" w:customStyle="1" w:styleId="17">
    <w:name w:val="Тема примечания1"/>
    <w:basedOn w:val="16"/>
    <w:next w:val="16"/>
    <w:rPr>
      <w:b/>
      <w:bCs/>
    </w:rPr>
  </w:style>
  <w:style w:type="paragraph" w:customStyle="1" w:styleId="18">
    <w:name w:val="Рецензия1"/>
    <w:pPr>
      <w:suppressAutoHyphens/>
    </w:pPr>
    <w:rPr>
      <w:rFonts w:ascii="Calibri" w:hAnsi="Calibri"/>
      <w:sz w:val="22"/>
      <w:szCs w:val="22"/>
      <w:lang w:val="ro-RO" w:eastAsia="zh-CN"/>
    </w:rPr>
  </w:style>
  <w:style w:type="paragraph" w:styleId="FootnoteText">
    <w:name w:val="footnote text"/>
    <w:basedOn w:val="Normal"/>
    <w:pPr>
      <w:spacing w:after="0" w:line="240" w:lineRule="auto"/>
    </w:pPr>
    <w:rPr>
      <w:sz w:val="20"/>
      <w:szCs w:val="20"/>
    </w:rPr>
  </w:style>
  <w:style w:type="paragraph" w:customStyle="1" w:styleId="210">
    <w:name w:val="Основной текст 21"/>
    <w:basedOn w:val="Normal"/>
    <w:pPr>
      <w:spacing w:after="0" w:line="240" w:lineRule="auto"/>
      <w:jc w:val="both"/>
    </w:pPr>
    <w:rPr>
      <w:rFonts w:ascii="Times New Roman" w:hAnsi="Times New Roman"/>
      <w:sz w:val="24"/>
      <w:szCs w:val="20"/>
      <w:lang w:val="en-US"/>
    </w:rPr>
  </w:style>
  <w:style w:type="paragraph" w:styleId="BodyTextIndent">
    <w:name w:val="Body Text Indent"/>
    <w:basedOn w:val="Normal"/>
    <w:pPr>
      <w:spacing w:after="120" w:line="240" w:lineRule="auto"/>
      <w:ind w:left="283"/>
    </w:pPr>
    <w:rPr>
      <w:rFonts w:ascii="Times New Roman" w:hAnsi="Times New Roman"/>
      <w:sz w:val="24"/>
      <w:szCs w:val="24"/>
      <w:lang w:val="ru-RU"/>
    </w:rPr>
  </w:style>
  <w:style w:type="paragraph" w:customStyle="1" w:styleId="19">
    <w:name w:val="Обычный (веб)1"/>
    <w:basedOn w:val="Normal"/>
    <w:pPr>
      <w:spacing w:before="280" w:after="280" w:line="240" w:lineRule="auto"/>
    </w:pPr>
    <w:rPr>
      <w:rFonts w:ascii="Times New Roman" w:hAnsi="Times New Roman"/>
      <w:sz w:val="24"/>
      <w:szCs w:val="24"/>
      <w:lang w:val="en-US"/>
    </w:rPr>
  </w:style>
  <w:style w:type="paragraph" w:customStyle="1" w:styleId="Default">
    <w:name w:val="Default"/>
    <w:pPr>
      <w:suppressAutoHyphens/>
      <w:autoSpaceDE w:val="0"/>
    </w:pPr>
    <w:rPr>
      <w:rFonts w:ascii="Calibri" w:eastAsia="Calibri" w:hAnsi="Calibri" w:cs="Calibri"/>
      <w:color w:val="000000"/>
      <w:sz w:val="24"/>
      <w:szCs w:val="24"/>
      <w:lang w:eastAsia="zh-CN"/>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960A1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60A13"/>
    <w:rPr>
      <w:rFonts w:ascii="Segoe UI" w:hAnsi="Segoe UI" w:cs="Segoe UI"/>
      <w:sz w:val="18"/>
      <w:szCs w:val="18"/>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55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0868D-A328-46AF-BBFA-432905090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8150</Words>
  <Characters>46459</Characters>
  <Application>Microsoft Office Word</Application>
  <DocSecurity>0</DocSecurity>
  <Lines>387</Lines>
  <Paragraphs>108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54501</CharactersWithSpaces>
  <SharedDoc>false</SharedDoc>
  <HLinks>
    <vt:vector size="36" baseType="variant">
      <vt:variant>
        <vt:i4>7536710</vt:i4>
      </vt:variant>
      <vt:variant>
        <vt:i4>17</vt:i4>
      </vt:variant>
      <vt:variant>
        <vt:i4>0</vt:i4>
      </vt:variant>
      <vt:variant>
        <vt:i4>5</vt:i4>
      </vt:variant>
      <vt:variant>
        <vt:lpwstr/>
      </vt:variant>
      <vt:variant>
        <vt:lpwstr>__RefHeading___Toc144793161</vt:lpwstr>
      </vt:variant>
      <vt:variant>
        <vt:i4>7536710</vt:i4>
      </vt:variant>
      <vt:variant>
        <vt:i4>14</vt:i4>
      </vt:variant>
      <vt:variant>
        <vt:i4>0</vt:i4>
      </vt:variant>
      <vt:variant>
        <vt:i4>5</vt:i4>
      </vt:variant>
      <vt:variant>
        <vt:lpwstr/>
      </vt:variant>
      <vt:variant>
        <vt:lpwstr>__RefHeading___Toc144793160</vt:lpwstr>
      </vt:variant>
      <vt:variant>
        <vt:i4>7340102</vt:i4>
      </vt:variant>
      <vt:variant>
        <vt:i4>11</vt:i4>
      </vt:variant>
      <vt:variant>
        <vt:i4>0</vt:i4>
      </vt:variant>
      <vt:variant>
        <vt:i4>5</vt:i4>
      </vt:variant>
      <vt:variant>
        <vt:lpwstr/>
      </vt:variant>
      <vt:variant>
        <vt:lpwstr>__RefHeading___Toc144793156</vt:lpwstr>
      </vt:variant>
      <vt:variant>
        <vt:i4>7340102</vt:i4>
      </vt:variant>
      <vt:variant>
        <vt:i4>8</vt:i4>
      </vt:variant>
      <vt:variant>
        <vt:i4>0</vt:i4>
      </vt:variant>
      <vt:variant>
        <vt:i4>5</vt:i4>
      </vt:variant>
      <vt:variant>
        <vt:lpwstr/>
      </vt:variant>
      <vt:variant>
        <vt:lpwstr>__RefHeading___Toc144793155</vt:lpwstr>
      </vt:variant>
      <vt:variant>
        <vt:i4>7340102</vt:i4>
      </vt:variant>
      <vt:variant>
        <vt:i4>5</vt:i4>
      </vt:variant>
      <vt:variant>
        <vt:i4>0</vt:i4>
      </vt:variant>
      <vt:variant>
        <vt:i4>5</vt:i4>
      </vt:variant>
      <vt:variant>
        <vt:lpwstr/>
      </vt:variant>
      <vt:variant>
        <vt:lpwstr>__RefHeading___Toc144793154</vt:lpwstr>
      </vt:variant>
      <vt:variant>
        <vt:i4>7340102</vt:i4>
      </vt:variant>
      <vt:variant>
        <vt:i4>2</vt:i4>
      </vt:variant>
      <vt:variant>
        <vt:i4>0</vt:i4>
      </vt:variant>
      <vt:variant>
        <vt:i4>5</vt:i4>
      </vt:variant>
      <vt:variant>
        <vt:lpwstr/>
      </vt:variant>
      <vt:variant>
        <vt:lpwstr>__RefHeading___Toc144793153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Sclearuc</dc:creator>
  <cp:keywords/>
  <dc:description/>
  <cp:lastModifiedBy>Svetlana Marusic</cp:lastModifiedBy>
  <cp:revision>4</cp:revision>
  <cp:lastPrinted>2023-09-07T09:37:00Z</cp:lastPrinted>
  <dcterms:created xsi:type="dcterms:W3CDTF">2023-09-12T12:10:00Z</dcterms:created>
  <dcterms:modified xsi:type="dcterms:W3CDTF">2023-09-12T12:11:00Z</dcterms:modified>
</cp:coreProperties>
</file>