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E7A45" w14:textId="2AE4EA33" w:rsidR="00FF76A5" w:rsidRPr="00EA5540" w:rsidRDefault="00FF76A5" w:rsidP="00FF76A5">
      <w:pPr>
        <w:spacing w:after="0"/>
        <w:ind w:firstLine="709"/>
        <w:jc w:val="center"/>
        <w:rPr>
          <w:b/>
          <w:bCs/>
          <w:color w:val="000000" w:themeColor="text1"/>
        </w:rPr>
      </w:pPr>
      <w:r w:rsidRPr="00EA5540">
        <w:rPr>
          <w:b/>
          <w:bCs/>
          <w:color w:val="000000" w:themeColor="text1"/>
        </w:rPr>
        <w:t>Tabel comparativ</w:t>
      </w:r>
    </w:p>
    <w:p w14:paraId="0D24713B" w14:textId="77777777" w:rsidR="00FF76A5" w:rsidRPr="00EA5540" w:rsidRDefault="00FF76A5" w:rsidP="00FF76A5">
      <w:pPr>
        <w:jc w:val="center"/>
        <w:rPr>
          <w:b/>
          <w:bCs/>
          <w:color w:val="000000" w:themeColor="text1"/>
          <w:szCs w:val="28"/>
        </w:rPr>
      </w:pPr>
      <w:r w:rsidRPr="00EA5540">
        <w:rPr>
          <w:b/>
          <w:bCs/>
          <w:color w:val="000000" w:themeColor="text1"/>
        </w:rPr>
        <w:t xml:space="preserve">la proiectul hotărârii Guvernului </w:t>
      </w:r>
      <w:bookmarkStart w:id="0" w:name="_Hlk138193277"/>
      <w:r w:rsidRPr="00EA5540">
        <w:rPr>
          <w:b/>
          <w:bCs/>
          <w:color w:val="000000" w:themeColor="text1"/>
          <w:szCs w:val="28"/>
        </w:rPr>
        <w:t>cu privire la modificarea anexei nr. 1 la Hotărârea Guvernului nr. 1310/2003</w:t>
      </w:r>
      <w:bookmarkEnd w:id="0"/>
      <w:r w:rsidRPr="00EA5540">
        <w:rPr>
          <w:b/>
          <w:bCs/>
          <w:color w:val="000000" w:themeColor="text1"/>
          <w:szCs w:val="28"/>
        </w:rPr>
        <w:t xml:space="preserve"> despre aprobarea Regulamentului cu privire la obținerea, evidență, păstrarea, sistematizarea și utilizarea datelor dactiloscopice și Listei funcțiilor deținute de persoanele supuse înregistrării dactiloscopice obligatorii</w:t>
      </w:r>
    </w:p>
    <w:tbl>
      <w:tblPr>
        <w:tblStyle w:val="TableGrid"/>
        <w:tblW w:w="14637" w:type="dxa"/>
        <w:tblLook w:val="04A0" w:firstRow="1" w:lastRow="0" w:firstColumn="1" w:lastColumn="0" w:noHBand="0" w:noVBand="1"/>
      </w:tblPr>
      <w:tblGrid>
        <w:gridCol w:w="590"/>
        <w:gridCol w:w="4805"/>
        <w:gridCol w:w="4680"/>
        <w:gridCol w:w="4562"/>
      </w:tblGrid>
      <w:tr w:rsidR="00EA5540" w:rsidRPr="00EA5540" w14:paraId="176D045F" w14:textId="77777777" w:rsidTr="00EA5540">
        <w:tc>
          <w:tcPr>
            <w:tcW w:w="590" w:type="dxa"/>
          </w:tcPr>
          <w:p w14:paraId="551CD1B9" w14:textId="21301E2A" w:rsidR="00FF76A5" w:rsidRPr="00EA5540" w:rsidRDefault="00FF76A5" w:rsidP="00EA5540">
            <w:pPr>
              <w:jc w:val="center"/>
              <w:rPr>
                <w:rFonts w:cs="Times New Roman"/>
                <w:b/>
                <w:bCs/>
                <w:color w:val="000000" w:themeColor="text1"/>
                <w:sz w:val="24"/>
                <w:szCs w:val="24"/>
              </w:rPr>
            </w:pPr>
            <w:r w:rsidRPr="00EA5540">
              <w:rPr>
                <w:rFonts w:cs="Times New Roman"/>
                <w:b/>
                <w:bCs/>
                <w:color w:val="000000" w:themeColor="text1"/>
                <w:sz w:val="24"/>
                <w:szCs w:val="24"/>
              </w:rPr>
              <w:t>Nr. d/o</w:t>
            </w:r>
          </w:p>
        </w:tc>
        <w:tc>
          <w:tcPr>
            <w:tcW w:w="4805" w:type="dxa"/>
          </w:tcPr>
          <w:p w14:paraId="4DA6891D" w14:textId="43096EB4" w:rsidR="00FF76A5" w:rsidRPr="00EA5540" w:rsidRDefault="00FF76A5" w:rsidP="00EA5540">
            <w:pPr>
              <w:jc w:val="center"/>
              <w:rPr>
                <w:rFonts w:cs="Times New Roman"/>
                <w:b/>
                <w:bCs/>
                <w:color w:val="000000" w:themeColor="text1"/>
                <w:sz w:val="24"/>
                <w:szCs w:val="24"/>
              </w:rPr>
            </w:pPr>
            <w:r w:rsidRPr="00EA5540">
              <w:rPr>
                <w:rFonts w:cs="Times New Roman"/>
                <w:b/>
                <w:bCs/>
                <w:color w:val="000000" w:themeColor="text1"/>
                <w:sz w:val="24"/>
                <w:szCs w:val="24"/>
              </w:rPr>
              <w:t>Redacția în vigoare</w:t>
            </w:r>
          </w:p>
        </w:tc>
        <w:tc>
          <w:tcPr>
            <w:tcW w:w="4680" w:type="dxa"/>
          </w:tcPr>
          <w:p w14:paraId="08E6EE63" w14:textId="3F170C69" w:rsidR="00FF76A5" w:rsidRPr="00EA5540" w:rsidRDefault="00FF76A5" w:rsidP="00EA5540">
            <w:pPr>
              <w:jc w:val="center"/>
              <w:rPr>
                <w:rFonts w:cs="Times New Roman"/>
                <w:b/>
                <w:bCs/>
                <w:color w:val="000000" w:themeColor="text1"/>
                <w:sz w:val="24"/>
                <w:szCs w:val="24"/>
              </w:rPr>
            </w:pPr>
            <w:r w:rsidRPr="00EA5540">
              <w:rPr>
                <w:rFonts w:cs="Times New Roman"/>
                <w:b/>
                <w:bCs/>
                <w:color w:val="000000" w:themeColor="text1"/>
                <w:sz w:val="24"/>
                <w:szCs w:val="24"/>
              </w:rPr>
              <w:t>Modificările propuse</w:t>
            </w:r>
          </w:p>
        </w:tc>
        <w:tc>
          <w:tcPr>
            <w:tcW w:w="4562" w:type="dxa"/>
          </w:tcPr>
          <w:p w14:paraId="1E53FF11" w14:textId="4A990726" w:rsidR="00FF76A5" w:rsidRPr="00EA5540" w:rsidRDefault="00FF76A5" w:rsidP="00EA5540">
            <w:pPr>
              <w:jc w:val="center"/>
              <w:rPr>
                <w:rFonts w:cs="Times New Roman"/>
                <w:b/>
                <w:bCs/>
                <w:color w:val="000000" w:themeColor="text1"/>
                <w:sz w:val="24"/>
                <w:szCs w:val="24"/>
              </w:rPr>
            </w:pPr>
            <w:r w:rsidRPr="00EA5540">
              <w:rPr>
                <w:rFonts w:cs="Times New Roman"/>
                <w:b/>
                <w:bCs/>
                <w:color w:val="000000" w:themeColor="text1"/>
                <w:sz w:val="24"/>
                <w:szCs w:val="24"/>
              </w:rPr>
              <w:t>Redacția după adoptare</w:t>
            </w:r>
          </w:p>
        </w:tc>
      </w:tr>
      <w:tr w:rsidR="00EA5540" w:rsidRPr="00EA5540" w14:paraId="3BE00982" w14:textId="77777777" w:rsidTr="00EA5540">
        <w:tc>
          <w:tcPr>
            <w:tcW w:w="590" w:type="dxa"/>
          </w:tcPr>
          <w:p w14:paraId="4C4D7825" w14:textId="3F591200" w:rsidR="00FF76A5" w:rsidRPr="00EA5540" w:rsidRDefault="00EA5540" w:rsidP="00FF76A5">
            <w:pPr>
              <w:jc w:val="both"/>
              <w:rPr>
                <w:rFonts w:cs="Times New Roman"/>
                <w:color w:val="000000" w:themeColor="text1"/>
                <w:sz w:val="24"/>
                <w:szCs w:val="24"/>
              </w:rPr>
            </w:pPr>
            <w:r w:rsidRPr="00EA5540">
              <w:rPr>
                <w:rFonts w:cs="Times New Roman"/>
                <w:color w:val="000000" w:themeColor="text1"/>
                <w:sz w:val="24"/>
                <w:szCs w:val="24"/>
              </w:rPr>
              <w:t>1.</w:t>
            </w:r>
          </w:p>
        </w:tc>
        <w:tc>
          <w:tcPr>
            <w:tcW w:w="4805" w:type="dxa"/>
          </w:tcPr>
          <w:p w14:paraId="5306EFCB" w14:textId="382716F8" w:rsidR="00FF76A5" w:rsidRPr="00EA5540" w:rsidRDefault="00FF76A5" w:rsidP="00FF76A5">
            <w:pPr>
              <w:jc w:val="both"/>
              <w:rPr>
                <w:rFonts w:cs="Times New Roman"/>
                <w:color w:val="000000" w:themeColor="text1"/>
                <w:sz w:val="24"/>
                <w:szCs w:val="24"/>
              </w:rPr>
            </w:pPr>
            <w:r w:rsidRPr="00EA5540">
              <w:rPr>
                <w:rFonts w:cs="Times New Roman"/>
                <w:color w:val="000000" w:themeColor="text1"/>
                <w:sz w:val="24"/>
                <w:szCs w:val="24"/>
                <w:shd w:val="clear" w:color="auto" w:fill="FFFFFF"/>
              </w:rPr>
              <w:t>13. Completarea suporţilor materiali se efectuează în conformitate cu Regulile de bază ale amprentării şi întocmirii fişelor dactiloscopice şi cu utilizarea noilor tehnologii informaţionale biometrice de înaltă precizie (anexa nr.3). Datele dactiloscopice în privinţa persoanelor indicate la punctul  7 subpunctul 3) se prezintă în exclusivitate în format electronic.</w:t>
            </w:r>
          </w:p>
        </w:tc>
        <w:tc>
          <w:tcPr>
            <w:tcW w:w="4680" w:type="dxa"/>
          </w:tcPr>
          <w:p w14:paraId="3C44D2EB" w14:textId="45308033" w:rsidR="00FF76A5" w:rsidRPr="00EA5540" w:rsidRDefault="00B9741F" w:rsidP="00EA5540">
            <w:pPr>
              <w:tabs>
                <w:tab w:val="left" w:pos="990"/>
              </w:tabs>
              <w:jc w:val="both"/>
              <w:rPr>
                <w:rFonts w:cs="Times New Roman"/>
                <w:color w:val="000000" w:themeColor="text1"/>
                <w:sz w:val="24"/>
                <w:szCs w:val="24"/>
              </w:rPr>
            </w:pPr>
            <w:r>
              <w:rPr>
                <w:rFonts w:cs="Times New Roman"/>
                <w:color w:val="000000" w:themeColor="text1"/>
                <w:sz w:val="24"/>
                <w:szCs w:val="24"/>
              </w:rPr>
              <w:t>L</w:t>
            </w:r>
            <w:r w:rsidR="00FF76A5" w:rsidRPr="00EA5540">
              <w:rPr>
                <w:rFonts w:cs="Times New Roman"/>
                <w:color w:val="000000" w:themeColor="text1"/>
                <w:sz w:val="24"/>
                <w:szCs w:val="24"/>
              </w:rPr>
              <w:t xml:space="preserve">a punctul 13, după fraza: ”Datele dactiloscopice în privința persoanelor indicate la punctul  7 subpunctul 3) se prezintă în exclusivitate în format electronic.” se va completa cu următorul text: </w:t>
            </w:r>
          </w:p>
          <w:p w14:paraId="375C482E" w14:textId="77777777" w:rsidR="00FF76A5" w:rsidRPr="00EA5540" w:rsidRDefault="00FF76A5" w:rsidP="00FF76A5">
            <w:pPr>
              <w:pStyle w:val="ListParagraph"/>
              <w:tabs>
                <w:tab w:val="left" w:pos="990"/>
              </w:tabs>
              <w:ind w:left="0" w:firstLine="540"/>
              <w:jc w:val="both"/>
              <w:rPr>
                <w:rFonts w:ascii="Times New Roman" w:hAnsi="Times New Roman" w:cs="Times New Roman"/>
                <w:color w:val="000000" w:themeColor="text1"/>
                <w:sz w:val="24"/>
                <w:szCs w:val="24"/>
                <w:lang w:val="ro-RO"/>
              </w:rPr>
            </w:pPr>
            <w:r w:rsidRPr="00EA5540">
              <w:rPr>
                <w:rFonts w:ascii="Times New Roman" w:hAnsi="Times New Roman" w:cs="Times New Roman"/>
                <w:color w:val="000000" w:themeColor="text1"/>
                <w:sz w:val="24"/>
                <w:szCs w:val="24"/>
                <w:lang w:val="ro-RO"/>
              </w:rPr>
              <w:t>„Datele dactiloscopice ale persoanelor menționate la punctul 7 subpunctul 7) se prezintă în conformitate cu Regulile de bază ale amprentării dactiloscopice şi întocmirii fișelor dactiloscopice și/sau în format electronic.”;</w:t>
            </w:r>
          </w:p>
          <w:p w14:paraId="4C2A1C1B" w14:textId="77777777" w:rsidR="00FF76A5" w:rsidRPr="00EA5540" w:rsidRDefault="00FF76A5" w:rsidP="00FF76A5">
            <w:pPr>
              <w:jc w:val="both"/>
              <w:rPr>
                <w:rFonts w:cs="Times New Roman"/>
                <w:color w:val="000000" w:themeColor="text1"/>
                <w:sz w:val="24"/>
                <w:szCs w:val="24"/>
              </w:rPr>
            </w:pPr>
          </w:p>
        </w:tc>
        <w:tc>
          <w:tcPr>
            <w:tcW w:w="4562" w:type="dxa"/>
          </w:tcPr>
          <w:p w14:paraId="06851E17" w14:textId="77E70DA2" w:rsidR="00FF76A5" w:rsidRPr="00EA5540" w:rsidRDefault="00EA5540" w:rsidP="00FF76A5">
            <w:pPr>
              <w:jc w:val="both"/>
              <w:rPr>
                <w:rFonts w:cs="Times New Roman"/>
                <w:color w:val="000000" w:themeColor="text1"/>
                <w:sz w:val="24"/>
                <w:szCs w:val="24"/>
              </w:rPr>
            </w:pPr>
            <w:r w:rsidRPr="00EA5540">
              <w:rPr>
                <w:rFonts w:cs="Times New Roman"/>
                <w:color w:val="000000" w:themeColor="text1"/>
                <w:sz w:val="24"/>
                <w:szCs w:val="24"/>
                <w:shd w:val="clear" w:color="auto" w:fill="FFFFFF"/>
              </w:rPr>
              <w:t xml:space="preserve">13. Completarea suporţilor materiali se efectuează în conformitate cu Regulile de bază ale amprentării şi întocmirii fişelor dactiloscopice şi cu utilizarea noilor tehnologii informaţionale biometrice de înaltă precizie (anexa nr.3). Datele dactiloscopice în privinţa persoanelor indicate la punctul  7 subpunctul 3) se prezintă în exclusivitate în format electronic. </w:t>
            </w:r>
            <w:r w:rsidRPr="00EA5540">
              <w:rPr>
                <w:rFonts w:cs="Times New Roman"/>
                <w:color w:val="000000" w:themeColor="text1"/>
                <w:sz w:val="24"/>
                <w:szCs w:val="24"/>
              </w:rPr>
              <w:t>Datele dactiloscopice ale persoanelor menționate la punctul 7 subpunctul 7) se prezintă în conformitate cu Regulile de bază ale amprentării dactiloscopice şi întocmirii fișelor dactiloscopice și/sau în format electronic.”;</w:t>
            </w:r>
          </w:p>
        </w:tc>
      </w:tr>
      <w:tr w:rsidR="00EA5540" w:rsidRPr="00EA5540" w14:paraId="2FDB3B19" w14:textId="77777777" w:rsidTr="00EA5540">
        <w:tc>
          <w:tcPr>
            <w:tcW w:w="590" w:type="dxa"/>
          </w:tcPr>
          <w:p w14:paraId="1CD9A010" w14:textId="424477ED" w:rsidR="00FF76A5" w:rsidRPr="00EA5540" w:rsidRDefault="00EA5540" w:rsidP="00FF76A5">
            <w:pPr>
              <w:jc w:val="both"/>
              <w:rPr>
                <w:rFonts w:cs="Times New Roman"/>
                <w:color w:val="000000" w:themeColor="text1"/>
                <w:sz w:val="24"/>
                <w:szCs w:val="24"/>
              </w:rPr>
            </w:pPr>
            <w:r w:rsidRPr="00EA5540">
              <w:rPr>
                <w:rFonts w:cs="Times New Roman"/>
                <w:color w:val="000000" w:themeColor="text1"/>
                <w:sz w:val="24"/>
                <w:szCs w:val="24"/>
              </w:rPr>
              <w:t>2.</w:t>
            </w:r>
          </w:p>
        </w:tc>
        <w:tc>
          <w:tcPr>
            <w:tcW w:w="4805" w:type="dxa"/>
          </w:tcPr>
          <w:p w14:paraId="63DE4580" w14:textId="15028F1C" w:rsidR="00FF76A5" w:rsidRPr="00EA5540" w:rsidRDefault="00EA5540" w:rsidP="00FF76A5">
            <w:pPr>
              <w:jc w:val="both"/>
              <w:rPr>
                <w:rFonts w:cs="Times New Roman"/>
                <w:color w:val="000000" w:themeColor="text1"/>
                <w:sz w:val="24"/>
                <w:szCs w:val="24"/>
              </w:rPr>
            </w:pPr>
            <w:r w:rsidRPr="00EA5540">
              <w:rPr>
                <w:rFonts w:cs="Times New Roman"/>
                <w:color w:val="000000" w:themeColor="text1"/>
                <w:sz w:val="24"/>
                <w:szCs w:val="24"/>
              </w:rPr>
              <w:t>Prevedere nouă</w:t>
            </w:r>
          </w:p>
        </w:tc>
        <w:tc>
          <w:tcPr>
            <w:tcW w:w="4680" w:type="dxa"/>
          </w:tcPr>
          <w:p w14:paraId="010A08EA" w14:textId="1E81A610" w:rsidR="00FF76A5" w:rsidRPr="00EA5540" w:rsidRDefault="00B9741F" w:rsidP="00EA5540">
            <w:pPr>
              <w:tabs>
                <w:tab w:val="left" w:pos="990"/>
              </w:tabs>
              <w:rPr>
                <w:rFonts w:cs="Times New Roman"/>
                <w:color w:val="000000" w:themeColor="text1"/>
                <w:sz w:val="24"/>
                <w:szCs w:val="24"/>
              </w:rPr>
            </w:pPr>
            <w:r>
              <w:rPr>
                <w:rFonts w:cs="Times New Roman"/>
                <w:color w:val="000000" w:themeColor="text1"/>
                <w:sz w:val="24"/>
                <w:szCs w:val="24"/>
              </w:rPr>
              <w:t>S</w:t>
            </w:r>
            <w:r w:rsidR="00FF76A5" w:rsidRPr="00EA5540">
              <w:rPr>
                <w:rFonts w:cs="Times New Roman"/>
                <w:color w:val="000000" w:themeColor="text1"/>
                <w:sz w:val="24"/>
                <w:szCs w:val="24"/>
              </w:rPr>
              <w:t>e completează cu punctul 18</w:t>
            </w:r>
            <w:r w:rsidR="00FF76A5" w:rsidRPr="00EA5540">
              <w:rPr>
                <w:rFonts w:cs="Times New Roman"/>
                <w:color w:val="000000" w:themeColor="text1"/>
                <w:sz w:val="24"/>
                <w:szCs w:val="24"/>
                <w:vertAlign w:val="superscript"/>
              </w:rPr>
              <w:t xml:space="preserve">1 </w:t>
            </w:r>
            <w:r w:rsidR="00FF76A5" w:rsidRPr="00EA5540">
              <w:rPr>
                <w:rFonts w:cs="Times New Roman"/>
                <w:color w:val="000000" w:themeColor="text1"/>
                <w:sz w:val="24"/>
                <w:szCs w:val="24"/>
              </w:rPr>
              <w:t>cu următorul cuprins:</w:t>
            </w:r>
          </w:p>
          <w:p w14:paraId="611D2879" w14:textId="1675E9D3" w:rsidR="00FF76A5" w:rsidRPr="00EA5540" w:rsidRDefault="00FF76A5" w:rsidP="00D95989">
            <w:pPr>
              <w:pStyle w:val="ListParagraph"/>
              <w:tabs>
                <w:tab w:val="left" w:pos="990"/>
              </w:tabs>
              <w:ind w:left="0" w:firstLine="540"/>
              <w:jc w:val="both"/>
              <w:rPr>
                <w:rFonts w:cs="Times New Roman"/>
                <w:color w:val="000000" w:themeColor="text1"/>
                <w:sz w:val="24"/>
                <w:szCs w:val="24"/>
              </w:rPr>
            </w:pPr>
            <w:r w:rsidRPr="00EA5540">
              <w:rPr>
                <w:rFonts w:ascii="Times New Roman" w:hAnsi="Times New Roman" w:cs="Times New Roman"/>
                <w:color w:val="000000" w:themeColor="text1"/>
                <w:sz w:val="24"/>
                <w:szCs w:val="24"/>
                <w:lang w:val="ro-RO"/>
              </w:rPr>
              <w:t>„Datele dactiloscopice ale persoanelor menționate la punctul 7 subpunctul 7) din prezentul Regulament, se obțin de către Inspectoratului General pentru Migrație inclusiv cu utilizarea live-scanerelor și prin înregistrarea datelor în cadrul Sistemului informațional automatizat „Registrul de stat dactiloscopic”.”;</w:t>
            </w:r>
          </w:p>
        </w:tc>
        <w:tc>
          <w:tcPr>
            <w:tcW w:w="4562" w:type="dxa"/>
          </w:tcPr>
          <w:p w14:paraId="69F1FC6A" w14:textId="13148972" w:rsidR="00EA5540" w:rsidRPr="00EA5540" w:rsidRDefault="00EA5540" w:rsidP="00EA5540">
            <w:pPr>
              <w:pStyle w:val="ListParagraph"/>
              <w:tabs>
                <w:tab w:val="left" w:pos="990"/>
              </w:tabs>
              <w:ind w:left="0"/>
              <w:jc w:val="both"/>
              <w:rPr>
                <w:rFonts w:ascii="Times New Roman" w:hAnsi="Times New Roman" w:cs="Times New Roman"/>
                <w:color w:val="000000" w:themeColor="text1"/>
                <w:sz w:val="24"/>
                <w:szCs w:val="24"/>
                <w:lang w:val="ro-RO"/>
              </w:rPr>
            </w:pPr>
            <w:r w:rsidRPr="00EA5540">
              <w:rPr>
                <w:rFonts w:ascii="Times New Roman" w:hAnsi="Times New Roman" w:cs="Times New Roman"/>
                <w:color w:val="000000" w:themeColor="text1"/>
                <w:sz w:val="24"/>
                <w:szCs w:val="24"/>
                <w:lang w:val="ro-RO"/>
              </w:rPr>
              <w:t>18</w:t>
            </w:r>
            <w:r w:rsidRPr="00EA5540">
              <w:rPr>
                <w:rFonts w:ascii="Times New Roman" w:hAnsi="Times New Roman" w:cs="Times New Roman"/>
                <w:color w:val="000000" w:themeColor="text1"/>
                <w:sz w:val="24"/>
                <w:szCs w:val="24"/>
                <w:vertAlign w:val="superscript"/>
                <w:lang w:val="ro-RO"/>
              </w:rPr>
              <w:t>1</w:t>
            </w:r>
            <w:r w:rsidRPr="00EA5540">
              <w:rPr>
                <w:rFonts w:ascii="Times New Roman" w:hAnsi="Times New Roman" w:cs="Times New Roman"/>
                <w:color w:val="000000" w:themeColor="text1"/>
                <w:sz w:val="24"/>
                <w:szCs w:val="24"/>
                <w:lang w:val="ro-RO"/>
              </w:rPr>
              <w:t xml:space="preserve"> Datele dactiloscopice ale persoanelor menționate la punctul 7 subpunctul 7) din prezentul Regulament, se obțin de către Inspectoratului General pentru Migrație inclusiv cu utilizarea live-scanerelor și prin înregistrarea datelor în cadrul Sistemului informațional automatizat „Registrul de stat dactiloscopic”.</w:t>
            </w:r>
          </w:p>
          <w:p w14:paraId="36A69628" w14:textId="036D4C52" w:rsidR="00FF76A5" w:rsidRPr="00EA5540" w:rsidRDefault="00FF76A5" w:rsidP="00FF76A5">
            <w:pPr>
              <w:jc w:val="both"/>
              <w:rPr>
                <w:rFonts w:cs="Times New Roman"/>
                <w:color w:val="000000" w:themeColor="text1"/>
                <w:sz w:val="24"/>
                <w:szCs w:val="24"/>
              </w:rPr>
            </w:pPr>
          </w:p>
        </w:tc>
      </w:tr>
      <w:tr w:rsidR="00EA5540" w:rsidRPr="00EA5540" w14:paraId="21038D03" w14:textId="77777777" w:rsidTr="00EA5540">
        <w:tc>
          <w:tcPr>
            <w:tcW w:w="590" w:type="dxa"/>
          </w:tcPr>
          <w:p w14:paraId="0876FB43" w14:textId="076C1282" w:rsidR="00FF76A5" w:rsidRPr="00EA5540" w:rsidRDefault="00EA5540" w:rsidP="00FF76A5">
            <w:pPr>
              <w:jc w:val="both"/>
              <w:rPr>
                <w:rFonts w:cs="Times New Roman"/>
                <w:color w:val="000000" w:themeColor="text1"/>
                <w:sz w:val="24"/>
                <w:szCs w:val="24"/>
              </w:rPr>
            </w:pPr>
            <w:r w:rsidRPr="00EA5540">
              <w:rPr>
                <w:rFonts w:cs="Times New Roman"/>
                <w:color w:val="000000" w:themeColor="text1"/>
                <w:sz w:val="24"/>
                <w:szCs w:val="24"/>
              </w:rPr>
              <w:lastRenderedPageBreak/>
              <w:t>3.</w:t>
            </w:r>
          </w:p>
        </w:tc>
        <w:tc>
          <w:tcPr>
            <w:tcW w:w="4805" w:type="dxa"/>
          </w:tcPr>
          <w:p w14:paraId="5791F043" w14:textId="7CDCBA8A" w:rsidR="00FF76A5" w:rsidRPr="00EA5540" w:rsidRDefault="00FF76A5" w:rsidP="00FF76A5">
            <w:pPr>
              <w:jc w:val="both"/>
              <w:rPr>
                <w:rFonts w:cs="Times New Roman"/>
                <w:color w:val="000000" w:themeColor="text1"/>
                <w:sz w:val="24"/>
                <w:szCs w:val="24"/>
              </w:rPr>
            </w:pPr>
            <w:r w:rsidRPr="00EA5540">
              <w:rPr>
                <w:rFonts w:cs="Times New Roman"/>
                <w:color w:val="000000" w:themeColor="text1"/>
                <w:sz w:val="24"/>
                <w:szCs w:val="24"/>
                <w:shd w:val="clear" w:color="auto" w:fill="FFFFFF"/>
              </w:rPr>
              <w:t> 9</w:t>
            </w:r>
            <w:r w:rsidRPr="00EA5540">
              <w:rPr>
                <w:rFonts w:cs="Times New Roman"/>
                <w:color w:val="000000" w:themeColor="text1"/>
                <w:sz w:val="24"/>
                <w:szCs w:val="24"/>
                <w:shd w:val="clear" w:color="auto" w:fill="FFFFFF"/>
                <w:vertAlign w:val="superscript"/>
              </w:rPr>
              <w:t>2</w:t>
            </w:r>
            <w:r w:rsidRPr="00EA5540">
              <w:rPr>
                <w:rFonts w:cs="Times New Roman"/>
                <w:color w:val="000000" w:themeColor="text1"/>
                <w:sz w:val="24"/>
                <w:szCs w:val="24"/>
                <w:shd w:val="clear" w:color="auto" w:fill="FFFFFF"/>
              </w:rPr>
              <w:t>. Procesul de amprentare a persoanelor menţionate la punctul 7 subpunctul 3) din prezentul Regulament începe cu deschiderea de pe stația de lucru a aplicaţiei „AFIS” la poziţia înregistrării fişei dactiloscopice şi completarea cîmpurilor obligatorii: numărul de ordine, IDNP, numele, prenumele, patronimicul, data, luna, anul naşterii, locul naşterii, domiciliul, categoria şi tipul înregistrării, subdiviziunea care a efectuat înregistrarea.</w:t>
            </w:r>
            <w:r w:rsidRPr="00EA5540">
              <w:rPr>
                <w:rFonts w:cs="Times New Roman"/>
                <w:color w:val="000000" w:themeColor="text1"/>
                <w:sz w:val="24"/>
                <w:szCs w:val="24"/>
              </w:rPr>
              <w:br/>
            </w:r>
            <w:r w:rsidRPr="00EA5540">
              <w:rPr>
                <w:rFonts w:cs="Times New Roman"/>
                <w:color w:val="000000" w:themeColor="text1"/>
                <w:sz w:val="24"/>
                <w:szCs w:val="24"/>
                <w:shd w:val="clear" w:color="auto" w:fill="FFFFFF"/>
              </w:rPr>
              <w:t xml:space="preserve">             În continuare, din aplicația „AFIS” se apasă butonul de preluare a amprentelor cu ajutorul live-scanerului. Mîna persoanei dactiloscopiate trebuie ținută liber şi neîncordată. Inițial se obțin amprentele de control ale degetelor (arătător, mijlociu, inelar și mic) ale persoanei dactiloscopiate, prin plasarea concomitentă a acestora în sectoarele respective pe suprafața luminoasă de sticlă a live-scanerului. Se efectuează scanarea amprentelor de control ale degetelor mîinii stîngi (arătător, mijlociu, inelar și mic), apoi în același mod degetele mîinii drepte (arătător, mijlociu, inelar și mic), pe urmă degetele mari ale ambelor mîini, așteptînd semnalul sonor de fixare a imaginii desenului papilar în aplicația „AFIS”. După efectuarea scanării amprentelor de control ale degetelor ambelor mîini se realizează scanarea amprentelor degetelor prin rularea pe suprafața luminoasă de sticlă a live-scanerului, în ordinea indicatorului electronic (arătător, mijlociu, inelar și mic ale mîinii stîngi, mîinii drepte, apoi degetului mare al mîinii stîngi și </w:t>
            </w:r>
            <w:r w:rsidRPr="00EA5540">
              <w:rPr>
                <w:rFonts w:cs="Times New Roman"/>
                <w:color w:val="000000" w:themeColor="text1"/>
                <w:sz w:val="24"/>
                <w:szCs w:val="24"/>
                <w:shd w:val="clear" w:color="auto" w:fill="FFFFFF"/>
              </w:rPr>
              <w:lastRenderedPageBreak/>
              <w:t>drepte), de la o margine pînă la cealaltă, așteptîndu-se semnalul sonor de fixare a imaginii desenului papilar în aplicația „AFIS”. Degetul arătător, mijlociu, inelar şi mic se rulează în direcția degetului mare. Degetele mari se rulează în direcția celorlalte patru degete. În cazul lipsei unui deget, colaboratorul bifează în aplicația „AFIS” locul respectiv cu „x”.</w:t>
            </w:r>
            <w:r w:rsidRPr="00EA5540">
              <w:rPr>
                <w:rFonts w:cs="Times New Roman"/>
                <w:color w:val="000000" w:themeColor="text1"/>
                <w:sz w:val="24"/>
                <w:szCs w:val="24"/>
              </w:rPr>
              <w:br/>
            </w:r>
            <w:r w:rsidRPr="00EA5540">
              <w:rPr>
                <w:rFonts w:cs="Times New Roman"/>
                <w:color w:val="000000" w:themeColor="text1"/>
                <w:sz w:val="24"/>
                <w:szCs w:val="24"/>
                <w:shd w:val="clear" w:color="auto" w:fill="FFFFFF"/>
              </w:rPr>
              <w:t>             Scanarea palmelor (mîna stîngă, apoi mîna dreaptă) se efectuează prin poziționarea pe suprafața luminoasă de sticlă a live-scanerului, cu o apăsare ușoară a palmei, uniform şi fără devieri, așteaptîndu-se semnalul sonor de fixare a imaginii desenului palmar în aplicația „AFIS” de pe calculator. După finalizarea preluării amprentelor digitale şi palmare se controlează calitatea fiecărei amprente poziționate în aplicația „AFIS”, după care se apasă butonul „Salvați”.</w:t>
            </w:r>
          </w:p>
        </w:tc>
        <w:tc>
          <w:tcPr>
            <w:tcW w:w="4680" w:type="dxa"/>
          </w:tcPr>
          <w:p w14:paraId="3C69D602" w14:textId="7087C651" w:rsidR="00FF76A5" w:rsidRPr="00EA5540" w:rsidRDefault="00FF76A5" w:rsidP="00EA5540">
            <w:pPr>
              <w:tabs>
                <w:tab w:val="left" w:pos="990"/>
              </w:tabs>
              <w:jc w:val="both"/>
              <w:rPr>
                <w:rFonts w:cs="Times New Roman"/>
                <w:color w:val="000000" w:themeColor="text1"/>
                <w:sz w:val="24"/>
                <w:szCs w:val="24"/>
              </w:rPr>
            </w:pPr>
            <w:r w:rsidRPr="00EA5540">
              <w:rPr>
                <w:rFonts w:cs="Times New Roman"/>
                <w:color w:val="000000" w:themeColor="text1"/>
                <w:sz w:val="24"/>
                <w:szCs w:val="24"/>
              </w:rPr>
              <w:lastRenderedPageBreak/>
              <w:t>Anexa nr. 3 la Regulament:</w:t>
            </w:r>
          </w:p>
          <w:p w14:paraId="4343D654" w14:textId="77777777" w:rsidR="00FF76A5" w:rsidRPr="00EA5540" w:rsidRDefault="00FF76A5" w:rsidP="00EA5540">
            <w:pPr>
              <w:tabs>
                <w:tab w:val="left" w:pos="990"/>
              </w:tabs>
              <w:jc w:val="both"/>
              <w:rPr>
                <w:rFonts w:cs="Times New Roman"/>
                <w:color w:val="000000" w:themeColor="text1"/>
                <w:sz w:val="24"/>
                <w:szCs w:val="24"/>
              </w:rPr>
            </w:pPr>
            <w:r w:rsidRPr="00EA5540">
              <w:rPr>
                <w:rFonts w:cs="Times New Roman"/>
                <w:color w:val="000000" w:themeColor="text1"/>
                <w:sz w:val="24"/>
                <w:szCs w:val="24"/>
              </w:rPr>
              <w:t>la punctul 9</w:t>
            </w:r>
            <w:r w:rsidRPr="00EA5540">
              <w:rPr>
                <w:rFonts w:cs="Times New Roman"/>
                <w:color w:val="000000" w:themeColor="text1"/>
                <w:sz w:val="24"/>
                <w:szCs w:val="24"/>
                <w:vertAlign w:val="superscript"/>
              </w:rPr>
              <w:t xml:space="preserve">2 </w:t>
            </w:r>
            <w:r w:rsidRPr="00EA5540">
              <w:rPr>
                <w:rFonts w:cs="Times New Roman"/>
                <w:color w:val="000000" w:themeColor="text1"/>
                <w:sz w:val="24"/>
                <w:szCs w:val="24"/>
              </w:rPr>
              <w:t>, după cifra „3)” se completează cu cifra „ și 7)”.</w:t>
            </w:r>
          </w:p>
          <w:p w14:paraId="14BB19A7" w14:textId="77777777" w:rsidR="00FF76A5" w:rsidRPr="00EA5540" w:rsidRDefault="00FF76A5" w:rsidP="00FF76A5">
            <w:pPr>
              <w:jc w:val="both"/>
              <w:rPr>
                <w:rFonts w:cs="Times New Roman"/>
                <w:color w:val="000000" w:themeColor="text1"/>
                <w:sz w:val="24"/>
                <w:szCs w:val="24"/>
              </w:rPr>
            </w:pPr>
          </w:p>
        </w:tc>
        <w:tc>
          <w:tcPr>
            <w:tcW w:w="4562" w:type="dxa"/>
          </w:tcPr>
          <w:p w14:paraId="68D3D0F1" w14:textId="388C2DDA" w:rsidR="00FF76A5" w:rsidRPr="00EA5540" w:rsidRDefault="00EA5540" w:rsidP="00FF76A5">
            <w:pPr>
              <w:jc w:val="both"/>
              <w:rPr>
                <w:rFonts w:cs="Times New Roman"/>
                <w:color w:val="000000" w:themeColor="text1"/>
                <w:sz w:val="24"/>
                <w:szCs w:val="24"/>
              </w:rPr>
            </w:pPr>
            <w:r w:rsidRPr="00EA5540">
              <w:rPr>
                <w:rFonts w:cs="Times New Roman"/>
                <w:color w:val="000000" w:themeColor="text1"/>
                <w:sz w:val="24"/>
                <w:szCs w:val="24"/>
                <w:shd w:val="clear" w:color="auto" w:fill="FFFFFF"/>
              </w:rPr>
              <w:t> 9</w:t>
            </w:r>
            <w:r w:rsidRPr="00EA5540">
              <w:rPr>
                <w:rFonts w:cs="Times New Roman"/>
                <w:color w:val="000000" w:themeColor="text1"/>
                <w:sz w:val="24"/>
                <w:szCs w:val="24"/>
                <w:shd w:val="clear" w:color="auto" w:fill="FFFFFF"/>
                <w:vertAlign w:val="superscript"/>
              </w:rPr>
              <w:t>2</w:t>
            </w:r>
            <w:r w:rsidRPr="00EA5540">
              <w:rPr>
                <w:rFonts w:cs="Times New Roman"/>
                <w:color w:val="000000" w:themeColor="text1"/>
                <w:sz w:val="24"/>
                <w:szCs w:val="24"/>
                <w:shd w:val="clear" w:color="auto" w:fill="FFFFFF"/>
              </w:rPr>
              <w:t>. Procesul de amprentare a persoanelor menţionate la punctul 7 subpunctul 3) și 7) din prezentul Regulament începe cu deschiderea de pe stația de lucru a aplicaţiei „AFIS” la poziţia înregistrării fişei dactiloscopice şi completarea cîmpurilor obligatorii: numărul de ordine, IDNP, numele, prenumele, patronimicul, data, luna, anul naşterii, locul naşterii, domiciliul, categoria şi tipul înregistrării, subdiviziunea care a efectuat înregistrarea.</w:t>
            </w:r>
            <w:r w:rsidRPr="00EA5540">
              <w:rPr>
                <w:rFonts w:cs="Times New Roman"/>
                <w:color w:val="000000" w:themeColor="text1"/>
                <w:sz w:val="24"/>
                <w:szCs w:val="24"/>
              </w:rPr>
              <w:br/>
            </w:r>
            <w:r w:rsidRPr="00EA5540">
              <w:rPr>
                <w:rFonts w:cs="Times New Roman"/>
                <w:color w:val="000000" w:themeColor="text1"/>
                <w:sz w:val="24"/>
                <w:szCs w:val="24"/>
                <w:shd w:val="clear" w:color="auto" w:fill="FFFFFF"/>
              </w:rPr>
              <w:t xml:space="preserve">             În continuare, din aplicația „AFIS” se apasă butonul de preluare a amprentelor cu ajutorul live-scanerului. Mîna persoanei dactiloscopiate trebuie ținută liber şi neîncordată. Inițial se obțin amprentele de control ale degetelor (arătător, mijlociu, inelar și mic) ale persoanei dactiloscopiate, prin plasarea concomitentă a acestora în sectoarele respective pe suprafața luminoasă de sticlă a live-scanerului. Se efectuează scanarea amprentelor de control ale degetelor mîinii stîngi (arătător, mijlociu, inelar și mic), apoi în același mod degetele mîinii drepte (arătător, mijlociu, inelar și mic), pe urmă degetele mari ale ambelor mîini, așteptînd semnalul sonor de fixare a imaginii desenului papilar în aplicația „AFIS”. După efectuarea scanării amprentelor de control ale degetelor ambelor mîini se realizează scanarea amprentelor degetelor prin rularea pe suprafața luminoasă de sticlă a live-scanerului, în ordinea indicatorului electronic </w:t>
            </w:r>
            <w:r w:rsidRPr="00EA5540">
              <w:rPr>
                <w:rFonts w:cs="Times New Roman"/>
                <w:color w:val="000000" w:themeColor="text1"/>
                <w:sz w:val="24"/>
                <w:szCs w:val="24"/>
                <w:shd w:val="clear" w:color="auto" w:fill="FFFFFF"/>
              </w:rPr>
              <w:lastRenderedPageBreak/>
              <w:t>(arătător, mijlociu, inelar și mic ale mîinii stîngi, mîinii drepte, apoi degetului mare al mîinii stîngi și drepte), de la o margine pînă la cealaltă, așteptîndu-se semnalul sonor de fixare a imaginii desenului papilar în aplicația „AFIS”. Degetul arătător, mijlociu, inelar şi mic se rulează în direcția degetului mare. Degetele mari se rulează în direcția celorlalte patru degete. În cazul lipsei unui deget, colaboratorul bifează în aplicația „AFIS” locul respectiv cu „x”.</w:t>
            </w:r>
            <w:r w:rsidRPr="00EA5540">
              <w:rPr>
                <w:rFonts w:cs="Times New Roman"/>
                <w:color w:val="000000" w:themeColor="text1"/>
                <w:sz w:val="24"/>
                <w:szCs w:val="24"/>
              </w:rPr>
              <w:br/>
            </w:r>
            <w:r w:rsidRPr="00EA5540">
              <w:rPr>
                <w:rFonts w:cs="Times New Roman"/>
                <w:color w:val="000000" w:themeColor="text1"/>
                <w:sz w:val="24"/>
                <w:szCs w:val="24"/>
                <w:shd w:val="clear" w:color="auto" w:fill="FFFFFF"/>
              </w:rPr>
              <w:t>             Scanarea palmelor (mîna stîngă, apoi mîna dreaptă) se efectuează prin poziționarea pe suprafața luminoasă de sticlă a live-scanerului, cu o apăsare ușoară a palmei, uniform şi fără devieri, așteaptîndu-se semnalul sonor de fixare a imaginii desenului palmar în aplicația „AFIS” de pe calculator. După finalizarea preluării amprentelor digitale şi palmare se controlează calitatea fiecărei amprente poziționate în aplicația „AFIS”, după care se apasă butonul „Salvați”.</w:t>
            </w:r>
          </w:p>
        </w:tc>
      </w:tr>
    </w:tbl>
    <w:p w14:paraId="40B83A40" w14:textId="4A188CF8" w:rsidR="00FF76A5" w:rsidRPr="00EA5540" w:rsidRDefault="00FF76A5" w:rsidP="00FF76A5">
      <w:pPr>
        <w:spacing w:after="0"/>
        <w:ind w:firstLine="709"/>
        <w:jc w:val="both"/>
        <w:rPr>
          <w:color w:val="000000" w:themeColor="text1"/>
        </w:rPr>
      </w:pPr>
    </w:p>
    <w:sectPr w:rsidR="00FF76A5" w:rsidRPr="00EA5540" w:rsidSect="00FF76A5">
      <w:pgSz w:w="16838" w:h="11906" w:orient="landscape" w:code="9"/>
      <w:pgMar w:top="1699" w:right="1138" w:bottom="850"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3115B"/>
    <w:multiLevelType w:val="hybridMultilevel"/>
    <w:tmpl w:val="6540DC9C"/>
    <w:lvl w:ilvl="0" w:tplc="566C095C">
      <w:start w:val="1"/>
      <w:numFmt w:val="decimal"/>
      <w:lvlText w:val="%1)"/>
      <w:lvlJc w:val="left"/>
      <w:pPr>
        <w:ind w:left="1080" w:hanging="360"/>
      </w:pPr>
      <w:rPr>
        <w:rFonts w:hint="default"/>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num w:numId="1" w16cid:durableId="1783180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6A5"/>
    <w:rsid w:val="006C0B77"/>
    <w:rsid w:val="008242FF"/>
    <w:rsid w:val="00870751"/>
    <w:rsid w:val="00922C48"/>
    <w:rsid w:val="00A17203"/>
    <w:rsid w:val="00B915B7"/>
    <w:rsid w:val="00B9741F"/>
    <w:rsid w:val="00C41EC9"/>
    <w:rsid w:val="00D95989"/>
    <w:rsid w:val="00EA5540"/>
    <w:rsid w:val="00EA59DF"/>
    <w:rsid w:val="00EE4070"/>
    <w:rsid w:val="00F12C76"/>
    <w:rsid w:val="00FF7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DD6DC"/>
  <w15:chartTrackingRefBased/>
  <w15:docId w15:val="{F3D2C0F1-B49E-43C1-9862-085B8EAD0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7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criptoria bullet points,List Paragraph 1,Абзац списка1,strikethrough,standaard met opsomming"/>
    <w:basedOn w:val="Normal"/>
    <w:link w:val="ListParagraphChar"/>
    <w:uiPriority w:val="34"/>
    <w:qFormat/>
    <w:rsid w:val="00FF76A5"/>
    <w:pPr>
      <w:spacing w:line="259" w:lineRule="auto"/>
      <w:ind w:left="720"/>
      <w:contextualSpacing/>
    </w:pPr>
    <w:rPr>
      <w:rFonts w:asciiTheme="minorHAnsi" w:hAnsiTheme="minorHAnsi"/>
      <w:kern w:val="0"/>
      <w:sz w:val="22"/>
      <w:lang w:val="en-US"/>
      <w14:ligatures w14:val="none"/>
    </w:rPr>
  </w:style>
  <w:style w:type="character" w:customStyle="1" w:styleId="ListParagraphChar">
    <w:name w:val="List Paragraph Char"/>
    <w:aliases w:val="Scriptoria bullet points Char,List Paragraph 1 Char,Абзац списка1 Char,strikethrough Char,standaard met opsomming Char"/>
    <w:link w:val="ListParagraph"/>
    <w:uiPriority w:val="34"/>
    <w:rsid w:val="00FF76A5"/>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BCEFD-8EB1-4377-9BB9-B09425A02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1097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Chiperco</dc:creator>
  <cp:keywords/>
  <dc:description/>
  <cp:lastModifiedBy>Daniela Chiperco</cp:lastModifiedBy>
  <cp:revision>4</cp:revision>
  <dcterms:created xsi:type="dcterms:W3CDTF">2023-08-11T10:09:00Z</dcterms:created>
  <dcterms:modified xsi:type="dcterms:W3CDTF">2023-08-16T05:23:00Z</dcterms:modified>
</cp:coreProperties>
</file>